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838A" w14:textId="77777777" w:rsidR="006A5ACD" w:rsidRDefault="006A5ACD" w:rsidP="00923294">
      <w:pPr>
        <w:rPr>
          <w:rFonts w:cs="Calibri"/>
        </w:rPr>
      </w:pPr>
    </w:p>
    <w:p w14:paraId="247D063B" w14:textId="77777777" w:rsidR="00715E41" w:rsidRPr="00061CBE" w:rsidRDefault="00715E41" w:rsidP="00715E41">
      <w:pPr>
        <w:rPr>
          <w:rFonts w:asciiTheme="minorHAnsi" w:hAnsiTheme="minorHAnsi" w:cstheme="minorHAnsi"/>
          <w:bCs/>
          <w:color w:val="FF0000"/>
        </w:rPr>
      </w:pPr>
      <w:r w:rsidRPr="004E4ACE">
        <w:rPr>
          <w:rFonts w:cs="Calibri"/>
          <w:color w:val="FF0000"/>
        </w:rPr>
        <w:t xml:space="preserve">Changes have been made to this </w:t>
      </w:r>
      <w:r w:rsidRPr="00061CBE">
        <w:rPr>
          <w:rFonts w:asciiTheme="minorHAnsi" w:hAnsiTheme="minorHAnsi" w:cstheme="minorHAnsi"/>
          <w:bCs/>
          <w:color w:val="FF0000"/>
        </w:rPr>
        <w:t xml:space="preserve">public summary document </w:t>
      </w:r>
      <w:r>
        <w:rPr>
          <w:rFonts w:asciiTheme="minorHAnsi" w:hAnsiTheme="minorHAnsi" w:cstheme="minorHAnsi"/>
          <w:bCs/>
          <w:color w:val="FF0000"/>
        </w:rPr>
        <w:t>(</w:t>
      </w:r>
      <w:r>
        <w:rPr>
          <w:rFonts w:cs="Calibri"/>
          <w:color w:val="FF0000"/>
        </w:rPr>
        <w:t>PSD)</w:t>
      </w:r>
      <w:r w:rsidRPr="004E4ACE">
        <w:rPr>
          <w:rFonts w:cs="Calibri"/>
          <w:color w:val="FF0000"/>
        </w:rPr>
        <w:t xml:space="preserve">. Details of the corrigendum are </w:t>
      </w:r>
      <w:r>
        <w:rPr>
          <w:rFonts w:cs="Calibri"/>
          <w:color w:val="FF0000"/>
        </w:rPr>
        <w:t>recorded in Section 8</w:t>
      </w:r>
      <w:r w:rsidRPr="004E4ACE">
        <w:rPr>
          <w:rFonts w:cs="Calibri"/>
          <w:color w:val="FF0000"/>
        </w:rPr>
        <w:t>.</w:t>
      </w:r>
      <w:r>
        <w:rPr>
          <w:rFonts w:cs="Calibri"/>
          <w:color w:val="FF0000"/>
        </w:rPr>
        <w:t xml:space="preserve"> </w:t>
      </w:r>
      <w:r>
        <w:rPr>
          <w:rFonts w:asciiTheme="minorHAnsi" w:hAnsiTheme="minorHAnsi" w:cstheme="minorHAnsi"/>
          <w:bCs/>
          <w:color w:val="FF0000"/>
        </w:rPr>
        <w:t>Two</w:t>
      </w:r>
      <w:r w:rsidRPr="00061CBE">
        <w:rPr>
          <w:rFonts w:asciiTheme="minorHAnsi" w:hAnsiTheme="minorHAnsi" w:cstheme="minorHAnsi"/>
          <w:bCs/>
          <w:color w:val="FF0000"/>
        </w:rPr>
        <w:t xml:space="preserve"> addendum</w:t>
      </w:r>
      <w:r>
        <w:rPr>
          <w:rFonts w:asciiTheme="minorHAnsi" w:hAnsiTheme="minorHAnsi" w:cstheme="minorHAnsi"/>
          <w:bCs/>
          <w:color w:val="FF0000"/>
        </w:rPr>
        <w:t>s</w:t>
      </w:r>
      <w:r w:rsidRPr="00061CBE">
        <w:rPr>
          <w:rFonts w:asciiTheme="minorHAnsi" w:hAnsiTheme="minorHAnsi" w:cstheme="minorHAnsi"/>
          <w:bCs/>
          <w:color w:val="FF0000"/>
        </w:rPr>
        <w:t xml:space="preserve"> to this </w:t>
      </w:r>
      <w:r>
        <w:rPr>
          <w:rFonts w:asciiTheme="minorHAnsi" w:hAnsiTheme="minorHAnsi" w:cstheme="minorHAnsi"/>
          <w:bCs/>
          <w:color w:val="FF0000"/>
        </w:rPr>
        <w:t>PSD</w:t>
      </w:r>
      <w:r w:rsidRPr="00061CBE">
        <w:rPr>
          <w:rFonts w:asciiTheme="minorHAnsi" w:hAnsiTheme="minorHAnsi" w:cstheme="minorHAnsi"/>
          <w:bCs/>
          <w:color w:val="FF0000"/>
        </w:rPr>
        <w:t xml:space="preserve"> ha</w:t>
      </w:r>
      <w:r>
        <w:rPr>
          <w:rFonts w:asciiTheme="minorHAnsi" w:hAnsiTheme="minorHAnsi" w:cstheme="minorHAnsi"/>
          <w:bCs/>
          <w:color w:val="FF0000"/>
        </w:rPr>
        <w:t>ve</w:t>
      </w:r>
      <w:r w:rsidRPr="00061CBE">
        <w:rPr>
          <w:rFonts w:asciiTheme="minorHAnsi" w:hAnsiTheme="minorHAnsi" w:cstheme="minorHAnsi"/>
          <w:bCs/>
          <w:color w:val="FF0000"/>
        </w:rPr>
        <w:t xml:space="preserve"> been included at the end of the document.</w:t>
      </w:r>
    </w:p>
    <w:p w14:paraId="7927E614" w14:textId="77777777" w:rsidR="00923294" w:rsidRPr="002826AC" w:rsidRDefault="00923294" w:rsidP="00923294"/>
    <w:p w14:paraId="70823961" w14:textId="77777777" w:rsidR="00852466" w:rsidRPr="004116EF" w:rsidRDefault="00852466" w:rsidP="00852466">
      <w:pPr>
        <w:pStyle w:val="1-MainHeading"/>
        <w:ind w:left="851" w:hanging="851"/>
      </w:pPr>
      <w:bookmarkStart w:id="0" w:name="_Toc156994792"/>
      <w:r w:rsidRPr="004116EF">
        <w:t>6.01</w:t>
      </w:r>
      <w:r w:rsidRPr="004116EF">
        <w:tab/>
        <w:t>ADALIMUMAB,</w:t>
      </w:r>
      <w:r w:rsidRPr="0032666D">
        <w:br/>
      </w:r>
      <w:r w:rsidRPr="004116EF">
        <w:t>Injection 20 mg in 0.2 mL pre-filled syringe,</w:t>
      </w:r>
      <w:r w:rsidRPr="004116EF">
        <w:br/>
        <w:t>Injection 40 mg in 0.4 mL pre-filled syringe,</w:t>
      </w:r>
      <w:r w:rsidRPr="004116EF">
        <w:br/>
        <w:t>Injection 40 mg in 0.4 mL pre-filled pen,</w:t>
      </w:r>
      <w:r w:rsidRPr="004116EF">
        <w:br/>
        <w:t>Injection 80 mg in 0.8 mL pre-filled syringe,</w:t>
      </w:r>
      <w:r w:rsidRPr="004116EF">
        <w:br/>
        <w:t>Injection 80 mg in 0.8 mL pre-filled pen,</w:t>
      </w:r>
      <w:r w:rsidRPr="004116EF">
        <w:br/>
        <w:t>Humira</w:t>
      </w:r>
      <w:r w:rsidRPr="00584653">
        <w:t>®</w:t>
      </w:r>
      <w:r w:rsidRPr="004116EF">
        <w:t>,</w:t>
      </w:r>
      <w:r w:rsidRPr="004116EF">
        <w:br/>
        <w:t>AbbVie Pty Ltd.</w:t>
      </w:r>
    </w:p>
    <w:p w14:paraId="4EE02E08" w14:textId="77777777" w:rsidR="00852466" w:rsidRPr="002826AC" w:rsidRDefault="00852466" w:rsidP="00852466">
      <w:pPr>
        <w:pStyle w:val="2-SectionHeading"/>
        <w:numPr>
          <w:ilvl w:val="0"/>
          <w:numId w:val="2"/>
        </w:numPr>
      </w:pPr>
      <w:r w:rsidRPr="002826AC">
        <w:t>Purpose of submission</w:t>
      </w:r>
    </w:p>
    <w:p w14:paraId="0952C30C" w14:textId="77777777" w:rsidR="00852466" w:rsidRPr="002826AC" w:rsidRDefault="00852466" w:rsidP="00852466">
      <w:pPr>
        <w:pStyle w:val="3-BodyText"/>
        <w:numPr>
          <w:ilvl w:val="1"/>
          <w:numId w:val="2"/>
        </w:numPr>
        <w:spacing w:before="120"/>
      </w:pPr>
      <w:r w:rsidRPr="002826AC">
        <w:t>The Category 2 submission requested a General Schedule Authority Required (STREAMLINED) listing for adalimumab (Humira</w:t>
      </w:r>
      <w:r w:rsidRPr="002826AC">
        <w:rPr>
          <w:rFonts w:cstheme="minorHAnsi"/>
        </w:rPr>
        <w:t>®</w:t>
      </w:r>
      <w:r w:rsidRPr="002826AC">
        <w:t>) for the treatment of immune-mediated inflammatory disease (IMID) in paediatric patients.</w:t>
      </w:r>
    </w:p>
    <w:p w14:paraId="47116A8B" w14:textId="77777777" w:rsidR="00852466" w:rsidRPr="002826AC" w:rsidRDefault="00852466" w:rsidP="00852466">
      <w:pPr>
        <w:pStyle w:val="3-BodyText"/>
        <w:numPr>
          <w:ilvl w:val="1"/>
          <w:numId w:val="2"/>
        </w:numPr>
        <w:spacing w:before="120"/>
      </w:pPr>
      <w:r w:rsidRPr="002826AC">
        <w:t>The submission requested that adalimumab be PBS-listed as an indication-agnostic listing to allow patients with the greatest risk of permanent disability and/or psychological distress to receive treatment with adalimumab.</w:t>
      </w:r>
    </w:p>
    <w:p w14:paraId="02311F68" w14:textId="77777777" w:rsidR="00852466" w:rsidRPr="002826AC" w:rsidRDefault="00852466" w:rsidP="00852466">
      <w:pPr>
        <w:pStyle w:val="2-SectionHeading"/>
        <w:numPr>
          <w:ilvl w:val="0"/>
          <w:numId w:val="2"/>
        </w:numPr>
      </w:pPr>
      <w:r w:rsidRPr="002826AC">
        <w:t>Background</w:t>
      </w:r>
    </w:p>
    <w:p w14:paraId="318E8225" w14:textId="77777777" w:rsidR="00852466" w:rsidRPr="002826AC" w:rsidRDefault="00852466" w:rsidP="00852466">
      <w:pPr>
        <w:pStyle w:val="3-BodyText"/>
        <w:numPr>
          <w:ilvl w:val="1"/>
          <w:numId w:val="2"/>
        </w:numPr>
        <w:spacing w:before="120"/>
      </w:pPr>
      <w:r w:rsidRPr="002826AC">
        <w:t>The submission claimed that children in Australia with IMIDs are currently disadvantaged in terms of access to treatment compared to other countries such as the United States, Canada, United Kingdom, Germany and New Zealand. The submission stated that extending the PBS listing of adalimumab to allow access by paediatric patients with IMIDs would align with treatment guidelines and international best practice.</w:t>
      </w:r>
    </w:p>
    <w:p w14:paraId="4323831C" w14:textId="77777777" w:rsidR="00852466" w:rsidRPr="002826AC" w:rsidRDefault="00852466" w:rsidP="00852466">
      <w:pPr>
        <w:pStyle w:val="ExecSumBodyText"/>
        <w:numPr>
          <w:ilvl w:val="1"/>
          <w:numId w:val="2"/>
        </w:numPr>
        <w:rPr>
          <w:i/>
          <w:iCs/>
        </w:rPr>
      </w:pPr>
      <w:r w:rsidRPr="002826AC">
        <w:t>The submission claimed many of the current PBS restriction criteria for Humira for paediatric patients are clinically inappropriate, as they:</w:t>
      </w:r>
    </w:p>
    <w:p w14:paraId="4469A675" w14:textId="77777777" w:rsidR="00852466" w:rsidRPr="002826AC" w:rsidRDefault="00852466" w:rsidP="00852466">
      <w:pPr>
        <w:pStyle w:val="ExecSumBodyText"/>
        <w:numPr>
          <w:ilvl w:val="0"/>
          <w:numId w:val="95"/>
        </w:numPr>
        <w:ind w:left="1080"/>
        <w:rPr>
          <w:i/>
          <w:iCs/>
        </w:rPr>
      </w:pPr>
      <w:r w:rsidRPr="002826AC">
        <w:t>have historically been based on the restriction criteria for adult disease and are not reflective of childhood disease presentations</w:t>
      </w:r>
    </w:p>
    <w:p w14:paraId="2423B5D1" w14:textId="77777777" w:rsidR="00852466" w:rsidRPr="002826AC" w:rsidRDefault="00852466" w:rsidP="00852466">
      <w:pPr>
        <w:pStyle w:val="ExecSumBodyText"/>
        <w:numPr>
          <w:ilvl w:val="0"/>
          <w:numId w:val="95"/>
        </w:numPr>
        <w:ind w:left="1080"/>
        <w:rPr>
          <w:i/>
          <w:iCs/>
        </w:rPr>
      </w:pPr>
      <w:r w:rsidRPr="002826AC">
        <w:t>mandate prior failure or intolerance of conventional systemic therapy, even for patients with the most severe disease and those in need of immediate treatment to prevent irreversible outcomes</w:t>
      </w:r>
    </w:p>
    <w:p w14:paraId="0902C834" w14:textId="77777777" w:rsidR="00852466" w:rsidRPr="002826AC" w:rsidRDefault="00852466" w:rsidP="00852466">
      <w:pPr>
        <w:pStyle w:val="ExecSumBodyText"/>
        <w:numPr>
          <w:ilvl w:val="0"/>
          <w:numId w:val="95"/>
        </w:numPr>
        <w:ind w:left="1080"/>
        <w:rPr>
          <w:i/>
          <w:iCs/>
        </w:rPr>
      </w:pPr>
      <w:r w:rsidRPr="002826AC">
        <w:t>do not allow for flexible doses.</w:t>
      </w:r>
    </w:p>
    <w:p w14:paraId="4AC72BFC" w14:textId="77777777" w:rsidR="00852466" w:rsidRPr="002826AC" w:rsidRDefault="00852466" w:rsidP="00852466">
      <w:pPr>
        <w:pStyle w:val="3-BodyText"/>
        <w:numPr>
          <w:ilvl w:val="1"/>
          <w:numId w:val="2"/>
        </w:numPr>
        <w:spacing w:before="120"/>
      </w:pPr>
      <w:r w:rsidRPr="002826AC">
        <w:t>The submission stated that early, aggressive treatment of childhood IMIDs may alter the natural course of a child’s disease history. Benefits cited included:</w:t>
      </w:r>
    </w:p>
    <w:p w14:paraId="55EF4C1F" w14:textId="77777777" w:rsidR="00852466" w:rsidRPr="002826AC" w:rsidRDefault="00852466" w:rsidP="00852466">
      <w:pPr>
        <w:pStyle w:val="3-BodyText"/>
        <w:numPr>
          <w:ilvl w:val="0"/>
          <w:numId w:val="97"/>
        </w:numPr>
        <w:spacing w:before="120"/>
      </w:pPr>
      <w:r w:rsidRPr="002826AC">
        <w:t>fewer disruptions in education, less impact on psychosocial development, and reduced need to make life decisions based on their medical condition.</w:t>
      </w:r>
    </w:p>
    <w:p w14:paraId="5848187A" w14:textId="77777777" w:rsidR="00852466" w:rsidRDefault="00852466" w:rsidP="00852466">
      <w:pPr>
        <w:pStyle w:val="3-BodyText"/>
        <w:numPr>
          <w:ilvl w:val="0"/>
          <w:numId w:val="97"/>
        </w:numPr>
        <w:spacing w:before="120"/>
      </w:pPr>
      <w:r w:rsidRPr="002826AC">
        <w:t>health economic benefits of improved access to treatment: fewer medical appointments, hospitalisations and surgeries; reduced permanent disability and the need for allied health services.</w:t>
      </w:r>
    </w:p>
    <w:p w14:paraId="60DFEAA4" w14:textId="77777777" w:rsidR="00852466" w:rsidRPr="002826AC" w:rsidRDefault="00852466" w:rsidP="00852466">
      <w:pPr>
        <w:pStyle w:val="3-BodyText"/>
        <w:numPr>
          <w:ilvl w:val="0"/>
          <w:numId w:val="97"/>
        </w:numPr>
        <w:spacing w:before="120"/>
      </w:pPr>
      <w:r w:rsidRPr="002826AC">
        <w:t>greater contribution to the economy by parents (and eventually the children) through increased productivity, reduced absenteeism, increased employment and reduced reliance on social welfare.</w:t>
      </w:r>
    </w:p>
    <w:p w14:paraId="09398C1E" w14:textId="77777777" w:rsidR="00852466" w:rsidRDefault="00852466" w:rsidP="00852466">
      <w:pPr>
        <w:pStyle w:val="3-BodyText"/>
        <w:numPr>
          <w:ilvl w:val="1"/>
          <w:numId w:val="2"/>
        </w:numPr>
        <w:spacing w:before="120"/>
      </w:pPr>
      <w:r w:rsidRPr="002826AC">
        <w:t>The submission cited the Inquiry into childhood rheumatic diseases: Interim report by the House of Representatives (</w:t>
      </w:r>
      <w:proofErr w:type="spellStart"/>
      <w:r w:rsidRPr="002826AC">
        <w:t>HoR</w:t>
      </w:r>
      <w:proofErr w:type="spellEnd"/>
      <w:r w:rsidRPr="002826AC">
        <w:t>) Standing Committee on Health, Aged Care and Sport, and claimed the submission seeks to partly address Recommendation 14:</w:t>
      </w:r>
    </w:p>
    <w:p w14:paraId="7FC11C02" w14:textId="77777777" w:rsidR="00852466" w:rsidRPr="002826AC" w:rsidRDefault="00852466" w:rsidP="00852466">
      <w:pPr>
        <w:pStyle w:val="3-BodyText"/>
        <w:numPr>
          <w:ilvl w:val="0"/>
          <w:numId w:val="0"/>
        </w:numPr>
        <w:ind w:left="720"/>
      </w:pPr>
      <w:r w:rsidRPr="002826AC">
        <w:t>‘The Committee recommends the Australian Government’s Department of Health in partnership with the Pharmaceutical Benefits Advisory Committee, experts, patient groups and sponsoring companies conduct an urgent review into:</w:t>
      </w:r>
    </w:p>
    <w:p w14:paraId="2E5C7303" w14:textId="77777777" w:rsidR="00852466" w:rsidRDefault="00852466" w:rsidP="00852466">
      <w:pPr>
        <w:pStyle w:val="3-BodyText"/>
        <w:numPr>
          <w:ilvl w:val="1"/>
          <w:numId w:val="93"/>
        </w:numPr>
        <w:spacing w:before="120"/>
      </w:pPr>
      <w:r w:rsidRPr="002826AC">
        <w:t>access to treatments for juvenile arthritis including access to drugs not currently available in Australia, and</w:t>
      </w:r>
    </w:p>
    <w:p w14:paraId="2BB4FE5A" w14:textId="77777777" w:rsidR="00852466" w:rsidRPr="002826AC" w:rsidRDefault="00852466" w:rsidP="00852466">
      <w:pPr>
        <w:pStyle w:val="3-BodyText"/>
        <w:numPr>
          <w:ilvl w:val="1"/>
          <w:numId w:val="93"/>
        </w:numPr>
        <w:spacing w:before="120"/>
      </w:pPr>
      <w:r w:rsidRPr="002826AC">
        <w:t>limitations on access to existing listed medications that prevent patients receiving the most effective medications.’</w:t>
      </w:r>
    </w:p>
    <w:p w14:paraId="598E8861" w14:textId="77777777" w:rsidR="00852466" w:rsidRPr="002826AC" w:rsidRDefault="00852466" w:rsidP="00852466">
      <w:pPr>
        <w:pStyle w:val="3-BodyText"/>
        <w:numPr>
          <w:ilvl w:val="1"/>
          <w:numId w:val="2"/>
        </w:numPr>
        <w:spacing w:before="120"/>
      </w:pPr>
      <w:r w:rsidRPr="002826AC">
        <w:t>The submission also stated that extending the PBS listing for adalimumab aligns with the Standing Committee on Health, Aged Care and Sport’s recommendation to repurpose older medicines in Australia, as it will provide paediatric populations with a high unmet need with a medicine that has already been approved in other jurisdictions, used for less common medical conditions, is already being used off-label, and is likely to be less commercially profitable.</w:t>
      </w:r>
    </w:p>
    <w:p w14:paraId="4C12C83B" w14:textId="77777777" w:rsidR="00852466" w:rsidRPr="002826AC" w:rsidRDefault="00852466" w:rsidP="00852466">
      <w:pPr>
        <w:pStyle w:val="4-SubsectionHeading"/>
      </w:pPr>
      <w:r w:rsidRPr="002826AC">
        <w:t>Registration status</w:t>
      </w:r>
    </w:p>
    <w:p w14:paraId="079854DB" w14:textId="77777777" w:rsidR="00852466" w:rsidRPr="002826AC" w:rsidRDefault="00852466" w:rsidP="00852466">
      <w:pPr>
        <w:pStyle w:val="3-BodyText"/>
        <w:numPr>
          <w:ilvl w:val="1"/>
          <w:numId w:val="2"/>
        </w:numPr>
        <w:spacing w:before="120"/>
      </w:pPr>
      <w:r w:rsidRPr="002826AC">
        <w:t>Humira is Therapeutic Goods Administration (TGA) registered for the following indications in children and adolescents:</w:t>
      </w:r>
    </w:p>
    <w:p w14:paraId="79FC0BBB" w14:textId="77777777" w:rsidR="00852466" w:rsidRPr="002826AC" w:rsidRDefault="00852466" w:rsidP="00852466">
      <w:pPr>
        <w:pStyle w:val="3-BodyText"/>
        <w:numPr>
          <w:ilvl w:val="1"/>
          <w:numId w:val="93"/>
        </w:numPr>
        <w:spacing w:before="120"/>
      </w:pPr>
      <w:r w:rsidRPr="002826AC">
        <w:t xml:space="preserve">Juvenile idiopathic arthritis: polyarticular juvenile idiopathic arthritis in patients </w:t>
      </w:r>
      <w:r w:rsidRPr="002826AC">
        <w:rPr>
          <w:rFonts w:cstheme="minorHAnsi"/>
        </w:rPr>
        <w:t>≥</w:t>
      </w:r>
      <w:r>
        <w:rPr>
          <w:rFonts w:cstheme="minorHAnsi"/>
        </w:rPr>
        <w:t> </w:t>
      </w:r>
      <w:r w:rsidRPr="002826AC">
        <w:t xml:space="preserve">2 years of age who have had inadequate response to </w:t>
      </w:r>
      <w:r w:rsidRPr="002826AC">
        <w:rPr>
          <w:rFonts w:cstheme="minorHAnsi"/>
        </w:rPr>
        <w:t>≥</w:t>
      </w:r>
      <w:r>
        <w:rPr>
          <w:rFonts w:cstheme="minorHAnsi"/>
        </w:rPr>
        <w:t> </w:t>
      </w:r>
      <w:r w:rsidRPr="002826AC">
        <w:t>1 disease modifying anti-rheumatic drugs (DMARDs); enthesitis-related arthritis in children who have had an inadequate response to, or are intolerant to, conventional therapy</w:t>
      </w:r>
    </w:p>
    <w:p w14:paraId="555AEB49" w14:textId="77777777" w:rsidR="00852466" w:rsidRPr="002826AC" w:rsidRDefault="00852466" w:rsidP="00852466">
      <w:pPr>
        <w:pStyle w:val="3-BodyText"/>
        <w:numPr>
          <w:ilvl w:val="1"/>
          <w:numId w:val="93"/>
        </w:numPr>
        <w:spacing w:before="120"/>
      </w:pPr>
      <w:r w:rsidRPr="002826AC">
        <w:t xml:space="preserve">Moderate to severe Crohn disease in children </w:t>
      </w:r>
      <w:r w:rsidRPr="002826AC">
        <w:rPr>
          <w:rFonts w:cstheme="minorHAnsi"/>
        </w:rPr>
        <w:t>≥</w:t>
      </w:r>
      <w:r>
        <w:rPr>
          <w:rFonts w:cstheme="minorHAnsi"/>
        </w:rPr>
        <w:t> </w:t>
      </w:r>
      <w:r w:rsidRPr="002826AC">
        <w:t>6 years (and adults) in patients who have had an inadequate response to conventional therapies, or who have lost response to or are intolerant to infliximab</w:t>
      </w:r>
    </w:p>
    <w:p w14:paraId="1C012E28" w14:textId="77777777" w:rsidR="00852466" w:rsidRPr="002826AC" w:rsidRDefault="00852466" w:rsidP="00852466">
      <w:pPr>
        <w:pStyle w:val="3-BodyText"/>
        <w:numPr>
          <w:ilvl w:val="1"/>
          <w:numId w:val="93"/>
        </w:numPr>
        <w:spacing w:before="120"/>
      </w:pPr>
      <w:r w:rsidRPr="002826AC">
        <w:t xml:space="preserve">Psoriasis: severe chronic plaque psoriasis in children </w:t>
      </w:r>
      <w:r w:rsidRPr="002826AC">
        <w:rPr>
          <w:rFonts w:cstheme="minorHAnsi"/>
        </w:rPr>
        <w:t>≥</w:t>
      </w:r>
      <w:r>
        <w:rPr>
          <w:rFonts w:cstheme="minorHAnsi"/>
        </w:rPr>
        <w:t> </w:t>
      </w:r>
      <w:r w:rsidRPr="002826AC">
        <w:t>4 years and adolescents who have had an inadequate response to or are inappropriate candidates for topical therapy or phototherapy; moderate to severe chronic plaque psoriasis in adults who are candidates for systemic therapy or phototherapy</w:t>
      </w:r>
    </w:p>
    <w:p w14:paraId="745477D0" w14:textId="77777777" w:rsidR="00852466" w:rsidRPr="002826AC" w:rsidRDefault="00852466" w:rsidP="00852466">
      <w:pPr>
        <w:pStyle w:val="3-BodyText"/>
        <w:numPr>
          <w:ilvl w:val="1"/>
          <w:numId w:val="93"/>
        </w:numPr>
        <w:spacing w:before="120"/>
      </w:pPr>
      <w:r w:rsidRPr="002826AC">
        <w:t xml:space="preserve">Active moderate to severe hidradenitis suppurativa (HS) in adults and adolescents </w:t>
      </w:r>
      <w:r w:rsidRPr="002826AC">
        <w:rPr>
          <w:rFonts w:cstheme="minorHAnsi"/>
        </w:rPr>
        <w:t>≥</w:t>
      </w:r>
      <w:r>
        <w:rPr>
          <w:rFonts w:cstheme="minorHAnsi"/>
        </w:rPr>
        <w:t> </w:t>
      </w:r>
      <w:r w:rsidRPr="002826AC">
        <w:t>12 years with an inadequate response to conventional systemic HS therapy.</w:t>
      </w:r>
    </w:p>
    <w:p w14:paraId="67856B1C" w14:textId="77777777" w:rsidR="00852466" w:rsidRPr="002826AC" w:rsidRDefault="00852466" w:rsidP="00852466">
      <w:pPr>
        <w:pStyle w:val="3-BodyText"/>
        <w:numPr>
          <w:ilvl w:val="1"/>
          <w:numId w:val="2"/>
        </w:numPr>
        <w:spacing w:before="120"/>
      </w:pPr>
      <w:r w:rsidRPr="002826AC">
        <w:t>In addition, Humira is TGA registered for the following indications in adults:</w:t>
      </w:r>
    </w:p>
    <w:p w14:paraId="046AF774" w14:textId="77777777" w:rsidR="00852466" w:rsidRPr="002826AC" w:rsidRDefault="00852466" w:rsidP="00852466">
      <w:pPr>
        <w:pStyle w:val="3-BodyText"/>
        <w:numPr>
          <w:ilvl w:val="1"/>
          <w:numId w:val="93"/>
        </w:numPr>
        <w:spacing w:before="120"/>
      </w:pPr>
      <w:r w:rsidRPr="002826AC">
        <w:t>Moderate to severely active rheumatoid arthritis</w:t>
      </w:r>
    </w:p>
    <w:p w14:paraId="16A3CE4C" w14:textId="77777777" w:rsidR="00852466" w:rsidRPr="002826AC" w:rsidRDefault="00852466" w:rsidP="00852466">
      <w:pPr>
        <w:pStyle w:val="3-BodyText"/>
        <w:numPr>
          <w:ilvl w:val="1"/>
          <w:numId w:val="93"/>
        </w:numPr>
        <w:spacing w:before="120"/>
      </w:pPr>
      <w:r w:rsidRPr="002826AC">
        <w:t>Psoriatic arthritis</w:t>
      </w:r>
    </w:p>
    <w:p w14:paraId="252DF315" w14:textId="77777777" w:rsidR="00852466" w:rsidRPr="002826AC" w:rsidRDefault="00852466" w:rsidP="00852466">
      <w:pPr>
        <w:pStyle w:val="3-BodyText"/>
        <w:numPr>
          <w:ilvl w:val="1"/>
          <w:numId w:val="93"/>
        </w:numPr>
        <w:spacing w:before="120"/>
      </w:pPr>
      <w:r w:rsidRPr="002826AC">
        <w:t>Ulcerative colitis</w:t>
      </w:r>
    </w:p>
    <w:p w14:paraId="6ED32C51" w14:textId="77777777" w:rsidR="00852466" w:rsidRPr="002826AC" w:rsidRDefault="00852466" w:rsidP="00852466">
      <w:pPr>
        <w:pStyle w:val="3-BodyText"/>
        <w:numPr>
          <w:ilvl w:val="1"/>
          <w:numId w:val="93"/>
        </w:numPr>
        <w:spacing w:before="120"/>
      </w:pPr>
      <w:r w:rsidRPr="002826AC">
        <w:t>Non-infectious intermediate, posterior and pan-uveitis.</w:t>
      </w:r>
    </w:p>
    <w:p w14:paraId="36580867" w14:textId="77777777" w:rsidR="00852466" w:rsidRPr="002826AC" w:rsidRDefault="00852466" w:rsidP="00852466">
      <w:pPr>
        <w:pStyle w:val="3-BodyText"/>
        <w:numPr>
          <w:ilvl w:val="1"/>
          <w:numId w:val="2"/>
        </w:numPr>
        <w:spacing w:before="120"/>
      </w:pPr>
      <w:r w:rsidRPr="002826AC">
        <w:t>Humira is TGA-registered for active ankylosing spondylitis with no age specified.</w:t>
      </w:r>
    </w:p>
    <w:p w14:paraId="6A471D53" w14:textId="77777777" w:rsidR="00852466" w:rsidRPr="002826AC" w:rsidRDefault="00852466" w:rsidP="00852466">
      <w:pPr>
        <w:pStyle w:val="3-BodyText"/>
        <w:numPr>
          <w:ilvl w:val="1"/>
          <w:numId w:val="2"/>
        </w:numPr>
        <w:spacing w:before="120"/>
      </w:pPr>
      <w:r w:rsidRPr="002826AC">
        <w:t>The Economics Sub Committee (ESC) noted that the requested listing will include paediatric indications that adalimumab is TGA-registered for and will also allow use in indications not currently TGA-registered.</w:t>
      </w:r>
    </w:p>
    <w:p w14:paraId="453CE50D" w14:textId="77777777" w:rsidR="00852466" w:rsidRPr="002826AC" w:rsidRDefault="00852466" w:rsidP="00852466">
      <w:pPr>
        <w:pStyle w:val="4-SubsectionHeading"/>
      </w:pPr>
      <w:r w:rsidRPr="002826AC">
        <w:t>Previous PBAC consideration</w:t>
      </w:r>
    </w:p>
    <w:p w14:paraId="4C2BECC7" w14:textId="77777777" w:rsidR="00852466" w:rsidRPr="002826AC" w:rsidRDefault="00852466" w:rsidP="00852466">
      <w:pPr>
        <w:pStyle w:val="3-BodyText"/>
        <w:numPr>
          <w:ilvl w:val="1"/>
          <w:numId w:val="2"/>
        </w:numPr>
        <w:spacing w:before="120"/>
        <w:rPr>
          <w:color w:val="0066FF"/>
        </w:rPr>
      </w:pPr>
      <w:r w:rsidRPr="002826AC">
        <w:t>Humira was first listed on the PBS on 1 May 2004 for the treatment of severely active rheumatoid arthritis in adults, following a recommendation for listing by the PBAC at its December 2003 meeting.</w:t>
      </w:r>
    </w:p>
    <w:p w14:paraId="4C276BF4" w14:textId="77777777" w:rsidR="00852466" w:rsidRPr="002826AC" w:rsidRDefault="00852466" w:rsidP="00852466">
      <w:pPr>
        <w:pStyle w:val="3-BodyText"/>
        <w:numPr>
          <w:ilvl w:val="1"/>
          <w:numId w:val="2"/>
        </w:numPr>
        <w:spacing w:before="120"/>
        <w:rPr>
          <w:color w:val="0066FF"/>
        </w:rPr>
      </w:pPr>
      <w:r w:rsidRPr="002826AC">
        <w:t>The PBAC first considered the listing of Humira for a paediatric indication at its March 2010 meeting. At this meeting, the PBAC recommended listing Humira (20 mg/0.4 mL and 40 mg/0.8 mL pre-filled syringe) for the treatment of severe active polyarticular course juvenile idiopathic arthritis (Section 12, adalimumab, PSD, March 2010 PBAC meeting).</w:t>
      </w:r>
    </w:p>
    <w:p w14:paraId="1F654B6E" w14:textId="77777777" w:rsidR="00852466" w:rsidRPr="002826AC" w:rsidRDefault="00852466" w:rsidP="00852466">
      <w:pPr>
        <w:pStyle w:val="3-BodyText"/>
        <w:numPr>
          <w:ilvl w:val="1"/>
          <w:numId w:val="2"/>
        </w:numPr>
        <w:spacing w:before="120"/>
        <w:rPr>
          <w:color w:val="0066FF"/>
        </w:rPr>
      </w:pPr>
      <w:r w:rsidRPr="002826AC">
        <w:t>At its November 2014 meeting the PBAC recommended extending the listing of Humira (20 mg/0.4 mL and 40 mg/0.8 mL) to include listing for the treatment of severe refractory Crohn disease in paediatric patients aged 6-17 years (paragraph 7.1, adalimumab, PSD, November 2014 PBAC meeting).</w:t>
      </w:r>
    </w:p>
    <w:p w14:paraId="0C0B81FF" w14:textId="77777777" w:rsidR="00852466" w:rsidRPr="002826AC" w:rsidRDefault="00852466" w:rsidP="00852466">
      <w:pPr>
        <w:pStyle w:val="3-BodyText"/>
        <w:numPr>
          <w:ilvl w:val="1"/>
          <w:numId w:val="2"/>
        </w:numPr>
        <w:spacing w:before="120"/>
        <w:rPr>
          <w:color w:val="0066FF"/>
        </w:rPr>
      </w:pPr>
      <w:r w:rsidRPr="002826AC">
        <w:t>At its March 2016 meeting the PBAC recommended listing Humira (40 mg/0.8 mL) for the treatment of moderate to severe ulcerative colitis (paragraph 7.1, adalimumab, PSD, March 2016 PBAC meeting). The March 2016 submission agreed to broaden the restriction to include paediatric patients as well as adult patients as suggested by the PBAC at its July 2015 and November 2015 considerations. However, the submission maintained its proposed restriction limiting to adult patients was consistent with the TGA registered indication (Table 1, adalimumab, PSD, March 2016 PBAC meeting).</w:t>
      </w:r>
    </w:p>
    <w:p w14:paraId="3086CE9B" w14:textId="77777777" w:rsidR="00852466" w:rsidRPr="002826AC" w:rsidRDefault="00852466" w:rsidP="00852466">
      <w:pPr>
        <w:pStyle w:val="3-BodyText"/>
        <w:numPr>
          <w:ilvl w:val="1"/>
          <w:numId w:val="2"/>
        </w:numPr>
        <w:spacing w:before="120"/>
        <w:rPr>
          <w:color w:val="0066FF"/>
        </w:rPr>
      </w:pPr>
      <w:r w:rsidRPr="002826AC">
        <w:t>At its December 2016 meeting, the PBAC recommended listing Humira (40 mg/0.8 mL) for the treatment of moderate-to-severe hidradenitis suppurativa (adalimumab, PSD, November 2016 PBAC meeting with December 2016 Addendum). The recommended listing had no restrictions on patient age.</w:t>
      </w:r>
    </w:p>
    <w:p w14:paraId="3EB0E846" w14:textId="77777777" w:rsidR="00852466" w:rsidRDefault="00852466" w:rsidP="00852466">
      <w:pPr>
        <w:pStyle w:val="3-BodyText"/>
        <w:numPr>
          <w:ilvl w:val="1"/>
          <w:numId w:val="2"/>
        </w:numPr>
        <w:spacing w:before="120"/>
      </w:pPr>
      <w:r w:rsidRPr="002826AC">
        <w:t>The sponsor made a resubmission to request a General Schedule Authority Required (Telephone/Online) listing for adalimumab for the treatment of patients with vision-threatening non-infectious uveitis, which was also considered by the PBAC at its March 2024 meeting. The submission noted there was partial overlap in patient populations between the two submissions.</w:t>
      </w:r>
    </w:p>
    <w:p w14:paraId="23CBA8B6" w14:textId="77777777" w:rsidR="00852466" w:rsidRPr="002826AC" w:rsidRDefault="00852466" w:rsidP="00852466">
      <w:pPr>
        <w:pStyle w:val="4-SubsectionHeading"/>
      </w:pPr>
      <w:r w:rsidRPr="002826AC">
        <w:t>Current PBS listings</w:t>
      </w:r>
    </w:p>
    <w:p w14:paraId="57141B71" w14:textId="77777777" w:rsidR="00852466" w:rsidRPr="002826AC" w:rsidRDefault="00852466" w:rsidP="00852466">
      <w:pPr>
        <w:pStyle w:val="3-BodyText"/>
        <w:numPr>
          <w:ilvl w:val="1"/>
          <w:numId w:val="2"/>
        </w:numPr>
        <w:spacing w:before="120"/>
      </w:pPr>
      <w:r w:rsidRPr="002826AC">
        <w:t>Humira is currently PBS-listed for the following indications for paediatric patients:</w:t>
      </w:r>
    </w:p>
    <w:p w14:paraId="396DA946" w14:textId="77777777" w:rsidR="00852466" w:rsidRPr="002826AC" w:rsidRDefault="00852466" w:rsidP="00852466">
      <w:pPr>
        <w:pStyle w:val="3-BodyText"/>
        <w:numPr>
          <w:ilvl w:val="0"/>
          <w:numId w:val="98"/>
        </w:numPr>
        <w:spacing w:before="120"/>
      </w:pPr>
      <w:r w:rsidRPr="002826AC">
        <w:t>Severe active juvenile idiopathic arthritis (Population criteria: patient must be under 18 years of age): Humira  20 mg/0.2 mL, 40 mg/0.4 mL prefilled syringe; 40 mg/0.4 mL pre-filled pen (Authority Required (Telephone/Online) for initial/first continuing treatment; Authority Required (STREAMLINED) for continuing treatment).</w:t>
      </w:r>
    </w:p>
    <w:p w14:paraId="3F03B97F" w14:textId="77777777" w:rsidR="00852466" w:rsidRPr="002826AC" w:rsidRDefault="00852466" w:rsidP="00852466">
      <w:pPr>
        <w:pStyle w:val="3-BodyText"/>
        <w:numPr>
          <w:ilvl w:val="0"/>
          <w:numId w:val="98"/>
        </w:numPr>
        <w:spacing w:before="120"/>
      </w:pPr>
      <w:r w:rsidRPr="002826AC">
        <w:t>Severe Crohn disease (Population criteria: patient must be aged 6-17 years inclusive): Humira  20 mg/0.2 mL, 40 mg/0.4 mL, 80 mg/0.8 mL pre-filled syringe; 40 mg/0.4 mL, 80 mg/0.8 mL pre-filled pen (Authority Required (written)). The 80 mg/0.8 mL dose forms are not subsidised for continuing treatment.</w:t>
      </w:r>
    </w:p>
    <w:p w14:paraId="0CF01987" w14:textId="77777777" w:rsidR="00852466" w:rsidRPr="002826AC" w:rsidRDefault="00852466" w:rsidP="00852466">
      <w:pPr>
        <w:pStyle w:val="3-BodyText"/>
        <w:numPr>
          <w:ilvl w:val="0"/>
          <w:numId w:val="98"/>
        </w:numPr>
        <w:spacing w:before="120"/>
      </w:pPr>
      <w:r w:rsidRPr="002826AC">
        <w:t>Moderate to severe ulcerative colitis (Population criteria: patient must be 6 years of age or older): Humira  20 mg/0.2 mL, 40 mg/0.4 mL, 80 mg/0.8 mL pre-filled syringe; 40 mg/0.4 mL, 80 mg/0.8 mL pre-filled pen (Authority Required (written)) for initial treatment, Authority Required (Telephone/Online) for  continuing treatment where relevant (the 80 mg/0.8 mL dose forms are not subsidised for continuing treatment)).</w:t>
      </w:r>
    </w:p>
    <w:p w14:paraId="72100218" w14:textId="77777777" w:rsidR="00852466" w:rsidRDefault="00852466" w:rsidP="00852466">
      <w:pPr>
        <w:pStyle w:val="3-BodyText"/>
        <w:numPr>
          <w:ilvl w:val="1"/>
          <w:numId w:val="2"/>
        </w:numPr>
        <w:spacing w:before="120"/>
      </w:pPr>
      <w:r w:rsidRPr="002826AC">
        <w:t>In addition, Humira is currently PBS-listed for the following conditions with no age criteria specified:</w:t>
      </w:r>
    </w:p>
    <w:p w14:paraId="6B2D3971" w14:textId="77777777" w:rsidR="00852466" w:rsidRPr="002826AC" w:rsidRDefault="00852466" w:rsidP="00852466">
      <w:pPr>
        <w:pStyle w:val="3-BodyText"/>
        <w:numPr>
          <w:ilvl w:val="0"/>
          <w:numId w:val="99"/>
        </w:numPr>
        <w:spacing w:before="120"/>
        <w:rPr>
          <w:color w:val="0066FF"/>
        </w:rPr>
      </w:pPr>
      <w:r w:rsidRPr="002826AC">
        <w:t>Complex refractory Fistulising Crohn disease: Humira 40 mg/0.4 mL and 80 mg/0.8 mL pre-filled syringe and pre-filled pen (Authority Required (written)). The 80 mg/0.8 mL dose forms are not subsidised for continuing treatment.</w:t>
      </w:r>
    </w:p>
    <w:p w14:paraId="4101A574" w14:textId="77777777" w:rsidR="00852466" w:rsidRPr="002826AC" w:rsidRDefault="00852466" w:rsidP="00852466">
      <w:pPr>
        <w:pStyle w:val="3-BodyText"/>
        <w:numPr>
          <w:ilvl w:val="0"/>
          <w:numId w:val="99"/>
        </w:numPr>
        <w:spacing w:before="120"/>
        <w:rPr>
          <w:color w:val="0066FF"/>
        </w:rPr>
      </w:pPr>
      <w:r w:rsidRPr="002826AC">
        <w:t>Hidradenitis suppurativa: Humira 80 mg/0.8 mL pre-filled syringe; 40 mg/0.4 mL, 80 mg/0.8 mL pre-filled pen (Authority Required (written) for initial treatment, Authority Required (Telephone/Online) for continuing treatment).</w:t>
      </w:r>
    </w:p>
    <w:p w14:paraId="7735214A" w14:textId="77777777" w:rsidR="00852466" w:rsidRPr="002826AC" w:rsidRDefault="00852466" w:rsidP="00852466">
      <w:pPr>
        <w:ind w:firstLine="709"/>
        <w:rPr>
          <w:rFonts w:asciiTheme="minorHAnsi" w:hAnsiTheme="minorHAnsi"/>
          <w:i/>
        </w:rPr>
      </w:pPr>
      <w:r w:rsidRPr="002826AC">
        <w:rPr>
          <w:rFonts w:asciiTheme="minorHAnsi" w:hAnsiTheme="minorHAnsi"/>
          <w:i/>
        </w:rPr>
        <w:t>For more detail on PBAC’s view, see section 7 PBAC outcome.</w:t>
      </w:r>
    </w:p>
    <w:p w14:paraId="4C4AFF08" w14:textId="77777777" w:rsidR="00852466" w:rsidRPr="002826AC" w:rsidRDefault="00852466" w:rsidP="00852466">
      <w:pPr>
        <w:pStyle w:val="2-SectionHeading"/>
        <w:numPr>
          <w:ilvl w:val="0"/>
          <w:numId w:val="2"/>
        </w:numPr>
      </w:pPr>
      <w:r w:rsidRPr="002826AC">
        <w:t>Requested listing</w:t>
      </w:r>
    </w:p>
    <w:p w14:paraId="7426A627" w14:textId="77777777" w:rsidR="00852466" w:rsidRPr="002826AC" w:rsidRDefault="00852466" w:rsidP="00852466">
      <w:pPr>
        <w:pStyle w:val="3-BodyText"/>
        <w:numPr>
          <w:ilvl w:val="1"/>
          <w:numId w:val="2"/>
        </w:numPr>
        <w:spacing w:before="120"/>
      </w:pPr>
      <w:r w:rsidRPr="002826AC">
        <w:t xml:space="preserve">Suggested additions proposed by the Secretariat are in </w:t>
      </w:r>
      <w:r w:rsidRPr="002826AC">
        <w:rPr>
          <w:iCs/>
        </w:rPr>
        <w:t>italics</w:t>
      </w:r>
      <w:r w:rsidRPr="002826AC">
        <w:t xml:space="preserve"> and deletions are crossed out with strikethrough.</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939"/>
        <w:gridCol w:w="811"/>
        <w:gridCol w:w="812"/>
        <w:gridCol w:w="811"/>
        <w:gridCol w:w="812"/>
        <w:gridCol w:w="1831"/>
        <w:gridCol w:w="7"/>
      </w:tblGrid>
      <w:tr w:rsidR="00852466" w:rsidRPr="002826AC" w14:paraId="6FAD612B" w14:textId="77777777">
        <w:trPr>
          <w:gridAfter w:val="1"/>
          <w:wAfter w:w="7" w:type="dxa"/>
          <w:cantSplit/>
          <w:trHeight w:val="20"/>
        </w:trPr>
        <w:tc>
          <w:tcPr>
            <w:tcW w:w="3940" w:type="dxa"/>
            <w:vAlign w:val="center"/>
          </w:tcPr>
          <w:p w14:paraId="09C1149E" w14:textId="77777777" w:rsidR="00852466" w:rsidRPr="002826AC" w:rsidRDefault="00852466">
            <w:pPr>
              <w:keepLines/>
              <w:rPr>
                <w:rFonts w:ascii="Arial Narrow" w:hAnsi="Arial Narrow"/>
                <w:b/>
                <w:bCs/>
                <w:sz w:val="20"/>
                <w:szCs w:val="20"/>
              </w:rPr>
            </w:pPr>
            <w:r w:rsidRPr="002826AC">
              <w:rPr>
                <w:rFonts w:ascii="Arial Narrow" w:hAnsi="Arial Narrow"/>
                <w:b/>
                <w:bCs/>
                <w:sz w:val="20"/>
                <w:szCs w:val="20"/>
              </w:rPr>
              <w:t>MEDICINAL PRODUCT</w:t>
            </w:r>
          </w:p>
          <w:p w14:paraId="4F409AFC" w14:textId="77777777" w:rsidR="00852466" w:rsidRPr="002826AC" w:rsidRDefault="00852466">
            <w:pPr>
              <w:keepLines/>
              <w:rPr>
                <w:rFonts w:ascii="Arial Narrow" w:hAnsi="Arial Narrow"/>
                <w:b/>
                <w:sz w:val="20"/>
                <w:szCs w:val="20"/>
              </w:rPr>
            </w:pPr>
            <w:r w:rsidRPr="002826AC">
              <w:rPr>
                <w:rFonts w:ascii="Arial Narrow" w:hAnsi="Arial Narrow"/>
                <w:b/>
                <w:bCs/>
                <w:sz w:val="20"/>
                <w:szCs w:val="20"/>
              </w:rPr>
              <w:t>medicinal product pack</w:t>
            </w:r>
          </w:p>
        </w:tc>
        <w:tc>
          <w:tcPr>
            <w:tcW w:w="811" w:type="dxa"/>
            <w:vAlign w:val="center"/>
          </w:tcPr>
          <w:p w14:paraId="7C86881D"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PBS item code</w:t>
            </w:r>
          </w:p>
        </w:tc>
        <w:tc>
          <w:tcPr>
            <w:tcW w:w="812" w:type="dxa"/>
            <w:vAlign w:val="center"/>
          </w:tcPr>
          <w:p w14:paraId="5020C72E"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Max. qty packs</w:t>
            </w:r>
          </w:p>
        </w:tc>
        <w:tc>
          <w:tcPr>
            <w:tcW w:w="811" w:type="dxa"/>
            <w:vAlign w:val="center"/>
          </w:tcPr>
          <w:p w14:paraId="1486194A"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Max. qty units</w:t>
            </w:r>
          </w:p>
        </w:tc>
        <w:tc>
          <w:tcPr>
            <w:tcW w:w="812" w:type="dxa"/>
            <w:vAlign w:val="center"/>
          </w:tcPr>
          <w:p w14:paraId="7784DCBC"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№.of</w:t>
            </w:r>
          </w:p>
          <w:p w14:paraId="3F15029F"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Rpts</w:t>
            </w:r>
          </w:p>
        </w:tc>
        <w:tc>
          <w:tcPr>
            <w:tcW w:w="1831" w:type="dxa"/>
            <w:vAlign w:val="center"/>
          </w:tcPr>
          <w:p w14:paraId="24125E03" w14:textId="77777777" w:rsidR="00852466" w:rsidRPr="00BC7FF0" w:rsidRDefault="00852466">
            <w:pPr>
              <w:keepLines/>
              <w:rPr>
                <w:rFonts w:ascii="Arial Narrow" w:hAnsi="Arial Narrow"/>
                <w:b/>
                <w:sz w:val="20"/>
                <w:szCs w:val="20"/>
              </w:rPr>
            </w:pPr>
            <w:r w:rsidRPr="002826AC">
              <w:rPr>
                <w:rFonts w:ascii="Arial Narrow" w:hAnsi="Arial Narrow"/>
                <w:b/>
                <w:sz w:val="20"/>
                <w:szCs w:val="20"/>
              </w:rPr>
              <w:t>Available brands</w:t>
            </w:r>
          </w:p>
        </w:tc>
      </w:tr>
      <w:tr w:rsidR="00852466" w:rsidRPr="002826AC" w14:paraId="613F77BA" w14:textId="77777777">
        <w:trPr>
          <w:gridAfter w:val="1"/>
          <w:wAfter w:w="7" w:type="dxa"/>
          <w:cantSplit/>
          <w:trHeight w:val="20"/>
        </w:trPr>
        <w:tc>
          <w:tcPr>
            <w:tcW w:w="9017" w:type="dxa"/>
            <w:gridSpan w:val="6"/>
            <w:vAlign w:val="center"/>
          </w:tcPr>
          <w:p w14:paraId="6975A4C8"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w:t>
            </w:r>
          </w:p>
        </w:tc>
      </w:tr>
      <w:tr w:rsidR="00852466" w:rsidRPr="002826AC" w14:paraId="6B5A2323" w14:textId="77777777">
        <w:trPr>
          <w:gridAfter w:val="1"/>
          <w:wAfter w:w="7" w:type="dxa"/>
          <w:cantSplit/>
          <w:trHeight w:val="20"/>
        </w:trPr>
        <w:tc>
          <w:tcPr>
            <w:tcW w:w="3940" w:type="dxa"/>
            <w:vAlign w:val="center"/>
          </w:tcPr>
          <w:p w14:paraId="5AE10A10"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20 mg/0.2 mL injection, 2 x 0.2 mL syringes</w:t>
            </w:r>
          </w:p>
        </w:tc>
        <w:tc>
          <w:tcPr>
            <w:tcW w:w="811" w:type="dxa"/>
            <w:vAlign w:val="center"/>
          </w:tcPr>
          <w:p w14:paraId="064BEC72"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29BA82B8"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7335943F"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6985390F"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5</w:t>
            </w:r>
          </w:p>
        </w:tc>
        <w:tc>
          <w:tcPr>
            <w:tcW w:w="1831" w:type="dxa"/>
            <w:vAlign w:val="center"/>
          </w:tcPr>
          <w:p w14:paraId="36EADE2D"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3F745861" w14:textId="77777777">
        <w:trPr>
          <w:gridAfter w:val="1"/>
          <w:wAfter w:w="7" w:type="dxa"/>
          <w:cantSplit/>
          <w:trHeight w:val="20"/>
        </w:trPr>
        <w:tc>
          <w:tcPr>
            <w:tcW w:w="3940" w:type="dxa"/>
            <w:vAlign w:val="center"/>
          </w:tcPr>
          <w:p w14:paraId="7C02D7CB"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40 mg/0.4 mL injection, 2 x 0.4 mL syringes</w:t>
            </w:r>
          </w:p>
        </w:tc>
        <w:tc>
          <w:tcPr>
            <w:tcW w:w="811" w:type="dxa"/>
            <w:vAlign w:val="center"/>
          </w:tcPr>
          <w:p w14:paraId="141D7E1C"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4A7BB949"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077FF971"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5391284F"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1831" w:type="dxa"/>
            <w:vAlign w:val="center"/>
          </w:tcPr>
          <w:p w14:paraId="02C44AC0"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1935AEF9" w14:textId="77777777">
        <w:trPr>
          <w:gridAfter w:val="1"/>
          <w:wAfter w:w="7" w:type="dxa"/>
          <w:cantSplit/>
          <w:trHeight w:val="20"/>
        </w:trPr>
        <w:tc>
          <w:tcPr>
            <w:tcW w:w="3940" w:type="dxa"/>
            <w:vAlign w:val="center"/>
          </w:tcPr>
          <w:p w14:paraId="6D6F56A8"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40 mg/0.4 mL injection, 2 x 0.4 mL pen devices</w:t>
            </w:r>
          </w:p>
        </w:tc>
        <w:tc>
          <w:tcPr>
            <w:tcW w:w="811" w:type="dxa"/>
            <w:vAlign w:val="center"/>
          </w:tcPr>
          <w:p w14:paraId="635C5E92"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9A4E479"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75DDE333"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5C621549"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1831" w:type="dxa"/>
            <w:vAlign w:val="center"/>
          </w:tcPr>
          <w:p w14:paraId="39D771CE"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374C1BE6" w14:textId="77777777">
        <w:trPr>
          <w:gridAfter w:val="1"/>
          <w:wAfter w:w="7" w:type="dxa"/>
          <w:cantSplit/>
          <w:trHeight w:val="20"/>
        </w:trPr>
        <w:tc>
          <w:tcPr>
            <w:tcW w:w="3940" w:type="dxa"/>
            <w:vAlign w:val="center"/>
          </w:tcPr>
          <w:p w14:paraId="3B8656B5"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80 mg/0.8 mL injection, 0.8 mL pen device</w:t>
            </w:r>
          </w:p>
        </w:tc>
        <w:tc>
          <w:tcPr>
            <w:tcW w:w="811" w:type="dxa"/>
            <w:vAlign w:val="center"/>
          </w:tcPr>
          <w:p w14:paraId="2BB925D6"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78ED528A"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3</w:t>
            </w:r>
          </w:p>
        </w:tc>
        <w:tc>
          <w:tcPr>
            <w:tcW w:w="811" w:type="dxa"/>
            <w:vAlign w:val="center"/>
          </w:tcPr>
          <w:p w14:paraId="43846321"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3</w:t>
            </w:r>
          </w:p>
        </w:tc>
        <w:tc>
          <w:tcPr>
            <w:tcW w:w="812" w:type="dxa"/>
            <w:vAlign w:val="center"/>
          </w:tcPr>
          <w:p w14:paraId="48DBD183"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0</w:t>
            </w:r>
          </w:p>
        </w:tc>
        <w:tc>
          <w:tcPr>
            <w:tcW w:w="1831" w:type="dxa"/>
            <w:vAlign w:val="center"/>
          </w:tcPr>
          <w:p w14:paraId="34017757"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6A1FBABD" w14:textId="77777777">
        <w:trPr>
          <w:gridAfter w:val="1"/>
          <w:wAfter w:w="7" w:type="dxa"/>
          <w:cantSplit/>
          <w:trHeight w:val="20"/>
        </w:trPr>
        <w:tc>
          <w:tcPr>
            <w:tcW w:w="3940" w:type="dxa"/>
            <w:vAlign w:val="center"/>
          </w:tcPr>
          <w:p w14:paraId="7DD7117B"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80 mg/0.8 mL injection, 0.8 mL syringe</w:t>
            </w:r>
          </w:p>
        </w:tc>
        <w:tc>
          <w:tcPr>
            <w:tcW w:w="811" w:type="dxa"/>
            <w:vAlign w:val="center"/>
          </w:tcPr>
          <w:p w14:paraId="3EC68E19"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2463D01"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3</w:t>
            </w:r>
          </w:p>
        </w:tc>
        <w:tc>
          <w:tcPr>
            <w:tcW w:w="811" w:type="dxa"/>
            <w:vAlign w:val="center"/>
          </w:tcPr>
          <w:p w14:paraId="3B9F4D18"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3</w:t>
            </w:r>
          </w:p>
        </w:tc>
        <w:tc>
          <w:tcPr>
            <w:tcW w:w="812" w:type="dxa"/>
            <w:vAlign w:val="center"/>
          </w:tcPr>
          <w:p w14:paraId="695D639D"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0</w:t>
            </w:r>
          </w:p>
        </w:tc>
        <w:tc>
          <w:tcPr>
            <w:tcW w:w="1831" w:type="dxa"/>
            <w:vAlign w:val="center"/>
          </w:tcPr>
          <w:p w14:paraId="3EC36C54"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1EA67A55" w14:textId="77777777">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E4BD7E6" w14:textId="77777777" w:rsidR="00852466" w:rsidRPr="002826AC" w:rsidRDefault="00852466">
            <w:pPr>
              <w:rPr>
                <w:rFonts w:ascii="Arial Narrow" w:hAnsi="Arial Narrow"/>
                <w:sz w:val="20"/>
                <w:szCs w:val="20"/>
              </w:rPr>
            </w:pPr>
          </w:p>
        </w:tc>
      </w:tr>
      <w:tr w:rsidR="00852466" w:rsidRPr="002826AC" w14:paraId="3C0A28D7"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3AFD84E" w14:textId="77777777" w:rsidR="00852466" w:rsidRPr="002826AC" w:rsidRDefault="00852466">
            <w:pPr>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r w:rsidRPr="002826AC">
              <w:rPr>
                <w:rFonts w:ascii="Arial Narrow" w:hAnsi="Arial Narrow"/>
                <w:color w:val="FF0000"/>
                <w:sz w:val="20"/>
                <w:szCs w:val="20"/>
              </w:rPr>
              <w:t xml:space="preserve"> </w:t>
            </w:r>
          </w:p>
        </w:tc>
      </w:tr>
      <w:tr w:rsidR="00852466" w:rsidRPr="002826AC" w14:paraId="23CECAA9"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CCD875C" w14:textId="77777777" w:rsidR="00852466" w:rsidRPr="002826AC" w:rsidRDefault="00852466">
            <w:pPr>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852466" w:rsidRPr="002826AC" w14:paraId="1F045AC9"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F418125" w14:textId="77777777" w:rsidR="00852466" w:rsidRPr="002826AC" w:rsidRDefault="00852466">
            <w:pPr>
              <w:keepLines/>
              <w:rPr>
                <w:rFonts w:ascii="Arial Narrow" w:eastAsia="Calibri" w:hAnsi="Arial Narrow"/>
                <w:color w:val="FF0000"/>
                <w:sz w:val="20"/>
                <w:szCs w:val="20"/>
              </w:rPr>
            </w:pPr>
            <w:r w:rsidRPr="002826AC">
              <w:rPr>
                <w:rFonts w:ascii="Arial Narrow" w:hAnsi="Arial Narrow"/>
                <w:b/>
                <w:sz w:val="20"/>
                <w:szCs w:val="20"/>
              </w:rPr>
              <w:t>Restriction type:</w:t>
            </w:r>
            <w:r w:rsidRPr="002826AC">
              <w:rPr>
                <w:rFonts w:ascii="Arial Narrow" w:eastAsia="Calibri" w:hAnsi="Arial Narrow"/>
                <w:sz w:val="20"/>
                <w:szCs w:val="20"/>
              </w:rPr>
              <w:t xml:space="preserv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852466" w:rsidRPr="002826AC" w14:paraId="0CC501A8"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51B8B8B" w14:textId="77777777" w:rsidR="00852466" w:rsidRPr="002826AC" w:rsidRDefault="00852466">
            <w:pPr>
              <w:keepLines/>
              <w:rPr>
                <w:rFonts w:ascii="Arial Narrow" w:hAnsi="Arial Narrow"/>
                <w:b/>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quantity or number of units may be authorised.</w:t>
            </w:r>
          </w:p>
        </w:tc>
      </w:tr>
      <w:tr w:rsidR="00852466" w:rsidRPr="002826AC" w14:paraId="4DEC7D24"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CDD394F" w14:textId="77777777" w:rsidR="00852466" w:rsidRPr="002826AC" w:rsidRDefault="00852466">
            <w:pPr>
              <w:keepLines/>
              <w:rPr>
                <w:rFonts w:ascii="Arial Narrow" w:hAnsi="Arial Narrow"/>
                <w:b/>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number of repeats may be authorised.</w:t>
            </w:r>
          </w:p>
        </w:tc>
      </w:tr>
      <w:tr w:rsidR="00852466" w:rsidRPr="002826AC" w14:paraId="30073387"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489A839" w14:textId="77777777" w:rsidR="00852466" w:rsidRPr="00BC7FF0" w:rsidRDefault="00852466">
            <w:pPr>
              <w:keepLines/>
              <w:rPr>
                <w:rFonts w:ascii="Arial Narrow" w:hAnsi="Arial Narrow"/>
                <w:bCs/>
                <w:strike/>
                <w:color w:val="333333"/>
                <w:sz w:val="20"/>
                <w:szCs w:val="20"/>
              </w:rPr>
            </w:pPr>
            <w:r w:rsidRPr="00BC7FF0">
              <w:rPr>
                <w:rFonts w:ascii="Arial Narrow" w:hAnsi="Arial Narrow"/>
                <w:b/>
                <w:bCs/>
                <w:strike/>
                <w:color w:val="333333"/>
                <w:sz w:val="20"/>
                <w:szCs w:val="20"/>
              </w:rPr>
              <w:t xml:space="preserve">Episodicity: </w:t>
            </w:r>
            <w:r w:rsidRPr="00BC7FF0">
              <w:rPr>
                <w:rFonts w:ascii="Arial Narrow" w:hAnsi="Arial Narrow"/>
                <w:bCs/>
                <w:strike/>
                <w:sz w:val="20"/>
                <w:szCs w:val="20"/>
              </w:rPr>
              <w:t xml:space="preserve">[blank] </w:t>
            </w:r>
          </w:p>
        </w:tc>
      </w:tr>
      <w:tr w:rsidR="00852466" w:rsidRPr="002826AC" w14:paraId="6FEF5C0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F508AF3" w14:textId="77777777" w:rsidR="00852466" w:rsidRPr="002826AC" w:rsidRDefault="00852466">
            <w:pPr>
              <w:keepLines/>
              <w:rPr>
                <w:rFonts w:ascii="Arial Narrow" w:hAnsi="Arial Narrow"/>
                <w:b/>
                <w:bCs/>
                <w:color w:val="333333"/>
                <w:sz w:val="20"/>
                <w:szCs w:val="20"/>
              </w:rPr>
            </w:pPr>
            <w:r w:rsidRPr="002826AC">
              <w:rPr>
                <w:rFonts w:ascii="Arial Narrow" w:hAnsi="Arial Narrow"/>
                <w:b/>
                <w:bCs/>
                <w:color w:val="333333"/>
                <w:sz w:val="20"/>
                <w:szCs w:val="20"/>
              </w:rPr>
              <w:t xml:space="preserve">Severity: </w:t>
            </w:r>
            <w:r w:rsidRPr="002826AC">
              <w:rPr>
                <w:rFonts w:ascii="Arial Narrow" w:hAnsi="Arial Narrow"/>
                <w:bCs/>
                <w:sz w:val="20"/>
                <w:szCs w:val="20"/>
              </w:rPr>
              <w:t>Disease severity considered sufficient to cause substantial detriment to patient's immediate or future health or quality of life</w:t>
            </w:r>
          </w:p>
        </w:tc>
      </w:tr>
      <w:tr w:rsidR="00852466" w:rsidRPr="002826AC" w14:paraId="16700944"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CA95007" w14:textId="77777777" w:rsidR="00852466" w:rsidRPr="002826AC" w:rsidRDefault="00852466">
            <w:pPr>
              <w:keepLines/>
              <w:rPr>
                <w:rFonts w:ascii="Arial Narrow" w:hAnsi="Arial Narrow"/>
                <w:b/>
                <w:bCs/>
                <w:color w:val="333333"/>
                <w:sz w:val="20"/>
                <w:szCs w:val="20"/>
              </w:rPr>
            </w:pPr>
            <w:r w:rsidRPr="002826AC">
              <w:rPr>
                <w:rFonts w:ascii="Arial Narrow" w:hAnsi="Arial Narrow"/>
                <w:b/>
                <w:bCs/>
                <w:color w:val="333333"/>
                <w:sz w:val="20"/>
                <w:szCs w:val="20"/>
              </w:rPr>
              <w:t>Condition:</w:t>
            </w:r>
            <w:r w:rsidRPr="002826AC">
              <w:rPr>
                <w:rFonts w:ascii="Arial Narrow" w:hAnsi="Arial Narrow" w:cstheme="minorHAnsi"/>
                <w:sz w:val="20"/>
                <w:szCs w:val="20"/>
                <w:lang w:bidi="he-IL"/>
              </w:rPr>
              <w:t xml:space="preserve"> Immune-mediated inflammatory diseases</w:t>
            </w:r>
          </w:p>
        </w:tc>
      </w:tr>
      <w:tr w:rsidR="00852466" w:rsidRPr="002826AC" w14:paraId="67119644" w14:textId="77777777">
        <w:tblPrEx>
          <w:tblCellMar>
            <w:top w:w="15" w:type="dxa"/>
            <w:bottom w:w="15" w:type="dxa"/>
          </w:tblCellMar>
        </w:tblPrEx>
        <w:trPr>
          <w:cantSplit/>
          <w:trHeight w:val="20"/>
        </w:trPr>
        <w:tc>
          <w:tcPr>
            <w:tcW w:w="9024" w:type="dxa"/>
            <w:gridSpan w:val="7"/>
            <w:vAlign w:val="center"/>
            <w:hideMark/>
          </w:tcPr>
          <w:p w14:paraId="63203EAE" w14:textId="77777777" w:rsidR="00852466" w:rsidRPr="002826AC" w:rsidRDefault="00852466">
            <w:pPr>
              <w:keepLines/>
              <w:rPr>
                <w:rFonts w:ascii="Arial Narrow" w:hAnsi="Arial Narrow"/>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852466" w:rsidRPr="002826AC" w14:paraId="3171E3B2" w14:textId="77777777">
        <w:tblPrEx>
          <w:tblCellMar>
            <w:top w:w="15" w:type="dxa"/>
            <w:bottom w:w="15" w:type="dxa"/>
          </w:tblCellMar>
        </w:tblPrEx>
        <w:trPr>
          <w:cantSplit/>
          <w:trHeight w:val="20"/>
        </w:trPr>
        <w:tc>
          <w:tcPr>
            <w:tcW w:w="9024" w:type="dxa"/>
            <w:gridSpan w:val="7"/>
            <w:vAlign w:val="center"/>
            <w:hideMark/>
          </w:tcPr>
          <w:p w14:paraId="28BE8E9D"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Initial treatment</w:t>
            </w:r>
          </w:p>
        </w:tc>
      </w:tr>
      <w:tr w:rsidR="00852466" w:rsidRPr="002826AC" w14:paraId="1648DEBE" w14:textId="77777777">
        <w:tblPrEx>
          <w:tblCellMar>
            <w:top w:w="15" w:type="dxa"/>
            <w:bottom w:w="15" w:type="dxa"/>
          </w:tblCellMar>
        </w:tblPrEx>
        <w:trPr>
          <w:cantSplit/>
          <w:trHeight w:val="20"/>
        </w:trPr>
        <w:tc>
          <w:tcPr>
            <w:tcW w:w="9024" w:type="dxa"/>
            <w:gridSpan w:val="7"/>
            <w:vAlign w:val="center"/>
            <w:hideMark/>
          </w:tcPr>
          <w:p w14:paraId="7938E227"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Clinical criteria:</w:t>
            </w:r>
          </w:p>
        </w:tc>
      </w:tr>
      <w:tr w:rsidR="00852466" w:rsidRPr="002826AC" w14:paraId="03DE7CFC" w14:textId="77777777">
        <w:tblPrEx>
          <w:tblCellMar>
            <w:top w:w="15" w:type="dxa"/>
            <w:bottom w:w="15" w:type="dxa"/>
          </w:tblCellMar>
        </w:tblPrEx>
        <w:trPr>
          <w:cantSplit/>
          <w:trHeight w:val="20"/>
        </w:trPr>
        <w:tc>
          <w:tcPr>
            <w:tcW w:w="9024" w:type="dxa"/>
            <w:gridSpan w:val="7"/>
            <w:vAlign w:val="center"/>
            <w:hideMark/>
          </w:tcPr>
          <w:p w14:paraId="0495DA25" w14:textId="77777777" w:rsidR="00852466" w:rsidRPr="002826AC" w:rsidRDefault="00852466">
            <w:pPr>
              <w:rPr>
                <w:rFonts w:ascii="Arial Narrow" w:hAnsi="Arial Narrow"/>
                <w:color w:val="333333"/>
                <w:sz w:val="20"/>
                <w:szCs w:val="20"/>
              </w:rPr>
            </w:pPr>
            <w:r w:rsidRPr="002826AC">
              <w:rPr>
                <w:rFonts w:ascii="Arial Narrow" w:hAnsi="Arial Narrow"/>
                <w:i/>
                <w:iCs/>
                <w:sz w:val="20"/>
                <w:szCs w:val="20"/>
              </w:rPr>
              <w:t xml:space="preserve">Patient must have a </w:t>
            </w:r>
            <w:proofErr w:type="spellStart"/>
            <w:r w:rsidRPr="002826AC">
              <w:rPr>
                <w:rFonts w:ascii="Arial Narrow" w:hAnsi="Arial Narrow"/>
                <w:i/>
                <w:iCs/>
                <w:sz w:val="20"/>
                <w:szCs w:val="20"/>
              </w:rPr>
              <w:t>c</w:t>
            </w:r>
            <w:r w:rsidRPr="002826AC">
              <w:rPr>
                <w:rFonts w:ascii="Arial Narrow" w:hAnsi="Arial Narrow"/>
                <w:strike/>
                <w:sz w:val="20"/>
                <w:szCs w:val="20"/>
              </w:rPr>
              <w:t>C</w:t>
            </w:r>
            <w:r w:rsidRPr="002826AC">
              <w:rPr>
                <w:rFonts w:ascii="Arial Narrow" w:hAnsi="Arial Narrow"/>
                <w:sz w:val="20"/>
                <w:szCs w:val="20"/>
              </w:rPr>
              <w:t>onfirmed</w:t>
            </w:r>
            <w:proofErr w:type="spellEnd"/>
            <w:r w:rsidRPr="002826AC">
              <w:rPr>
                <w:rFonts w:ascii="Arial Narrow" w:hAnsi="Arial Narrow"/>
                <w:sz w:val="20"/>
                <w:szCs w:val="20"/>
              </w:rPr>
              <w:t xml:space="preserve"> diagnosis of an immune-mediated inflammatory disease which, in the opinion of the treating specialist, would derive clinical benefit from treatment with adalimumab;</w:t>
            </w:r>
          </w:p>
        </w:tc>
      </w:tr>
      <w:tr w:rsidR="00852466" w:rsidRPr="002826AC" w14:paraId="49764CC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96D843A"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0E647DF7"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A6C78D6"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1E6ED81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0412680" w14:textId="77777777" w:rsidR="00852466" w:rsidRPr="002826AC" w:rsidRDefault="00852466">
            <w:pPr>
              <w:rPr>
                <w:rFonts w:ascii="Arial Narrow" w:hAnsi="Arial Narrow"/>
                <w:sz w:val="20"/>
                <w:szCs w:val="20"/>
              </w:rPr>
            </w:pPr>
            <w:r w:rsidRPr="002826AC">
              <w:rPr>
                <w:rFonts w:ascii="Arial Narrow" w:hAnsi="Arial Narrow"/>
                <w:sz w:val="20"/>
                <w:szCs w:val="20"/>
              </w:rPr>
              <w:t xml:space="preserve">Patient </w:t>
            </w:r>
            <w:proofErr w:type="gramStart"/>
            <w:r w:rsidRPr="002826AC">
              <w:rPr>
                <w:rFonts w:ascii="Arial Narrow" w:hAnsi="Arial Narrow"/>
                <w:sz w:val="20"/>
                <w:szCs w:val="20"/>
              </w:rPr>
              <w:t>must have,</w:t>
            </w:r>
            <w:proofErr w:type="gramEnd"/>
            <w:r w:rsidRPr="002826AC">
              <w:rPr>
                <w:rFonts w:ascii="Arial Narrow" w:hAnsi="Arial Narrow"/>
                <w:sz w:val="20"/>
                <w:szCs w:val="20"/>
              </w:rPr>
              <w:t xml:space="preserve"> at the time of application, disease severity considered sufficient to cause substantial detriment to patient’s immediate or future health or quality of life, according to at least 2 measures of disease severity or quality of life impact (at least 1 must be an objective measure) appropriate to the patient’s condition and age;</w:t>
            </w:r>
          </w:p>
        </w:tc>
      </w:tr>
      <w:tr w:rsidR="00852466" w:rsidRPr="002826AC" w14:paraId="155595A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D63B64E"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47E1A63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F5B97F7"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70DCEA4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6B24A66" w14:textId="77777777" w:rsidR="00852466" w:rsidRPr="002826AC" w:rsidRDefault="00852466">
            <w:pPr>
              <w:rPr>
                <w:rFonts w:ascii="Arial Narrow" w:hAnsi="Arial Narrow"/>
                <w:color w:val="333333"/>
                <w:sz w:val="20"/>
                <w:szCs w:val="20"/>
              </w:rPr>
            </w:pPr>
            <w:r w:rsidRPr="002826AC">
              <w:rPr>
                <w:rFonts w:ascii="Arial Narrow" w:hAnsi="Arial Narrow"/>
                <w:color w:val="333333"/>
                <w:sz w:val="20"/>
                <w:szCs w:val="20"/>
              </w:rPr>
              <w:t>Patient must not have experienced an inadequate response to this therapy;</w:t>
            </w:r>
          </w:p>
        </w:tc>
      </w:tr>
      <w:tr w:rsidR="00852466" w:rsidRPr="002826AC" w14:paraId="54309E9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61524C6"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7619328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83FE3F6"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2535F32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FB5316D" w14:textId="77777777" w:rsidR="00852466" w:rsidRPr="002826AC" w:rsidRDefault="00852466">
            <w:pPr>
              <w:rPr>
                <w:rFonts w:ascii="Arial Narrow" w:hAnsi="Arial Narrow"/>
                <w:color w:val="333333"/>
                <w:sz w:val="20"/>
                <w:szCs w:val="20"/>
              </w:rPr>
            </w:pPr>
            <w:r w:rsidRPr="002826AC">
              <w:rPr>
                <w:rFonts w:ascii="Arial Narrow" w:hAnsi="Arial Narrow" w:cstheme="minorHAnsi"/>
                <w:color w:val="222222"/>
                <w:sz w:val="20"/>
                <w:szCs w:val="20"/>
                <w:lang w:bidi="he-IL"/>
              </w:rPr>
              <w:t xml:space="preserve">Patient must not receive more than 16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with this biological medicine</w:t>
            </w:r>
            <w:r w:rsidRPr="002826AC">
              <w:rPr>
                <w:rFonts w:ascii="Arial Narrow" w:hAnsi="Arial Narrow" w:cstheme="minorHAnsi"/>
                <w:color w:val="222222"/>
                <w:sz w:val="20"/>
                <w:szCs w:val="20"/>
                <w:lang w:bidi="he-IL"/>
              </w:rPr>
              <w:t xml:space="preserve"> under this restriction.</w:t>
            </w:r>
          </w:p>
        </w:tc>
      </w:tr>
      <w:tr w:rsidR="00852466" w:rsidRPr="002826AC" w14:paraId="060B265F"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1BDB666" w14:textId="77777777" w:rsidR="00852466" w:rsidRPr="002826AC" w:rsidRDefault="00852466">
            <w:pPr>
              <w:keepNext/>
              <w:rPr>
                <w:rFonts w:ascii="Arial Narrow" w:hAnsi="Arial Narrow"/>
                <w:color w:val="333333"/>
                <w:sz w:val="20"/>
                <w:szCs w:val="20"/>
              </w:rPr>
            </w:pPr>
            <w:r w:rsidRPr="002826AC">
              <w:rPr>
                <w:rFonts w:ascii="Arial Narrow" w:hAnsi="Arial Narrow"/>
                <w:b/>
                <w:bCs/>
                <w:color w:val="333333"/>
                <w:sz w:val="20"/>
                <w:szCs w:val="20"/>
              </w:rPr>
              <w:t>Treatment criteria:</w:t>
            </w:r>
          </w:p>
        </w:tc>
      </w:tr>
      <w:tr w:rsidR="00852466" w:rsidRPr="002826AC" w14:paraId="4A10246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4CBD0A4" w14:textId="77777777" w:rsidR="00852466" w:rsidRPr="002826AC" w:rsidRDefault="00852466">
            <w:pPr>
              <w:autoSpaceDE w:val="0"/>
              <w:autoSpaceDN w:val="0"/>
              <w:adjustRightInd w:val="0"/>
              <w:rPr>
                <w:rFonts w:ascii="Arial Narrow" w:hAnsi="Arial Narrow" w:cs="Arial Narrow"/>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852466" w:rsidRPr="002826AC" w14:paraId="73597BE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850805E"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Population criteria:</w:t>
            </w:r>
          </w:p>
        </w:tc>
      </w:tr>
      <w:tr w:rsidR="00852466" w:rsidRPr="002826AC" w14:paraId="6B3A0835" w14:textId="77777777">
        <w:tblPrEx>
          <w:tblCellMar>
            <w:top w:w="15" w:type="dxa"/>
            <w:bottom w:w="15" w:type="dxa"/>
          </w:tblCellMar>
        </w:tblPrEx>
        <w:trPr>
          <w:cantSplit/>
          <w:trHeight w:val="20"/>
        </w:trPr>
        <w:tc>
          <w:tcPr>
            <w:tcW w:w="9024" w:type="dxa"/>
            <w:gridSpan w:val="7"/>
            <w:vAlign w:val="center"/>
            <w:hideMark/>
          </w:tcPr>
          <w:p w14:paraId="4AF31A05" w14:textId="77777777" w:rsidR="00852466" w:rsidRPr="002826AC" w:rsidRDefault="00852466">
            <w:pPr>
              <w:rPr>
                <w:rFonts w:ascii="Arial Narrow" w:hAnsi="Arial Narrow"/>
                <w:color w:val="333333"/>
                <w:sz w:val="20"/>
                <w:szCs w:val="20"/>
              </w:rPr>
            </w:pPr>
            <w:r w:rsidRPr="002826AC">
              <w:rPr>
                <w:rFonts w:ascii="Arial Narrow" w:hAnsi="Arial Narrow"/>
                <w:sz w:val="20"/>
                <w:szCs w:val="20"/>
              </w:rPr>
              <w:t>Patient must be under 18 years of age.</w:t>
            </w:r>
          </w:p>
        </w:tc>
      </w:tr>
      <w:tr w:rsidR="00852466" w:rsidRPr="002826AC" w14:paraId="2B2C4C8E" w14:textId="77777777">
        <w:tblPrEx>
          <w:tblCellMar>
            <w:top w:w="15" w:type="dxa"/>
            <w:bottom w:w="15" w:type="dxa"/>
          </w:tblCellMar>
        </w:tblPrEx>
        <w:trPr>
          <w:cantSplit/>
          <w:trHeight w:val="20"/>
        </w:trPr>
        <w:tc>
          <w:tcPr>
            <w:tcW w:w="9024" w:type="dxa"/>
            <w:gridSpan w:val="7"/>
            <w:vAlign w:val="center"/>
            <w:hideMark/>
          </w:tcPr>
          <w:p w14:paraId="2C59C3A7" w14:textId="77777777" w:rsidR="00852466" w:rsidRDefault="00852466">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0AB3B4D0" w14:textId="77777777" w:rsidR="00852466" w:rsidRPr="002826AC" w:rsidRDefault="00852466">
            <w:pPr>
              <w:rPr>
                <w:rFonts w:ascii="Arial Narrow" w:hAnsi="Arial Narrow"/>
                <w:sz w:val="20"/>
                <w:szCs w:val="20"/>
              </w:rPr>
            </w:pPr>
            <w:r w:rsidRPr="002826AC">
              <w:rPr>
                <w:rFonts w:ascii="Arial Narrow" w:hAnsi="Arial Narrow"/>
                <w:sz w:val="20"/>
                <w:szCs w:val="20"/>
              </w:rPr>
              <w:t>The assessment of disease severity and quality of life impact must be documented in the patient’s medical records and must be no more than 4 weeks old at the time of the authority application.</w:t>
            </w:r>
          </w:p>
        </w:tc>
      </w:tr>
    </w:tbl>
    <w:p w14:paraId="5D81B7E1" w14:textId="77777777" w:rsidR="00852466" w:rsidRPr="002826AC" w:rsidRDefault="00852466" w:rsidP="0085246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939"/>
        <w:gridCol w:w="811"/>
        <w:gridCol w:w="812"/>
        <w:gridCol w:w="811"/>
        <w:gridCol w:w="812"/>
        <w:gridCol w:w="1831"/>
        <w:gridCol w:w="7"/>
      </w:tblGrid>
      <w:tr w:rsidR="00852466" w:rsidRPr="002826AC" w14:paraId="7BD66FB7" w14:textId="77777777">
        <w:trPr>
          <w:gridAfter w:val="1"/>
          <w:wAfter w:w="7" w:type="dxa"/>
          <w:cantSplit/>
          <w:trHeight w:val="20"/>
        </w:trPr>
        <w:tc>
          <w:tcPr>
            <w:tcW w:w="3940" w:type="dxa"/>
            <w:vAlign w:val="center"/>
          </w:tcPr>
          <w:p w14:paraId="547819D7" w14:textId="77777777" w:rsidR="00852466" w:rsidRPr="002826AC" w:rsidRDefault="00852466">
            <w:pPr>
              <w:keepLines/>
              <w:rPr>
                <w:rFonts w:ascii="Arial Narrow" w:hAnsi="Arial Narrow"/>
                <w:b/>
                <w:bCs/>
                <w:sz w:val="20"/>
                <w:szCs w:val="20"/>
              </w:rPr>
            </w:pPr>
            <w:r w:rsidRPr="002826AC">
              <w:rPr>
                <w:rFonts w:ascii="Arial Narrow" w:hAnsi="Arial Narrow"/>
                <w:b/>
                <w:bCs/>
                <w:sz w:val="20"/>
                <w:szCs w:val="20"/>
              </w:rPr>
              <w:t>MEDICINAL PRODUCT</w:t>
            </w:r>
          </w:p>
          <w:p w14:paraId="1E84248D" w14:textId="77777777" w:rsidR="00852466" w:rsidRPr="002826AC" w:rsidRDefault="00852466">
            <w:pPr>
              <w:keepLines/>
              <w:rPr>
                <w:rFonts w:ascii="Arial Narrow" w:hAnsi="Arial Narrow"/>
                <w:b/>
                <w:sz w:val="20"/>
                <w:szCs w:val="20"/>
              </w:rPr>
            </w:pPr>
            <w:r w:rsidRPr="002826AC">
              <w:rPr>
                <w:rFonts w:ascii="Arial Narrow" w:hAnsi="Arial Narrow"/>
                <w:b/>
                <w:bCs/>
                <w:sz w:val="20"/>
                <w:szCs w:val="20"/>
              </w:rPr>
              <w:t>medicinal product pack</w:t>
            </w:r>
          </w:p>
        </w:tc>
        <w:tc>
          <w:tcPr>
            <w:tcW w:w="811" w:type="dxa"/>
            <w:vAlign w:val="center"/>
          </w:tcPr>
          <w:p w14:paraId="4E7AE7B9"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PBS item code</w:t>
            </w:r>
          </w:p>
        </w:tc>
        <w:tc>
          <w:tcPr>
            <w:tcW w:w="812" w:type="dxa"/>
            <w:vAlign w:val="center"/>
          </w:tcPr>
          <w:p w14:paraId="5C188E61"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Max. qty packs</w:t>
            </w:r>
          </w:p>
        </w:tc>
        <w:tc>
          <w:tcPr>
            <w:tcW w:w="811" w:type="dxa"/>
            <w:vAlign w:val="center"/>
          </w:tcPr>
          <w:p w14:paraId="351B07D7"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Max. qty units</w:t>
            </w:r>
          </w:p>
        </w:tc>
        <w:tc>
          <w:tcPr>
            <w:tcW w:w="812" w:type="dxa"/>
            <w:vAlign w:val="center"/>
          </w:tcPr>
          <w:p w14:paraId="69088C75"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№.of</w:t>
            </w:r>
          </w:p>
          <w:p w14:paraId="08015E0B" w14:textId="77777777" w:rsidR="00852466" w:rsidRPr="002826AC" w:rsidRDefault="00852466">
            <w:pPr>
              <w:keepLines/>
              <w:jc w:val="center"/>
              <w:rPr>
                <w:rFonts w:ascii="Arial Narrow" w:hAnsi="Arial Narrow"/>
                <w:b/>
                <w:sz w:val="20"/>
                <w:szCs w:val="20"/>
              </w:rPr>
            </w:pPr>
            <w:r w:rsidRPr="002826AC">
              <w:rPr>
                <w:rFonts w:ascii="Arial Narrow" w:hAnsi="Arial Narrow"/>
                <w:b/>
                <w:sz w:val="20"/>
                <w:szCs w:val="20"/>
              </w:rPr>
              <w:t>Rpts</w:t>
            </w:r>
          </w:p>
        </w:tc>
        <w:tc>
          <w:tcPr>
            <w:tcW w:w="1831" w:type="dxa"/>
            <w:vAlign w:val="center"/>
          </w:tcPr>
          <w:p w14:paraId="378170F0" w14:textId="77777777" w:rsidR="00852466" w:rsidRPr="00BC7FF0" w:rsidRDefault="00852466">
            <w:pPr>
              <w:keepLines/>
              <w:rPr>
                <w:rFonts w:ascii="Arial Narrow" w:hAnsi="Arial Narrow"/>
                <w:b/>
                <w:sz w:val="20"/>
                <w:szCs w:val="20"/>
              </w:rPr>
            </w:pPr>
            <w:r w:rsidRPr="002826AC">
              <w:rPr>
                <w:rFonts w:ascii="Arial Narrow" w:hAnsi="Arial Narrow"/>
                <w:b/>
                <w:sz w:val="20"/>
                <w:szCs w:val="20"/>
              </w:rPr>
              <w:t>Available brands</w:t>
            </w:r>
          </w:p>
        </w:tc>
      </w:tr>
      <w:tr w:rsidR="00852466" w:rsidRPr="002826AC" w14:paraId="543179B3" w14:textId="77777777">
        <w:trPr>
          <w:gridAfter w:val="1"/>
          <w:wAfter w:w="7" w:type="dxa"/>
          <w:cantSplit/>
          <w:trHeight w:val="20"/>
        </w:trPr>
        <w:tc>
          <w:tcPr>
            <w:tcW w:w="9017" w:type="dxa"/>
            <w:gridSpan w:val="6"/>
            <w:vAlign w:val="center"/>
          </w:tcPr>
          <w:p w14:paraId="6C88B916"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w:t>
            </w:r>
          </w:p>
        </w:tc>
      </w:tr>
      <w:tr w:rsidR="00852466" w:rsidRPr="002826AC" w14:paraId="4CD3685A" w14:textId="77777777">
        <w:trPr>
          <w:gridAfter w:val="1"/>
          <w:wAfter w:w="7" w:type="dxa"/>
          <w:cantSplit/>
          <w:trHeight w:val="20"/>
        </w:trPr>
        <w:tc>
          <w:tcPr>
            <w:tcW w:w="3940" w:type="dxa"/>
            <w:vAlign w:val="center"/>
          </w:tcPr>
          <w:p w14:paraId="0916B9D9"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20 mg/0.2 mL injection, 2 x 0.2 mL syringes</w:t>
            </w:r>
          </w:p>
        </w:tc>
        <w:tc>
          <w:tcPr>
            <w:tcW w:w="811" w:type="dxa"/>
            <w:vAlign w:val="center"/>
          </w:tcPr>
          <w:p w14:paraId="47E469F0"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20C0E731"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237215D3"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6ABBFD04"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48E67997"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05C0128C" w14:textId="77777777">
        <w:trPr>
          <w:gridAfter w:val="1"/>
          <w:wAfter w:w="7" w:type="dxa"/>
          <w:cantSplit/>
          <w:trHeight w:val="20"/>
        </w:trPr>
        <w:tc>
          <w:tcPr>
            <w:tcW w:w="3940" w:type="dxa"/>
            <w:vAlign w:val="center"/>
          </w:tcPr>
          <w:p w14:paraId="65571E02"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40 mg/0.4 mL injection, 2 x 0.4 mL syringes</w:t>
            </w:r>
          </w:p>
        </w:tc>
        <w:tc>
          <w:tcPr>
            <w:tcW w:w="811" w:type="dxa"/>
            <w:vAlign w:val="center"/>
          </w:tcPr>
          <w:p w14:paraId="5A272058"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2A10C635"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6090AADB"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28F777F7"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38C2017E"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4DD4EE83" w14:textId="77777777">
        <w:trPr>
          <w:gridAfter w:val="1"/>
          <w:wAfter w:w="7" w:type="dxa"/>
          <w:cantSplit/>
          <w:trHeight w:val="20"/>
        </w:trPr>
        <w:tc>
          <w:tcPr>
            <w:tcW w:w="3940" w:type="dxa"/>
            <w:vAlign w:val="center"/>
          </w:tcPr>
          <w:p w14:paraId="34943B2F"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40 mg/0.4 mL injection, 2 x 0.4 mL pen devices</w:t>
            </w:r>
          </w:p>
        </w:tc>
        <w:tc>
          <w:tcPr>
            <w:tcW w:w="811" w:type="dxa"/>
            <w:vAlign w:val="center"/>
          </w:tcPr>
          <w:p w14:paraId="35AF4800"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2069FE3F"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1D4B6CFD"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71A0DEEE"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43953311"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7D1E00DA" w14:textId="77777777">
        <w:trPr>
          <w:gridAfter w:val="1"/>
          <w:wAfter w:w="7" w:type="dxa"/>
          <w:cantSplit/>
          <w:trHeight w:val="20"/>
        </w:trPr>
        <w:tc>
          <w:tcPr>
            <w:tcW w:w="3940" w:type="dxa"/>
            <w:vAlign w:val="center"/>
          </w:tcPr>
          <w:p w14:paraId="7CCF0189"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80 mg/0.8 mL injection, 0.8 mL pen device</w:t>
            </w:r>
          </w:p>
        </w:tc>
        <w:tc>
          <w:tcPr>
            <w:tcW w:w="811" w:type="dxa"/>
            <w:vAlign w:val="center"/>
          </w:tcPr>
          <w:p w14:paraId="2C7ADED4"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00C340D0"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5D9A1E36"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7C85F5BA"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3A30CC65"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50F168EC" w14:textId="77777777">
        <w:trPr>
          <w:gridAfter w:val="1"/>
          <w:wAfter w:w="7" w:type="dxa"/>
          <w:cantSplit/>
          <w:trHeight w:val="20"/>
        </w:trPr>
        <w:tc>
          <w:tcPr>
            <w:tcW w:w="3940" w:type="dxa"/>
            <w:vAlign w:val="center"/>
          </w:tcPr>
          <w:p w14:paraId="031393F3" w14:textId="77777777" w:rsidR="00852466" w:rsidRPr="002826AC" w:rsidRDefault="00852466">
            <w:pPr>
              <w:keepLines/>
              <w:rPr>
                <w:rFonts w:ascii="Arial Narrow" w:hAnsi="Arial Narrow"/>
                <w:sz w:val="20"/>
                <w:szCs w:val="20"/>
              </w:rPr>
            </w:pPr>
            <w:r w:rsidRPr="002826AC">
              <w:rPr>
                <w:rFonts w:ascii="Arial Narrow" w:hAnsi="Arial Narrow"/>
                <w:sz w:val="20"/>
                <w:szCs w:val="20"/>
              </w:rPr>
              <w:t>adalimumab 80 mg/0.8 mL injection, 0.8 mL syringe</w:t>
            </w:r>
          </w:p>
        </w:tc>
        <w:tc>
          <w:tcPr>
            <w:tcW w:w="811" w:type="dxa"/>
            <w:vAlign w:val="center"/>
          </w:tcPr>
          <w:p w14:paraId="211F825C"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50D8B5ED"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24C81FEA"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2C7D0D2E" w14:textId="77777777" w:rsidR="00852466" w:rsidRPr="002826AC" w:rsidRDefault="00852466">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546F67E4" w14:textId="77777777" w:rsidR="00852466" w:rsidRPr="002826AC" w:rsidRDefault="00852466">
            <w:pPr>
              <w:keepLines/>
              <w:rPr>
                <w:rFonts w:ascii="Arial Narrow" w:hAnsi="Arial Narrow"/>
                <w:sz w:val="20"/>
                <w:szCs w:val="20"/>
              </w:rPr>
            </w:pPr>
            <w:r w:rsidRPr="002826AC">
              <w:rPr>
                <w:rFonts w:ascii="Arial Narrow" w:hAnsi="Arial Narrow"/>
                <w:sz w:val="20"/>
                <w:szCs w:val="20"/>
              </w:rPr>
              <w:t>Humira</w:t>
            </w:r>
          </w:p>
        </w:tc>
      </w:tr>
      <w:tr w:rsidR="00852466" w:rsidRPr="002826AC" w14:paraId="05AA3EFB" w14:textId="77777777">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853106E" w14:textId="77777777" w:rsidR="00852466" w:rsidRPr="002826AC" w:rsidRDefault="00852466">
            <w:pPr>
              <w:rPr>
                <w:rFonts w:ascii="Arial Narrow" w:hAnsi="Arial Narrow"/>
                <w:sz w:val="20"/>
                <w:szCs w:val="20"/>
              </w:rPr>
            </w:pPr>
          </w:p>
        </w:tc>
      </w:tr>
      <w:tr w:rsidR="00852466" w:rsidRPr="002826AC" w14:paraId="57B28F18"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F3ECFB0" w14:textId="77777777" w:rsidR="00852466" w:rsidRPr="002826AC" w:rsidRDefault="00852466">
            <w:pPr>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r w:rsidRPr="002826AC">
              <w:rPr>
                <w:rFonts w:ascii="Arial Narrow" w:hAnsi="Arial Narrow"/>
                <w:color w:val="FF0000"/>
                <w:sz w:val="20"/>
                <w:szCs w:val="20"/>
              </w:rPr>
              <w:t xml:space="preserve"> </w:t>
            </w:r>
          </w:p>
        </w:tc>
      </w:tr>
      <w:tr w:rsidR="00852466" w:rsidRPr="002826AC" w14:paraId="40B031EA"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82864CE" w14:textId="77777777" w:rsidR="00852466" w:rsidRPr="002826AC" w:rsidRDefault="00852466">
            <w:pPr>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852466" w:rsidRPr="002826AC" w14:paraId="0630CD5F"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277BA3F" w14:textId="77777777" w:rsidR="00852466" w:rsidRPr="002826AC" w:rsidRDefault="00852466">
            <w:pPr>
              <w:keepLines/>
              <w:rPr>
                <w:rFonts w:ascii="Arial Narrow" w:eastAsia="Calibri" w:hAnsi="Arial Narrow"/>
                <w:color w:val="FF0000"/>
                <w:sz w:val="20"/>
                <w:szCs w:val="20"/>
              </w:rPr>
            </w:pPr>
            <w:r w:rsidRPr="002826AC">
              <w:rPr>
                <w:rFonts w:ascii="Arial Narrow" w:hAnsi="Arial Narrow"/>
                <w:b/>
                <w:sz w:val="20"/>
                <w:szCs w:val="20"/>
              </w:rPr>
              <w:t>Restriction type:</w:t>
            </w:r>
            <w:r w:rsidRPr="002826AC">
              <w:rPr>
                <w:rFonts w:ascii="Arial Narrow" w:eastAsia="Calibri" w:hAnsi="Arial Narrow"/>
                <w:sz w:val="20"/>
                <w:szCs w:val="20"/>
              </w:rPr>
              <w:t xml:space="preserv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852466" w:rsidRPr="002826AC" w14:paraId="478A6154"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94357C2" w14:textId="77777777" w:rsidR="00852466" w:rsidRPr="002826AC" w:rsidRDefault="00852466">
            <w:pPr>
              <w:keepLines/>
              <w:rPr>
                <w:rFonts w:ascii="Arial Narrow" w:hAnsi="Arial Narrow"/>
                <w:b/>
                <w:i/>
                <w:iCs/>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quantity or number of units may be authorised.</w:t>
            </w:r>
          </w:p>
        </w:tc>
      </w:tr>
      <w:tr w:rsidR="00852466" w:rsidRPr="002826AC" w14:paraId="6C7AE1E7"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2C4A1AB" w14:textId="77777777" w:rsidR="00852466" w:rsidRPr="002826AC" w:rsidRDefault="00852466">
            <w:pPr>
              <w:keepLines/>
              <w:rPr>
                <w:rFonts w:ascii="Arial Narrow" w:hAnsi="Arial Narrow"/>
                <w:b/>
                <w:i/>
                <w:iCs/>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number of repeats may be authorised.</w:t>
            </w:r>
          </w:p>
        </w:tc>
      </w:tr>
      <w:tr w:rsidR="00852466" w:rsidRPr="002826AC" w14:paraId="4EF3D6D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1395161" w14:textId="77777777" w:rsidR="00852466" w:rsidRPr="00BC7FF0" w:rsidRDefault="00852466">
            <w:pPr>
              <w:keepLines/>
              <w:rPr>
                <w:rFonts w:ascii="Arial Narrow" w:hAnsi="Arial Narrow"/>
                <w:bCs/>
                <w:strike/>
                <w:color w:val="333333"/>
                <w:sz w:val="20"/>
                <w:szCs w:val="20"/>
              </w:rPr>
            </w:pPr>
            <w:r w:rsidRPr="00BC7FF0">
              <w:rPr>
                <w:rFonts w:ascii="Arial Narrow" w:hAnsi="Arial Narrow"/>
                <w:b/>
                <w:bCs/>
                <w:strike/>
                <w:color w:val="333333"/>
                <w:sz w:val="20"/>
                <w:szCs w:val="20"/>
              </w:rPr>
              <w:t xml:space="preserve">Episodicity: </w:t>
            </w:r>
            <w:r w:rsidRPr="00BC7FF0">
              <w:rPr>
                <w:rFonts w:ascii="Arial Narrow" w:hAnsi="Arial Narrow"/>
                <w:bCs/>
                <w:strike/>
                <w:sz w:val="20"/>
                <w:szCs w:val="20"/>
              </w:rPr>
              <w:t xml:space="preserve">[blank] </w:t>
            </w:r>
          </w:p>
        </w:tc>
      </w:tr>
      <w:tr w:rsidR="00852466" w:rsidRPr="002826AC" w14:paraId="3B8EEAB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B85154B" w14:textId="77777777" w:rsidR="00852466" w:rsidRPr="002826AC" w:rsidRDefault="00852466">
            <w:pPr>
              <w:keepLines/>
              <w:rPr>
                <w:rFonts w:ascii="Arial Narrow" w:hAnsi="Arial Narrow"/>
                <w:b/>
                <w:bCs/>
                <w:color w:val="333333"/>
                <w:sz w:val="20"/>
                <w:szCs w:val="20"/>
              </w:rPr>
            </w:pPr>
            <w:r w:rsidRPr="002826AC">
              <w:rPr>
                <w:rFonts w:ascii="Arial Narrow" w:hAnsi="Arial Narrow"/>
                <w:b/>
                <w:bCs/>
                <w:color w:val="333333"/>
                <w:sz w:val="20"/>
                <w:szCs w:val="20"/>
              </w:rPr>
              <w:t xml:space="preserve">Severity: </w:t>
            </w:r>
            <w:r w:rsidRPr="002826AC">
              <w:rPr>
                <w:rFonts w:ascii="Arial Narrow" w:hAnsi="Arial Narrow"/>
                <w:bCs/>
                <w:sz w:val="20"/>
                <w:szCs w:val="20"/>
              </w:rPr>
              <w:t>Disease severity considered sufficient to cause substantial detriment to patient’s immediate or future health or quality of life</w:t>
            </w:r>
          </w:p>
        </w:tc>
      </w:tr>
      <w:tr w:rsidR="00852466" w:rsidRPr="002826AC" w14:paraId="6F27D21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4D01E50" w14:textId="77777777" w:rsidR="00852466" w:rsidRPr="002826AC" w:rsidRDefault="00852466">
            <w:pPr>
              <w:keepLines/>
              <w:rPr>
                <w:rFonts w:ascii="Arial Narrow" w:hAnsi="Arial Narrow"/>
                <w:b/>
                <w:bCs/>
                <w:color w:val="333333"/>
                <w:sz w:val="20"/>
                <w:szCs w:val="20"/>
              </w:rPr>
            </w:pPr>
            <w:r w:rsidRPr="002826AC">
              <w:rPr>
                <w:rFonts w:ascii="Arial Narrow" w:hAnsi="Arial Narrow"/>
                <w:b/>
                <w:bCs/>
                <w:color w:val="333333"/>
                <w:sz w:val="20"/>
                <w:szCs w:val="20"/>
              </w:rPr>
              <w:t>Condition:</w:t>
            </w:r>
            <w:r w:rsidRPr="002826AC">
              <w:rPr>
                <w:rFonts w:ascii="Arial Narrow" w:hAnsi="Arial Narrow" w:cstheme="minorHAnsi"/>
                <w:sz w:val="20"/>
                <w:szCs w:val="20"/>
                <w:lang w:bidi="he-IL"/>
              </w:rPr>
              <w:t xml:space="preserve"> Immune-mediated inflammatory diseases</w:t>
            </w:r>
          </w:p>
        </w:tc>
      </w:tr>
      <w:tr w:rsidR="00852466" w:rsidRPr="002826AC" w14:paraId="4DB4381E" w14:textId="77777777">
        <w:tblPrEx>
          <w:tblCellMar>
            <w:top w:w="15" w:type="dxa"/>
            <w:bottom w:w="15" w:type="dxa"/>
          </w:tblCellMar>
        </w:tblPrEx>
        <w:trPr>
          <w:cantSplit/>
          <w:trHeight w:val="20"/>
        </w:trPr>
        <w:tc>
          <w:tcPr>
            <w:tcW w:w="9024" w:type="dxa"/>
            <w:gridSpan w:val="7"/>
            <w:vAlign w:val="center"/>
            <w:hideMark/>
          </w:tcPr>
          <w:p w14:paraId="65B43723" w14:textId="77777777" w:rsidR="00852466" w:rsidRPr="002826AC" w:rsidRDefault="00852466">
            <w:pPr>
              <w:keepLines/>
              <w:rPr>
                <w:rFonts w:ascii="Arial Narrow" w:hAnsi="Arial Narrow"/>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852466" w:rsidRPr="002826AC" w14:paraId="5DD39802" w14:textId="77777777">
        <w:tblPrEx>
          <w:tblCellMar>
            <w:top w:w="15" w:type="dxa"/>
            <w:bottom w:w="15" w:type="dxa"/>
          </w:tblCellMar>
        </w:tblPrEx>
        <w:trPr>
          <w:cantSplit/>
          <w:trHeight w:val="20"/>
        </w:trPr>
        <w:tc>
          <w:tcPr>
            <w:tcW w:w="9024" w:type="dxa"/>
            <w:gridSpan w:val="7"/>
            <w:vAlign w:val="center"/>
            <w:hideMark/>
          </w:tcPr>
          <w:p w14:paraId="15D9C126"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Continuing treatment</w:t>
            </w:r>
          </w:p>
        </w:tc>
      </w:tr>
      <w:tr w:rsidR="00852466" w:rsidRPr="002826AC" w14:paraId="2F90F3B3" w14:textId="77777777">
        <w:tblPrEx>
          <w:tblCellMar>
            <w:top w:w="15" w:type="dxa"/>
            <w:bottom w:w="15" w:type="dxa"/>
          </w:tblCellMar>
        </w:tblPrEx>
        <w:trPr>
          <w:cantSplit/>
          <w:trHeight w:val="20"/>
        </w:trPr>
        <w:tc>
          <w:tcPr>
            <w:tcW w:w="9024" w:type="dxa"/>
            <w:gridSpan w:val="7"/>
            <w:vAlign w:val="center"/>
            <w:hideMark/>
          </w:tcPr>
          <w:p w14:paraId="197B7054"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Clinical criteria:</w:t>
            </w:r>
          </w:p>
        </w:tc>
      </w:tr>
      <w:tr w:rsidR="00852466" w:rsidRPr="002826AC" w14:paraId="02A09C7E" w14:textId="77777777">
        <w:tblPrEx>
          <w:tblCellMar>
            <w:top w:w="15" w:type="dxa"/>
            <w:bottom w:w="15" w:type="dxa"/>
          </w:tblCellMar>
        </w:tblPrEx>
        <w:trPr>
          <w:cantSplit/>
          <w:trHeight w:val="20"/>
        </w:trPr>
        <w:tc>
          <w:tcPr>
            <w:tcW w:w="9024" w:type="dxa"/>
            <w:gridSpan w:val="7"/>
            <w:vAlign w:val="center"/>
            <w:hideMark/>
          </w:tcPr>
          <w:p w14:paraId="66E1E1CE" w14:textId="77777777" w:rsidR="00852466" w:rsidRPr="002826AC" w:rsidRDefault="00852466">
            <w:pPr>
              <w:rPr>
                <w:rFonts w:ascii="Arial Narrow" w:hAnsi="Arial Narrow"/>
                <w:color w:val="333333"/>
                <w:sz w:val="20"/>
                <w:szCs w:val="20"/>
              </w:rPr>
            </w:pPr>
            <w:r w:rsidRPr="002826AC">
              <w:rPr>
                <w:rFonts w:ascii="Arial Narrow" w:hAnsi="Arial Narrow"/>
                <w:i/>
                <w:iCs/>
                <w:sz w:val="20"/>
                <w:szCs w:val="20"/>
              </w:rPr>
              <w:t xml:space="preserve">Patient must have a </w:t>
            </w:r>
            <w:proofErr w:type="spellStart"/>
            <w:r w:rsidRPr="002826AC">
              <w:rPr>
                <w:rFonts w:ascii="Arial Narrow" w:hAnsi="Arial Narrow"/>
                <w:i/>
                <w:iCs/>
                <w:sz w:val="20"/>
                <w:szCs w:val="20"/>
              </w:rPr>
              <w:t>c</w:t>
            </w:r>
            <w:r w:rsidRPr="002826AC">
              <w:rPr>
                <w:rFonts w:ascii="Arial Narrow" w:hAnsi="Arial Narrow"/>
                <w:strike/>
                <w:sz w:val="20"/>
                <w:szCs w:val="20"/>
              </w:rPr>
              <w:t>C</w:t>
            </w:r>
            <w:r w:rsidRPr="002826AC">
              <w:rPr>
                <w:rFonts w:ascii="Arial Narrow" w:hAnsi="Arial Narrow"/>
                <w:sz w:val="20"/>
                <w:szCs w:val="20"/>
              </w:rPr>
              <w:t>onfirmed</w:t>
            </w:r>
            <w:proofErr w:type="spellEnd"/>
            <w:r w:rsidRPr="002826AC">
              <w:rPr>
                <w:rFonts w:ascii="Arial Narrow" w:hAnsi="Arial Narrow"/>
                <w:sz w:val="20"/>
                <w:szCs w:val="20"/>
              </w:rPr>
              <w:t xml:space="preserve"> diagnosis of an immune-mediated inflammatory disease which, in the opinion of the treating specialist, would derive clinical benefit from treatment with adalimumab;</w:t>
            </w:r>
          </w:p>
        </w:tc>
      </w:tr>
      <w:tr w:rsidR="00852466" w:rsidRPr="002826AC" w14:paraId="2C3EEE13" w14:textId="77777777">
        <w:tblPrEx>
          <w:tblCellMar>
            <w:top w:w="15" w:type="dxa"/>
            <w:bottom w:w="15" w:type="dxa"/>
          </w:tblCellMar>
        </w:tblPrEx>
        <w:trPr>
          <w:cantSplit/>
          <w:trHeight w:val="20"/>
        </w:trPr>
        <w:tc>
          <w:tcPr>
            <w:tcW w:w="9024" w:type="dxa"/>
            <w:gridSpan w:val="7"/>
            <w:vAlign w:val="center"/>
            <w:hideMark/>
          </w:tcPr>
          <w:p w14:paraId="66A03C87"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05B33D6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5401005"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4C7D146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8465022" w14:textId="77777777" w:rsidR="00852466" w:rsidRPr="002826AC" w:rsidRDefault="00852466">
            <w:pPr>
              <w:rPr>
                <w:rFonts w:ascii="Arial Narrow" w:hAnsi="Arial Narrow"/>
                <w:sz w:val="20"/>
                <w:szCs w:val="20"/>
              </w:rPr>
            </w:pPr>
            <w:r w:rsidRPr="002826AC">
              <w:rPr>
                <w:rFonts w:ascii="Arial Narrow" w:hAnsi="Arial Narrow"/>
                <w:sz w:val="20"/>
                <w:szCs w:val="20"/>
              </w:rPr>
              <w:t>Patient must have previously received PBS-subsidised treatment with this drug for this condition;</w:t>
            </w:r>
          </w:p>
        </w:tc>
      </w:tr>
      <w:tr w:rsidR="00852466" w:rsidRPr="002826AC" w14:paraId="72FEF5C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584640B"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1F913E7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A27AFD5"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283DDE75"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2155A81" w14:textId="77777777" w:rsidR="00852466" w:rsidRPr="002826AC" w:rsidRDefault="00852466">
            <w:pPr>
              <w:rPr>
                <w:rFonts w:ascii="Arial Narrow" w:hAnsi="Arial Narrow"/>
                <w:color w:val="333333"/>
                <w:sz w:val="20"/>
                <w:szCs w:val="20"/>
              </w:rPr>
            </w:pPr>
            <w:r w:rsidRPr="002826AC">
              <w:rPr>
                <w:rFonts w:ascii="Arial Narrow" w:hAnsi="Arial Narrow" w:cstheme="minorHAnsi"/>
                <w:color w:val="222222"/>
                <w:sz w:val="20"/>
                <w:szCs w:val="20"/>
                <w:lang w:bidi="he-IL"/>
              </w:rPr>
              <w:t>Patient must have demonstrated an adequate clinical response to treatment according to the objective and/or subjective measures of disease recorded at baseline;</w:t>
            </w:r>
          </w:p>
        </w:tc>
      </w:tr>
      <w:tr w:rsidR="00852466" w:rsidRPr="002826AC" w14:paraId="5B5A757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88BEEF1"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AND</w:t>
            </w:r>
          </w:p>
        </w:tc>
      </w:tr>
      <w:tr w:rsidR="00852466" w:rsidRPr="002826AC" w14:paraId="69E7F094"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859D909"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852466" w:rsidRPr="002826AC" w14:paraId="2185B53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2055475" w14:textId="77777777" w:rsidR="00852466" w:rsidRPr="002826AC" w:rsidRDefault="00852466">
            <w:pPr>
              <w:rPr>
                <w:rFonts w:ascii="Arial Narrow" w:hAnsi="Arial Narrow"/>
                <w:color w:val="333333"/>
                <w:sz w:val="20"/>
                <w:szCs w:val="20"/>
              </w:rPr>
            </w:pPr>
            <w:r w:rsidRPr="002826AC">
              <w:rPr>
                <w:rFonts w:ascii="Arial Narrow" w:hAnsi="Arial Narrow" w:cstheme="minorHAnsi"/>
                <w:color w:val="222222"/>
                <w:sz w:val="20"/>
                <w:szCs w:val="20"/>
                <w:lang w:bidi="he-IL"/>
              </w:rPr>
              <w:t xml:space="preserve">Patient must not receive more than 28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per continuing treatment course authorised</w:t>
            </w:r>
            <w:r w:rsidRPr="002826AC">
              <w:rPr>
                <w:rFonts w:ascii="Arial Narrow" w:hAnsi="Arial Narrow" w:cstheme="minorHAnsi"/>
                <w:color w:val="222222"/>
                <w:sz w:val="20"/>
                <w:szCs w:val="20"/>
                <w:lang w:bidi="he-IL"/>
              </w:rPr>
              <w:t xml:space="preserve"> under this restriction.</w:t>
            </w:r>
          </w:p>
        </w:tc>
      </w:tr>
      <w:tr w:rsidR="00852466" w:rsidRPr="002826AC" w14:paraId="023E1EB3"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184E47C" w14:textId="77777777" w:rsidR="00852466" w:rsidRPr="002826AC" w:rsidRDefault="00852466">
            <w:pPr>
              <w:keepNext/>
              <w:rPr>
                <w:rFonts w:ascii="Arial Narrow" w:hAnsi="Arial Narrow"/>
                <w:color w:val="333333"/>
                <w:sz w:val="20"/>
                <w:szCs w:val="20"/>
              </w:rPr>
            </w:pPr>
            <w:r w:rsidRPr="002826AC">
              <w:rPr>
                <w:rFonts w:ascii="Arial Narrow" w:hAnsi="Arial Narrow"/>
                <w:b/>
                <w:bCs/>
                <w:color w:val="333333"/>
                <w:sz w:val="20"/>
                <w:szCs w:val="20"/>
              </w:rPr>
              <w:t>Treatment criteria:</w:t>
            </w:r>
          </w:p>
        </w:tc>
      </w:tr>
      <w:tr w:rsidR="00852466" w:rsidRPr="002826AC" w14:paraId="579BDEEA"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42C6E9A" w14:textId="77777777" w:rsidR="00852466" w:rsidRPr="002826AC" w:rsidRDefault="00852466">
            <w:pPr>
              <w:autoSpaceDE w:val="0"/>
              <w:autoSpaceDN w:val="0"/>
              <w:adjustRightInd w:val="0"/>
              <w:rPr>
                <w:rFonts w:ascii="Arial Narrow" w:hAnsi="Arial Narrow" w:cs="Arial Narrow"/>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852466" w:rsidRPr="002826AC" w14:paraId="19EE6019"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1C3A71B" w14:textId="77777777" w:rsidR="00852466" w:rsidRPr="002826AC" w:rsidRDefault="00852466">
            <w:pPr>
              <w:rPr>
                <w:rFonts w:ascii="Arial Narrow" w:hAnsi="Arial Narrow"/>
                <w:color w:val="333333"/>
                <w:sz w:val="20"/>
                <w:szCs w:val="20"/>
              </w:rPr>
            </w:pPr>
            <w:r w:rsidRPr="002826AC">
              <w:rPr>
                <w:rFonts w:ascii="Arial Narrow" w:hAnsi="Arial Narrow"/>
                <w:b/>
                <w:bCs/>
                <w:color w:val="333333"/>
                <w:sz w:val="20"/>
                <w:szCs w:val="20"/>
              </w:rPr>
              <w:t>Population criteria:</w:t>
            </w:r>
          </w:p>
        </w:tc>
      </w:tr>
      <w:tr w:rsidR="00852466" w:rsidRPr="002826AC" w14:paraId="5A8CA40F" w14:textId="77777777">
        <w:tblPrEx>
          <w:tblCellMar>
            <w:top w:w="15" w:type="dxa"/>
            <w:bottom w:w="15" w:type="dxa"/>
          </w:tblCellMar>
        </w:tblPrEx>
        <w:trPr>
          <w:cantSplit/>
          <w:trHeight w:val="20"/>
        </w:trPr>
        <w:tc>
          <w:tcPr>
            <w:tcW w:w="9024" w:type="dxa"/>
            <w:gridSpan w:val="7"/>
            <w:vAlign w:val="center"/>
            <w:hideMark/>
          </w:tcPr>
          <w:p w14:paraId="68E955C7" w14:textId="77777777" w:rsidR="00852466" w:rsidRPr="002826AC" w:rsidRDefault="00852466">
            <w:pPr>
              <w:rPr>
                <w:rFonts w:ascii="Arial Narrow" w:hAnsi="Arial Narrow"/>
                <w:color w:val="333333"/>
                <w:sz w:val="20"/>
                <w:szCs w:val="20"/>
              </w:rPr>
            </w:pPr>
            <w:r w:rsidRPr="002826AC">
              <w:rPr>
                <w:rFonts w:ascii="Arial Narrow" w:hAnsi="Arial Narrow"/>
                <w:sz w:val="20"/>
                <w:szCs w:val="20"/>
              </w:rPr>
              <w:t>Patient must be under 18 years of age.</w:t>
            </w:r>
          </w:p>
        </w:tc>
      </w:tr>
      <w:tr w:rsidR="00852466" w:rsidRPr="002826AC" w14:paraId="027D4E99" w14:textId="77777777">
        <w:tblPrEx>
          <w:tblCellMar>
            <w:top w:w="15" w:type="dxa"/>
            <w:bottom w:w="15" w:type="dxa"/>
          </w:tblCellMar>
        </w:tblPrEx>
        <w:trPr>
          <w:cantSplit/>
          <w:trHeight w:val="20"/>
        </w:trPr>
        <w:tc>
          <w:tcPr>
            <w:tcW w:w="9024" w:type="dxa"/>
            <w:gridSpan w:val="7"/>
            <w:vAlign w:val="center"/>
            <w:hideMark/>
          </w:tcPr>
          <w:p w14:paraId="607EBB73" w14:textId="77777777" w:rsidR="00852466" w:rsidRDefault="00852466">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78EA091C" w14:textId="77777777" w:rsidR="00852466" w:rsidRPr="00BC7FF0" w:rsidRDefault="00852466">
            <w:pPr>
              <w:widowControl w:val="0"/>
              <w:rPr>
                <w:rFonts w:ascii="Arial Narrow" w:hAnsi="Arial Narrow" w:cstheme="minorHAnsi"/>
                <w:sz w:val="20"/>
                <w:szCs w:val="20"/>
                <w:lang w:bidi="he-IL"/>
              </w:rPr>
            </w:pPr>
            <w:r w:rsidRPr="002826AC">
              <w:rPr>
                <w:rFonts w:ascii="Arial Narrow" w:hAnsi="Arial Narrow" w:cstheme="minorHAnsi"/>
                <w:sz w:val="20"/>
                <w:szCs w:val="20"/>
                <w:lang w:bidi="he-IL"/>
              </w:rPr>
              <w:t>An adequate response to treatment is defined as</w:t>
            </w:r>
            <w:r w:rsidRPr="00BC7FF0">
              <w:rPr>
                <w:rFonts w:ascii="Arial Narrow" w:hAnsi="Arial Narrow" w:cstheme="minorHAnsi"/>
                <w:sz w:val="20"/>
                <w:szCs w:val="20"/>
                <w:lang w:bidi="he-IL"/>
              </w:rPr>
              <w:t>:</w:t>
            </w:r>
          </w:p>
          <w:p w14:paraId="456C6B50" w14:textId="77777777" w:rsidR="00852466" w:rsidRPr="00BC7FF0" w:rsidRDefault="00852466">
            <w:pPr>
              <w:pStyle w:val="TableText0"/>
              <w:rPr>
                <w:lang w:bidi="he-IL"/>
              </w:rPr>
            </w:pPr>
            <w:r w:rsidRPr="00BC7FF0">
              <w:rPr>
                <w:lang w:bidi="he-IL"/>
              </w:rPr>
              <w:t>A clinically meaningful improvement in the measures of disease severity and/or quality of life impact that were used to establish baseline severity</w:t>
            </w:r>
          </w:p>
          <w:p w14:paraId="6B5DA484" w14:textId="77777777" w:rsidR="00852466" w:rsidRPr="002826AC" w:rsidRDefault="00852466">
            <w:pPr>
              <w:rPr>
                <w:rFonts w:ascii="Arial Narrow" w:hAnsi="Arial Narrow"/>
                <w:sz w:val="20"/>
                <w:szCs w:val="20"/>
              </w:rPr>
            </w:pPr>
            <w:r w:rsidRPr="00BC7FF0">
              <w:rPr>
                <w:rFonts w:ascii="Arial Narrow" w:hAnsi="Arial Narrow" w:cstheme="minorHAnsi"/>
                <w:sz w:val="20"/>
                <w:szCs w:val="20"/>
                <w:lang w:bidi="he-IL"/>
              </w:rPr>
              <w:t xml:space="preserve">The assessment of </w:t>
            </w:r>
            <w:r w:rsidRPr="002826AC">
              <w:rPr>
                <w:rFonts w:ascii="Arial Narrow" w:hAnsi="Arial Narrow" w:cstheme="minorHAnsi"/>
                <w:sz w:val="20"/>
                <w:szCs w:val="20"/>
                <w:lang w:bidi="he-IL"/>
              </w:rPr>
              <w:t>adequate response to treatment</w:t>
            </w:r>
            <w:r w:rsidRPr="00BC7FF0">
              <w:rPr>
                <w:rFonts w:ascii="Arial Narrow" w:hAnsi="Arial Narrow" w:cstheme="minorHAnsi"/>
                <w:sz w:val="20"/>
                <w:szCs w:val="20"/>
                <w:lang w:bidi="he-IL"/>
              </w:rPr>
              <w:t xml:space="preserve"> must be documented in the patient’s medical records and must be no more than 4 weeks old at the time of the authority application.</w:t>
            </w:r>
          </w:p>
        </w:tc>
      </w:tr>
      <w:tr w:rsidR="00852466" w:rsidRPr="002826AC" w14:paraId="696051D0" w14:textId="77777777">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C3CF3C3" w14:textId="77777777" w:rsidR="00852466" w:rsidRPr="002826AC" w:rsidRDefault="00852466">
            <w:pPr>
              <w:keepNext/>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p>
        </w:tc>
      </w:tr>
      <w:tr w:rsidR="00852466" w:rsidRPr="002826AC" w14:paraId="4C137645" w14:textId="77777777">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F2F7E77" w14:textId="77777777" w:rsidR="00852466" w:rsidRPr="002826AC" w:rsidRDefault="00852466">
            <w:pPr>
              <w:keepNext/>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852466" w:rsidRPr="002826AC" w14:paraId="055E6043" w14:textId="77777777">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1AD0325" w14:textId="77777777" w:rsidR="00852466" w:rsidRPr="002826AC" w:rsidRDefault="00852466">
            <w:pPr>
              <w:keepNext/>
              <w:keepLines/>
              <w:rPr>
                <w:rFonts w:ascii="Arial Narrow" w:eastAsia="Calibri" w:hAnsi="Arial Narrow"/>
                <w:sz w:val="20"/>
                <w:szCs w:val="20"/>
              </w:rPr>
            </w:pPr>
            <w:r w:rsidRPr="002826AC">
              <w:rPr>
                <w:rFonts w:ascii="Arial Narrow" w:hAnsi="Arial Narrow"/>
                <w:b/>
                <w:sz w:val="20"/>
                <w:szCs w:val="20"/>
              </w:rPr>
              <w:t xml:space="preserve">Restriction type: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852466" w:rsidRPr="002826AC" w14:paraId="559E964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09F9833"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852466" w:rsidRPr="002826AC" w14:paraId="447E197A"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FF8BD2C"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Continuing adult with paediatric history</w:t>
            </w:r>
          </w:p>
        </w:tc>
      </w:tr>
      <w:tr w:rsidR="00852466" w:rsidRPr="002826AC" w14:paraId="181EF183"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4A424A7"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5CA3F55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623F612" w14:textId="77777777" w:rsidR="00852466" w:rsidRPr="002826AC" w:rsidRDefault="00852466">
            <w:pPr>
              <w:rPr>
                <w:rFonts w:ascii="Arial Narrow" w:hAnsi="Arial Narrow"/>
                <w:b/>
                <w:bCs/>
                <w:color w:val="333333"/>
                <w:sz w:val="20"/>
                <w:szCs w:val="20"/>
              </w:rPr>
            </w:pPr>
            <w:r w:rsidRPr="002826AC">
              <w:rPr>
                <w:rFonts w:ascii="Arial Narrow" w:hAnsi="Arial Narrow"/>
                <w:i/>
                <w:iCs/>
                <w:sz w:val="20"/>
                <w:szCs w:val="20"/>
              </w:rPr>
              <w:t>Patient must have a c</w:t>
            </w:r>
            <w:r w:rsidRPr="002826AC">
              <w:rPr>
                <w:rFonts w:ascii="Arial Narrow" w:hAnsi="Arial Narrow"/>
                <w:sz w:val="20"/>
                <w:szCs w:val="20"/>
              </w:rPr>
              <w:t>onfirmed diagnosis of an immune-mediated inflammatory disease which, in the opinion of the treating specialist, would derive clinical benefit from treatment with adalimumab;</w:t>
            </w:r>
          </w:p>
        </w:tc>
      </w:tr>
      <w:tr w:rsidR="00852466" w:rsidRPr="002826AC" w14:paraId="3E1B73F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9070A1B"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AND</w:t>
            </w:r>
          </w:p>
        </w:tc>
      </w:tr>
      <w:tr w:rsidR="00852466" w:rsidRPr="002826AC" w14:paraId="151AD2F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E3BBEFD"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70E4952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11C2C84" w14:textId="77777777" w:rsidR="00852466" w:rsidRPr="002826AC" w:rsidRDefault="00852466">
            <w:pPr>
              <w:rPr>
                <w:rFonts w:ascii="Arial Narrow" w:hAnsi="Arial Narrow"/>
                <w:b/>
                <w:bCs/>
                <w:color w:val="333333"/>
                <w:sz w:val="20"/>
                <w:szCs w:val="20"/>
              </w:rPr>
            </w:pPr>
            <w:r w:rsidRPr="002826AC">
              <w:rPr>
                <w:rFonts w:ascii="Arial Narrow" w:hAnsi="Arial Narrow"/>
                <w:sz w:val="20"/>
                <w:szCs w:val="20"/>
              </w:rPr>
              <w:t>Patient must have previously received PBS-subsidised treatment with this drug for this condition;</w:t>
            </w:r>
          </w:p>
        </w:tc>
      </w:tr>
      <w:tr w:rsidR="00852466" w:rsidRPr="002826AC" w14:paraId="69A6BEE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C3BB54B"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AND</w:t>
            </w:r>
          </w:p>
        </w:tc>
      </w:tr>
      <w:tr w:rsidR="00852466" w:rsidRPr="002826AC" w14:paraId="615B78E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CF6C11E"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6D20E6A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D395FE7" w14:textId="77777777" w:rsidR="00852466" w:rsidRPr="002826AC" w:rsidRDefault="00852466">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have demonstrated an adequate clinical response to treatment according to the objective and/or subjective measures of disease recorded at baseline;</w:t>
            </w:r>
          </w:p>
        </w:tc>
      </w:tr>
      <w:tr w:rsidR="00852466" w:rsidRPr="002826AC" w14:paraId="4CE1CEA5"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23E58CF" w14:textId="77777777" w:rsidR="00852466" w:rsidRPr="002826AC" w:rsidRDefault="00852466">
            <w:pPr>
              <w:rPr>
                <w:rFonts w:ascii="Arial Narrow" w:hAnsi="Arial Narrow" w:cstheme="minorHAnsi"/>
                <w:color w:val="222222"/>
                <w:sz w:val="20"/>
                <w:szCs w:val="20"/>
                <w:lang w:bidi="he-IL"/>
              </w:rPr>
            </w:pPr>
            <w:r w:rsidRPr="002826AC">
              <w:rPr>
                <w:rFonts w:ascii="Arial Narrow" w:hAnsi="Arial Narrow"/>
                <w:b/>
                <w:bCs/>
                <w:color w:val="333333"/>
                <w:sz w:val="20"/>
                <w:szCs w:val="20"/>
              </w:rPr>
              <w:t>AND</w:t>
            </w:r>
          </w:p>
        </w:tc>
      </w:tr>
      <w:tr w:rsidR="00852466" w:rsidRPr="002826AC" w14:paraId="529071F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DC17ACB"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321BAA89"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A712817" w14:textId="77777777" w:rsidR="00852466" w:rsidRPr="002826AC" w:rsidRDefault="00852466">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not receive more than 28 weeks</w:t>
            </w:r>
            <w:r w:rsidRPr="002826AC">
              <w:rPr>
                <w:rFonts w:ascii="Arial Narrow" w:hAnsi="Arial Narrow" w:cstheme="minorHAnsi"/>
                <w:i/>
                <w:iCs/>
                <w:color w:val="222222"/>
                <w:sz w:val="20"/>
                <w:szCs w:val="20"/>
                <w:lang w:bidi="he-IL"/>
              </w:rPr>
              <w:t xml:space="preserve"> of</w:t>
            </w:r>
            <w:r w:rsidRPr="002826AC">
              <w:rPr>
                <w:rFonts w:ascii="Arial Narrow" w:hAnsi="Arial Narrow" w:cstheme="minorHAnsi"/>
                <w:color w:val="222222"/>
                <w:sz w:val="20"/>
                <w:szCs w:val="20"/>
                <w:lang w:bidi="he-IL"/>
              </w:rPr>
              <w:t xml:space="preserve"> treatment under this restriction.</w:t>
            </w:r>
          </w:p>
        </w:tc>
      </w:tr>
      <w:tr w:rsidR="00852466" w:rsidRPr="002826AC" w14:paraId="03B716E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A6A1BBD" w14:textId="77777777" w:rsidR="00852466" w:rsidRPr="002826AC" w:rsidRDefault="00852466">
            <w:pPr>
              <w:rPr>
                <w:rFonts w:ascii="Arial Narrow" w:hAnsi="Arial Narrow" w:cstheme="minorHAnsi"/>
                <w:color w:val="222222"/>
                <w:sz w:val="20"/>
                <w:szCs w:val="20"/>
                <w:lang w:bidi="he-IL"/>
              </w:rPr>
            </w:pPr>
            <w:r w:rsidRPr="002826AC">
              <w:rPr>
                <w:rFonts w:ascii="Arial Narrow" w:hAnsi="Arial Narrow"/>
                <w:b/>
                <w:bCs/>
                <w:color w:val="333333"/>
                <w:sz w:val="20"/>
                <w:szCs w:val="20"/>
              </w:rPr>
              <w:t>Treatment criteria:</w:t>
            </w:r>
          </w:p>
        </w:tc>
      </w:tr>
      <w:tr w:rsidR="00852466" w:rsidRPr="002826AC" w14:paraId="2558E85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1F73FD7" w14:textId="77777777" w:rsidR="00852466" w:rsidRPr="002826AC" w:rsidRDefault="00852466">
            <w:pPr>
              <w:rPr>
                <w:rFonts w:ascii="Arial Narrow" w:hAnsi="Arial Narrow"/>
                <w:b/>
                <w:bCs/>
                <w:color w:val="333333"/>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852466" w:rsidRPr="002826AC" w14:paraId="71DC0B3F"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ED6CF50" w14:textId="77777777" w:rsidR="00852466" w:rsidRPr="002826AC" w:rsidRDefault="00852466">
            <w:pPr>
              <w:rPr>
                <w:rFonts w:ascii="Arial Narrow" w:hAnsi="Arial Narrow" w:cs="Arial Narrow"/>
                <w:sz w:val="20"/>
                <w:szCs w:val="20"/>
              </w:rPr>
            </w:pPr>
            <w:r w:rsidRPr="002826AC">
              <w:rPr>
                <w:rFonts w:ascii="Arial Narrow" w:hAnsi="Arial Narrow"/>
                <w:b/>
                <w:bCs/>
                <w:color w:val="333333"/>
                <w:sz w:val="20"/>
                <w:szCs w:val="20"/>
              </w:rPr>
              <w:t>Population criteria:</w:t>
            </w:r>
          </w:p>
        </w:tc>
      </w:tr>
      <w:tr w:rsidR="00852466" w:rsidRPr="002826AC" w14:paraId="56345047"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1A87244" w14:textId="77777777" w:rsidR="00852466" w:rsidRPr="002826AC" w:rsidRDefault="00852466">
            <w:pPr>
              <w:rPr>
                <w:rFonts w:ascii="Arial Narrow" w:hAnsi="Arial Narrow"/>
                <w:b/>
                <w:bCs/>
                <w:color w:val="333333"/>
                <w:sz w:val="20"/>
                <w:szCs w:val="20"/>
              </w:rPr>
            </w:pPr>
            <w:r w:rsidRPr="002826AC">
              <w:rPr>
                <w:rFonts w:ascii="Arial Narrow" w:hAnsi="Arial Narrow"/>
                <w:sz w:val="20"/>
                <w:szCs w:val="20"/>
              </w:rPr>
              <w:t xml:space="preserve">Patient must be </w:t>
            </w:r>
            <w:r w:rsidRPr="002826AC">
              <w:rPr>
                <w:rFonts w:ascii="Arial Narrow" w:hAnsi="Arial Narrow"/>
                <w:i/>
                <w:iCs/>
                <w:sz w:val="20"/>
                <w:szCs w:val="20"/>
              </w:rPr>
              <w:t>at least</w:t>
            </w:r>
            <w:r w:rsidRPr="002826AC">
              <w:rPr>
                <w:rFonts w:ascii="Arial Narrow" w:hAnsi="Arial Narrow"/>
                <w:sz w:val="20"/>
                <w:szCs w:val="20"/>
              </w:rPr>
              <w:t xml:space="preserve"> </w:t>
            </w:r>
            <w:r w:rsidRPr="002826AC">
              <w:rPr>
                <w:rFonts w:ascii="Arial Narrow" w:hAnsi="Arial Narrow"/>
                <w:strike/>
                <w:sz w:val="20"/>
                <w:szCs w:val="20"/>
              </w:rPr>
              <w:t>over</w:t>
            </w:r>
            <w:r w:rsidRPr="002826AC">
              <w:rPr>
                <w:rFonts w:ascii="Arial Narrow" w:hAnsi="Arial Narrow"/>
                <w:sz w:val="20"/>
                <w:szCs w:val="20"/>
              </w:rPr>
              <w:t xml:space="preserve"> 18 years of age.</w:t>
            </w:r>
          </w:p>
        </w:tc>
      </w:tr>
      <w:tr w:rsidR="00852466" w:rsidRPr="002826AC" w14:paraId="51A56EF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FF888C3" w14:textId="77777777" w:rsidR="00852466" w:rsidRDefault="00852466">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6CA379ED" w14:textId="77777777" w:rsidR="00852466" w:rsidRPr="00BC7FF0" w:rsidRDefault="00852466">
            <w:pPr>
              <w:widowControl w:val="0"/>
              <w:rPr>
                <w:rFonts w:ascii="Arial Narrow" w:hAnsi="Arial Narrow" w:cstheme="minorHAnsi"/>
                <w:sz w:val="20"/>
                <w:szCs w:val="20"/>
                <w:lang w:bidi="he-IL"/>
              </w:rPr>
            </w:pPr>
            <w:r w:rsidRPr="002826AC">
              <w:rPr>
                <w:rFonts w:ascii="Arial Narrow" w:hAnsi="Arial Narrow" w:cstheme="minorHAnsi"/>
                <w:sz w:val="20"/>
                <w:szCs w:val="20"/>
                <w:lang w:bidi="he-IL"/>
              </w:rPr>
              <w:t>An adequate response to treatment is defined as</w:t>
            </w:r>
            <w:r w:rsidRPr="00BC7FF0">
              <w:rPr>
                <w:rFonts w:ascii="Arial Narrow" w:hAnsi="Arial Narrow" w:cstheme="minorHAnsi"/>
                <w:sz w:val="20"/>
                <w:szCs w:val="20"/>
                <w:lang w:bidi="he-IL"/>
              </w:rPr>
              <w:t>:</w:t>
            </w:r>
          </w:p>
          <w:p w14:paraId="5689782D" w14:textId="77777777" w:rsidR="00852466" w:rsidRPr="00BC7FF0" w:rsidRDefault="00852466">
            <w:pPr>
              <w:pStyle w:val="TableText0"/>
              <w:rPr>
                <w:lang w:bidi="he-IL"/>
              </w:rPr>
            </w:pPr>
            <w:r w:rsidRPr="00BC7FF0">
              <w:rPr>
                <w:lang w:bidi="he-IL"/>
              </w:rPr>
              <w:t>A clinically meaningful improvement in the measures of disease severity and/or quality of life impact that were used to establish baseline severity</w:t>
            </w:r>
          </w:p>
          <w:p w14:paraId="72D43295" w14:textId="77777777" w:rsidR="00852466" w:rsidRPr="002826AC" w:rsidRDefault="00852466">
            <w:pPr>
              <w:rPr>
                <w:rFonts w:ascii="Arial Narrow" w:hAnsi="Arial Narrow"/>
                <w:sz w:val="20"/>
                <w:szCs w:val="20"/>
              </w:rPr>
            </w:pPr>
            <w:r w:rsidRPr="00BC7FF0">
              <w:rPr>
                <w:rFonts w:ascii="Arial Narrow" w:hAnsi="Arial Narrow" w:cstheme="minorHAnsi"/>
                <w:sz w:val="20"/>
                <w:szCs w:val="20"/>
                <w:lang w:bidi="he-IL"/>
              </w:rPr>
              <w:t xml:space="preserve">The assessment of </w:t>
            </w:r>
            <w:r w:rsidRPr="002826AC">
              <w:rPr>
                <w:rFonts w:ascii="Arial Narrow" w:hAnsi="Arial Narrow" w:cstheme="minorHAnsi"/>
                <w:sz w:val="20"/>
                <w:szCs w:val="20"/>
                <w:lang w:bidi="he-IL"/>
              </w:rPr>
              <w:t>adequate response to treatment</w:t>
            </w:r>
            <w:r w:rsidRPr="00BC7FF0">
              <w:rPr>
                <w:rFonts w:ascii="Arial Narrow" w:hAnsi="Arial Narrow" w:cstheme="minorHAnsi"/>
                <w:sz w:val="20"/>
                <w:szCs w:val="20"/>
                <w:lang w:bidi="he-IL"/>
              </w:rPr>
              <w:t xml:space="preserve"> must be documented in the patient’s medical records and must be no more than 4 weeks old at the time of the authority application.</w:t>
            </w:r>
          </w:p>
        </w:tc>
      </w:tr>
      <w:tr w:rsidR="00852466" w:rsidRPr="002826AC" w14:paraId="3B1772C5"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529F0F36" w14:textId="77777777" w:rsidR="00852466" w:rsidRPr="002826AC" w:rsidRDefault="00852466">
            <w:pPr>
              <w:rPr>
                <w:rFonts w:ascii="Arial Narrow" w:hAnsi="Arial Narrow"/>
                <w:b/>
                <w:bCs/>
                <w:color w:val="333333"/>
                <w:sz w:val="20"/>
                <w:szCs w:val="20"/>
              </w:rPr>
            </w:pPr>
          </w:p>
        </w:tc>
      </w:tr>
      <w:tr w:rsidR="00852466" w:rsidRPr="002826AC" w14:paraId="0330CED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D9AB57A" w14:textId="77777777" w:rsidR="00852466" w:rsidRPr="002826AC" w:rsidRDefault="00852466">
            <w:pPr>
              <w:rPr>
                <w:rFonts w:ascii="Arial Narrow" w:hAnsi="Arial Narrow"/>
                <w:b/>
                <w:bCs/>
                <w:color w:val="333333"/>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p>
        </w:tc>
      </w:tr>
      <w:tr w:rsidR="00852466" w:rsidRPr="002826AC" w14:paraId="7AF914B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27C709E" w14:textId="77777777" w:rsidR="00852466" w:rsidRPr="002826AC" w:rsidRDefault="00852466">
            <w:pPr>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852466" w:rsidRPr="002826AC" w14:paraId="37718F9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09BE373" w14:textId="77777777" w:rsidR="00852466" w:rsidRPr="002826AC" w:rsidRDefault="00852466">
            <w:pPr>
              <w:rPr>
                <w:rFonts w:ascii="Arial Narrow" w:hAnsi="Arial Narrow"/>
                <w:b/>
                <w:sz w:val="20"/>
                <w:szCs w:val="20"/>
              </w:rPr>
            </w:pPr>
            <w:r w:rsidRPr="002826AC">
              <w:rPr>
                <w:rFonts w:ascii="Arial Narrow" w:hAnsi="Arial Narrow"/>
                <w:b/>
                <w:sz w:val="20"/>
                <w:szCs w:val="20"/>
              </w:rPr>
              <w:t xml:space="preserve">Restriction type: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852466" w:rsidRPr="002826AC" w14:paraId="6DAF268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A9F55E6" w14:textId="77777777" w:rsidR="00852466" w:rsidRPr="002826AC" w:rsidRDefault="00852466">
            <w:pPr>
              <w:rPr>
                <w:rFonts w:ascii="Arial Narrow" w:hAnsi="Arial Narrow"/>
                <w:b/>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852466" w:rsidRPr="002826AC" w14:paraId="4F7D5473"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366F2CB"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Initial PBS-subsidised treatment in a patient who has previously received non-PBS subsidised therapy with this drug (grandfather)</w:t>
            </w:r>
          </w:p>
        </w:tc>
      </w:tr>
      <w:tr w:rsidR="00852466" w:rsidRPr="002826AC" w14:paraId="098109BA"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61D9F9D"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71D7BBE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65EE72F" w14:textId="77777777" w:rsidR="00852466" w:rsidRPr="002826AC" w:rsidRDefault="00852466">
            <w:pPr>
              <w:rPr>
                <w:rFonts w:ascii="Arial Narrow" w:hAnsi="Arial Narrow"/>
                <w:b/>
                <w:bCs/>
                <w:color w:val="333333"/>
                <w:sz w:val="20"/>
                <w:szCs w:val="20"/>
              </w:rPr>
            </w:pPr>
            <w:r w:rsidRPr="002826AC">
              <w:rPr>
                <w:rFonts w:ascii="Arial Narrow" w:hAnsi="Arial Narrow"/>
                <w:sz w:val="20"/>
                <w:szCs w:val="20"/>
              </w:rPr>
              <w:t>Patient must have</w:t>
            </w:r>
            <w:r w:rsidRPr="002826AC">
              <w:rPr>
                <w:rFonts w:ascii="Arial Narrow" w:hAnsi="Arial Narrow"/>
                <w:strike/>
                <w:sz w:val="20"/>
                <w:szCs w:val="20"/>
              </w:rPr>
              <w:t xml:space="preserve"> previously</w:t>
            </w:r>
            <w:r w:rsidRPr="002826AC">
              <w:rPr>
                <w:rFonts w:ascii="Arial Narrow" w:hAnsi="Arial Narrow"/>
                <w:sz w:val="20"/>
                <w:szCs w:val="20"/>
              </w:rPr>
              <w:t xml:space="preserve"> received non-PBS subsidised treatment with this drug for </w:t>
            </w:r>
            <w:proofErr w:type="gramStart"/>
            <w:r w:rsidRPr="002826AC">
              <w:rPr>
                <w:rFonts w:ascii="Arial Narrow" w:hAnsi="Arial Narrow"/>
                <w:strike/>
                <w:sz w:val="20"/>
                <w:szCs w:val="20"/>
              </w:rPr>
              <w:t>their</w:t>
            </w:r>
            <w:r w:rsidRPr="002826AC">
              <w:rPr>
                <w:rFonts w:ascii="Arial Narrow" w:hAnsi="Arial Narrow"/>
                <w:sz w:val="20"/>
                <w:szCs w:val="20"/>
              </w:rPr>
              <w:t xml:space="preserve"> </w:t>
            </w:r>
            <w:r w:rsidRPr="002826AC">
              <w:rPr>
                <w:rFonts w:ascii="Arial Narrow" w:hAnsi="Arial Narrow"/>
                <w:i/>
                <w:iCs/>
                <w:sz w:val="20"/>
                <w:szCs w:val="20"/>
              </w:rPr>
              <w:t>this</w:t>
            </w:r>
            <w:proofErr w:type="gramEnd"/>
            <w:r w:rsidRPr="002826AC">
              <w:rPr>
                <w:rFonts w:ascii="Arial Narrow" w:hAnsi="Arial Narrow"/>
                <w:sz w:val="20"/>
                <w:szCs w:val="20"/>
              </w:rPr>
              <w:t xml:space="preserve"> condition prior to 1 [month and year];</w:t>
            </w:r>
          </w:p>
        </w:tc>
      </w:tr>
      <w:tr w:rsidR="00852466" w:rsidRPr="002826AC" w14:paraId="3AEC1CDE"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C509835"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AND</w:t>
            </w:r>
          </w:p>
        </w:tc>
      </w:tr>
      <w:tr w:rsidR="00852466" w:rsidRPr="002826AC" w14:paraId="4CF4DCFA"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F1C54FB"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4AAF346E"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8CE3AB6" w14:textId="77777777" w:rsidR="00852466" w:rsidRPr="002826AC" w:rsidRDefault="00852466">
            <w:pPr>
              <w:rPr>
                <w:rFonts w:ascii="Arial Narrow" w:hAnsi="Arial Narrow"/>
                <w:b/>
                <w:bCs/>
                <w:color w:val="333333"/>
                <w:sz w:val="20"/>
                <w:szCs w:val="20"/>
              </w:rPr>
            </w:pPr>
            <w:r w:rsidRPr="002826AC">
              <w:rPr>
                <w:rFonts w:ascii="Arial Narrow" w:hAnsi="Arial Narrow"/>
                <w:sz w:val="20"/>
                <w:szCs w:val="20"/>
              </w:rPr>
              <w:t>Patient must have documented history of an immune-mediated inflammatory disease which, in the opinion of the treating specialist, would derive clinical benefit from treatment with adalimumab;</w:t>
            </w:r>
          </w:p>
        </w:tc>
      </w:tr>
      <w:tr w:rsidR="00852466" w:rsidRPr="002826AC" w14:paraId="17234DA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E7B3169" w14:textId="77777777" w:rsidR="00852466" w:rsidRPr="002826AC" w:rsidRDefault="00852466">
            <w:pPr>
              <w:rPr>
                <w:rFonts w:ascii="Arial Narrow" w:hAnsi="Arial Narrow"/>
                <w:sz w:val="20"/>
                <w:szCs w:val="20"/>
              </w:rPr>
            </w:pPr>
            <w:r w:rsidRPr="002826AC">
              <w:rPr>
                <w:rFonts w:ascii="Arial Narrow" w:hAnsi="Arial Narrow"/>
                <w:b/>
                <w:bCs/>
                <w:color w:val="333333"/>
                <w:sz w:val="20"/>
                <w:szCs w:val="20"/>
              </w:rPr>
              <w:t>AND</w:t>
            </w:r>
          </w:p>
        </w:tc>
      </w:tr>
      <w:tr w:rsidR="00852466" w:rsidRPr="002826AC" w14:paraId="22516DE5"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065F414"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5D7BBE44"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8F1C0BC" w14:textId="77777777" w:rsidR="00852466" w:rsidRPr="002826AC" w:rsidRDefault="00852466">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have had disease severity considered sufficient to cause substantial detriment to patient's immediate or future health or quality of life, according to at least 2 measures of disease severity or quality of life impact (at least 1 must be an objective measure) appropriate to the patient's condition and age;</w:t>
            </w:r>
          </w:p>
        </w:tc>
      </w:tr>
      <w:tr w:rsidR="00852466" w:rsidRPr="002826AC" w14:paraId="658686D5"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F3F2BF7" w14:textId="77777777" w:rsidR="00852466" w:rsidRPr="002826AC" w:rsidRDefault="00852466">
            <w:pPr>
              <w:rPr>
                <w:rFonts w:ascii="Arial Narrow" w:hAnsi="Arial Narrow" w:cstheme="minorHAnsi"/>
                <w:i/>
                <w:iCs/>
                <w:color w:val="222222"/>
                <w:sz w:val="20"/>
                <w:szCs w:val="20"/>
                <w:lang w:bidi="he-IL"/>
              </w:rPr>
            </w:pPr>
            <w:r w:rsidRPr="002826AC">
              <w:rPr>
                <w:rFonts w:ascii="Arial Narrow" w:hAnsi="Arial Narrow"/>
                <w:b/>
                <w:bCs/>
                <w:i/>
                <w:iCs/>
                <w:color w:val="333333"/>
                <w:sz w:val="20"/>
                <w:szCs w:val="20"/>
              </w:rPr>
              <w:t>AND</w:t>
            </w:r>
          </w:p>
        </w:tc>
      </w:tr>
      <w:tr w:rsidR="00852466" w:rsidRPr="002826AC" w14:paraId="2500D088"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4EF8CFE" w14:textId="77777777" w:rsidR="00852466" w:rsidRPr="002826AC" w:rsidRDefault="00852466">
            <w:pPr>
              <w:rPr>
                <w:rFonts w:ascii="Arial Narrow" w:hAnsi="Arial Narrow" w:cstheme="minorHAnsi"/>
                <w:i/>
                <w:iCs/>
                <w:color w:val="222222"/>
                <w:sz w:val="20"/>
                <w:szCs w:val="20"/>
                <w:lang w:bidi="he-IL"/>
              </w:rPr>
            </w:pPr>
            <w:r w:rsidRPr="002826AC">
              <w:rPr>
                <w:rFonts w:ascii="Arial Narrow" w:hAnsi="Arial Narrow"/>
                <w:b/>
                <w:bCs/>
                <w:i/>
                <w:iCs/>
                <w:color w:val="333333"/>
                <w:sz w:val="20"/>
                <w:szCs w:val="20"/>
              </w:rPr>
              <w:t>Clinical criteria:</w:t>
            </w:r>
          </w:p>
        </w:tc>
      </w:tr>
      <w:tr w:rsidR="00852466" w:rsidRPr="002826AC" w14:paraId="3697C13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B4CA662" w14:textId="77777777" w:rsidR="00852466" w:rsidRPr="002826AC" w:rsidRDefault="00852466">
            <w:pPr>
              <w:rPr>
                <w:rFonts w:ascii="Arial Narrow" w:hAnsi="Arial Narrow" w:cstheme="minorHAnsi"/>
                <w:i/>
                <w:iCs/>
                <w:color w:val="222222"/>
                <w:sz w:val="20"/>
                <w:szCs w:val="20"/>
                <w:lang w:bidi="he-IL"/>
              </w:rPr>
            </w:pPr>
            <w:r w:rsidRPr="002826AC">
              <w:rPr>
                <w:rFonts w:ascii="Arial Narrow" w:hAnsi="Arial Narrow" w:cstheme="minorHAnsi"/>
                <w:i/>
                <w:iCs/>
                <w:color w:val="222222"/>
                <w:sz w:val="20"/>
                <w:szCs w:val="20"/>
                <w:lang w:bidi="he-IL"/>
              </w:rPr>
              <w:t>Patient must have demonstrated an adequate clinical response to treatment according to the objective and/or subjective measures of disease recorded at baseline;</w:t>
            </w:r>
          </w:p>
        </w:tc>
      </w:tr>
      <w:tr w:rsidR="00852466" w:rsidRPr="002826AC" w14:paraId="4FB9481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6DB2221" w14:textId="77777777" w:rsidR="00852466" w:rsidRPr="002826AC" w:rsidRDefault="00852466">
            <w:pPr>
              <w:rPr>
                <w:rFonts w:ascii="Arial Narrow" w:hAnsi="Arial Narrow" w:cstheme="minorHAnsi"/>
                <w:color w:val="222222"/>
                <w:sz w:val="20"/>
                <w:szCs w:val="20"/>
                <w:lang w:bidi="he-IL"/>
              </w:rPr>
            </w:pPr>
            <w:r w:rsidRPr="002826AC">
              <w:rPr>
                <w:rFonts w:ascii="Arial Narrow" w:hAnsi="Arial Narrow"/>
                <w:b/>
                <w:bCs/>
                <w:color w:val="333333"/>
                <w:sz w:val="20"/>
                <w:szCs w:val="20"/>
              </w:rPr>
              <w:t>AND</w:t>
            </w:r>
          </w:p>
        </w:tc>
      </w:tr>
      <w:tr w:rsidR="00852466" w:rsidRPr="002826AC" w14:paraId="57FFCC5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20EAC97" w14:textId="77777777" w:rsidR="00852466" w:rsidRPr="002826AC" w:rsidRDefault="00852466">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852466" w:rsidRPr="002826AC" w14:paraId="0E54F469"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B4FC569" w14:textId="77777777" w:rsidR="00852466" w:rsidRPr="002826AC" w:rsidRDefault="00852466">
            <w:pPr>
              <w:rPr>
                <w:rFonts w:ascii="Arial Narrow" w:hAnsi="Arial Narrow"/>
                <w:b/>
                <w:bCs/>
                <w:color w:val="333333"/>
                <w:sz w:val="20"/>
                <w:szCs w:val="20"/>
              </w:rPr>
            </w:pPr>
            <w:r w:rsidRPr="002826AC">
              <w:rPr>
                <w:rFonts w:ascii="Arial Narrow" w:hAnsi="Arial Narrow" w:cstheme="minorHAnsi"/>
                <w:color w:val="222222"/>
                <w:sz w:val="20"/>
                <w:szCs w:val="20"/>
                <w:lang w:bidi="he-IL"/>
              </w:rPr>
              <w:t xml:space="preserve">Patient must not receive more than 28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with this biological medicine</w:t>
            </w:r>
            <w:r w:rsidRPr="002826AC">
              <w:rPr>
                <w:rFonts w:ascii="Arial Narrow" w:hAnsi="Arial Narrow" w:cstheme="minorHAnsi"/>
                <w:color w:val="222222"/>
                <w:sz w:val="20"/>
                <w:szCs w:val="20"/>
                <w:lang w:bidi="he-IL"/>
              </w:rPr>
              <w:t xml:space="preserve"> under this restriction.</w:t>
            </w:r>
          </w:p>
        </w:tc>
      </w:tr>
      <w:tr w:rsidR="00852466" w:rsidRPr="002826AC" w14:paraId="32D30089"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C311A83" w14:textId="77777777" w:rsidR="00852466" w:rsidRPr="002826AC" w:rsidRDefault="00852466">
            <w:pPr>
              <w:rPr>
                <w:rFonts w:ascii="Arial Narrow" w:hAnsi="Arial Narrow" w:cstheme="minorHAnsi"/>
                <w:color w:val="222222"/>
                <w:sz w:val="20"/>
                <w:szCs w:val="20"/>
                <w:lang w:bidi="he-IL"/>
              </w:rPr>
            </w:pPr>
            <w:r w:rsidRPr="002826AC">
              <w:rPr>
                <w:rFonts w:ascii="Arial Narrow" w:hAnsi="Arial Narrow"/>
                <w:b/>
                <w:bCs/>
                <w:color w:val="333333"/>
                <w:sz w:val="20"/>
                <w:szCs w:val="20"/>
              </w:rPr>
              <w:t>Treatment criteria:</w:t>
            </w:r>
          </w:p>
        </w:tc>
      </w:tr>
      <w:tr w:rsidR="00852466" w:rsidRPr="002826AC" w14:paraId="19F6681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3C865CD" w14:textId="77777777" w:rsidR="00852466" w:rsidRPr="002826AC" w:rsidRDefault="00852466">
            <w:pPr>
              <w:rPr>
                <w:rFonts w:ascii="Arial Narrow" w:hAnsi="Arial Narrow"/>
                <w:b/>
                <w:bCs/>
                <w:color w:val="333333"/>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852466" w:rsidRPr="002826AC" w14:paraId="519E8F0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D04863D" w14:textId="77777777" w:rsidR="00852466" w:rsidRPr="002826AC" w:rsidRDefault="00852466">
            <w:pPr>
              <w:rPr>
                <w:rFonts w:ascii="Arial Narrow" w:hAnsi="Arial Narrow" w:cs="Arial Narrow"/>
                <w:sz w:val="20"/>
                <w:szCs w:val="20"/>
              </w:rPr>
            </w:pPr>
            <w:r w:rsidRPr="002826AC">
              <w:rPr>
                <w:rFonts w:ascii="Arial Narrow" w:hAnsi="Arial Narrow"/>
                <w:b/>
                <w:bCs/>
                <w:color w:val="333333"/>
                <w:sz w:val="20"/>
                <w:szCs w:val="20"/>
              </w:rPr>
              <w:t>Population criteria:</w:t>
            </w:r>
          </w:p>
        </w:tc>
      </w:tr>
      <w:tr w:rsidR="00852466" w:rsidRPr="002826AC" w14:paraId="2FF3853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AE0DFB8" w14:textId="77777777" w:rsidR="00852466" w:rsidRPr="002826AC" w:rsidRDefault="00852466">
            <w:pPr>
              <w:rPr>
                <w:rFonts w:ascii="Arial Narrow" w:hAnsi="Arial Narrow"/>
                <w:b/>
                <w:bCs/>
                <w:color w:val="333333"/>
                <w:sz w:val="20"/>
                <w:szCs w:val="20"/>
              </w:rPr>
            </w:pPr>
            <w:r w:rsidRPr="002826AC">
              <w:rPr>
                <w:rFonts w:ascii="Arial Narrow" w:hAnsi="Arial Narrow"/>
                <w:sz w:val="20"/>
                <w:szCs w:val="20"/>
              </w:rPr>
              <w:t>Patient must be under 18 years of age.</w:t>
            </w:r>
          </w:p>
        </w:tc>
      </w:tr>
      <w:tr w:rsidR="00852466" w:rsidRPr="002826AC" w14:paraId="68FA0C3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C495922" w14:textId="77777777" w:rsidR="00852466" w:rsidRDefault="00852466">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14ED26E6" w14:textId="77777777" w:rsidR="00852466" w:rsidRPr="002826AC" w:rsidRDefault="00852466">
            <w:pPr>
              <w:rPr>
                <w:rFonts w:ascii="Arial Narrow" w:hAnsi="Arial Narrow"/>
                <w:sz w:val="20"/>
                <w:szCs w:val="20"/>
              </w:rPr>
            </w:pPr>
            <w:r w:rsidRPr="002826AC">
              <w:rPr>
                <w:rFonts w:ascii="Arial Narrow" w:hAnsi="Arial Narrow" w:cstheme="minorHAnsi"/>
                <w:sz w:val="20"/>
                <w:szCs w:val="20"/>
                <w:lang w:bidi="he-IL"/>
              </w:rPr>
              <w:t>The baseline assessment of disease severity and quality of life impact must be documented in the patient’s medical records.</w:t>
            </w:r>
          </w:p>
        </w:tc>
      </w:tr>
      <w:tr w:rsidR="00852466" w:rsidRPr="002826AC" w14:paraId="515C4976"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BB35878" w14:textId="77777777" w:rsidR="00852466" w:rsidRDefault="00852466">
            <w:pPr>
              <w:rPr>
                <w:rFonts w:ascii="Arial Narrow" w:hAnsi="Arial Narrow"/>
                <w:b/>
                <w:bCs/>
                <w:i/>
                <w:iCs/>
                <w:color w:val="333333"/>
                <w:sz w:val="20"/>
                <w:szCs w:val="20"/>
              </w:rPr>
            </w:pPr>
            <w:r w:rsidRPr="002826AC">
              <w:rPr>
                <w:rFonts w:ascii="Arial Narrow" w:hAnsi="Arial Narrow"/>
                <w:b/>
                <w:bCs/>
                <w:i/>
                <w:iCs/>
                <w:color w:val="333333"/>
                <w:sz w:val="20"/>
                <w:szCs w:val="20"/>
              </w:rPr>
              <w:t>Prescribing Instructions:</w:t>
            </w:r>
          </w:p>
          <w:p w14:paraId="0A55E02B" w14:textId="77777777" w:rsidR="00852466" w:rsidRPr="00BC7FF0" w:rsidRDefault="00852466">
            <w:pPr>
              <w:widowControl w:val="0"/>
              <w:rPr>
                <w:rFonts w:ascii="Arial Narrow" w:hAnsi="Arial Narrow" w:cstheme="minorHAnsi"/>
                <w:i/>
                <w:iCs/>
                <w:sz w:val="20"/>
                <w:szCs w:val="20"/>
                <w:lang w:bidi="he-IL"/>
              </w:rPr>
            </w:pPr>
            <w:r w:rsidRPr="002826AC">
              <w:rPr>
                <w:rFonts w:ascii="Arial Narrow" w:hAnsi="Arial Narrow" w:cstheme="minorHAnsi"/>
                <w:i/>
                <w:iCs/>
                <w:sz w:val="20"/>
                <w:szCs w:val="20"/>
                <w:lang w:bidi="he-IL"/>
              </w:rPr>
              <w:t>An adequate response to treatment is defined as</w:t>
            </w:r>
            <w:r w:rsidRPr="00BC7FF0">
              <w:rPr>
                <w:rFonts w:ascii="Arial Narrow" w:hAnsi="Arial Narrow" w:cstheme="minorHAnsi"/>
                <w:i/>
                <w:iCs/>
                <w:sz w:val="20"/>
                <w:szCs w:val="20"/>
                <w:lang w:bidi="he-IL"/>
              </w:rPr>
              <w:t>:</w:t>
            </w:r>
          </w:p>
          <w:p w14:paraId="1B858CAB" w14:textId="77777777" w:rsidR="00852466" w:rsidRPr="00BC7FF0" w:rsidRDefault="00852466">
            <w:pPr>
              <w:pStyle w:val="TableText0"/>
              <w:rPr>
                <w:lang w:bidi="he-IL"/>
              </w:rPr>
            </w:pPr>
            <w:r w:rsidRPr="00BC7FF0">
              <w:rPr>
                <w:lang w:bidi="he-IL"/>
              </w:rPr>
              <w:t>A clinically meaningful improvement in the measures of disease severity and/or quality of life impact that were used to establish baseline severity</w:t>
            </w:r>
          </w:p>
          <w:p w14:paraId="6D7234B1" w14:textId="77777777" w:rsidR="00852466" w:rsidRPr="002826AC" w:rsidRDefault="00852466">
            <w:pPr>
              <w:rPr>
                <w:rFonts w:ascii="Arial Narrow" w:hAnsi="Arial Narrow"/>
                <w:b/>
                <w:bCs/>
                <w:i/>
                <w:iCs/>
                <w:color w:val="333333"/>
                <w:sz w:val="20"/>
                <w:szCs w:val="20"/>
              </w:rPr>
            </w:pPr>
            <w:r w:rsidRPr="00BC7FF0">
              <w:rPr>
                <w:rFonts w:ascii="Arial Narrow" w:hAnsi="Arial Narrow" w:cstheme="minorHAnsi"/>
                <w:i/>
                <w:iCs/>
                <w:sz w:val="20"/>
                <w:szCs w:val="20"/>
                <w:lang w:bidi="he-IL"/>
              </w:rPr>
              <w:t xml:space="preserve">The assessment of </w:t>
            </w:r>
            <w:r w:rsidRPr="002826AC">
              <w:rPr>
                <w:rFonts w:ascii="Arial Narrow" w:hAnsi="Arial Narrow" w:cstheme="minorHAnsi"/>
                <w:i/>
                <w:iCs/>
                <w:sz w:val="20"/>
                <w:szCs w:val="20"/>
                <w:lang w:bidi="he-IL"/>
              </w:rPr>
              <w:t>adequate response to treatment</w:t>
            </w:r>
            <w:r w:rsidRPr="00BC7FF0">
              <w:rPr>
                <w:rFonts w:ascii="Arial Narrow" w:hAnsi="Arial Narrow" w:cstheme="minorHAnsi"/>
                <w:i/>
                <w:iCs/>
                <w:sz w:val="20"/>
                <w:szCs w:val="20"/>
                <w:lang w:bidi="he-IL"/>
              </w:rPr>
              <w:t xml:space="preserve"> must be documented in the patient’s medical records and must be no more than 4 weeks old at the time of the authority application.</w:t>
            </w:r>
          </w:p>
        </w:tc>
      </w:tr>
      <w:tr w:rsidR="00852466" w:rsidRPr="002826AC" w14:paraId="75FDBF1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C7B01B7" w14:textId="77777777" w:rsidR="00852466" w:rsidRPr="002826AC" w:rsidRDefault="00852466">
            <w:pPr>
              <w:rPr>
                <w:rFonts w:ascii="Arial Narrow" w:hAnsi="Arial Narrow"/>
                <w:i/>
                <w:iCs/>
                <w:color w:val="333333"/>
                <w:sz w:val="20"/>
                <w:szCs w:val="20"/>
              </w:rPr>
            </w:pPr>
            <w:r w:rsidRPr="002826AC">
              <w:rPr>
                <w:rFonts w:ascii="Arial Narrow" w:hAnsi="Arial Narrow"/>
                <w:b/>
                <w:bCs/>
                <w:i/>
                <w:iCs/>
                <w:sz w:val="20"/>
                <w:szCs w:val="20"/>
              </w:rPr>
              <w:t xml:space="preserve">Administrative Advice: </w:t>
            </w:r>
            <w:r w:rsidRPr="002826AC">
              <w:rPr>
                <w:rFonts w:ascii="Arial Narrow" w:hAnsi="Arial Narrow"/>
                <w:bCs/>
                <w:i/>
                <w:iCs/>
                <w:sz w:val="20"/>
                <w:szCs w:val="20"/>
              </w:rPr>
              <w:t>Patients may qualify for PBS-subsidised treatment under this restriction once only. For continuing PBS-subsidised treatment, a 'Grandfathered' patient must qualify under the 'Continuing treatment' criteria.</w:t>
            </w:r>
          </w:p>
        </w:tc>
      </w:tr>
      <w:tr w:rsidR="00852466" w:rsidRPr="002826AC" w14:paraId="7FC6C7C4"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299C27C" w14:textId="77777777" w:rsidR="00852466" w:rsidRPr="002826AC" w:rsidRDefault="00852466">
            <w:pPr>
              <w:rPr>
                <w:rFonts w:ascii="Arial Narrow" w:hAnsi="Arial Narrow"/>
                <w:b/>
                <w:bCs/>
                <w:i/>
                <w:iCs/>
                <w:sz w:val="20"/>
                <w:szCs w:val="20"/>
              </w:rPr>
            </w:pPr>
            <w:r w:rsidRPr="002826AC">
              <w:rPr>
                <w:rFonts w:ascii="Arial Narrow" w:hAnsi="Arial Narrow"/>
                <w:b/>
                <w:i/>
                <w:iCs/>
                <w:sz w:val="20"/>
                <w:szCs w:val="20"/>
              </w:rPr>
              <w:t>Administrative Advice:</w:t>
            </w:r>
            <w:r w:rsidRPr="002826AC">
              <w:rPr>
                <w:rFonts w:ascii="Arial Narrow" w:hAnsi="Arial Narrow"/>
                <w:bCs/>
                <w:i/>
                <w:iCs/>
                <w:sz w:val="20"/>
                <w:szCs w:val="20"/>
              </w:rPr>
              <w:t xml:space="preserve"> This Grandfather restriction will cease to operate 12 months after the date specified in the clinical criteria.</w:t>
            </w:r>
          </w:p>
        </w:tc>
      </w:tr>
    </w:tbl>
    <w:p w14:paraId="07EA974D" w14:textId="77777777" w:rsidR="00852466" w:rsidRDefault="00852466" w:rsidP="00852466">
      <w:pPr>
        <w:pStyle w:val="ExecSumBodyText"/>
        <w:numPr>
          <w:ilvl w:val="1"/>
          <w:numId w:val="2"/>
        </w:numPr>
        <w:spacing w:before="120"/>
        <w:rPr>
          <w:i/>
          <w:iCs/>
        </w:rPr>
      </w:pPr>
      <w:r w:rsidRPr="002826AC">
        <w:t>The submission stated that it requested an indication-agnostic listing to allow children who have the greatest risk of permanent disability and/or psychological distress (in the opinion of the treating clinician) to receive immediate treatment with adalimumab. The submission requested the listings be Authority Required (STREAMLINED) to allow for immediate access for patients who should commence treatment without delay and to reduce administrative burden for prescribers.</w:t>
      </w:r>
    </w:p>
    <w:p w14:paraId="4DBB2A6E" w14:textId="77777777" w:rsidR="00852466" w:rsidRPr="002826AC" w:rsidRDefault="00852466" w:rsidP="00852466">
      <w:pPr>
        <w:pStyle w:val="ExecSumBodyText"/>
        <w:numPr>
          <w:ilvl w:val="1"/>
          <w:numId w:val="2"/>
        </w:numPr>
      </w:pPr>
      <w:r w:rsidRPr="002826AC">
        <w:t>The current PBS listings for Humira for paediatric populations are Authority Required (written) or Authority Required (Telephone/Online) for initial and first continuing treatment. The Authority requirements for continuing treatment varies depending on the indication (see paragraphs 2.16-2.17).</w:t>
      </w:r>
    </w:p>
    <w:p w14:paraId="2057A66A" w14:textId="77777777" w:rsidR="00852466" w:rsidRPr="002826AC" w:rsidRDefault="00852466" w:rsidP="00852466">
      <w:pPr>
        <w:pStyle w:val="ExecSumBodyText"/>
        <w:numPr>
          <w:ilvl w:val="1"/>
          <w:numId w:val="2"/>
        </w:numPr>
        <w:rPr>
          <w:i/>
          <w:iCs/>
        </w:rPr>
      </w:pPr>
      <w:r w:rsidRPr="002826AC">
        <w:t>The submission noted the maximum quantity and number of repeats were calculated based on the highest approved dosing regimen for paediatric patients (patients with Crohn disease who are ≥ 40kg and require a dose of 80 mg adalimumab every 2 weeks). A similar approach was taken for the requested maximum quantity and number of repeats for patients accessing treatment through the proposed Continuing and Grandfather treatment phases. The maximum quantity requested for patients receiving treatment under the ‘Continuing adult with paediatric IMID history’ restriction was calculated based on adult dosing requirements.</w:t>
      </w:r>
    </w:p>
    <w:p w14:paraId="5D97EBED" w14:textId="77777777" w:rsidR="00852466" w:rsidRPr="002826AC" w:rsidRDefault="00852466" w:rsidP="00852466">
      <w:pPr>
        <w:pStyle w:val="ExecSumBodyText"/>
        <w:numPr>
          <w:ilvl w:val="1"/>
          <w:numId w:val="2"/>
        </w:numPr>
      </w:pPr>
      <w:r w:rsidRPr="002826AC">
        <w:t>The requested maximum quantities and repeats differ from the maximum quantities and repeats for adalimumab that are currently PBS-listed for certain indications. In many instances the requested maximum quantities and repeats are higher than those currently PBS-listed.</w:t>
      </w:r>
    </w:p>
    <w:p w14:paraId="2842BE83" w14:textId="77777777" w:rsidR="00852466" w:rsidRDefault="00852466" w:rsidP="00852466">
      <w:pPr>
        <w:pStyle w:val="ExecSumBodyText"/>
        <w:numPr>
          <w:ilvl w:val="1"/>
          <w:numId w:val="2"/>
        </w:numPr>
      </w:pPr>
      <w:r w:rsidRPr="002826AC">
        <w:t>The Pre-Sub Committee Response (PSCR) stated the intent of the requested restriction was that patients who access and subsequently fail to respond to another PBS-subsidised biological treatment for an IMID would not be able to access treatment via this restriction. It stated the sponsor would be open to including a statement in the listing to clarify this and that patients who would qualify under existing listings for adalimumab should not access treatment through the requested listing.</w:t>
      </w:r>
    </w:p>
    <w:p w14:paraId="23937225" w14:textId="77777777" w:rsidR="00852466" w:rsidRPr="002826AC" w:rsidRDefault="00852466" w:rsidP="00852466">
      <w:pPr>
        <w:pStyle w:val="ExecSumBodyText"/>
        <w:numPr>
          <w:ilvl w:val="1"/>
          <w:numId w:val="2"/>
        </w:numPr>
      </w:pPr>
      <w:r w:rsidRPr="002826AC">
        <w:t xml:space="preserve">The PSCR noted the proposed clinical criteria in the requested listing was developed in conjunction with clinician working groups, who considered the criteria should be flexible to include both disease severity measures and patient-reported quality of life measures to provide an overall assessment of the patient’s disease severity. It considered that rather than specifying </w:t>
      </w:r>
      <w:proofErr w:type="gramStart"/>
      <w:r w:rsidRPr="002826AC">
        <w:t>particular measures</w:t>
      </w:r>
      <w:proofErr w:type="gramEnd"/>
      <w:r w:rsidRPr="002826AC">
        <w:t xml:space="preserve"> in the restriction criteria, the choice of measure should be left with the treating physician to reflect the variable presentations of IMIDs in children. The PSCR provided the following examples of scores and measures that may be used to assess severity of </w:t>
      </w:r>
      <w:proofErr w:type="gramStart"/>
      <w:r w:rsidRPr="002826AC">
        <w:t>particular IMIDs</w:t>
      </w:r>
      <w:proofErr w:type="gramEnd"/>
      <w:r w:rsidRPr="002826AC">
        <w:t>:</w:t>
      </w:r>
    </w:p>
    <w:p w14:paraId="6A8EC503" w14:textId="77777777" w:rsidR="00852466" w:rsidRDefault="00852466" w:rsidP="00852466">
      <w:pPr>
        <w:pStyle w:val="ExecSumBodyText"/>
        <w:numPr>
          <w:ilvl w:val="0"/>
          <w:numId w:val="117"/>
        </w:numPr>
      </w:pPr>
      <w:r w:rsidRPr="002826AC">
        <w:t>Rheumatology conditions: swollen and tender joint counts, overall Physician Global Assessment, Childhood Myositis Assessment Scale (CMAS)/Manual Muscle Testing and a subset of Eight Muscles (MMT8) (Juvenile Dermatomyositis), Patient/Parent Global Assessment of wellbeing.</w:t>
      </w:r>
    </w:p>
    <w:p w14:paraId="0229008D" w14:textId="77777777" w:rsidR="00852466" w:rsidRDefault="00852466" w:rsidP="00852466">
      <w:pPr>
        <w:pStyle w:val="ExecSumBodyText"/>
        <w:numPr>
          <w:ilvl w:val="0"/>
          <w:numId w:val="117"/>
        </w:numPr>
      </w:pPr>
      <w:r w:rsidRPr="002826AC">
        <w:t xml:space="preserve">Gastroenterology conditions: Paediatric Crohn’s Disease Activity Index (PCDAI), Paediatric Ulcerative Colitis Activity Index (PUCAI), endoscopic scores, magnetic resonance </w:t>
      </w:r>
      <w:proofErr w:type="spellStart"/>
      <w:r w:rsidRPr="002826AC">
        <w:t>enterography</w:t>
      </w:r>
      <w:proofErr w:type="spellEnd"/>
      <w:r w:rsidRPr="002826AC">
        <w:t>, intestinal ultrasound scores (including bowel wall thickness), faecal calprotectin.</w:t>
      </w:r>
    </w:p>
    <w:p w14:paraId="7A06C962" w14:textId="77777777" w:rsidR="00852466" w:rsidRDefault="00852466" w:rsidP="00852466">
      <w:pPr>
        <w:pStyle w:val="ExecSumBodyText"/>
        <w:numPr>
          <w:ilvl w:val="0"/>
          <w:numId w:val="117"/>
        </w:numPr>
      </w:pPr>
      <w:r w:rsidRPr="002826AC">
        <w:t>Dermatology conditions: Psoriasis Activity and Severity Index (PASI), Hidradenitis Suppurativa Clinical Response (</w:t>
      </w:r>
      <w:proofErr w:type="spellStart"/>
      <w:r w:rsidRPr="002826AC">
        <w:t>HiSCR</w:t>
      </w:r>
      <w:proofErr w:type="spellEnd"/>
      <w:r w:rsidRPr="002826AC">
        <w:t>), Severity-of-Illness Score for Toxic Epidermal Necrolysis (SCORTEN) (Steven Johnson Syndrome/Toxic Epidermal Necrolysis), Children’s Dermatology Life Quality Index (CDLQI).</w:t>
      </w:r>
    </w:p>
    <w:p w14:paraId="71689C3A" w14:textId="77777777" w:rsidR="00852466" w:rsidRPr="002826AC" w:rsidRDefault="00852466" w:rsidP="00852466">
      <w:pPr>
        <w:pStyle w:val="ExecSumBodyText"/>
        <w:ind w:firstLine="0"/>
      </w:pPr>
      <w:r w:rsidRPr="002826AC">
        <w:t>The ESC noted the extensive consultation undertaken with various clinical groups in the preparation of this submission.</w:t>
      </w:r>
    </w:p>
    <w:p w14:paraId="553E55EE" w14:textId="77777777" w:rsidR="00852466" w:rsidRPr="002826AC" w:rsidRDefault="00852466" w:rsidP="00852466">
      <w:pPr>
        <w:pStyle w:val="3-BodyText"/>
        <w:numPr>
          <w:ilvl w:val="1"/>
          <w:numId w:val="2"/>
        </w:numPr>
        <w:spacing w:before="120"/>
      </w:pPr>
      <w:r w:rsidRPr="002826AC">
        <w:t>The PSCR acknowledged the requested maximum quantity and repeats differ from the maximum quantities and repeats for current PBS-listings for adalimumab. However, it argued that the requested 28 weeks maximum treatment duration better aligns with patients’ usual scheduling of appointments with their specialist (i.e. every 3 to 6 months).</w:t>
      </w:r>
    </w:p>
    <w:p w14:paraId="537364D9" w14:textId="77777777" w:rsidR="00852466" w:rsidRPr="002826AC" w:rsidRDefault="00852466" w:rsidP="00852466">
      <w:pPr>
        <w:ind w:firstLine="709"/>
        <w:rPr>
          <w:rFonts w:asciiTheme="minorHAnsi" w:hAnsiTheme="minorHAnsi"/>
          <w:i/>
        </w:rPr>
      </w:pPr>
      <w:r w:rsidRPr="002826AC">
        <w:rPr>
          <w:rFonts w:asciiTheme="minorHAnsi" w:hAnsiTheme="minorHAnsi"/>
          <w:i/>
        </w:rPr>
        <w:t>For more detail on PBAC’s view, see section 7 PBAC outcome.</w:t>
      </w:r>
    </w:p>
    <w:p w14:paraId="0CF0CD6D" w14:textId="77777777" w:rsidR="00852466" w:rsidRPr="002826AC" w:rsidDel="00195452" w:rsidRDefault="00852466" w:rsidP="00852466">
      <w:pPr>
        <w:pStyle w:val="2-SectionHeading"/>
        <w:numPr>
          <w:ilvl w:val="0"/>
          <w:numId w:val="2"/>
        </w:numPr>
      </w:pPr>
      <w:r w:rsidRPr="002826AC" w:rsidDel="00195452">
        <w:t>Population and disease</w:t>
      </w:r>
    </w:p>
    <w:p w14:paraId="0D0573FE" w14:textId="77777777" w:rsidR="00852466" w:rsidRPr="002826AC" w:rsidRDefault="00852466" w:rsidP="00852466">
      <w:pPr>
        <w:pStyle w:val="3-BodyText"/>
        <w:numPr>
          <w:ilvl w:val="1"/>
          <w:numId w:val="2"/>
        </w:numPr>
        <w:spacing w:before="120"/>
      </w:pPr>
      <w:r w:rsidRPr="002826AC">
        <w:t>Adalimumab is a recombinant human immunoglobulin monoclonal antibody. Adalimumab binds to tumour necrosis factor (TNF) and neutralises the biological function of TNF by blocking its interaction with the p55 and p75 cell surface TNF receptors. Elevated levels of TNF are found in the synovial fluid of rheumatoid arthritis, including juvenile idiopathic arthritis, psoriatic arthritis and ankylosing spondylitis patients and play an important role in both the pathologic inflammation and the joint destruction that are hallmarks of these diseases. Increased levels of TNF are also found in psoriasis plaques, which contribute to the inflammatory response, the proliferation and decreased maturation of keratinocytes and to the associated vascular damages that are characteristic of the disease (Humira Product Information).</w:t>
      </w:r>
    </w:p>
    <w:p w14:paraId="253F7CE4" w14:textId="77777777" w:rsidR="00852466" w:rsidRPr="002826AC" w:rsidRDefault="00852466" w:rsidP="00852466">
      <w:pPr>
        <w:pStyle w:val="3-BodyText"/>
        <w:numPr>
          <w:ilvl w:val="1"/>
          <w:numId w:val="2"/>
        </w:numPr>
        <w:spacing w:before="120"/>
        <w:rPr>
          <w:color w:val="0066FF"/>
        </w:rPr>
      </w:pPr>
      <w:r w:rsidRPr="002826AC">
        <w:t>The submission  requested an indication-agnostic PBS-listing for the treatment of IMIDs in paediatric patients, to cover all possible IMIDs in which adalimumab is expected to be used.</w:t>
      </w:r>
    </w:p>
    <w:p w14:paraId="0FA6F15A" w14:textId="77777777" w:rsidR="00852466" w:rsidRDefault="00852466" w:rsidP="00852466">
      <w:pPr>
        <w:pStyle w:val="3-BodyText"/>
        <w:numPr>
          <w:ilvl w:val="1"/>
          <w:numId w:val="2"/>
        </w:numPr>
        <w:spacing w:before="120"/>
        <w:rPr>
          <w:rFonts w:cstheme="minorHAnsi"/>
          <w:sz w:val="20"/>
          <w:szCs w:val="20"/>
          <w:lang w:bidi="he-IL"/>
        </w:rPr>
      </w:pPr>
      <w:r w:rsidRPr="002826AC">
        <w:t xml:space="preserve">The submission proposed the population be limited to patients who, in the opinion of the treating clinician, may derive clinical benefit from treatment with adalimumab, and to patients whose disease severity is considered sufficient to cause substantial detriment to their immediate or future health or quality of life, according to at least one objective measure of disease severity appropriate for the patient's condition and age. The requested listing stated </w:t>
      </w:r>
      <w:r w:rsidRPr="002826AC">
        <w:rPr>
          <w:rFonts w:cstheme="minorHAnsi"/>
          <w:lang w:bidi="he-IL"/>
        </w:rPr>
        <w:t>at least two measures of disease severity or quality of life impact must be used to assess impact on quality of life, of which at least one must be an objective measure.</w:t>
      </w:r>
    </w:p>
    <w:p w14:paraId="1285B7DB" w14:textId="77777777" w:rsidR="00852466" w:rsidRPr="002826AC" w:rsidRDefault="00852466" w:rsidP="00852466">
      <w:pPr>
        <w:pStyle w:val="3-BodyText"/>
        <w:numPr>
          <w:ilvl w:val="1"/>
          <w:numId w:val="2"/>
        </w:numPr>
        <w:spacing w:before="120"/>
        <w:rPr>
          <w:color w:val="0066FF"/>
        </w:rPr>
      </w:pPr>
      <w:r w:rsidRPr="002826AC">
        <w:t>The following IMIDs which may be treated with adalimumab were noted in the submission:</w:t>
      </w:r>
    </w:p>
    <w:p w14:paraId="2EEAFBD7" w14:textId="77777777" w:rsidR="00852466" w:rsidRPr="002826AC" w:rsidRDefault="00852466" w:rsidP="00852466">
      <w:pPr>
        <w:pStyle w:val="3-BodyText"/>
        <w:numPr>
          <w:ilvl w:val="0"/>
          <w:numId w:val="103"/>
        </w:numPr>
        <w:spacing w:before="120"/>
        <w:rPr>
          <w:color w:val="0066FF"/>
        </w:rPr>
      </w:pPr>
      <w:r w:rsidRPr="002826AC">
        <w:t xml:space="preserve">inflammatory </w:t>
      </w:r>
      <w:proofErr w:type="spellStart"/>
      <w:r w:rsidRPr="002826AC">
        <w:t>arthritides</w:t>
      </w:r>
      <w:proofErr w:type="spellEnd"/>
      <w:r w:rsidRPr="002826AC">
        <w:t>,</w:t>
      </w:r>
    </w:p>
    <w:p w14:paraId="07CC3230" w14:textId="77777777" w:rsidR="00852466" w:rsidRPr="002826AC" w:rsidRDefault="00852466" w:rsidP="00852466">
      <w:pPr>
        <w:pStyle w:val="3-BodyText"/>
        <w:numPr>
          <w:ilvl w:val="0"/>
          <w:numId w:val="103"/>
        </w:numPr>
        <w:spacing w:before="120"/>
        <w:rPr>
          <w:color w:val="0066FF"/>
        </w:rPr>
      </w:pPr>
      <w:r w:rsidRPr="002826AC">
        <w:t>uveitis,</w:t>
      </w:r>
    </w:p>
    <w:p w14:paraId="3FAE0F10" w14:textId="77777777" w:rsidR="00852466" w:rsidRPr="002826AC" w:rsidRDefault="00852466" w:rsidP="00852466">
      <w:pPr>
        <w:pStyle w:val="3-BodyText"/>
        <w:numPr>
          <w:ilvl w:val="0"/>
          <w:numId w:val="103"/>
        </w:numPr>
        <w:spacing w:before="120"/>
      </w:pPr>
      <w:r w:rsidRPr="002826AC">
        <w:t>inflammatory bowel diseases,</w:t>
      </w:r>
    </w:p>
    <w:p w14:paraId="1384B86D" w14:textId="77777777" w:rsidR="00852466" w:rsidRPr="002826AC" w:rsidRDefault="00852466" w:rsidP="00852466">
      <w:pPr>
        <w:pStyle w:val="3-BodyText"/>
        <w:numPr>
          <w:ilvl w:val="0"/>
          <w:numId w:val="103"/>
        </w:numPr>
        <w:spacing w:before="120"/>
      </w:pPr>
      <w:r w:rsidRPr="002826AC">
        <w:t>psoriasis,</w:t>
      </w:r>
    </w:p>
    <w:p w14:paraId="65A3D861" w14:textId="77777777" w:rsidR="00852466" w:rsidRPr="002826AC" w:rsidRDefault="00852466" w:rsidP="00852466">
      <w:pPr>
        <w:pStyle w:val="3-BodyText"/>
        <w:numPr>
          <w:ilvl w:val="0"/>
          <w:numId w:val="103"/>
        </w:numPr>
        <w:spacing w:before="120"/>
      </w:pPr>
      <w:r w:rsidRPr="002826AC">
        <w:t>rarer inflammatory diseases: sarcoidosis; chronic recurrent multifocal osteomyelitis; synovitis, acne, pustulosis, hyperostosis and osteitis syndrome; Behcet’s disease; juvenile dermatomyositis; chronic vasculitis; chronic erythema multiforme; pyoderma gangrenosum (PG); pyogenic arthritis, PG and acne (PAPA) and related neutrophilic dermatoses,</w:t>
      </w:r>
    </w:p>
    <w:p w14:paraId="59B0F693" w14:textId="77777777" w:rsidR="00852466" w:rsidRPr="002826AC" w:rsidRDefault="00852466" w:rsidP="00852466">
      <w:pPr>
        <w:pStyle w:val="3-BodyText"/>
        <w:numPr>
          <w:ilvl w:val="0"/>
          <w:numId w:val="103"/>
        </w:numPr>
        <w:spacing w:before="120"/>
      </w:pPr>
      <w:r w:rsidRPr="002826AC">
        <w:t>acute, severe inflammatory conditions (short term use in the hospital setting): Stevens Johnson Syndrome, Toxic Epidermal Necrolysis, Toxic Shock Syndrome and Kawasaki disease.</w:t>
      </w:r>
    </w:p>
    <w:p w14:paraId="74F05079" w14:textId="77777777" w:rsidR="00852466" w:rsidRPr="002826AC" w:rsidRDefault="00852466" w:rsidP="00852466">
      <w:pPr>
        <w:pStyle w:val="3-BodyText"/>
        <w:numPr>
          <w:ilvl w:val="1"/>
          <w:numId w:val="2"/>
        </w:numPr>
        <w:spacing w:before="120"/>
      </w:pPr>
      <w:r w:rsidRPr="002826AC">
        <w:t>The submission noted there are differences in treatment and outcomes in rural and regional Australia compared to metropolitan areas, and differences based on public versus private treatment and a patient’s socioeconomic status. There are also differences in medicines included in state and individual hospital formularies. The submission stated that including adalimumab on the PBS for paediatric indications could help to improve equitable access to effective treatment through removing geographic and facility-based barriers to treatment. It could also reduce pressure on hospitals and private clinics through reductions in in-patient care requirements, noting patients in remission will have reduced healthcare needs compared to those with active disease.</w:t>
      </w:r>
    </w:p>
    <w:p w14:paraId="424C2173" w14:textId="77777777" w:rsidR="00852466" w:rsidRPr="002826AC" w:rsidRDefault="00852466" w:rsidP="00852466">
      <w:pPr>
        <w:ind w:firstLine="709"/>
        <w:rPr>
          <w:rFonts w:asciiTheme="minorHAnsi" w:hAnsiTheme="minorHAnsi"/>
          <w:i/>
        </w:rPr>
      </w:pPr>
      <w:r w:rsidRPr="002826AC">
        <w:rPr>
          <w:rFonts w:asciiTheme="minorHAnsi" w:hAnsiTheme="minorHAnsi"/>
          <w:i/>
        </w:rPr>
        <w:t>For more detail on PBAC’s view, see section 7 PBAC outcome.</w:t>
      </w:r>
    </w:p>
    <w:p w14:paraId="7DAC1D67" w14:textId="77777777" w:rsidR="00852466" w:rsidRPr="002826AC" w:rsidRDefault="00852466" w:rsidP="00852466">
      <w:pPr>
        <w:pStyle w:val="2-SectionHeading"/>
        <w:numPr>
          <w:ilvl w:val="0"/>
          <w:numId w:val="2"/>
        </w:numPr>
      </w:pPr>
      <w:r w:rsidRPr="002826AC">
        <w:t>Comparator</w:t>
      </w:r>
    </w:p>
    <w:p w14:paraId="4EF0F672" w14:textId="77777777" w:rsidR="00852466" w:rsidRPr="002826AC" w:rsidRDefault="00852466" w:rsidP="00852466">
      <w:pPr>
        <w:pStyle w:val="3-BodyText"/>
        <w:numPr>
          <w:ilvl w:val="1"/>
          <w:numId w:val="2"/>
        </w:numPr>
        <w:spacing w:before="120"/>
      </w:pPr>
      <w:r w:rsidRPr="002826AC">
        <w:t>The submission did not nominate a comparator.</w:t>
      </w:r>
    </w:p>
    <w:p w14:paraId="0D2B6156" w14:textId="77777777" w:rsidR="00852466" w:rsidRPr="002826AC" w:rsidRDefault="00852466" w:rsidP="00852466">
      <w:pPr>
        <w:pStyle w:val="3-BodyText"/>
        <w:numPr>
          <w:ilvl w:val="1"/>
          <w:numId w:val="2"/>
        </w:numPr>
        <w:spacing w:before="120"/>
      </w:pPr>
      <w:r w:rsidRPr="002826AC">
        <w:t>Any other medicine used for the management of IMIDs in paediatric patients could be considered comparators to adalimumab. These could include:</w:t>
      </w:r>
    </w:p>
    <w:p w14:paraId="5441E5A0" w14:textId="77777777" w:rsidR="00852466" w:rsidRPr="002826AC" w:rsidRDefault="00852466" w:rsidP="00852466">
      <w:pPr>
        <w:pStyle w:val="ListParagraph"/>
        <w:ind w:hanging="360"/>
        <w:jc w:val="both"/>
      </w:pPr>
      <w:r w:rsidRPr="002826AC">
        <w:t>For severe active juvenile idiopathic arthritis: etanercept, tocilizumab, tofacitinib, hydroxychloroquine, sulfasalazine.</w:t>
      </w:r>
    </w:p>
    <w:p w14:paraId="7F130C9A" w14:textId="77777777" w:rsidR="00852466" w:rsidRPr="002826AC" w:rsidRDefault="00852466" w:rsidP="00852466">
      <w:pPr>
        <w:pStyle w:val="ListParagraph"/>
        <w:ind w:hanging="360"/>
        <w:jc w:val="both"/>
      </w:pPr>
      <w:r w:rsidRPr="002826AC">
        <w:t xml:space="preserve">For moderate to severe ulcerative colitis and Crohn disease: infliximab, </w:t>
      </w:r>
      <w:proofErr w:type="spellStart"/>
      <w:r w:rsidRPr="002826AC">
        <w:t>mesalazine</w:t>
      </w:r>
      <w:proofErr w:type="spellEnd"/>
      <w:r w:rsidRPr="002826AC">
        <w:t xml:space="preserve">, </w:t>
      </w:r>
      <w:proofErr w:type="spellStart"/>
      <w:r w:rsidRPr="002826AC">
        <w:t>olsalazine</w:t>
      </w:r>
      <w:proofErr w:type="spellEnd"/>
      <w:r w:rsidRPr="002826AC">
        <w:t>, sulfasalazine.</w:t>
      </w:r>
    </w:p>
    <w:p w14:paraId="18D77C37" w14:textId="77777777" w:rsidR="00852466" w:rsidRPr="002826AC" w:rsidRDefault="00852466" w:rsidP="00852466">
      <w:pPr>
        <w:pStyle w:val="ListParagraph"/>
        <w:ind w:hanging="360"/>
        <w:jc w:val="both"/>
      </w:pPr>
      <w:r w:rsidRPr="002826AC">
        <w:t>For complex refractory Fistulising Crohn disease: ustekinumab, infliximab.</w:t>
      </w:r>
    </w:p>
    <w:p w14:paraId="1DC4FEA8" w14:textId="77777777" w:rsidR="00852466" w:rsidRPr="002826AC" w:rsidRDefault="00852466" w:rsidP="00852466">
      <w:pPr>
        <w:pStyle w:val="ListParagraph"/>
        <w:ind w:hanging="360"/>
        <w:jc w:val="both"/>
      </w:pPr>
      <w:r w:rsidRPr="002826AC">
        <w:t>Psoriasis: acitretin, ustekinumab, etanercept.</w:t>
      </w:r>
    </w:p>
    <w:p w14:paraId="296A411C" w14:textId="77777777" w:rsidR="00852466" w:rsidRPr="002826AC" w:rsidRDefault="00852466" w:rsidP="00852466">
      <w:pPr>
        <w:pStyle w:val="ListParagraph"/>
        <w:ind w:hanging="360"/>
        <w:jc w:val="both"/>
      </w:pPr>
      <w:r w:rsidRPr="002826AC">
        <w:t>Azathioprine, mercaptopurine, methotrexate.</w:t>
      </w:r>
    </w:p>
    <w:p w14:paraId="6C508CFC" w14:textId="77777777" w:rsidR="00852466" w:rsidRPr="002826AC" w:rsidRDefault="00852466" w:rsidP="00852466">
      <w:pPr>
        <w:pStyle w:val="3-BodyText"/>
        <w:numPr>
          <w:ilvl w:val="1"/>
          <w:numId w:val="2"/>
        </w:numPr>
        <w:spacing w:before="120"/>
      </w:pPr>
      <w:r w:rsidRPr="002826AC">
        <w:t>The PSCR disagreed that any other PBS-listed conventional or biological DMARDs could be considered comparators to adalimumab for the proposed population and place in therapy. It argued that as the proposed restriction is indication-agnostic and intended for children with the greatest risk of permanent disability and/or psychological distress, there were too many complex and multifarious factors to allow for an appropriate comparator. The ESC considered that while this may be true for rare conditions, comparators are appropriate for the main indications of use.</w:t>
      </w:r>
    </w:p>
    <w:p w14:paraId="693D9A21" w14:textId="77777777" w:rsidR="00852466" w:rsidRPr="002826AC" w:rsidRDefault="00852466" w:rsidP="00852466">
      <w:pPr>
        <w:ind w:firstLine="709"/>
        <w:rPr>
          <w:rFonts w:asciiTheme="minorHAnsi" w:hAnsiTheme="minorHAnsi"/>
          <w:i/>
        </w:rPr>
      </w:pPr>
      <w:r w:rsidRPr="002826AC">
        <w:rPr>
          <w:rFonts w:asciiTheme="minorHAnsi" w:hAnsiTheme="minorHAnsi"/>
          <w:i/>
        </w:rPr>
        <w:t>For more detail on PBAC’s view, see section 7 PBAC outcome.</w:t>
      </w:r>
    </w:p>
    <w:p w14:paraId="7B4EC41E" w14:textId="77777777" w:rsidR="00852466" w:rsidRPr="002826AC" w:rsidRDefault="00852466" w:rsidP="00852466">
      <w:pPr>
        <w:pStyle w:val="2-SectionHeading"/>
        <w:numPr>
          <w:ilvl w:val="0"/>
          <w:numId w:val="2"/>
        </w:numPr>
      </w:pPr>
      <w:r w:rsidRPr="002826AC">
        <w:t>Consideration of the evidence</w:t>
      </w:r>
    </w:p>
    <w:p w14:paraId="17C6B4D4" w14:textId="77777777" w:rsidR="00852466" w:rsidRPr="002826AC" w:rsidRDefault="00852466" w:rsidP="00852466">
      <w:pPr>
        <w:pStyle w:val="4-SubsectionHeading"/>
      </w:pPr>
      <w:r w:rsidRPr="002826AC">
        <w:t>Sponsor hearing</w:t>
      </w:r>
    </w:p>
    <w:p w14:paraId="3D13DB4B" w14:textId="77777777" w:rsidR="00852466" w:rsidRDefault="00852466" w:rsidP="00852466">
      <w:pPr>
        <w:widowControl w:val="0"/>
        <w:numPr>
          <w:ilvl w:val="1"/>
          <w:numId w:val="2"/>
        </w:numPr>
        <w:spacing w:after="120"/>
        <w:rPr>
          <w:rFonts w:asciiTheme="minorHAnsi" w:hAnsiTheme="minorHAnsi"/>
          <w:bCs/>
          <w:snapToGrid w:val="0"/>
        </w:rPr>
      </w:pPr>
      <w:r w:rsidRPr="002826AC">
        <w:rPr>
          <w:rFonts w:asciiTheme="minorHAnsi" w:hAnsiTheme="minorHAnsi"/>
          <w:bCs/>
          <w:snapToGrid w:val="0"/>
        </w:rPr>
        <w:t>The sponsor requested a hearing for this item. Clinicians commented on the effectiveness of adalimumab for paediatric IMIDs, including rarer conditions, and presented clinical case studies of children presenting with IMIDs who would benefit from treatment with adalimumab but who would not be eligible to received PBS subsided therapy through the current PBS listings for adalimumab. Clinicians commented that earlier treatment with a biological medication was associated with better patient outcomes, disease remission, and prevention of long term complications. Challenges with daily activities (e.g. physical, social and education development) and quality of life for both the child and family were noted by the clinicians, and that earlier access to adalimumab would benefit these patients and their families. Clinicians stated that the requested listing would support patients to have more timely access to adalimumab, treatment would generally be used for 2 years before trialling a withdrawal, and that patients would only continue treatment with adalimumab if a benefit was seen.</w:t>
      </w:r>
    </w:p>
    <w:p w14:paraId="3DD0A184" w14:textId="77777777" w:rsidR="00852466" w:rsidRPr="002826AC" w:rsidRDefault="00852466" w:rsidP="00852466">
      <w:pPr>
        <w:pStyle w:val="4-SubsectionHeading"/>
      </w:pPr>
      <w:r w:rsidRPr="002826AC">
        <w:t>Consumer comments</w:t>
      </w:r>
    </w:p>
    <w:p w14:paraId="07D1138F" w14:textId="77777777" w:rsidR="00852466" w:rsidRPr="002826AC" w:rsidRDefault="00852466" w:rsidP="00852466">
      <w:pPr>
        <w:widowControl w:val="0"/>
        <w:numPr>
          <w:ilvl w:val="1"/>
          <w:numId w:val="2"/>
        </w:numPr>
        <w:spacing w:after="120"/>
        <w:rPr>
          <w:rFonts w:asciiTheme="minorHAnsi" w:hAnsiTheme="minorHAnsi"/>
          <w:bCs/>
          <w:snapToGrid w:val="0"/>
        </w:rPr>
      </w:pPr>
      <w:r w:rsidRPr="002826AC">
        <w:rPr>
          <w:rFonts w:asciiTheme="minorHAnsi" w:hAnsiTheme="minorHAnsi"/>
          <w:bCs/>
          <w:snapToGrid w:val="0"/>
        </w:rPr>
        <w:t>The PBAC noted and welcomed the input from individuals (6), health care professionals (3) and organisations (4) via the Consumer Comments facility on the PBS website</w:t>
      </w:r>
      <w:r>
        <w:rPr>
          <w:rFonts w:asciiTheme="minorHAnsi" w:hAnsiTheme="minorHAnsi"/>
          <w:bCs/>
          <w:snapToGrid w:val="0"/>
        </w:rPr>
        <w:t xml:space="preserve">. </w:t>
      </w:r>
      <w:r w:rsidRPr="002826AC">
        <w:rPr>
          <w:rFonts w:asciiTheme="minorHAnsi" w:hAnsiTheme="minorHAnsi"/>
          <w:bCs/>
          <w:snapToGrid w:val="0"/>
        </w:rPr>
        <w:t>The comments noted the effectiveness of adalimumab for paediatric IMIDs in improving disease symptoms and quality of life, and that it could be easily administered. Comments also stated the current PBS restrictions for this medication did not reflect current practice, and did not allow use in all paediatric patients who would benefit from treatment. One comment stated that for rarer conditions there is a lack of robust research, and treatment approaches are based on consensus opinion. Comments were supportive of the requested listing, stating that it would allow access to adalimumab earlier in the treatment course and lead to better patient outcomes.</w:t>
      </w:r>
    </w:p>
    <w:p w14:paraId="7AE7F6D0" w14:textId="77777777" w:rsidR="00852466" w:rsidRDefault="00852466" w:rsidP="00852466">
      <w:pPr>
        <w:widowControl w:val="0"/>
        <w:numPr>
          <w:ilvl w:val="1"/>
          <w:numId w:val="2"/>
        </w:numPr>
        <w:spacing w:after="120"/>
        <w:rPr>
          <w:rFonts w:asciiTheme="minorHAnsi" w:hAnsiTheme="minorHAnsi"/>
          <w:bCs/>
          <w:snapToGrid w:val="0"/>
        </w:rPr>
      </w:pPr>
      <w:r w:rsidRPr="002826AC">
        <w:rPr>
          <w:rFonts w:asciiTheme="minorHAnsi" w:hAnsiTheme="minorHAnsi"/>
          <w:bCs/>
          <w:snapToGrid w:val="0"/>
        </w:rPr>
        <w:t>Comments stated the current PBS restrictions created delays in patients accessing adalimumab, which could worsen patient outcomes. This included the paperwork currently required to prescribe adalimumab through the PBS, which could delay treatment for patients.</w:t>
      </w:r>
    </w:p>
    <w:p w14:paraId="2FF48DAA" w14:textId="77777777" w:rsidR="00852466" w:rsidRPr="002826AC" w:rsidRDefault="00852466" w:rsidP="00852466">
      <w:pPr>
        <w:widowControl w:val="0"/>
        <w:numPr>
          <w:ilvl w:val="1"/>
          <w:numId w:val="2"/>
        </w:numPr>
        <w:spacing w:after="120"/>
        <w:rPr>
          <w:rFonts w:asciiTheme="minorHAnsi" w:hAnsiTheme="minorHAnsi"/>
          <w:bCs/>
          <w:snapToGrid w:val="0"/>
        </w:rPr>
      </w:pPr>
      <w:r w:rsidRPr="002826AC">
        <w:rPr>
          <w:rFonts w:asciiTheme="minorHAnsi" w:hAnsiTheme="minorHAnsi"/>
          <w:bCs/>
          <w:snapToGrid w:val="0"/>
        </w:rPr>
        <w:t>Comments noted the financial strain to the family due to managing paediatric IMIDs, costs associated with accessing adalimumab when not living close to a hospital pharmacy supplying the medication (e.g. freight costs) and challenges with courier services delivering the medication.</w:t>
      </w:r>
    </w:p>
    <w:p w14:paraId="53EB6F39" w14:textId="77777777" w:rsidR="00852466" w:rsidRDefault="00852466" w:rsidP="00852466">
      <w:pPr>
        <w:widowControl w:val="0"/>
        <w:numPr>
          <w:ilvl w:val="1"/>
          <w:numId w:val="2"/>
        </w:numPr>
        <w:spacing w:after="120"/>
        <w:rPr>
          <w:rFonts w:asciiTheme="minorHAnsi" w:hAnsiTheme="minorHAnsi"/>
          <w:bCs/>
          <w:snapToGrid w:val="0"/>
        </w:rPr>
      </w:pPr>
      <w:r w:rsidRPr="002826AC">
        <w:rPr>
          <w:rFonts w:asciiTheme="minorHAnsi" w:hAnsiTheme="minorHAnsi"/>
          <w:bCs/>
          <w:snapToGrid w:val="0"/>
        </w:rPr>
        <w:t>Some comments noted adverse effects experienced with adalimumab, however others stated it had a good safety profile and has been used for many years.</w:t>
      </w:r>
    </w:p>
    <w:p w14:paraId="0A16CDF4" w14:textId="77777777" w:rsidR="00852466" w:rsidRPr="002826AC" w:rsidRDefault="00852466" w:rsidP="00852466">
      <w:pPr>
        <w:pStyle w:val="4-SubsectionHeading"/>
        <w:rPr>
          <w:snapToGrid w:val="0"/>
        </w:rPr>
      </w:pPr>
      <w:r w:rsidRPr="002826AC">
        <w:t>Clinical place for the proposed therapy</w:t>
      </w:r>
    </w:p>
    <w:p w14:paraId="27E7C0DD" w14:textId="77777777" w:rsidR="00852466" w:rsidRDefault="00852466" w:rsidP="00852466">
      <w:pPr>
        <w:pStyle w:val="ExecSumBodyText"/>
        <w:numPr>
          <w:ilvl w:val="1"/>
          <w:numId w:val="2"/>
        </w:numPr>
      </w:pPr>
      <w:r w:rsidRPr="002826AC">
        <w:t>The submission outlined the following patient populations who may access adalimumab through the proposed indication-agnostic PBS-listing and provided the below justifications for the requested listing. This list was informed by expert opinion from clinician working groups comprising paediatric rheumatologists, gastroenterologists and dermatologists, and through a literature review.</w:t>
      </w:r>
    </w:p>
    <w:p w14:paraId="00DEB31C" w14:textId="77777777" w:rsidR="00852466" w:rsidRPr="002826AC" w:rsidRDefault="00852466" w:rsidP="00852466">
      <w:pPr>
        <w:pStyle w:val="ListParagraph"/>
        <w:ind w:hanging="360"/>
        <w:jc w:val="both"/>
        <w:rPr>
          <w:i/>
          <w:iCs/>
        </w:rPr>
      </w:pPr>
      <w:r w:rsidRPr="002826AC">
        <w:t xml:space="preserve">Inflammatory </w:t>
      </w:r>
      <w:proofErr w:type="spellStart"/>
      <w:r w:rsidRPr="002826AC">
        <w:t>arthritides</w:t>
      </w:r>
      <w:proofErr w:type="spellEnd"/>
      <w:r w:rsidRPr="002826AC">
        <w:t>: the submission stated current PBS listings for paediatric juvenile idiopathic arthritis excludes patients with isolated sacroiliac and/or spinal disease (even though it is listed for ankylosing spondylitis in adults) and patients who have &lt;4 active joints involved who have high risk of erosive disease (due to involvement of the hip, wrist, ankle, jaw/temporomandibular joint).</w:t>
      </w:r>
    </w:p>
    <w:p w14:paraId="7A89DDF5" w14:textId="77777777" w:rsidR="00852466" w:rsidRDefault="00852466" w:rsidP="00852466">
      <w:pPr>
        <w:pStyle w:val="ListParagraph"/>
        <w:numPr>
          <w:ilvl w:val="1"/>
          <w:numId w:val="3"/>
        </w:numPr>
        <w:tabs>
          <w:tab w:val="clear" w:pos="360"/>
        </w:tabs>
        <w:ind w:left="1560"/>
        <w:jc w:val="both"/>
      </w:pPr>
      <w:r w:rsidRPr="002826AC">
        <w:t xml:space="preserve">The Australian Paediatric Rheumatology Group and the Juvenile Arthritis Foundation stated in their submissions to the </w:t>
      </w:r>
      <w:proofErr w:type="spellStart"/>
      <w:r w:rsidRPr="002826AC">
        <w:t>HoR</w:t>
      </w:r>
      <w:proofErr w:type="spellEnd"/>
      <w:r w:rsidRPr="002826AC">
        <w:t xml:space="preserve"> Inquiry that specifying an arbitrary number of joints affected plus failure of methotrexate to access biologic treatment does not reflect the increased understanding of disease progression and potential benefits of early, aggressive treat-to-target approaches.</w:t>
      </w:r>
    </w:p>
    <w:p w14:paraId="16150754" w14:textId="77777777" w:rsidR="00852466" w:rsidRDefault="00852466" w:rsidP="00852466">
      <w:pPr>
        <w:pStyle w:val="ListParagraph"/>
        <w:numPr>
          <w:ilvl w:val="1"/>
          <w:numId w:val="3"/>
        </w:numPr>
        <w:tabs>
          <w:tab w:val="clear" w:pos="360"/>
        </w:tabs>
        <w:ind w:left="1560"/>
        <w:jc w:val="both"/>
      </w:pPr>
      <w:r w:rsidRPr="002826AC">
        <w:t>The American College of Rheumatology (ACR) Guidelines and NHS Policy Statement recommend anti-TNF agents as first line treatment for patients where sacroiliitis or axial arthritis is present.</w:t>
      </w:r>
      <w:r w:rsidRPr="002826AC">
        <w:rPr>
          <w:rStyle w:val="FootnoteReference"/>
        </w:rPr>
        <w:footnoteReference w:id="2"/>
      </w:r>
      <w:r w:rsidRPr="002826AC">
        <w:rPr>
          <w:vertAlign w:val="superscript"/>
        </w:rPr>
        <w:t>,</w:t>
      </w:r>
      <w:r w:rsidRPr="002826AC">
        <w:rPr>
          <w:rStyle w:val="FootnoteReference"/>
        </w:rPr>
        <w:footnoteReference w:id="3"/>
      </w:r>
    </w:p>
    <w:p w14:paraId="3FC6E22E" w14:textId="77777777" w:rsidR="00852466" w:rsidRDefault="00852466" w:rsidP="00852466">
      <w:pPr>
        <w:pStyle w:val="ListParagraph"/>
        <w:numPr>
          <w:ilvl w:val="1"/>
          <w:numId w:val="3"/>
        </w:numPr>
        <w:tabs>
          <w:tab w:val="clear" w:pos="360"/>
        </w:tabs>
        <w:ind w:left="1560"/>
        <w:jc w:val="both"/>
      </w:pPr>
      <w:r w:rsidRPr="002826AC">
        <w:t>The National Institute for Health and Care Excellence (NICE) recommendation for adalimumab (and etanercept) in juvenile idiopathic arthritis was inclusive of polyarticular juvenile idiopathic arthritis, enthesitis-related arthritis and psoriatic juvenile idiopathic arthritis (with an acknowledgement that outcomes between populations was generalisable and based on clinical expert opinion).</w:t>
      </w:r>
      <w:r w:rsidRPr="002826AC">
        <w:rPr>
          <w:rStyle w:val="FootnoteReference"/>
        </w:rPr>
        <w:footnoteReference w:id="4"/>
      </w:r>
    </w:p>
    <w:p w14:paraId="4BDFCF2F" w14:textId="77777777" w:rsidR="00852466" w:rsidRPr="002826AC" w:rsidRDefault="00852466" w:rsidP="00852466">
      <w:pPr>
        <w:pStyle w:val="ExecSumBodyText"/>
        <w:ind w:left="1080" w:firstLine="0"/>
        <w:rPr>
          <w:i/>
          <w:iCs/>
        </w:rPr>
      </w:pPr>
      <w:r w:rsidRPr="002826AC">
        <w:t>The submission claimed the requested PBS listing for adalimumab would be aligned with international best practice for these indications.</w:t>
      </w:r>
      <w:r w:rsidRPr="002826AC">
        <w:rPr>
          <w:rStyle w:val="FootnoteReference"/>
        </w:rPr>
        <w:footnoteReference w:id="5"/>
      </w:r>
    </w:p>
    <w:p w14:paraId="641C1B0F" w14:textId="77777777" w:rsidR="00852466" w:rsidRDefault="00852466" w:rsidP="00852466">
      <w:pPr>
        <w:pStyle w:val="ExecSumBodyText"/>
        <w:numPr>
          <w:ilvl w:val="0"/>
          <w:numId w:val="96"/>
        </w:numPr>
        <w:ind w:left="1080"/>
        <w:rPr>
          <w:rFonts w:cstheme="minorHAnsi"/>
        </w:rPr>
      </w:pPr>
      <w:r w:rsidRPr="002826AC">
        <w:t xml:space="preserve">Uveitis: the submission stated that children with juvenile idiopathic arthritis-associated uveitis can currently only access adalimumab on the PBS if they meet the required number of swollen and tender joints. The submission claimed that uveitis is present in </w:t>
      </w:r>
      <w:r w:rsidRPr="002826AC">
        <w:rPr>
          <w:rFonts w:cstheme="minorHAnsi"/>
        </w:rPr>
        <w:t>approximately 20% of patients with oligoarticular juvenile idiopathic arthritis and only 5% of patients with polyarticular juvenile idiopathic arthritis.</w:t>
      </w:r>
      <w:r w:rsidRPr="002826AC">
        <w:rPr>
          <w:rStyle w:val="FootnoteReference"/>
          <w:rFonts w:cstheme="minorHAnsi"/>
        </w:rPr>
        <w:footnoteReference w:id="6"/>
      </w:r>
      <w:r w:rsidRPr="002826AC">
        <w:rPr>
          <w:rFonts w:cstheme="minorHAnsi"/>
        </w:rPr>
        <w:t xml:space="preserve"> The submission further claimed that in patients with oligoarticular juvenile idiopathic arthritis the uveitis can be more impactful in terms of disease severity compared to joint disease, and claimed that patients who would benefit the most from adalimumab cannot currently access it through the PBS.</w:t>
      </w:r>
    </w:p>
    <w:p w14:paraId="2546F840" w14:textId="77777777" w:rsidR="00852466" w:rsidRDefault="00852466" w:rsidP="00852466">
      <w:pPr>
        <w:pStyle w:val="ExecSumBodyText"/>
        <w:numPr>
          <w:ilvl w:val="0"/>
          <w:numId w:val="102"/>
        </w:numPr>
        <w:ind w:left="1560"/>
        <w:rPr>
          <w:rFonts w:cstheme="minorHAnsi"/>
        </w:rPr>
      </w:pPr>
      <w:r w:rsidRPr="002826AC">
        <w:rPr>
          <w:rFonts w:cstheme="minorHAnsi"/>
        </w:rPr>
        <w:t>Clinical practice guidelines produced by the ACR, the Single Hub and Access point for Paediatric Rheumatology in Europe (SHARE) and the Childhood Arthritis and Rheumatology Research Alliance (CARRA) recommend adalimumab as the first line biologic treatment for the treatment of juvenile idiopathic arthritis-associated uveitis in certain situations.</w:t>
      </w:r>
      <w:r w:rsidRPr="002826AC">
        <w:rPr>
          <w:rStyle w:val="FootnoteReference"/>
          <w:rFonts w:cstheme="minorHAnsi"/>
        </w:rPr>
        <w:footnoteReference w:id="7"/>
      </w:r>
      <w:r w:rsidRPr="002826AC">
        <w:rPr>
          <w:rFonts w:cstheme="minorHAnsi"/>
          <w:vertAlign w:val="superscript"/>
        </w:rPr>
        <w:t>,</w:t>
      </w:r>
      <w:r w:rsidRPr="002826AC">
        <w:rPr>
          <w:rStyle w:val="FootnoteReference"/>
          <w:rFonts w:cstheme="minorHAnsi"/>
        </w:rPr>
        <w:footnoteReference w:id="8"/>
      </w:r>
      <w:r w:rsidRPr="002826AC">
        <w:rPr>
          <w:rFonts w:cstheme="minorHAnsi"/>
          <w:vertAlign w:val="superscript"/>
        </w:rPr>
        <w:t>,</w:t>
      </w:r>
      <w:r w:rsidRPr="002826AC">
        <w:rPr>
          <w:rStyle w:val="FootnoteReference"/>
          <w:rFonts w:cstheme="minorHAnsi"/>
        </w:rPr>
        <w:footnoteReference w:id="9"/>
      </w:r>
      <w:r w:rsidRPr="002826AC">
        <w:rPr>
          <w:rFonts w:cstheme="minorHAnsi"/>
        </w:rPr>
        <w:t xml:space="preserve"> The ACR guidelines conditionally recommend starting methotrexate and a monoclonal antibody TNF inhibitor immediately for children and adolescents with juvenile idiopathic arthritis with severe active chronic anterior uveitis and sight threatening complications over methotrexate monotherapy.</w:t>
      </w:r>
      <w:r w:rsidRPr="002826AC">
        <w:rPr>
          <w:rFonts w:cstheme="minorHAnsi"/>
          <w:vertAlign w:val="superscript"/>
        </w:rPr>
        <w:t>6</w:t>
      </w:r>
      <w:r w:rsidRPr="002826AC">
        <w:rPr>
          <w:rFonts w:cstheme="minorHAnsi"/>
        </w:rPr>
        <w:t xml:space="preserve"> The CARRA guidelines state that patients who fail methotrexate should be considered for the TNF inhibitor consensus treatment plan (3 months of treatment is required before assessing methotrexate efficacy). If patients are not intolerant of methotrexate, a TNF inhibitor should be added to methotrexate (rather than replace). The TNF inhibitor consensus treatment plan can be considered for patients who are methotrexate-naïve with uncontrolled uveitis and severe disease, and methotrexate should be started simultaneously.</w:t>
      </w:r>
      <w:r w:rsidRPr="002826AC">
        <w:rPr>
          <w:rFonts w:cstheme="minorHAnsi"/>
          <w:vertAlign w:val="superscript"/>
        </w:rPr>
        <w:t>7</w:t>
      </w:r>
      <w:r w:rsidRPr="002826AC">
        <w:rPr>
          <w:rFonts w:cstheme="minorHAnsi"/>
        </w:rPr>
        <w:t xml:space="preserve"> Recommendations from the SHARE initiative state that TNF inhibitors (with adalimumab preferred) is recommended in patients with uveitis that is refractory or resistant to DMARD treatment (methotrexate).</w:t>
      </w:r>
      <w:r w:rsidRPr="002826AC">
        <w:rPr>
          <w:rFonts w:cstheme="minorHAnsi"/>
          <w:vertAlign w:val="superscript"/>
        </w:rPr>
        <w:t>8</w:t>
      </w:r>
      <w:r w:rsidRPr="002826AC">
        <w:rPr>
          <w:rFonts w:cstheme="minorHAnsi"/>
          <w:i/>
          <w:iCs/>
        </w:rPr>
        <w:t xml:space="preserve"> </w:t>
      </w:r>
      <w:r w:rsidRPr="002826AC">
        <w:rPr>
          <w:rFonts w:cstheme="minorHAnsi"/>
        </w:rPr>
        <w:t>This is consistent with the recommendation from The Australian and New Zealand Juvenile Idiopathic Arthritis-Uveitis Working Group, which recommend methotrexate as the first choice of conventional systemic immunosuppressive drug, and adalimumab as the first choice of biologic systemic immunosuppressive drug.</w:t>
      </w:r>
      <w:r w:rsidRPr="002826AC">
        <w:rPr>
          <w:rStyle w:val="FootnoteReference"/>
          <w:rFonts w:cstheme="minorHAnsi"/>
        </w:rPr>
        <w:footnoteReference w:id="10"/>
      </w:r>
    </w:p>
    <w:p w14:paraId="2EAE7502" w14:textId="77777777" w:rsidR="00852466" w:rsidRDefault="00852466" w:rsidP="00852466">
      <w:pPr>
        <w:pStyle w:val="ExecSumBodyText"/>
        <w:numPr>
          <w:ilvl w:val="0"/>
          <w:numId w:val="102"/>
        </w:numPr>
        <w:ind w:left="1560"/>
        <w:rPr>
          <w:rFonts w:cstheme="minorHAnsi"/>
        </w:rPr>
      </w:pPr>
      <w:r w:rsidRPr="002826AC">
        <w:rPr>
          <w:rFonts w:cstheme="minorHAnsi"/>
        </w:rPr>
        <w:t xml:space="preserve">The ACR guidelines recommend starting methotrexate and a monoclonal antibody </w:t>
      </w:r>
      <w:proofErr w:type="spellStart"/>
      <w:r w:rsidRPr="002826AC">
        <w:rPr>
          <w:rFonts w:cstheme="minorHAnsi"/>
        </w:rPr>
        <w:t>TNFi</w:t>
      </w:r>
      <w:proofErr w:type="spellEnd"/>
      <w:r w:rsidRPr="002826AC">
        <w:rPr>
          <w:rFonts w:cstheme="minorHAnsi"/>
        </w:rPr>
        <w:t xml:space="preserve"> immediately in children and adolescents with juvenile idiopathic arthritis with severe active chronic anterior uveitis and sight-threatening complications, over methotrexate monotherapy.</w:t>
      </w:r>
    </w:p>
    <w:p w14:paraId="75CBABAF" w14:textId="77777777" w:rsidR="00852466" w:rsidRPr="002826AC" w:rsidRDefault="00852466" w:rsidP="00852466">
      <w:pPr>
        <w:pStyle w:val="ExecSumBodyText"/>
        <w:numPr>
          <w:ilvl w:val="0"/>
          <w:numId w:val="102"/>
        </w:numPr>
        <w:ind w:left="1560"/>
        <w:rPr>
          <w:i/>
          <w:iCs/>
        </w:rPr>
      </w:pPr>
      <w:r w:rsidRPr="002826AC">
        <w:rPr>
          <w:rFonts w:cstheme="minorHAnsi"/>
        </w:rPr>
        <w:t xml:space="preserve">The submission stated that patients with non-infectious uveitis of other aetiologies without joint involvement have limited options to access adalimumab, despite the potential risk of vision loss. The submission stated that the Royal Australian and New Zealand College of Ophthalmologists (RANZCO) Paediatric, Glaucoma and Uveitis Special Interest Groups made a submission to the </w:t>
      </w:r>
      <w:proofErr w:type="spellStart"/>
      <w:r w:rsidRPr="002826AC">
        <w:rPr>
          <w:rFonts w:cstheme="minorHAnsi"/>
        </w:rPr>
        <w:t>HoR</w:t>
      </w:r>
      <w:proofErr w:type="spellEnd"/>
      <w:r w:rsidRPr="002826AC">
        <w:rPr>
          <w:rFonts w:cstheme="minorHAnsi"/>
        </w:rPr>
        <w:t xml:space="preserve"> Inquiry into Childhood Rheumatic Disease, with the suggestion that ‘adalimumab is PBS-listed for uveitis without joint involvement under the cotreatment of a paediatric rheumatologist.’</w:t>
      </w:r>
    </w:p>
    <w:p w14:paraId="2186503D" w14:textId="77777777" w:rsidR="00852466" w:rsidRDefault="00852466" w:rsidP="00852466">
      <w:pPr>
        <w:pStyle w:val="ExecSumBodyText"/>
        <w:numPr>
          <w:ilvl w:val="0"/>
          <w:numId w:val="96"/>
        </w:numPr>
        <w:ind w:left="1080"/>
      </w:pPr>
      <w:r w:rsidRPr="002826AC">
        <w:t>Inflammatory bowel diseases: the submission claimed the inflammatory burden and disease severity in inflammatory bowel disease can be greater in paediatric patients compared to adults.</w:t>
      </w:r>
    </w:p>
    <w:p w14:paraId="38C0EAC9" w14:textId="77777777" w:rsidR="00852466" w:rsidRDefault="00852466" w:rsidP="00852466">
      <w:pPr>
        <w:pStyle w:val="ExecSumBodyText"/>
        <w:numPr>
          <w:ilvl w:val="0"/>
          <w:numId w:val="104"/>
        </w:numPr>
        <w:ind w:left="1560"/>
      </w:pPr>
      <w:r w:rsidRPr="002826AC">
        <w:rPr>
          <w:rFonts w:cstheme="minorHAnsi"/>
        </w:rPr>
        <w:t xml:space="preserve">The submission stated for patients with high risk Crohn disease, in particular high-risk patients with perianal, </w:t>
      </w:r>
      <w:proofErr w:type="spellStart"/>
      <w:r w:rsidRPr="002826AC">
        <w:rPr>
          <w:rFonts w:cstheme="minorHAnsi"/>
        </w:rPr>
        <w:t>stricturing</w:t>
      </w:r>
      <w:proofErr w:type="spellEnd"/>
      <w:r w:rsidRPr="002826AC">
        <w:rPr>
          <w:rFonts w:cstheme="minorHAnsi"/>
        </w:rPr>
        <w:t xml:space="preserve"> or penetrating disease, or with severe growth retardation, international guidelines recommend the use of anti-TNF biologic therapies as first-line therapy, as well as proactive therapeutic drug level monitoring and escalation of therapy where necessary to maintain trough levels within the therapeutic range</w:t>
      </w:r>
      <w:r w:rsidRPr="002826AC">
        <w:t>.</w:t>
      </w:r>
      <w:r w:rsidRPr="002826AC">
        <w:rPr>
          <w:rStyle w:val="FootnoteReference"/>
        </w:rPr>
        <w:footnoteReference w:id="11"/>
      </w:r>
      <w:r w:rsidRPr="002826AC">
        <w:rPr>
          <w:vertAlign w:val="superscript"/>
        </w:rPr>
        <w:t>,</w:t>
      </w:r>
      <w:r w:rsidRPr="002826AC">
        <w:rPr>
          <w:rStyle w:val="FootnoteReference"/>
        </w:rPr>
        <w:footnoteReference w:id="12"/>
      </w:r>
    </w:p>
    <w:p w14:paraId="5BFBE474" w14:textId="77777777" w:rsidR="00852466" w:rsidRPr="002826AC" w:rsidRDefault="00852466" w:rsidP="00852466">
      <w:pPr>
        <w:pStyle w:val="ExecSumBodyText"/>
        <w:numPr>
          <w:ilvl w:val="0"/>
          <w:numId w:val="104"/>
        </w:numPr>
        <w:ind w:left="1560"/>
        <w:rPr>
          <w:i/>
          <w:iCs/>
        </w:rPr>
      </w:pPr>
      <w:r w:rsidRPr="002826AC">
        <w:t>The submission stated that flexibility to optimise dosing in children with inflammatory bowel disease can have a steroid-sparing effect, potentially reducing steroid-related complications observed in children, and minimising side effects that can be of concern to patients (weight gain, insomnia, ‘moon face’).</w:t>
      </w:r>
      <w:r w:rsidRPr="002826AC">
        <w:rPr>
          <w:rStyle w:val="FootnoteReference"/>
        </w:rPr>
        <w:footnoteReference w:id="13"/>
      </w:r>
      <w:r w:rsidRPr="002826AC">
        <w:rPr>
          <w:vertAlign w:val="superscript"/>
        </w:rPr>
        <w:t>,</w:t>
      </w:r>
      <w:r w:rsidRPr="002826AC">
        <w:rPr>
          <w:rStyle w:val="FootnoteReference"/>
        </w:rPr>
        <w:footnoteReference w:id="14"/>
      </w:r>
      <w:r w:rsidRPr="002826AC">
        <w:rPr>
          <w:vertAlign w:val="superscript"/>
        </w:rPr>
        <w:t xml:space="preserve"> </w:t>
      </w:r>
      <w:r w:rsidRPr="002826AC">
        <w:t>One of the references cited (Costello R et al) was a survey of adults, who rated weight gain as the most important adverse effect, followed by insomnia, ‘moon face’ and other adverse effects which were ranked at the same level of importance.</w:t>
      </w:r>
    </w:p>
    <w:p w14:paraId="69782243" w14:textId="77777777" w:rsidR="00852466" w:rsidRDefault="00852466" w:rsidP="00852466">
      <w:pPr>
        <w:pStyle w:val="ExecSumBodyText"/>
        <w:numPr>
          <w:ilvl w:val="0"/>
          <w:numId w:val="96"/>
        </w:numPr>
        <w:ind w:left="1080"/>
      </w:pPr>
      <w:r w:rsidRPr="002826AC">
        <w:t>Psoriasis: The submission stated that adalimumab is not currently PBS-listed for paediatric patients with chronic plaque psoriasis.</w:t>
      </w:r>
    </w:p>
    <w:p w14:paraId="40C7424D" w14:textId="77777777" w:rsidR="00852466" w:rsidRDefault="00852466" w:rsidP="00852466">
      <w:pPr>
        <w:pStyle w:val="ExecSumBodyText"/>
        <w:numPr>
          <w:ilvl w:val="0"/>
          <w:numId w:val="105"/>
        </w:numPr>
        <w:ind w:left="1560"/>
      </w:pPr>
      <w:r w:rsidRPr="002826AC">
        <w:t>Patients can access etanercept and ustekinumab if they meet the disease severity and prior failed therapy criteria aligned to the existing adult restriction criteria (lesions present ≥ 6 months; baseline psoriasis area and severity score (PASI) ≥ 15; failure of 2 out of 3 conventional therapies). The submission stated these criteria are clinically inappropriate for paediatric patients, as children often present with significant involvement in isolated body areas (facial, scalp, nail) which is visually confronting and functionally debilitating (hands and feet)</w:t>
      </w:r>
      <w:r w:rsidRPr="002826AC">
        <w:rPr>
          <w:rStyle w:val="FootnoteReference"/>
        </w:rPr>
        <w:footnoteReference w:id="15"/>
      </w:r>
      <w:r w:rsidRPr="002826AC">
        <w:t>, but with insufficient body surface area involved to meet the PASI threshold. There can be practical challenges to using phototherapy in children, such as school absenteeism and fear of isolation in the phototherapy cabinet.</w:t>
      </w:r>
    </w:p>
    <w:p w14:paraId="37475545" w14:textId="77777777" w:rsidR="00852466" w:rsidRDefault="00852466" w:rsidP="00852466">
      <w:pPr>
        <w:pStyle w:val="ExecSumBodyText"/>
        <w:numPr>
          <w:ilvl w:val="0"/>
          <w:numId w:val="105"/>
        </w:numPr>
        <w:ind w:left="1560"/>
      </w:pPr>
      <w:r w:rsidRPr="002826AC">
        <w:t>The submission stated that delays in initiating an effective biologic treatment for chronic plaque psoriasis can lead to significant comorbidities and psychological impact, including a higher prevalence of obesity, diabetes mellitus, hypertension, juvenile arthritis, Crohn disease and psychiatric disorders.</w:t>
      </w:r>
      <w:r w:rsidRPr="002826AC">
        <w:rPr>
          <w:vertAlign w:val="superscript"/>
        </w:rPr>
        <w:t>14,</w:t>
      </w:r>
      <w:r w:rsidRPr="002826AC">
        <w:rPr>
          <w:rStyle w:val="FootnoteReference"/>
        </w:rPr>
        <w:footnoteReference w:id="16"/>
      </w:r>
    </w:p>
    <w:p w14:paraId="469F14FA" w14:textId="77777777" w:rsidR="00852466" w:rsidRPr="002826AC" w:rsidRDefault="00852466" w:rsidP="00852466">
      <w:pPr>
        <w:pStyle w:val="ExecSumBodyText"/>
        <w:numPr>
          <w:ilvl w:val="0"/>
          <w:numId w:val="105"/>
        </w:numPr>
        <w:ind w:left="1560"/>
        <w:rPr>
          <w:i/>
          <w:iCs/>
        </w:rPr>
      </w:pPr>
      <w:r w:rsidRPr="002826AC">
        <w:t>The submission stated that adalimumab could also be used for guttate psoriasis flares and acute pustular psoriasis flares that require hospitalisation and treatment with methotrexate (with adalimumab supporting earlier discharge and return to normal family function, and ongoing outpatient treatment and management).</w:t>
      </w:r>
    </w:p>
    <w:p w14:paraId="5FF49DA6" w14:textId="77777777" w:rsidR="00852466" w:rsidRPr="002826AC" w:rsidRDefault="00852466" w:rsidP="00852466">
      <w:pPr>
        <w:pStyle w:val="ExecSumBodyText"/>
        <w:numPr>
          <w:ilvl w:val="0"/>
          <w:numId w:val="96"/>
        </w:numPr>
        <w:ind w:left="1080"/>
        <w:rPr>
          <w:i/>
          <w:iCs/>
        </w:rPr>
      </w:pPr>
      <w:r w:rsidRPr="002826AC">
        <w:t xml:space="preserve">Rarer autoinflammatory diseases: The submission stated there are </w:t>
      </w:r>
      <w:proofErr w:type="gramStart"/>
      <w:r w:rsidRPr="002826AC">
        <w:t>a number of</w:t>
      </w:r>
      <w:proofErr w:type="gramEnd"/>
      <w:r w:rsidRPr="002826AC">
        <w:t xml:space="preserve"> less common IMIDs where adalimumab may be used in clinical practice in Australia (summarised in paragraph 4.4). The submission claimed making adalimumab accessible for these patients through the proposed indication-agnostic listing would help address inequities in access to effective treatments for these children.</w:t>
      </w:r>
    </w:p>
    <w:p w14:paraId="4650D98C" w14:textId="77777777" w:rsidR="00852466" w:rsidRPr="002826AC" w:rsidRDefault="00852466" w:rsidP="00852466">
      <w:pPr>
        <w:pStyle w:val="ExecSumBodyText"/>
        <w:numPr>
          <w:ilvl w:val="0"/>
          <w:numId w:val="96"/>
        </w:numPr>
        <w:ind w:left="1080"/>
        <w:rPr>
          <w:i/>
          <w:iCs/>
        </w:rPr>
      </w:pPr>
      <w:r w:rsidRPr="002826AC">
        <w:t xml:space="preserve">Acute, severe inflammatory conditions: The submission stated clinician working groups identified </w:t>
      </w:r>
      <w:proofErr w:type="gramStart"/>
      <w:r w:rsidRPr="002826AC">
        <w:t>a number of</w:t>
      </w:r>
      <w:proofErr w:type="gramEnd"/>
      <w:r w:rsidRPr="002826AC">
        <w:t xml:space="preserve"> conditions where adalimumab may be used in hospitalised patients, based either on evidence available in the literature or personal clinical experience (outlined in paragraph 4.4). It is anticipated by the experts that these conditions would require short-term use of adalimumab.</w:t>
      </w:r>
    </w:p>
    <w:p w14:paraId="26B6AD72" w14:textId="77777777" w:rsidR="00852466" w:rsidRPr="002826AC" w:rsidRDefault="00852466" w:rsidP="00852466">
      <w:pPr>
        <w:pStyle w:val="4-SubsectionHeading"/>
      </w:pPr>
      <w:r w:rsidRPr="002826AC">
        <w:t>Clinical evidence</w:t>
      </w:r>
    </w:p>
    <w:p w14:paraId="68CE13B5" w14:textId="28EA6D57" w:rsidR="002D038C" w:rsidRPr="00293A67" w:rsidRDefault="00852466" w:rsidP="002D038C">
      <w:pPr>
        <w:pStyle w:val="3-BodyText"/>
        <w:numPr>
          <w:ilvl w:val="1"/>
          <w:numId w:val="2"/>
        </w:numPr>
        <w:spacing w:before="120"/>
        <w:rPr>
          <w:rFonts w:ascii="Arial Narrow" w:hAnsi="Arial Narrow"/>
          <w:b/>
          <w:sz w:val="20"/>
        </w:rPr>
      </w:pPr>
      <w:r w:rsidRPr="002826AC">
        <w:t>The submission presented a literature search which it stated focused on the evidence for adalimumab for the treatment of paediatric indications. The literature search found 17 randomised controlled trials (including phase 3 registrational studies) and 6 non-randomised interventional trials in open-label extension studies (Table 1).</w:t>
      </w:r>
    </w:p>
    <w:p w14:paraId="6D693D7F" w14:textId="781031BE" w:rsidR="00293A67" w:rsidRPr="002D038C" w:rsidRDefault="00930ADD" w:rsidP="00293A67">
      <w:pPr>
        <w:pStyle w:val="3-BodyText"/>
        <w:numPr>
          <w:ilvl w:val="0"/>
          <w:numId w:val="0"/>
        </w:numPr>
        <w:spacing w:before="120" w:after="0"/>
        <w:rPr>
          <w:rFonts w:ascii="Arial Narrow" w:hAnsi="Arial Narrow"/>
          <w:b/>
          <w:sz w:val="20"/>
        </w:rPr>
      </w:pPr>
      <w:r w:rsidRPr="00930ADD">
        <w:rPr>
          <w:rFonts w:ascii="Arial Narrow" w:hAnsi="Arial Narrow"/>
          <w:b/>
          <w:sz w:val="20"/>
        </w:rPr>
        <w:t>Table 1: Trials presented in the submission</w:t>
      </w:r>
    </w:p>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presented in the submission"/>
      </w:tblPr>
      <w:tblGrid>
        <w:gridCol w:w="1692"/>
        <w:gridCol w:w="5631"/>
        <w:gridCol w:w="1693"/>
      </w:tblGrid>
      <w:tr w:rsidR="00293A67" w:rsidRPr="002826AC" w14:paraId="7CD9D7E5" w14:textId="77777777" w:rsidTr="00293A67">
        <w:tc>
          <w:tcPr>
            <w:tcW w:w="938" w:type="pct"/>
            <w:vAlign w:val="center"/>
          </w:tcPr>
          <w:p w14:paraId="3C7D95A5" w14:textId="77777777" w:rsidR="00293A67" w:rsidRPr="002826AC" w:rsidRDefault="00293A67" w:rsidP="00293A67">
            <w:pPr>
              <w:pStyle w:val="In-tableHeading"/>
              <w:keepLines/>
              <w:jc w:val="center"/>
              <w:rPr>
                <w:lang w:val="en-AU"/>
              </w:rPr>
            </w:pPr>
            <w:r w:rsidRPr="002826AC">
              <w:rPr>
                <w:lang w:val="en-AU"/>
              </w:rPr>
              <w:t>Trial ID</w:t>
            </w:r>
          </w:p>
        </w:tc>
        <w:tc>
          <w:tcPr>
            <w:tcW w:w="3123" w:type="pct"/>
            <w:vAlign w:val="center"/>
          </w:tcPr>
          <w:p w14:paraId="38E2C27E" w14:textId="77777777" w:rsidR="00293A67" w:rsidRPr="002826AC" w:rsidRDefault="00293A67" w:rsidP="00293A67">
            <w:pPr>
              <w:pStyle w:val="In-tableHeading"/>
              <w:keepLines/>
              <w:rPr>
                <w:lang w:val="en-AU"/>
              </w:rPr>
            </w:pPr>
            <w:r w:rsidRPr="002826AC">
              <w:rPr>
                <w:lang w:val="en-AU"/>
              </w:rPr>
              <w:t>Protocol title/ Publication title</w:t>
            </w:r>
          </w:p>
        </w:tc>
        <w:tc>
          <w:tcPr>
            <w:tcW w:w="939" w:type="pct"/>
            <w:vAlign w:val="center"/>
          </w:tcPr>
          <w:p w14:paraId="6E4C36A9" w14:textId="77777777" w:rsidR="00293A67" w:rsidRPr="002826AC" w:rsidRDefault="00293A67" w:rsidP="00293A67">
            <w:pPr>
              <w:pStyle w:val="In-tableHeading"/>
              <w:keepLines/>
              <w:rPr>
                <w:lang w:val="en-AU"/>
              </w:rPr>
            </w:pPr>
            <w:r w:rsidRPr="002826AC">
              <w:rPr>
                <w:lang w:val="en-AU"/>
              </w:rPr>
              <w:t>Publication citation</w:t>
            </w:r>
          </w:p>
        </w:tc>
      </w:tr>
      <w:tr w:rsidR="00293A67" w:rsidRPr="002826AC" w14:paraId="42205295" w14:textId="77777777" w:rsidTr="00293A67">
        <w:tc>
          <w:tcPr>
            <w:tcW w:w="5000" w:type="pct"/>
            <w:gridSpan w:val="3"/>
            <w:vAlign w:val="center"/>
          </w:tcPr>
          <w:p w14:paraId="4C3C589D" w14:textId="77777777" w:rsidR="00293A67" w:rsidRPr="002826AC" w:rsidRDefault="00293A67" w:rsidP="00293A67">
            <w:pPr>
              <w:pStyle w:val="TableText0"/>
              <w:keepLines/>
              <w:rPr>
                <w:b/>
                <w:bCs w:val="0"/>
                <w:iCs/>
              </w:rPr>
            </w:pPr>
            <w:r w:rsidRPr="002826AC">
              <w:rPr>
                <w:b/>
                <w:bCs w:val="0"/>
                <w:iCs/>
              </w:rPr>
              <w:t>Randomised controlled trials</w:t>
            </w:r>
          </w:p>
        </w:tc>
      </w:tr>
      <w:tr w:rsidR="00293A67" w:rsidRPr="002826AC" w14:paraId="7FBB3272" w14:textId="77777777" w:rsidTr="00293A67">
        <w:tc>
          <w:tcPr>
            <w:tcW w:w="938" w:type="pct"/>
            <w:vAlign w:val="center"/>
          </w:tcPr>
          <w:p w14:paraId="6D0CE5E8" w14:textId="77777777" w:rsidR="00293A67" w:rsidRPr="002826AC" w:rsidRDefault="00293A67" w:rsidP="00293A67">
            <w:pPr>
              <w:pStyle w:val="TableText0"/>
              <w:keepLines/>
              <w:jc w:val="center"/>
            </w:pPr>
            <w:r w:rsidRPr="002826AC">
              <w:t>EudraCT 2007-003358-27</w:t>
            </w:r>
          </w:p>
        </w:tc>
        <w:tc>
          <w:tcPr>
            <w:tcW w:w="3123" w:type="pct"/>
            <w:tcBorders>
              <w:top w:val="nil"/>
              <w:bottom w:val="nil"/>
            </w:tcBorders>
            <w:vAlign w:val="center"/>
          </w:tcPr>
          <w:p w14:paraId="22DCF5EF" w14:textId="77777777" w:rsidR="00293A67" w:rsidRPr="002826AC" w:rsidRDefault="00293A67" w:rsidP="00293A67">
            <w:pPr>
              <w:pStyle w:val="TableText0"/>
              <w:keepLines/>
            </w:pPr>
            <w:r w:rsidRPr="002826AC">
              <w:t>Horneff G, Fitter S, et al. Double-blind, placebo-controlled randomized trial with adalimumab for treatment of juvenile onset ankylosing spondylitis (JoAS): significant short term improvement</w:t>
            </w:r>
          </w:p>
        </w:tc>
        <w:tc>
          <w:tcPr>
            <w:tcW w:w="939" w:type="pct"/>
            <w:tcBorders>
              <w:top w:val="nil"/>
              <w:bottom w:val="nil"/>
            </w:tcBorders>
            <w:vAlign w:val="center"/>
          </w:tcPr>
          <w:p w14:paraId="11D3A705" w14:textId="77777777" w:rsidR="00293A67" w:rsidRPr="002826AC" w:rsidRDefault="00293A67" w:rsidP="00293A67">
            <w:pPr>
              <w:pStyle w:val="TableText0"/>
              <w:keepLines/>
              <w:rPr>
                <w:iCs/>
              </w:rPr>
            </w:pPr>
            <w:r w:rsidRPr="002826AC">
              <w:rPr>
                <w:iCs/>
              </w:rPr>
              <w:t>Arthritis Res Ther. 2012; 14(5): R230</w:t>
            </w:r>
          </w:p>
        </w:tc>
      </w:tr>
      <w:tr w:rsidR="00293A67" w:rsidRPr="002826AC" w14:paraId="4090B28C" w14:textId="77777777" w:rsidTr="00293A67">
        <w:tc>
          <w:tcPr>
            <w:tcW w:w="938" w:type="pct"/>
            <w:tcBorders>
              <w:bottom w:val="single" w:sz="4" w:space="0" w:color="auto"/>
            </w:tcBorders>
            <w:vAlign w:val="center"/>
          </w:tcPr>
          <w:p w14:paraId="4B8B3221" w14:textId="77777777" w:rsidR="00293A67" w:rsidRPr="002826AC" w:rsidRDefault="00293A67" w:rsidP="00293A67">
            <w:pPr>
              <w:pStyle w:val="TableText0"/>
              <w:keepLines/>
              <w:jc w:val="center"/>
            </w:pPr>
            <w:r w:rsidRPr="002826AC">
              <w:t>NCT00409682</w:t>
            </w:r>
          </w:p>
          <w:p w14:paraId="360EF96D" w14:textId="77777777" w:rsidR="00293A67" w:rsidRPr="002826AC" w:rsidRDefault="00293A67" w:rsidP="00293A67">
            <w:pPr>
              <w:pStyle w:val="TableText0"/>
              <w:keepLines/>
              <w:jc w:val="center"/>
              <w:rPr>
                <w:rFonts w:ascii="Times" w:hAnsi="Times"/>
              </w:rPr>
            </w:pPr>
            <w:r w:rsidRPr="002826AC">
              <w:t>IMAgINE-1</w:t>
            </w:r>
          </w:p>
        </w:tc>
        <w:tc>
          <w:tcPr>
            <w:tcW w:w="3123" w:type="pct"/>
            <w:tcBorders>
              <w:bottom w:val="single" w:sz="4" w:space="0" w:color="auto"/>
            </w:tcBorders>
            <w:vAlign w:val="center"/>
          </w:tcPr>
          <w:p w14:paraId="7783917A" w14:textId="77777777" w:rsidR="00293A67" w:rsidRPr="002826AC" w:rsidRDefault="00293A67" w:rsidP="00293A67">
            <w:pPr>
              <w:pStyle w:val="TableText0"/>
              <w:keepLines/>
              <w:rPr>
                <w:rFonts w:ascii="Times" w:hAnsi="Times"/>
              </w:rPr>
            </w:pPr>
            <w:r w:rsidRPr="002826AC">
              <w:t>Efficacy and Safety of Adalimumab in Pediatric Subjects With Moderate to Severe Crohn's Disease</w:t>
            </w:r>
          </w:p>
        </w:tc>
        <w:tc>
          <w:tcPr>
            <w:tcW w:w="939" w:type="pct"/>
            <w:tcBorders>
              <w:bottom w:val="single" w:sz="4" w:space="0" w:color="auto"/>
            </w:tcBorders>
            <w:vAlign w:val="center"/>
          </w:tcPr>
          <w:p w14:paraId="0D70EF15" w14:textId="77777777" w:rsidR="00293A67" w:rsidRPr="002826AC" w:rsidRDefault="00293A67" w:rsidP="00293A67">
            <w:pPr>
              <w:pStyle w:val="TableText0"/>
              <w:keepLines/>
              <w:rPr>
                <w:iCs/>
              </w:rPr>
            </w:pPr>
            <w:r w:rsidRPr="002826AC">
              <w:rPr>
                <w:iCs/>
              </w:rPr>
              <w:t>2011</w:t>
            </w:r>
          </w:p>
        </w:tc>
      </w:tr>
      <w:tr w:rsidR="00293A67" w:rsidRPr="002826AC" w14:paraId="5E980779" w14:textId="77777777" w:rsidTr="00293A67">
        <w:tc>
          <w:tcPr>
            <w:tcW w:w="938" w:type="pct"/>
            <w:tcBorders>
              <w:top w:val="single" w:sz="4" w:space="0" w:color="auto"/>
              <w:bottom w:val="single" w:sz="4" w:space="0" w:color="auto"/>
            </w:tcBorders>
            <w:vAlign w:val="center"/>
          </w:tcPr>
          <w:p w14:paraId="0A1E8E5D" w14:textId="77777777" w:rsidR="00293A67" w:rsidRPr="002826AC" w:rsidRDefault="00293A67" w:rsidP="00293A67">
            <w:pPr>
              <w:pStyle w:val="Tabletext"/>
              <w:keepNext/>
              <w:keepLines/>
              <w:jc w:val="center"/>
            </w:pPr>
            <w:r w:rsidRPr="002826AC">
              <w:t>NCT00048542</w:t>
            </w:r>
          </w:p>
        </w:tc>
        <w:tc>
          <w:tcPr>
            <w:tcW w:w="3123" w:type="pct"/>
            <w:tcBorders>
              <w:top w:val="single" w:sz="4" w:space="0" w:color="auto"/>
              <w:bottom w:val="single" w:sz="4" w:space="0" w:color="auto"/>
            </w:tcBorders>
            <w:vAlign w:val="center"/>
          </w:tcPr>
          <w:p w14:paraId="51482FAB" w14:textId="77777777" w:rsidR="00293A67" w:rsidRPr="002826AC" w:rsidRDefault="00293A67" w:rsidP="00293A67">
            <w:pPr>
              <w:pStyle w:val="TableText0"/>
              <w:keepLines/>
            </w:pPr>
            <w:r w:rsidRPr="002826AC">
              <w:t>Study of Human Anti-TNF Monoclonal Antibody Adalimumab in Children With Polyarticular Juvenile Idiopathic Arthritis (JIA)</w:t>
            </w:r>
          </w:p>
        </w:tc>
        <w:tc>
          <w:tcPr>
            <w:tcW w:w="939" w:type="pct"/>
            <w:tcBorders>
              <w:top w:val="single" w:sz="4" w:space="0" w:color="auto"/>
              <w:bottom w:val="single" w:sz="4" w:space="0" w:color="auto"/>
            </w:tcBorders>
            <w:vAlign w:val="center"/>
          </w:tcPr>
          <w:p w14:paraId="5959A190" w14:textId="77777777" w:rsidR="00293A67" w:rsidRPr="002826AC" w:rsidRDefault="00293A67" w:rsidP="00293A67">
            <w:pPr>
              <w:pStyle w:val="TableText0"/>
              <w:keepLines/>
              <w:rPr>
                <w:iCs/>
              </w:rPr>
            </w:pPr>
            <w:r w:rsidRPr="002826AC">
              <w:rPr>
                <w:iCs/>
              </w:rPr>
              <w:t xml:space="preserve">2020 </w:t>
            </w:r>
          </w:p>
        </w:tc>
      </w:tr>
      <w:tr w:rsidR="00293A67" w:rsidRPr="002826AC" w14:paraId="63D5FC04" w14:textId="77777777" w:rsidTr="00293A67">
        <w:tc>
          <w:tcPr>
            <w:tcW w:w="938" w:type="pct"/>
            <w:tcBorders>
              <w:top w:val="single" w:sz="4" w:space="0" w:color="auto"/>
              <w:bottom w:val="single" w:sz="4" w:space="0" w:color="auto"/>
            </w:tcBorders>
            <w:vAlign w:val="center"/>
          </w:tcPr>
          <w:p w14:paraId="096397F5" w14:textId="77777777" w:rsidR="00293A67" w:rsidRPr="002826AC" w:rsidRDefault="00293A67" w:rsidP="00293A67">
            <w:pPr>
              <w:pStyle w:val="Tabletext"/>
              <w:keepNext/>
              <w:keepLines/>
              <w:jc w:val="center"/>
            </w:pPr>
            <w:r w:rsidRPr="002826AC">
              <w:t>NCT01166282</w:t>
            </w:r>
          </w:p>
        </w:tc>
        <w:tc>
          <w:tcPr>
            <w:tcW w:w="3123" w:type="pct"/>
            <w:tcBorders>
              <w:top w:val="single" w:sz="4" w:space="0" w:color="auto"/>
              <w:bottom w:val="single" w:sz="4" w:space="0" w:color="auto"/>
            </w:tcBorders>
            <w:vAlign w:val="center"/>
          </w:tcPr>
          <w:p w14:paraId="4CC9542A" w14:textId="77777777" w:rsidR="00293A67" w:rsidRPr="002826AC" w:rsidRDefault="00293A67" w:rsidP="00293A67">
            <w:pPr>
              <w:pStyle w:val="TableText0"/>
              <w:keepLines/>
            </w:pPr>
            <w:r w:rsidRPr="002826AC">
              <w:t>A Study of the Efficacy and Safety of Adalimumab in Pediatric Subjects With Enthesitis Related Arthritis</w:t>
            </w:r>
          </w:p>
        </w:tc>
        <w:tc>
          <w:tcPr>
            <w:tcW w:w="939" w:type="pct"/>
            <w:tcBorders>
              <w:top w:val="single" w:sz="4" w:space="0" w:color="auto"/>
              <w:bottom w:val="single" w:sz="4" w:space="0" w:color="auto"/>
            </w:tcBorders>
            <w:vAlign w:val="center"/>
          </w:tcPr>
          <w:p w14:paraId="62AEB801" w14:textId="77777777" w:rsidR="00293A67" w:rsidRPr="002826AC" w:rsidRDefault="00293A67" w:rsidP="00293A67">
            <w:pPr>
              <w:pStyle w:val="TableText0"/>
              <w:keepLines/>
              <w:rPr>
                <w:iCs/>
              </w:rPr>
            </w:pPr>
            <w:r w:rsidRPr="002826AC">
              <w:rPr>
                <w:iCs/>
              </w:rPr>
              <w:t>2016</w:t>
            </w:r>
          </w:p>
        </w:tc>
      </w:tr>
      <w:tr w:rsidR="00293A67" w:rsidRPr="002826AC" w14:paraId="0CB8DF89" w14:textId="77777777" w:rsidTr="00293A67">
        <w:tc>
          <w:tcPr>
            <w:tcW w:w="938" w:type="pct"/>
            <w:tcBorders>
              <w:top w:val="single" w:sz="4" w:space="0" w:color="auto"/>
              <w:bottom w:val="single" w:sz="4" w:space="0" w:color="auto"/>
            </w:tcBorders>
            <w:vAlign w:val="center"/>
          </w:tcPr>
          <w:p w14:paraId="233216BF" w14:textId="77777777" w:rsidR="00293A67" w:rsidRPr="002826AC" w:rsidRDefault="00293A67" w:rsidP="00293A67">
            <w:pPr>
              <w:pStyle w:val="Tabletext"/>
              <w:keepNext/>
              <w:keepLines/>
              <w:jc w:val="center"/>
            </w:pPr>
            <w:r w:rsidRPr="002826AC">
              <w:t>NCT01251614</w:t>
            </w:r>
          </w:p>
        </w:tc>
        <w:tc>
          <w:tcPr>
            <w:tcW w:w="3123" w:type="pct"/>
            <w:tcBorders>
              <w:top w:val="single" w:sz="4" w:space="0" w:color="auto"/>
              <w:bottom w:val="single" w:sz="4" w:space="0" w:color="auto"/>
            </w:tcBorders>
            <w:vAlign w:val="center"/>
          </w:tcPr>
          <w:p w14:paraId="539F6970" w14:textId="77777777" w:rsidR="00293A67" w:rsidRPr="002826AC" w:rsidRDefault="00293A67" w:rsidP="00293A67">
            <w:pPr>
              <w:pStyle w:val="TableText0"/>
              <w:keepLines/>
            </w:pPr>
            <w:r w:rsidRPr="002826AC">
              <w:t>A Double Blind Study in Pediatric Subjects With Chronic Plaque Psoriasis, Studying Adalimumab vs. Methotrexate</w:t>
            </w:r>
          </w:p>
        </w:tc>
        <w:tc>
          <w:tcPr>
            <w:tcW w:w="939" w:type="pct"/>
            <w:tcBorders>
              <w:top w:val="single" w:sz="4" w:space="0" w:color="auto"/>
              <w:bottom w:val="single" w:sz="4" w:space="0" w:color="auto"/>
            </w:tcBorders>
            <w:vAlign w:val="center"/>
          </w:tcPr>
          <w:p w14:paraId="259CD58A" w14:textId="77777777" w:rsidR="00293A67" w:rsidRPr="002826AC" w:rsidRDefault="00293A67" w:rsidP="00293A67">
            <w:pPr>
              <w:pStyle w:val="TableText0"/>
              <w:keepLines/>
              <w:rPr>
                <w:iCs/>
              </w:rPr>
            </w:pPr>
            <w:r w:rsidRPr="002826AC">
              <w:rPr>
                <w:iCs/>
              </w:rPr>
              <w:t>2013</w:t>
            </w:r>
          </w:p>
        </w:tc>
      </w:tr>
      <w:tr w:rsidR="00293A67" w:rsidRPr="002826AC" w14:paraId="197CB07E" w14:textId="77777777" w:rsidTr="00293A67">
        <w:tc>
          <w:tcPr>
            <w:tcW w:w="938" w:type="pct"/>
            <w:tcBorders>
              <w:top w:val="single" w:sz="4" w:space="0" w:color="auto"/>
              <w:bottom w:val="single" w:sz="4" w:space="0" w:color="auto"/>
            </w:tcBorders>
            <w:vAlign w:val="center"/>
          </w:tcPr>
          <w:p w14:paraId="2B643A6D" w14:textId="77777777" w:rsidR="00293A67" w:rsidRPr="002826AC" w:rsidRDefault="00293A67" w:rsidP="00293A67">
            <w:pPr>
              <w:pStyle w:val="Tabletext"/>
              <w:keepNext/>
              <w:keepLines/>
              <w:jc w:val="center"/>
            </w:pPr>
            <w:r w:rsidRPr="002826AC">
              <w:t>NCT01385826</w:t>
            </w:r>
          </w:p>
        </w:tc>
        <w:tc>
          <w:tcPr>
            <w:tcW w:w="3123" w:type="pct"/>
            <w:tcBorders>
              <w:top w:val="single" w:sz="4" w:space="0" w:color="auto"/>
              <w:bottom w:val="single" w:sz="4" w:space="0" w:color="auto"/>
            </w:tcBorders>
            <w:vAlign w:val="center"/>
          </w:tcPr>
          <w:p w14:paraId="3F222F28" w14:textId="77777777" w:rsidR="00293A67" w:rsidRPr="002826AC" w:rsidRDefault="00293A67" w:rsidP="00293A67">
            <w:pPr>
              <w:pStyle w:val="TableText0"/>
              <w:keepLines/>
            </w:pPr>
            <w:r w:rsidRPr="002826AC">
              <w:t>Effect of Adalimumab for the Treatment of Uveitis in Juvenile Idiopathic Arthritis (ADJUVITE)</w:t>
            </w:r>
          </w:p>
        </w:tc>
        <w:tc>
          <w:tcPr>
            <w:tcW w:w="939" w:type="pct"/>
            <w:tcBorders>
              <w:top w:val="single" w:sz="4" w:space="0" w:color="auto"/>
              <w:bottom w:val="single" w:sz="4" w:space="0" w:color="auto"/>
            </w:tcBorders>
            <w:vAlign w:val="center"/>
          </w:tcPr>
          <w:p w14:paraId="1D77D6EB" w14:textId="77777777" w:rsidR="00293A67" w:rsidRPr="002826AC" w:rsidRDefault="00293A67" w:rsidP="00293A67">
            <w:pPr>
              <w:pStyle w:val="TableText0"/>
              <w:keepLines/>
              <w:rPr>
                <w:iCs/>
              </w:rPr>
            </w:pPr>
            <w:r w:rsidRPr="002826AC">
              <w:rPr>
                <w:iCs/>
              </w:rPr>
              <w:t>2015</w:t>
            </w:r>
          </w:p>
        </w:tc>
      </w:tr>
      <w:tr w:rsidR="00293A67" w:rsidRPr="002826AC" w14:paraId="37004A5B" w14:textId="77777777" w:rsidTr="00293A67">
        <w:tc>
          <w:tcPr>
            <w:tcW w:w="938" w:type="pct"/>
            <w:tcBorders>
              <w:top w:val="single" w:sz="4" w:space="0" w:color="auto"/>
              <w:bottom w:val="single" w:sz="4" w:space="0" w:color="auto"/>
            </w:tcBorders>
            <w:vAlign w:val="center"/>
          </w:tcPr>
          <w:p w14:paraId="5F8B9150" w14:textId="77777777" w:rsidR="00293A67" w:rsidRPr="002826AC" w:rsidRDefault="00293A67" w:rsidP="00293A67">
            <w:pPr>
              <w:pStyle w:val="Tabletext"/>
              <w:keepNext/>
              <w:keepLines/>
              <w:jc w:val="center"/>
            </w:pPr>
            <w:r w:rsidRPr="002826AC">
              <w:t>NCT02065557</w:t>
            </w:r>
          </w:p>
          <w:p w14:paraId="0852851B" w14:textId="77777777" w:rsidR="00293A67" w:rsidRPr="002826AC" w:rsidRDefault="00293A67" w:rsidP="00293A67">
            <w:pPr>
              <w:pStyle w:val="Tabletext"/>
              <w:keepNext/>
              <w:keepLines/>
              <w:jc w:val="center"/>
            </w:pPr>
            <w:r w:rsidRPr="002826AC">
              <w:t>ENVISION-1</w:t>
            </w:r>
          </w:p>
        </w:tc>
        <w:tc>
          <w:tcPr>
            <w:tcW w:w="3123" w:type="pct"/>
            <w:tcBorders>
              <w:top w:val="single" w:sz="4" w:space="0" w:color="auto"/>
              <w:bottom w:val="single" w:sz="4" w:space="0" w:color="auto"/>
            </w:tcBorders>
            <w:vAlign w:val="center"/>
          </w:tcPr>
          <w:p w14:paraId="60C90485" w14:textId="77777777" w:rsidR="00293A67" w:rsidRPr="002826AC" w:rsidRDefault="00293A67" w:rsidP="00293A67">
            <w:pPr>
              <w:pStyle w:val="TableText0"/>
              <w:keepLines/>
            </w:pPr>
            <w:r w:rsidRPr="002826AC">
              <w:t>Croft NM, Faubion Jr WA, et al. Efficacy and safety of adalimumab in paediatric patients with moderate-to-severe ulcerative colitis (ENVISION I): a randomised, controlled, phase 3 study</w:t>
            </w:r>
          </w:p>
        </w:tc>
        <w:tc>
          <w:tcPr>
            <w:tcW w:w="939" w:type="pct"/>
            <w:tcBorders>
              <w:top w:val="single" w:sz="4" w:space="0" w:color="auto"/>
              <w:bottom w:val="single" w:sz="4" w:space="0" w:color="auto"/>
            </w:tcBorders>
            <w:vAlign w:val="center"/>
          </w:tcPr>
          <w:p w14:paraId="1ABF4680" w14:textId="77777777" w:rsidR="00293A67" w:rsidRPr="002826AC" w:rsidRDefault="00293A67" w:rsidP="00293A67">
            <w:pPr>
              <w:pStyle w:val="TableText0"/>
              <w:keepLines/>
              <w:rPr>
                <w:iCs/>
              </w:rPr>
            </w:pPr>
            <w:r w:rsidRPr="002826AC">
              <w:rPr>
                <w:iCs/>
              </w:rPr>
              <w:t>Lancet Gastroenterol Hepatol. 2021; 6(8):616-27.</w:t>
            </w:r>
          </w:p>
        </w:tc>
      </w:tr>
      <w:tr w:rsidR="00293A67" w:rsidRPr="002826AC" w14:paraId="22E41734" w14:textId="77777777" w:rsidTr="00293A67">
        <w:tc>
          <w:tcPr>
            <w:tcW w:w="938" w:type="pct"/>
            <w:tcBorders>
              <w:top w:val="single" w:sz="4" w:space="0" w:color="auto"/>
              <w:bottom w:val="single" w:sz="4" w:space="0" w:color="auto"/>
            </w:tcBorders>
            <w:vAlign w:val="center"/>
          </w:tcPr>
          <w:p w14:paraId="21316532" w14:textId="77777777" w:rsidR="00293A67" w:rsidRPr="002826AC" w:rsidRDefault="00293A67" w:rsidP="00293A67">
            <w:pPr>
              <w:pStyle w:val="Tabletext"/>
              <w:keepNext/>
              <w:keepLines/>
              <w:jc w:val="center"/>
            </w:pPr>
            <w:r w:rsidRPr="002826AC">
              <w:t>NCT02256462</w:t>
            </w:r>
          </w:p>
        </w:tc>
        <w:tc>
          <w:tcPr>
            <w:tcW w:w="3123" w:type="pct"/>
            <w:tcBorders>
              <w:top w:val="single" w:sz="4" w:space="0" w:color="auto"/>
              <w:bottom w:val="single" w:sz="4" w:space="0" w:color="auto"/>
            </w:tcBorders>
            <w:vAlign w:val="center"/>
          </w:tcPr>
          <w:p w14:paraId="7F03E45C" w14:textId="77777777" w:rsidR="00293A67" w:rsidRPr="002826AC" w:rsidRDefault="00293A67" w:rsidP="00293A67">
            <w:pPr>
              <w:pStyle w:val="TableText0"/>
              <w:keepLines/>
            </w:pPr>
            <w:r w:rsidRPr="002826AC">
              <w:t>Pediatric Crohn's Disease Adalimumab Level-based Optimization Treatment (PAILOT) Trial</w:t>
            </w:r>
          </w:p>
        </w:tc>
        <w:tc>
          <w:tcPr>
            <w:tcW w:w="939" w:type="pct"/>
            <w:tcBorders>
              <w:top w:val="single" w:sz="4" w:space="0" w:color="auto"/>
              <w:bottom w:val="single" w:sz="4" w:space="0" w:color="auto"/>
            </w:tcBorders>
            <w:vAlign w:val="center"/>
          </w:tcPr>
          <w:p w14:paraId="535C9C46" w14:textId="77777777" w:rsidR="00293A67" w:rsidRPr="002826AC" w:rsidRDefault="00293A67" w:rsidP="00293A67">
            <w:pPr>
              <w:pStyle w:val="TableText0"/>
              <w:keepLines/>
              <w:rPr>
                <w:iCs/>
              </w:rPr>
            </w:pPr>
            <w:r w:rsidRPr="002826AC">
              <w:rPr>
                <w:iCs/>
              </w:rPr>
              <w:t>2018</w:t>
            </w:r>
          </w:p>
        </w:tc>
      </w:tr>
      <w:tr w:rsidR="00293A67" w:rsidRPr="002826AC" w14:paraId="1506ECBE" w14:textId="77777777" w:rsidTr="00293A67">
        <w:tc>
          <w:tcPr>
            <w:tcW w:w="938" w:type="pct"/>
            <w:tcBorders>
              <w:top w:val="single" w:sz="4" w:space="0" w:color="auto"/>
              <w:bottom w:val="single" w:sz="4" w:space="0" w:color="auto"/>
            </w:tcBorders>
            <w:vAlign w:val="center"/>
          </w:tcPr>
          <w:p w14:paraId="235ADD57" w14:textId="77777777" w:rsidR="00293A67" w:rsidRPr="002826AC" w:rsidRDefault="00293A67" w:rsidP="00293A67">
            <w:pPr>
              <w:pStyle w:val="Tabletext"/>
              <w:keepNext/>
              <w:keepLines/>
              <w:jc w:val="center"/>
            </w:pPr>
            <w:r w:rsidRPr="002826AC">
              <w:t>NCT02772965</w:t>
            </w:r>
          </w:p>
          <w:p w14:paraId="6FEA15F7" w14:textId="77777777" w:rsidR="00293A67" w:rsidRPr="002826AC" w:rsidRDefault="00293A67" w:rsidP="00293A67">
            <w:pPr>
              <w:pStyle w:val="Tabletext"/>
              <w:keepNext/>
              <w:keepLines/>
              <w:jc w:val="center"/>
            </w:pPr>
            <w:r w:rsidRPr="002826AC">
              <w:t>COMBINE</w:t>
            </w:r>
          </w:p>
        </w:tc>
        <w:tc>
          <w:tcPr>
            <w:tcW w:w="3123" w:type="pct"/>
            <w:tcBorders>
              <w:top w:val="single" w:sz="4" w:space="0" w:color="auto"/>
              <w:bottom w:val="single" w:sz="4" w:space="0" w:color="auto"/>
            </w:tcBorders>
            <w:vAlign w:val="center"/>
          </w:tcPr>
          <w:p w14:paraId="025989E3" w14:textId="77777777" w:rsidR="00293A67" w:rsidRPr="002826AC" w:rsidRDefault="00293A67" w:rsidP="00293A67">
            <w:pPr>
              <w:pStyle w:val="TableText0"/>
              <w:keepLines/>
            </w:pPr>
            <w:r w:rsidRPr="002826AC">
              <w:t>Low Dose Oral Methotrexate in Pediatric Crohn's Disease Patients Initiating Anti-</w:t>
            </w:r>
            <w:proofErr w:type="spellStart"/>
            <w:r w:rsidRPr="002826AC">
              <w:t>Tumor</w:t>
            </w:r>
            <w:proofErr w:type="spellEnd"/>
            <w:r w:rsidRPr="002826AC">
              <w:t xml:space="preserve"> Necrosis Factor (Anti-TNF) Therapy (COMBINE)</w:t>
            </w:r>
          </w:p>
        </w:tc>
        <w:tc>
          <w:tcPr>
            <w:tcW w:w="939" w:type="pct"/>
            <w:tcBorders>
              <w:top w:val="single" w:sz="4" w:space="0" w:color="auto"/>
              <w:bottom w:val="single" w:sz="4" w:space="0" w:color="auto"/>
            </w:tcBorders>
            <w:vAlign w:val="center"/>
          </w:tcPr>
          <w:p w14:paraId="400B8555" w14:textId="77777777" w:rsidR="00293A67" w:rsidRPr="002826AC" w:rsidRDefault="00293A67" w:rsidP="00293A67">
            <w:pPr>
              <w:pStyle w:val="TableText0"/>
              <w:keepLines/>
              <w:rPr>
                <w:iCs/>
              </w:rPr>
            </w:pPr>
            <w:r w:rsidRPr="002826AC">
              <w:rPr>
                <w:iCs/>
              </w:rPr>
              <w:t>2023</w:t>
            </w:r>
          </w:p>
        </w:tc>
      </w:tr>
      <w:tr w:rsidR="00293A67" w:rsidRPr="002826AC" w14:paraId="55CF0FE3" w14:textId="77777777" w:rsidTr="00293A67">
        <w:tc>
          <w:tcPr>
            <w:tcW w:w="938" w:type="pct"/>
            <w:tcBorders>
              <w:top w:val="single" w:sz="4" w:space="0" w:color="auto"/>
              <w:bottom w:val="single" w:sz="4" w:space="0" w:color="auto"/>
            </w:tcBorders>
            <w:vAlign w:val="center"/>
          </w:tcPr>
          <w:p w14:paraId="45B4FDDB" w14:textId="77777777" w:rsidR="00293A67" w:rsidRPr="002826AC" w:rsidRDefault="00293A67" w:rsidP="00293A67">
            <w:pPr>
              <w:pStyle w:val="Tabletext"/>
              <w:keepNext/>
              <w:keepLines/>
              <w:jc w:val="center"/>
            </w:pPr>
            <w:r w:rsidRPr="002826AC">
              <w:t>NCT02840175</w:t>
            </w:r>
          </w:p>
        </w:tc>
        <w:tc>
          <w:tcPr>
            <w:tcW w:w="3123" w:type="pct"/>
            <w:tcBorders>
              <w:top w:val="single" w:sz="4" w:space="0" w:color="auto"/>
              <w:bottom w:val="single" w:sz="4" w:space="0" w:color="auto"/>
            </w:tcBorders>
            <w:vAlign w:val="center"/>
          </w:tcPr>
          <w:p w14:paraId="4B7B8350" w14:textId="77777777" w:rsidR="00293A67" w:rsidRPr="002826AC" w:rsidRDefault="00293A67" w:rsidP="00293A67">
            <w:pPr>
              <w:pStyle w:val="TableText0"/>
              <w:keepLines/>
            </w:pPr>
            <w:r w:rsidRPr="002826AC">
              <w:t>Treatment Tapering in JIA With Inactive Disease (AJIBIOREM)</w:t>
            </w:r>
          </w:p>
        </w:tc>
        <w:tc>
          <w:tcPr>
            <w:tcW w:w="939" w:type="pct"/>
            <w:tcBorders>
              <w:top w:val="single" w:sz="4" w:space="0" w:color="auto"/>
              <w:bottom w:val="single" w:sz="4" w:space="0" w:color="auto"/>
            </w:tcBorders>
            <w:vAlign w:val="center"/>
          </w:tcPr>
          <w:p w14:paraId="5C697C36" w14:textId="77777777" w:rsidR="00293A67" w:rsidRPr="002826AC" w:rsidRDefault="00293A67" w:rsidP="00293A67">
            <w:pPr>
              <w:pStyle w:val="TableText0"/>
              <w:keepLines/>
              <w:rPr>
                <w:iCs/>
              </w:rPr>
            </w:pPr>
            <w:r w:rsidRPr="002826AC">
              <w:rPr>
                <w:iCs/>
              </w:rPr>
              <w:t>2020</w:t>
            </w:r>
          </w:p>
        </w:tc>
      </w:tr>
      <w:tr w:rsidR="00293A67" w:rsidRPr="002826AC" w14:paraId="35FA42FE" w14:textId="77777777" w:rsidTr="00293A67">
        <w:tc>
          <w:tcPr>
            <w:tcW w:w="938" w:type="pct"/>
            <w:tcBorders>
              <w:top w:val="single" w:sz="4" w:space="0" w:color="auto"/>
              <w:bottom w:val="single" w:sz="4" w:space="0" w:color="auto"/>
            </w:tcBorders>
            <w:vAlign w:val="center"/>
          </w:tcPr>
          <w:p w14:paraId="03A1635E" w14:textId="77777777" w:rsidR="00293A67" w:rsidRPr="002826AC" w:rsidRDefault="00293A67" w:rsidP="00293A67">
            <w:pPr>
              <w:pStyle w:val="Tabletext"/>
              <w:keepNext/>
              <w:keepLines/>
              <w:jc w:val="center"/>
            </w:pPr>
            <w:r w:rsidRPr="002826AC">
              <w:t>NCT02852694</w:t>
            </w:r>
          </w:p>
        </w:tc>
        <w:tc>
          <w:tcPr>
            <w:tcW w:w="3123" w:type="pct"/>
            <w:tcBorders>
              <w:top w:val="single" w:sz="4" w:space="0" w:color="auto"/>
              <w:bottom w:val="single" w:sz="4" w:space="0" w:color="auto"/>
            </w:tcBorders>
            <w:vAlign w:val="center"/>
          </w:tcPr>
          <w:p w14:paraId="616DAFD7" w14:textId="77777777" w:rsidR="00293A67" w:rsidRPr="002826AC" w:rsidRDefault="00293A67" w:rsidP="00293A67">
            <w:pPr>
              <w:pStyle w:val="TableText0"/>
              <w:keepLines/>
            </w:pPr>
            <w:r w:rsidRPr="002826AC">
              <w:t>Reduce Risk for Crohn's Disease Patients</w:t>
            </w:r>
          </w:p>
        </w:tc>
        <w:tc>
          <w:tcPr>
            <w:tcW w:w="939" w:type="pct"/>
            <w:tcBorders>
              <w:top w:val="single" w:sz="4" w:space="0" w:color="auto"/>
              <w:bottom w:val="single" w:sz="4" w:space="0" w:color="auto"/>
            </w:tcBorders>
            <w:vAlign w:val="center"/>
          </w:tcPr>
          <w:p w14:paraId="47FFA8C4" w14:textId="77777777" w:rsidR="00293A67" w:rsidRPr="002826AC" w:rsidRDefault="00293A67" w:rsidP="00293A67">
            <w:pPr>
              <w:pStyle w:val="TableText0"/>
              <w:keepLines/>
              <w:rPr>
                <w:iCs/>
              </w:rPr>
            </w:pPr>
            <w:r w:rsidRPr="002826AC">
              <w:rPr>
                <w:iCs/>
              </w:rPr>
              <w:t>2022</w:t>
            </w:r>
          </w:p>
        </w:tc>
      </w:tr>
      <w:tr w:rsidR="00293A67" w:rsidRPr="002826AC" w14:paraId="78AB0BC1" w14:textId="77777777" w:rsidTr="00293A67">
        <w:tc>
          <w:tcPr>
            <w:tcW w:w="938" w:type="pct"/>
            <w:tcBorders>
              <w:top w:val="single" w:sz="4" w:space="0" w:color="auto"/>
              <w:bottom w:val="single" w:sz="4" w:space="0" w:color="auto"/>
            </w:tcBorders>
            <w:vAlign w:val="center"/>
          </w:tcPr>
          <w:p w14:paraId="5CE8D14E" w14:textId="77777777" w:rsidR="00293A67" w:rsidRPr="002826AC" w:rsidRDefault="00293A67" w:rsidP="00293A67">
            <w:pPr>
              <w:pStyle w:val="Tabletext"/>
              <w:keepNext/>
              <w:keepLines/>
              <w:jc w:val="center"/>
            </w:pPr>
            <w:r w:rsidRPr="002826AC">
              <w:t>NCT03816397</w:t>
            </w:r>
          </w:p>
          <w:p w14:paraId="6AB27EAA" w14:textId="77777777" w:rsidR="00293A67" w:rsidRPr="002826AC" w:rsidRDefault="00293A67" w:rsidP="00293A67">
            <w:pPr>
              <w:pStyle w:val="Tabletext"/>
              <w:keepNext/>
              <w:keepLines/>
              <w:jc w:val="center"/>
            </w:pPr>
            <w:r w:rsidRPr="002826AC">
              <w:t>ADJUST</w:t>
            </w:r>
          </w:p>
        </w:tc>
        <w:tc>
          <w:tcPr>
            <w:tcW w:w="3123" w:type="pct"/>
            <w:tcBorders>
              <w:top w:val="single" w:sz="4" w:space="0" w:color="auto"/>
              <w:bottom w:val="single" w:sz="4" w:space="0" w:color="auto"/>
            </w:tcBorders>
            <w:vAlign w:val="center"/>
          </w:tcPr>
          <w:p w14:paraId="5CB23E16" w14:textId="77777777" w:rsidR="00293A67" w:rsidRPr="002826AC" w:rsidRDefault="00293A67" w:rsidP="00293A67">
            <w:pPr>
              <w:pStyle w:val="TableText0"/>
              <w:keepLines/>
            </w:pPr>
            <w:r w:rsidRPr="002826AC">
              <w:t>Acharya NR, Ebert CD, et al. Discontinuing adalimumab in patients with controlled juvenile idiopathic arthritis-associated uveitis (ADJUST-Adalimumab in Juvenile Idiopathic Arthritis-associated Uveitis Stopping Trial): study protocol for a randomised controlled trial</w:t>
            </w:r>
          </w:p>
        </w:tc>
        <w:tc>
          <w:tcPr>
            <w:tcW w:w="939" w:type="pct"/>
            <w:tcBorders>
              <w:top w:val="single" w:sz="4" w:space="0" w:color="auto"/>
              <w:bottom w:val="single" w:sz="4" w:space="0" w:color="auto"/>
            </w:tcBorders>
            <w:vAlign w:val="center"/>
          </w:tcPr>
          <w:p w14:paraId="3D04B546" w14:textId="77777777" w:rsidR="00293A67" w:rsidRPr="002826AC" w:rsidRDefault="00293A67" w:rsidP="00293A67">
            <w:pPr>
              <w:pStyle w:val="TableText0"/>
              <w:keepLines/>
              <w:rPr>
                <w:iCs/>
              </w:rPr>
            </w:pPr>
            <w:r w:rsidRPr="002826AC">
              <w:rPr>
                <w:iCs/>
              </w:rPr>
              <w:t>Trials. 2020; 21(1):887.</w:t>
            </w:r>
          </w:p>
        </w:tc>
      </w:tr>
      <w:tr w:rsidR="00293A67" w:rsidRPr="002826AC" w14:paraId="0610C3CA" w14:textId="77777777" w:rsidTr="00293A67">
        <w:tc>
          <w:tcPr>
            <w:tcW w:w="938" w:type="pct"/>
            <w:tcBorders>
              <w:top w:val="single" w:sz="4" w:space="0" w:color="auto"/>
              <w:bottom w:val="single" w:sz="4" w:space="0" w:color="auto"/>
            </w:tcBorders>
            <w:vAlign w:val="center"/>
          </w:tcPr>
          <w:p w14:paraId="54EED656" w14:textId="77777777" w:rsidR="00293A67" w:rsidRPr="002826AC" w:rsidRDefault="00293A67" w:rsidP="00293A67">
            <w:pPr>
              <w:pStyle w:val="Tabletext"/>
              <w:keepNext/>
              <w:keepLines/>
              <w:jc w:val="center"/>
            </w:pPr>
            <w:r w:rsidRPr="002826AC">
              <w:t>NCT03828019</w:t>
            </w:r>
          </w:p>
          <w:p w14:paraId="69A17862" w14:textId="77777777" w:rsidR="00293A67" w:rsidRPr="002826AC" w:rsidRDefault="00293A67" w:rsidP="00293A67">
            <w:pPr>
              <w:pStyle w:val="Tabletext"/>
              <w:keepNext/>
              <w:keepLines/>
              <w:jc w:val="center"/>
            </w:pPr>
            <w:r w:rsidRPr="002826AC">
              <w:t>ADVISE</w:t>
            </w:r>
          </w:p>
        </w:tc>
        <w:tc>
          <w:tcPr>
            <w:tcW w:w="3123" w:type="pct"/>
            <w:tcBorders>
              <w:top w:val="single" w:sz="4" w:space="0" w:color="auto"/>
              <w:bottom w:val="single" w:sz="4" w:space="0" w:color="auto"/>
            </w:tcBorders>
            <w:vAlign w:val="center"/>
          </w:tcPr>
          <w:p w14:paraId="72942AF4" w14:textId="77777777" w:rsidR="00293A67" w:rsidRPr="002826AC" w:rsidRDefault="00293A67" w:rsidP="00293A67">
            <w:pPr>
              <w:pStyle w:val="TableText0"/>
              <w:keepLines/>
            </w:pPr>
            <w:r w:rsidRPr="002826AC">
              <w:t>Adalimumab vs. Conventional Immunosuppression for Uveitis Trial (ADVISE)</w:t>
            </w:r>
          </w:p>
        </w:tc>
        <w:tc>
          <w:tcPr>
            <w:tcW w:w="939" w:type="pct"/>
            <w:tcBorders>
              <w:top w:val="single" w:sz="4" w:space="0" w:color="auto"/>
              <w:bottom w:val="single" w:sz="4" w:space="0" w:color="auto"/>
            </w:tcBorders>
            <w:vAlign w:val="center"/>
          </w:tcPr>
          <w:p w14:paraId="3940CD4D" w14:textId="77777777" w:rsidR="00293A67" w:rsidRPr="002826AC" w:rsidRDefault="00293A67" w:rsidP="00293A67">
            <w:pPr>
              <w:pStyle w:val="TableText0"/>
              <w:keepLines/>
              <w:rPr>
                <w:iCs/>
              </w:rPr>
            </w:pPr>
            <w:r w:rsidRPr="002826AC">
              <w:rPr>
                <w:iCs/>
              </w:rPr>
              <w:t>In progress</w:t>
            </w:r>
          </w:p>
        </w:tc>
      </w:tr>
      <w:tr w:rsidR="00293A67" w:rsidRPr="002826AC" w14:paraId="3917476B" w14:textId="77777777" w:rsidTr="00293A67">
        <w:tc>
          <w:tcPr>
            <w:tcW w:w="938" w:type="pct"/>
            <w:tcBorders>
              <w:top w:val="single" w:sz="4" w:space="0" w:color="auto"/>
              <w:bottom w:val="single" w:sz="4" w:space="0" w:color="auto"/>
            </w:tcBorders>
            <w:vAlign w:val="center"/>
          </w:tcPr>
          <w:p w14:paraId="4C33D46E" w14:textId="77777777" w:rsidR="00293A67" w:rsidRPr="002826AC" w:rsidRDefault="00293A67" w:rsidP="00293A67">
            <w:pPr>
              <w:pStyle w:val="Tabletext"/>
              <w:keepNext/>
              <w:keepLines/>
              <w:jc w:val="center"/>
            </w:pPr>
            <w:r w:rsidRPr="002826AC">
              <w:t>NCT04646187</w:t>
            </w:r>
          </w:p>
        </w:tc>
        <w:tc>
          <w:tcPr>
            <w:tcW w:w="3123" w:type="pct"/>
            <w:tcBorders>
              <w:top w:val="single" w:sz="4" w:space="0" w:color="auto"/>
              <w:bottom w:val="single" w:sz="4" w:space="0" w:color="auto"/>
            </w:tcBorders>
            <w:vAlign w:val="center"/>
          </w:tcPr>
          <w:p w14:paraId="7B6954B4" w14:textId="77777777" w:rsidR="00293A67" w:rsidRPr="002826AC" w:rsidRDefault="00293A67" w:rsidP="00293A67">
            <w:pPr>
              <w:pStyle w:val="TableText0"/>
              <w:keepLines/>
            </w:pPr>
            <w:r w:rsidRPr="002826AC">
              <w:t>De-escalation of Anti-TNF Therapy in Inflammatory Bowel Disease (FREE)</w:t>
            </w:r>
          </w:p>
        </w:tc>
        <w:tc>
          <w:tcPr>
            <w:tcW w:w="939" w:type="pct"/>
            <w:tcBorders>
              <w:top w:val="single" w:sz="4" w:space="0" w:color="auto"/>
              <w:bottom w:val="single" w:sz="4" w:space="0" w:color="auto"/>
            </w:tcBorders>
            <w:vAlign w:val="center"/>
          </w:tcPr>
          <w:p w14:paraId="12E367F1" w14:textId="77777777" w:rsidR="00293A67" w:rsidRPr="002826AC" w:rsidRDefault="00293A67" w:rsidP="00293A67">
            <w:pPr>
              <w:pStyle w:val="TableText0"/>
              <w:keepLines/>
              <w:rPr>
                <w:iCs/>
              </w:rPr>
            </w:pPr>
            <w:r w:rsidRPr="002826AC">
              <w:rPr>
                <w:iCs/>
              </w:rPr>
              <w:t>In progress</w:t>
            </w:r>
          </w:p>
        </w:tc>
      </w:tr>
      <w:tr w:rsidR="00293A67" w:rsidRPr="002826AC" w14:paraId="31530180" w14:textId="77777777" w:rsidTr="00293A67">
        <w:tc>
          <w:tcPr>
            <w:tcW w:w="938" w:type="pct"/>
            <w:tcBorders>
              <w:top w:val="single" w:sz="4" w:space="0" w:color="auto"/>
              <w:bottom w:val="single" w:sz="4" w:space="0" w:color="auto"/>
            </w:tcBorders>
            <w:vAlign w:val="center"/>
          </w:tcPr>
          <w:p w14:paraId="4D1B968F" w14:textId="77777777" w:rsidR="00293A67" w:rsidRPr="002826AC" w:rsidRDefault="00293A67" w:rsidP="00293A67">
            <w:pPr>
              <w:pStyle w:val="Tabletext"/>
              <w:keepNext/>
              <w:keepLines/>
              <w:jc w:val="center"/>
            </w:pPr>
            <w:r w:rsidRPr="002826AC">
              <w:t>NCT05015335</w:t>
            </w:r>
          </w:p>
        </w:tc>
        <w:tc>
          <w:tcPr>
            <w:tcW w:w="3123" w:type="pct"/>
            <w:tcBorders>
              <w:top w:val="single" w:sz="4" w:space="0" w:color="auto"/>
              <w:bottom w:val="single" w:sz="4" w:space="0" w:color="auto"/>
            </w:tcBorders>
            <w:vAlign w:val="center"/>
          </w:tcPr>
          <w:p w14:paraId="366BB8C0" w14:textId="77777777" w:rsidR="00293A67" w:rsidRPr="002826AC" w:rsidRDefault="00293A67" w:rsidP="00293A67">
            <w:pPr>
              <w:pStyle w:val="TableText0"/>
              <w:keepLines/>
            </w:pPr>
            <w:r w:rsidRPr="002826AC">
              <w:t>The Efficacy and Safety of Adalimumab in Non-infectious Anterior Pediatric Uveitis With Peripheral Vascular Leakage</w:t>
            </w:r>
          </w:p>
        </w:tc>
        <w:tc>
          <w:tcPr>
            <w:tcW w:w="939" w:type="pct"/>
            <w:tcBorders>
              <w:top w:val="single" w:sz="4" w:space="0" w:color="auto"/>
              <w:bottom w:val="single" w:sz="4" w:space="0" w:color="auto"/>
            </w:tcBorders>
            <w:vAlign w:val="center"/>
          </w:tcPr>
          <w:p w14:paraId="5D9B7E8E" w14:textId="77777777" w:rsidR="00293A67" w:rsidRPr="002826AC" w:rsidRDefault="00293A67" w:rsidP="00293A67">
            <w:pPr>
              <w:pStyle w:val="TableText0"/>
              <w:keepLines/>
              <w:rPr>
                <w:iCs/>
              </w:rPr>
            </w:pPr>
            <w:r w:rsidRPr="002826AC">
              <w:rPr>
                <w:iCs/>
              </w:rPr>
              <w:t>2021</w:t>
            </w:r>
          </w:p>
        </w:tc>
      </w:tr>
      <w:tr w:rsidR="00293A67" w:rsidRPr="002826AC" w14:paraId="1EE4DE19" w14:textId="77777777" w:rsidTr="00293A67">
        <w:tc>
          <w:tcPr>
            <w:tcW w:w="938" w:type="pct"/>
            <w:tcBorders>
              <w:top w:val="single" w:sz="4" w:space="0" w:color="auto"/>
              <w:bottom w:val="single" w:sz="4" w:space="0" w:color="auto"/>
            </w:tcBorders>
            <w:vAlign w:val="center"/>
          </w:tcPr>
          <w:p w14:paraId="586D6543" w14:textId="77777777" w:rsidR="00293A67" w:rsidRPr="002826AC" w:rsidRDefault="00293A67" w:rsidP="00293A67">
            <w:pPr>
              <w:pStyle w:val="Tabletext"/>
              <w:keepNext/>
              <w:keepLines/>
              <w:jc w:val="center"/>
            </w:pPr>
          </w:p>
        </w:tc>
        <w:tc>
          <w:tcPr>
            <w:tcW w:w="3123" w:type="pct"/>
            <w:tcBorders>
              <w:top w:val="single" w:sz="4" w:space="0" w:color="auto"/>
              <w:bottom w:val="single" w:sz="4" w:space="0" w:color="auto"/>
            </w:tcBorders>
            <w:vAlign w:val="center"/>
          </w:tcPr>
          <w:p w14:paraId="77D2AC67" w14:textId="77777777" w:rsidR="00293A67" w:rsidRPr="002826AC" w:rsidRDefault="00293A67" w:rsidP="00293A67">
            <w:pPr>
              <w:pStyle w:val="TableText0"/>
              <w:keepLines/>
            </w:pPr>
            <w:proofErr w:type="spellStart"/>
            <w:r w:rsidRPr="002826AC">
              <w:t>Polgreen</w:t>
            </w:r>
            <w:proofErr w:type="spellEnd"/>
            <w:r w:rsidRPr="002826AC">
              <w:t xml:space="preserve"> LE, Kunin-Batson A, et al. Pilot study of the safety and effect of adalimumab on pain, physical function, and musculoskeletal disease in mucopolysaccharidosis types I and II</w:t>
            </w:r>
          </w:p>
        </w:tc>
        <w:tc>
          <w:tcPr>
            <w:tcW w:w="939" w:type="pct"/>
            <w:tcBorders>
              <w:top w:val="single" w:sz="4" w:space="0" w:color="auto"/>
              <w:bottom w:val="single" w:sz="4" w:space="0" w:color="auto"/>
            </w:tcBorders>
            <w:vAlign w:val="center"/>
          </w:tcPr>
          <w:p w14:paraId="682CEF4A" w14:textId="77777777" w:rsidR="00293A67" w:rsidRPr="002826AC" w:rsidRDefault="00293A67" w:rsidP="00293A67">
            <w:pPr>
              <w:pStyle w:val="TableText0"/>
              <w:keepLines/>
              <w:rPr>
                <w:iCs/>
              </w:rPr>
            </w:pPr>
            <w:r w:rsidRPr="002826AC">
              <w:rPr>
                <w:iCs/>
              </w:rPr>
              <w:t>Mol Genet Metab Rep. 2017; 75-80.</w:t>
            </w:r>
          </w:p>
        </w:tc>
      </w:tr>
      <w:tr w:rsidR="00293A67" w:rsidRPr="002826AC" w14:paraId="66D5ABAE" w14:textId="77777777" w:rsidTr="00293A67">
        <w:tc>
          <w:tcPr>
            <w:tcW w:w="938" w:type="pct"/>
            <w:tcBorders>
              <w:top w:val="single" w:sz="4" w:space="0" w:color="auto"/>
              <w:bottom w:val="single" w:sz="4" w:space="0" w:color="auto"/>
            </w:tcBorders>
            <w:vAlign w:val="center"/>
          </w:tcPr>
          <w:p w14:paraId="4D29345B" w14:textId="77777777" w:rsidR="00293A67" w:rsidRPr="002826AC" w:rsidRDefault="00293A67" w:rsidP="00293A67">
            <w:pPr>
              <w:pStyle w:val="Tabletext"/>
              <w:keepNext/>
              <w:keepLines/>
              <w:jc w:val="center"/>
            </w:pPr>
            <w:r w:rsidRPr="002826AC">
              <w:t>SYCAMORE</w:t>
            </w:r>
          </w:p>
          <w:p w14:paraId="40CA67A4" w14:textId="77777777" w:rsidR="00293A67" w:rsidRPr="002826AC" w:rsidRDefault="00293A67" w:rsidP="00293A67">
            <w:pPr>
              <w:pStyle w:val="Tabletext"/>
              <w:keepNext/>
              <w:keepLines/>
              <w:jc w:val="center"/>
            </w:pPr>
            <w:r w:rsidRPr="002826AC">
              <w:t>ISRCTN10065623</w:t>
            </w:r>
          </w:p>
          <w:p w14:paraId="2FF6DD97" w14:textId="77777777" w:rsidR="00293A67" w:rsidRPr="002826AC" w:rsidRDefault="00293A67" w:rsidP="00293A67">
            <w:pPr>
              <w:pStyle w:val="Tabletext"/>
              <w:keepNext/>
              <w:keepLines/>
              <w:jc w:val="center"/>
            </w:pPr>
            <w:r w:rsidRPr="002826AC">
              <w:t>EudraCT 2010-021141-41</w:t>
            </w:r>
          </w:p>
        </w:tc>
        <w:tc>
          <w:tcPr>
            <w:tcW w:w="3123" w:type="pct"/>
            <w:tcBorders>
              <w:top w:val="single" w:sz="4" w:space="0" w:color="auto"/>
              <w:bottom w:val="single" w:sz="4" w:space="0" w:color="auto"/>
            </w:tcBorders>
            <w:vAlign w:val="center"/>
          </w:tcPr>
          <w:p w14:paraId="2C9FA99F" w14:textId="77777777" w:rsidR="00293A67" w:rsidRPr="002826AC" w:rsidRDefault="00293A67" w:rsidP="00293A67">
            <w:pPr>
              <w:pStyle w:val="TableText0"/>
              <w:keepLines/>
            </w:pPr>
            <w:r w:rsidRPr="002826AC">
              <w:t>A randomised controlled trial of the clinical effectiveness, safety and cost-effectiveness of adalimumab in combination with methotrexate for the treatment of juvenile idiopathic arthritis associated uveitis (SYCAMORE Trial)</w:t>
            </w:r>
          </w:p>
        </w:tc>
        <w:tc>
          <w:tcPr>
            <w:tcW w:w="939" w:type="pct"/>
            <w:tcBorders>
              <w:top w:val="single" w:sz="4" w:space="0" w:color="auto"/>
              <w:bottom w:val="single" w:sz="4" w:space="0" w:color="auto"/>
            </w:tcBorders>
            <w:vAlign w:val="center"/>
          </w:tcPr>
          <w:p w14:paraId="043B0258" w14:textId="77777777" w:rsidR="00293A67" w:rsidRPr="002826AC" w:rsidRDefault="00293A67" w:rsidP="00293A67">
            <w:pPr>
              <w:pStyle w:val="TableText0"/>
              <w:keepLines/>
              <w:rPr>
                <w:iCs/>
              </w:rPr>
            </w:pPr>
            <w:r w:rsidRPr="002826AC">
              <w:rPr>
                <w:iCs/>
              </w:rPr>
              <w:t>Trials. 2014; 15:14.</w:t>
            </w:r>
          </w:p>
        </w:tc>
      </w:tr>
      <w:tr w:rsidR="00293A67" w:rsidRPr="002826AC" w14:paraId="531AEC9B" w14:textId="77777777" w:rsidTr="00293A67">
        <w:tc>
          <w:tcPr>
            <w:tcW w:w="5000" w:type="pct"/>
            <w:gridSpan w:val="3"/>
            <w:tcBorders>
              <w:top w:val="single" w:sz="4" w:space="0" w:color="auto"/>
              <w:bottom w:val="single" w:sz="4" w:space="0" w:color="auto"/>
            </w:tcBorders>
            <w:vAlign w:val="center"/>
          </w:tcPr>
          <w:p w14:paraId="2E281784" w14:textId="77777777" w:rsidR="00293A67" w:rsidRPr="002826AC" w:rsidRDefault="00293A67" w:rsidP="00293A67">
            <w:pPr>
              <w:pStyle w:val="TableText0"/>
              <w:keepLines/>
              <w:rPr>
                <w:b/>
                <w:bCs w:val="0"/>
                <w:iCs/>
              </w:rPr>
            </w:pPr>
            <w:r w:rsidRPr="002826AC">
              <w:rPr>
                <w:b/>
                <w:bCs w:val="0"/>
                <w:iCs/>
              </w:rPr>
              <w:t>Non-randomised interventional trials</w:t>
            </w:r>
          </w:p>
        </w:tc>
      </w:tr>
      <w:tr w:rsidR="00293A67" w:rsidRPr="002826AC" w14:paraId="443CA5BA" w14:textId="77777777" w:rsidTr="00293A67">
        <w:tc>
          <w:tcPr>
            <w:tcW w:w="938" w:type="pct"/>
            <w:tcBorders>
              <w:top w:val="single" w:sz="4" w:space="0" w:color="auto"/>
              <w:bottom w:val="single" w:sz="4" w:space="0" w:color="auto"/>
            </w:tcBorders>
            <w:vAlign w:val="center"/>
          </w:tcPr>
          <w:p w14:paraId="4AF3E55A" w14:textId="77777777" w:rsidR="00293A67" w:rsidRPr="002826AC" w:rsidRDefault="00293A67" w:rsidP="00293A67">
            <w:pPr>
              <w:pStyle w:val="Tabletext"/>
              <w:keepNext/>
              <w:keepLines/>
              <w:jc w:val="center"/>
            </w:pPr>
            <w:r w:rsidRPr="002826AC">
              <w:t>NCT00775437</w:t>
            </w:r>
          </w:p>
        </w:tc>
        <w:tc>
          <w:tcPr>
            <w:tcW w:w="3123" w:type="pct"/>
            <w:tcBorders>
              <w:top w:val="single" w:sz="4" w:space="0" w:color="auto"/>
              <w:bottom w:val="single" w:sz="4" w:space="0" w:color="auto"/>
            </w:tcBorders>
            <w:vAlign w:val="center"/>
          </w:tcPr>
          <w:p w14:paraId="09B28EE2" w14:textId="77777777" w:rsidR="00293A67" w:rsidRPr="002826AC" w:rsidRDefault="00293A67" w:rsidP="00293A67">
            <w:pPr>
              <w:pStyle w:val="TableText0"/>
              <w:keepLines/>
            </w:pPr>
            <w:r w:rsidRPr="002826AC">
              <w:t>Active Juvenile Idiopathic Arthritis (JIA) Compassionate Use</w:t>
            </w:r>
          </w:p>
        </w:tc>
        <w:tc>
          <w:tcPr>
            <w:tcW w:w="939" w:type="pct"/>
            <w:tcBorders>
              <w:top w:val="single" w:sz="4" w:space="0" w:color="auto"/>
              <w:bottom w:val="single" w:sz="4" w:space="0" w:color="auto"/>
            </w:tcBorders>
            <w:vAlign w:val="center"/>
          </w:tcPr>
          <w:p w14:paraId="222017C5" w14:textId="77777777" w:rsidR="00293A67" w:rsidRPr="002826AC" w:rsidRDefault="00293A67" w:rsidP="00293A67">
            <w:pPr>
              <w:pStyle w:val="TableText0"/>
              <w:keepLines/>
              <w:rPr>
                <w:iCs/>
              </w:rPr>
            </w:pPr>
            <w:r w:rsidRPr="002826AC">
              <w:rPr>
                <w:iCs/>
              </w:rPr>
              <w:t>2013</w:t>
            </w:r>
          </w:p>
        </w:tc>
      </w:tr>
      <w:tr w:rsidR="00293A67" w:rsidRPr="002826AC" w14:paraId="608023C2" w14:textId="77777777" w:rsidTr="00293A67">
        <w:tc>
          <w:tcPr>
            <w:tcW w:w="938" w:type="pct"/>
            <w:tcBorders>
              <w:top w:val="single" w:sz="4" w:space="0" w:color="auto"/>
              <w:bottom w:val="single" w:sz="4" w:space="0" w:color="auto"/>
            </w:tcBorders>
            <w:vAlign w:val="center"/>
          </w:tcPr>
          <w:p w14:paraId="65AE9D25" w14:textId="77777777" w:rsidR="00293A67" w:rsidRPr="002826AC" w:rsidRDefault="00293A67" w:rsidP="00293A67">
            <w:pPr>
              <w:pStyle w:val="Tabletext"/>
              <w:keepNext/>
              <w:keepLines/>
              <w:jc w:val="center"/>
            </w:pPr>
            <w:r w:rsidRPr="002826AC">
              <w:t>NCT00686374</w:t>
            </w:r>
          </w:p>
        </w:tc>
        <w:tc>
          <w:tcPr>
            <w:tcW w:w="3123" w:type="pct"/>
            <w:tcBorders>
              <w:top w:val="single" w:sz="4" w:space="0" w:color="auto"/>
              <w:bottom w:val="single" w:sz="4" w:space="0" w:color="auto"/>
            </w:tcBorders>
            <w:vAlign w:val="center"/>
          </w:tcPr>
          <w:p w14:paraId="76CF86B4" w14:textId="77777777" w:rsidR="00293A67" w:rsidRPr="002826AC" w:rsidRDefault="00293A67" w:rsidP="00293A67">
            <w:pPr>
              <w:pStyle w:val="TableText0"/>
              <w:keepLines/>
            </w:pPr>
            <w:r w:rsidRPr="002826AC">
              <w:t>Efficacy and Long Term Safety of Adalimumab in Pediatric Subjects Who Have Demonstrated Clinical Response in M06-806</w:t>
            </w:r>
          </w:p>
        </w:tc>
        <w:tc>
          <w:tcPr>
            <w:tcW w:w="939" w:type="pct"/>
            <w:tcBorders>
              <w:top w:val="single" w:sz="4" w:space="0" w:color="auto"/>
              <w:bottom w:val="single" w:sz="4" w:space="0" w:color="auto"/>
            </w:tcBorders>
            <w:vAlign w:val="center"/>
          </w:tcPr>
          <w:p w14:paraId="126FA7AC" w14:textId="77777777" w:rsidR="00293A67" w:rsidRPr="002826AC" w:rsidRDefault="00293A67" w:rsidP="00293A67">
            <w:pPr>
              <w:pStyle w:val="TableText0"/>
              <w:keepLines/>
              <w:rPr>
                <w:iCs/>
              </w:rPr>
            </w:pPr>
            <w:r w:rsidRPr="002826AC">
              <w:rPr>
                <w:iCs/>
              </w:rPr>
              <w:t>2017</w:t>
            </w:r>
          </w:p>
        </w:tc>
      </w:tr>
      <w:tr w:rsidR="00293A67" w:rsidRPr="002826AC" w14:paraId="3783FFA1" w14:textId="77777777" w:rsidTr="00293A67">
        <w:tc>
          <w:tcPr>
            <w:tcW w:w="938" w:type="pct"/>
            <w:tcBorders>
              <w:top w:val="single" w:sz="4" w:space="0" w:color="auto"/>
              <w:bottom w:val="single" w:sz="4" w:space="0" w:color="auto"/>
            </w:tcBorders>
            <w:vAlign w:val="center"/>
          </w:tcPr>
          <w:p w14:paraId="2EE8C51C" w14:textId="77777777" w:rsidR="00293A67" w:rsidRPr="002826AC" w:rsidRDefault="00293A67" w:rsidP="00293A67">
            <w:pPr>
              <w:pStyle w:val="Tabletext"/>
              <w:keepNext/>
              <w:keepLines/>
              <w:jc w:val="center"/>
            </w:pPr>
            <w:r w:rsidRPr="002826AC">
              <w:t>NCT02632175</w:t>
            </w:r>
          </w:p>
        </w:tc>
        <w:tc>
          <w:tcPr>
            <w:tcW w:w="3123" w:type="pct"/>
            <w:tcBorders>
              <w:top w:val="single" w:sz="4" w:space="0" w:color="auto"/>
              <w:bottom w:val="single" w:sz="4" w:space="0" w:color="auto"/>
            </w:tcBorders>
            <w:vAlign w:val="center"/>
          </w:tcPr>
          <w:p w14:paraId="32DE91C6" w14:textId="77777777" w:rsidR="00293A67" w:rsidRPr="002826AC" w:rsidRDefault="00293A67" w:rsidP="00293A67">
            <w:pPr>
              <w:pStyle w:val="TableText0"/>
              <w:keepLines/>
            </w:pPr>
            <w:r w:rsidRPr="002826AC">
              <w:t>Long-term Safety and Efficacy Study of Adalimumab in Pediatric Subjects With Ulcerative Colitis</w:t>
            </w:r>
          </w:p>
        </w:tc>
        <w:tc>
          <w:tcPr>
            <w:tcW w:w="939" w:type="pct"/>
            <w:tcBorders>
              <w:top w:val="single" w:sz="4" w:space="0" w:color="auto"/>
              <w:bottom w:val="single" w:sz="4" w:space="0" w:color="auto"/>
            </w:tcBorders>
            <w:vAlign w:val="center"/>
          </w:tcPr>
          <w:p w14:paraId="1F8B212A" w14:textId="77777777" w:rsidR="00293A67" w:rsidRPr="002826AC" w:rsidRDefault="00293A67" w:rsidP="00293A67">
            <w:pPr>
              <w:pStyle w:val="TableText0"/>
              <w:keepLines/>
              <w:rPr>
                <w:iCs/>
              </w:rPr>
            </w:pPr>
            <w:r w:rsidRPr="002826AC">
              <w:rPr>
                <w:iCs/>
              </w:rPr>
              <w:t>In progress</w:t>
            </w:r>
          </w:p>
        </w:tc>
      </w:tr>
      <w:tr w:rsidR="00293A67" w:rsidRPr="002826AC" w14:paraId="5B89365E" w14:textId="77777777" w:rsidTr="00293A67">
        <w:tc>
          <w:tcPr>
            <w:tcW w:w="938" w:type="pct"/>
            <w:tcBorders>
              <w:top w:val="single" w:sz="4" w:space="0" w:color="auto"/>
              <w:bottom w:val="single" w:sz="4" w:space="0" w:color="auto"/>
            </w:tcBorders>
            <w:vAlign w:val="center"/>
          </w:tcPr>
          <w:p w14:paraId="5DF2A63E" w14:textId="77777777" w:rsidR="00293A67" w:rsidRPr="002826AC" w:rsidRDefault="00293A67" w:rsidP="00293A67">
            <w:pPr>
              <w:pStyle w:val="Tabletext"/>
              <w:keepNext/>
              <w:keepLines/>
              <w:jc w:val="center"/>
            </w:pPr>
            <w:r w:rsidRPr="002826AC">
              <w:t>NCT04588818</w:t>
            </w:r>
          </w:p>
        </w:tc>
        <w:tc>
          <w:tcPr>
            <w:tcW w:w="3123" w:type="pct"/>
            <w:tcBorders>
              <w:top w:val="single" w:sz="4" w:space="0" w:color="auto"/>
              <w:bottom w:val="single" w:sz="4" w:space="0" w:color="auto"/>
            </w:tcBorders>
            <w:vAlign w:val="center"/>
          </w:tcPr>
          <w:p w14:paraId="40E081CC" w14:textId="77777777" w:rsidR="00293A67" w:rsidRPr="002826AC" w:rsidRDefault="00293A67" w:rsidP="00293A67">
            <w:pPr>
              <w:pStyle w:val="TableText0"/>
              <w:keepLines/>
            </w:pPr>
            <w:r w:rsidRPr="002826AC">
              <w:t>Adalimumab Plus Methotrexate for the Treatment of Pediatric Uveitis</w:t>
            </w:r>
          </w:p>
        </w:tc>
        <w:tc>
          <w:tcPr>
            <w:tcW w:w="939" w:type="pct"/>
            <w:tcBorders>
              <w:top w:val="single" w:sz="4" w:space="0" w:color="auto"/>
              <w:bottom w:val="single" w:sz="4" w:space="0" w:color="auto"/>
            </w:tcBorders>
            <w:vAlign w:val="center"/>
          </w:tcPr>
          <w:p w14:paraId="7FE050D0" w14:textId="77777777" w:rsidR="00293A67" w:rsidRPr="002826AC" w:rsidRDefault="00293A67" w:rsidP="00293A67">
            <w:pPr>
              <w:pStyle w:val="TableText0"/>
              <w:keepLines/>
              <w:rPr>
                <w:iCs/>
              </w:rPr>
            </w:pPr>
            <w:r w:rsidRPr="002826AC">
              <w:rPr>
                <w:iCs/>
              </w:rPr>
              <w:t>2023</w:t>
            </w:r>
          </w:p>
        </w:tc>
      </w:tr>
      <w:tr w:rsidR="00293A67" w:rsidRPr="002826AC" w14:paraId="72F9B36C" w14:textId="77777777" w:rsidTr="00293A67">
        <w:tc>
          <w:tcPr>
            <w:tcW w:w="938" w:type="pct"/>
            <w:tcBorders>
              <w:top w:val="single" w:sz="4" w:space="0" w:color="auto"/>
              <w:bottom w:val="single" w:sz="4" w:space="0" w:color="auto"/>
            </w:tcBorders>
            <w:vAlign w:val="center"/>
          </w:tcPr>
          <w:p w14:paraId="39F7A943" w14:textId="77777777" w:rsidR="00293A67" w:rsidRPr="002826AC" w:rsidRDefault="00293A67" w:rsidP="00293A67">
            <w:pPr>
              <w:pStyle w:val="Tabletext"/>
              <w:keepNext/>
              <w:keepLines/>
              <w:jc w:val="center"/>
            </w:pPr>
            <w:r w:rsidRPr="002826AC">
              <w:t>NCT05540743</w:t>
            </w:r>
          </w:p>
        </w:tc>
        <w:tc>
          <w:tcPr>
            <w:tcW w:w="3123" w:type="pct"/>
            <w:tcBorders>
              <w:top w:val="single" w:sz="4" w:space="0" w:color="auto"/>
              <w:bottom w:val="single" w:sz="4" w:space="0" w:color="auto"/>
            </w:tcBorders>
            <w:vAlign w:val="center"/>
          </w:tcPr>
          <w:p w14:paraId="6D254581" w14:textId="77777777" w:rsidR="00293A67" w:rsidRPr="002826AC" w:rsidRDefault="00293A67" w:rsidP="00293A67">
            <w:pPr>
              <w:pStyle w:val="TableText0"/>
              <w:keepLines/>
            </w:pPr>
            <w:r w:rsidRPr="002826AC">
              <w:t>Biologic Therapy in Pediatric JIA Uveitis</w:t>
            </w:r>
          </w:p>
        </w:tc>
        <w:tc>
          <w:tcPr>
            <w:tcW w:w="939" w:type="pct"/>
            <w:tcBorders>
              <w:top w:val="single" w:sz="4" w:space="0" w:color="auto"/>
              <w:bottom w:val="single" w:sz="4" w:space="0" w:color="auto"/>
            </w:tcBorders>
            <w:vAlign w:val="center"/>
          </w:tcPr>
          <w:p w14:paraId="49E861B8" w14:textId="77777777" w:rsidR="00293A67" w:rsidRPr="002826AC" w:rsidRDefault="00293A67" w:rsidP="00293A67">
            <w:pPr>
              <w:pStyle w:val="TableText0"/>
              <w:keepLines/>
              <w:rPr>
                <w:iCs/>
              </w:rPr>
            </w:pPr>
            <w:r w:rsidRPr="002826AC">
              <w:rPr>
                <w:iCs/>
              </w:rPr>
              <w:t>In progress</w:t>
            </w:r>
          </w:p>
        </w:tc>
      </w:tr>
      <w:tr w:rsidR="00293A67" w:rsidRPr="002826AC" w14:paraId="447D7D7C" w14:textId="77777777" w:rsidTr="00293A67">
        <w:tc>
          <w:tcPr>
            <w:tcW w:w="938" w:type="pct"/>
            <w:tcBorders>
              <w:top w:val="single" w:sz="4" w:space="0" w:color="auto"/>
              <w:bottom w:val="single" w:sz="4" w:space="0" w:color="auto"/>
            </w:tcBorders>
            <w:vAlign w:val="center"/>
          </w:tcPr>
          <w:p w14:paraId="70651F6E" w14:textId="77777777" w:rsidR="00293A67" w:rsidRPr="002826AC" w:rsidRDefault="00293A67" w:rsidP="00293A67">
            <w:pPr>
              <w:pStyle w:val="Tabletext"/>
              <w:keepNext/>
              <w:keepLines/>
              <w:jc w:val="center"/>
            </w:pPr>
            <w:r w:rsidRPr="002826AC">
              <w:t>NCT00690573</w:t>
            </w:r>
          </w:p>
        </w:tc>
        <w:tc>
          <w:tcPr>
            <w:tcW w:w="3123" w:type="pct"/>
            <w:tcBorders>
              <w:top w:val="single" w:sz="4" w:space="0" w:color="auto"/>
              <w:bottom w:val="single" w:sz="4" w:space="0" w:color="auto"/>
            </w:tcBorders>
            <w:vAlign w:val="center"/>
          </w:tcPr>
          <w:p w14:paraId="7273C00F" w14:textId="77777777" w:rsidR="00293A67" w:rsidRPr="002826AC" w:rsidRDefault="00293A67" w:rsidP="00293A67">
            <w:pPr>
              <w:pStyle w:val="TableText0"/>
              <w:keepLines/>
            </w:pPr>
            <w:r w:rsidRPr="002826AC">
              <w:t>Safety, Efficacy, and Pharmacokinetics of Adalimumab in Japanese Children With Juvenile Rheumatoid Arthritis</w:t>
            </w:r>
          </w:p>
        </w:tc>
        <w:tc>
          <w:tcPr>
            <w:tcW w:w="939" w:type="pct"/>
            <w:tcBorders>
              <w:top w:val="single" w:sz="4" w:space="0" w:color="auto"/>
              <w:bottom w:val="single" w:sz="4" w:space="0" w:color="auto"/>
            </w:tcBorders>
            <w:vAlign w:val="center"/>
          </w:tcPr>
          <w:p w14:paraId="5D9BFE74" w14:textId="77777777" w:rsidR="00293A67" w:rsidRPr="002826AC" w:rsidRDefault="00293A67" w:rsidP="00293A67">
            <w:pPr>
              <w:pStyle w:val="TableText0"/>
              <w:keepLines/>
              <w:rPr>
                <w:iCs/>
              </w:rPr>
            </w:pPr>
            <w:r w:rsidRPr="002826AC">
              <w:rPr>
                <w:iCs/>
              </w:rPr>
              <w:t>2011</w:t>
            </w:r>
          </w:p>
        </w:tc>
      </w:tr>
    </w:tbl>
    <w:p w14:paraId="78DBDDDD" w14:textId="14E401CA" w:rsidR="00852466" w:rsidRDefault="00852466" w:rsidP="00F37EE7">
      <w:pPr>
        <w:pStyle w:val="FooterTableFigure"/>
        <w:keepNext/>
        <w:keepLines/>
      </w:pPr>
      <w:r w:rsidRPr="002826AC">
        <w:t xml:space="preserve">Source: Submission: </w:t>
      </w:r>
      <w:proofErr w:type="spellStart"/>
      <w:r w:rsidRPr="002826AC">
        <w:t>A_Summary</w:t>
      </w:r>
      <w:proofErr w:type="spellEnd"/>
      <w:r w:rsidRPr="002826AC">
        <w:t xml:space="preserve"> Systematic Literature Review</w:t>
      </w:r>
    </w:p>
    <w:p w14:paraId="25DB61A5" w14:textId="77777777" w:rsidR="00852466" w:rsidRPr="002826AC" w:rsidRDefault="00852466" w:rsidP="00852466">
      <w:pPr>
        <w:pStyle w:val="3-BodyText"/>
        <w:numPr>
          <w:ilvl w:val="1"/>
          <w:numId w:val="2"/>
        </w:numPr>
        <w:spacing w:before="120"/>
        <w:rPr>
          <w:color w:val="0066FF"/>
        </w:rPr>
      </w:pPr>
      <w:r w:rsidRPr="002826AC">
        <w:t>The literature search found adalimumab had been studied for the treatment of:</w:t>
      </w:r>
    </w:p>
    <w:p w14:paraId="6C3DC23E" w14:textId="77777777" w:rsidR="00852466" w:rsidRPr="002826AC" w:rsidRDefault="00852466" w:rsidP="00852466">
      <w:pPr>
        <w:pStyle w:val="ListParagraph"/>
        <w:ind w:hanging="360"/>
        <w:jc w:val="both"/>
        <w:rPr>
          <w:color w:val="0066FF"/>
        </w:rPr>
      </w:pPr>
      <w:r w:rsidRPr="002826AC">
        <w:t xml:space="preserve">inflammatory </w:t>
      </w:r>
      <w:proofErr w:type="spellStart"/>
      <w:r w:rsidRPr="002826AC">
        <w:t>arthritides</w:t>
      </w:r>
      <w:proofErr w:type="spellEnd"/>
      <w:r w:rsidRPr="002826AC">
        <w:t xml:space="preserve"> in 173 paediatric patients</w:t>
      </w:r>
    </w:p>
    <w:p w14:paraId="1851B36C" w14:textId="77777777" w:rsidR="00852466" w:rsidRPr="002826AC" w:rsidRDefault="00852466" w:rsidP="00852466">
      <w:pPr>
        <w:pStyle w:val="ListParagraph"/>
        <w:ind w:hanging="360"/>
        <w:jc w:val="both"/>
      </w:pPr>
      <w:r w:rsidRPr="002826AC">
        <w:t>inflammatory bowel disease in 457 patients</w:t>
      </w:r>
    </w:p>
    <w:p w14:paraId="115CE31F" w14:textId="77777777" w:rsidR="00852466" w:rsidRPr="002826AC" w:rsidRDefault="00852466" w:rsidP="00852466">
      <w:pPr>
        <w:pStyle w:val="ListParagraph"/>
        <w:ind w:hanging="360"/>
        <w:jc w:val="both"/>
      </w:pPr>
      <w:r w:rsidRPr="002826AC">
        <w:t>non-infectious uveitis in 76 patients</w:t>
      </w:r>
    </w:p>
    <w:p w14:paraId="3381C82C" w14:textId="77777777" w:rsidR="00852466" w:rsidRPr="002826AC" w:rsidRDefault="00852466" w:rsidP="00852466">
      <w:pPr>
        <w:pStyle w:val="ListParagraph"/>
        <w:ind w:hanging="360"/>
        <w:jc w:val="both"/>
      </w:pPr>
      <w:r w:rsidRPr="002826AC">
        <w:t>plaque psoriasis in 77 patients</w:t>
      </w:r>
    </w:p>
    <w:p w14:paraId="14E90466" w14:textId="77777777" w:rsidR="00852466" w:rsidRPr="002826AC" w:rsidRDefault="00852466" w:rsidP="00852466">
      <w:pPr>
        <w:pStyle w:val="ListParagraph"/>
        <w:ind w:hanging="360"/>
        <w:jc w:val="both"/>
      </w:pPr>
      <w:r w:rsidRPr="002826AC">
        <w:t>mucopolysaccharidosis types I and II in 1 patient.</w:t>
      </w:r>
    </w:p>
    <w:p w14:paraId="4A5A6A50" w14:textId="77777777" w:rsidR="00852466" w:rsidRDefault="00852466" w:rsidP="00852466">
      <w:pPr>
        <w:pStyle w:val="3-BodyText"/>
        <w:numPr>
          <w:ilvl w:val="1"/>
          <w:numId w:val="2"/>
        </w:numPr>
        <w:spacing w:before="120"/>
      </w:pPr>
      <w:r w:rsidRPr="002826AC">
        <w:t>In addition, the literature search found 253 observational studies and 76 case series and reports reviewing efficacy outcomes, 105 observational studies looking at safety outcomes, and 72 reviews on both safety and efficacy. The submission stated the published observational evidence for the use of adalimumab included:</w:t>
      </w:r>
    </w:p>
    <w:p w14:paraId="09AD4DD1" w14:textId="77777777" w:rsidR="00852466" w:rsidRPr="002826AC" w:rsidRDefault="00852466" w:rsidP="00852466">
      <w:pPr>
        <w:pStyle w:val="ListParagraph"/>
        <w:ind w:hanging="360"/>
        <w:jc w:val="both"/>
        <w:rPr>
          <w:color w:val="0066FF"/>
        </w:rPr>
      </w:pPr>
      <w:r w:rsidRPr="002826AC">
        <w:t xml:space="preserve">3,382 children with inflammatory </w:t>
      </w:r>
      <w:proofErr w:type="spellStart"/>
      <w:r w:rsidRPr="002826AC">
        <w:t>arthritides</w:t>
      </w:r>
      <w:proofErr w:type="spellEnd"/>
      <w:r w:rsidRPr="002826AC">
        <w:t xml:space="preserve"> (including polyarticular juvenile idiopathic arthritis, enthesitis-related arthritis, juvenile psoriatic arthritis, sacroiliitis, and axial </w:t>
      </w:r>
      <w:proofErr w:type="spellStart"/>
      <w:r w:rsidRPr="002826AC">
        <w:t>spondyloarthritis</w:t>
      </w:r>
      <w:proofErr w:type="spellEnd"/>
      <w:r w:rsidRPr="002826AC">
        <w:t>)</w:t>
      </w:r>
    </w:p>
    <w:p w14:paraId="588EFABB" w14:textId="77777777" w:rsidR="00852466" w:rsidRPr="002826AC" w:rsidRDefault="00852466" w:rsidP="00852466">
      <w:pPr>
        <w:pStyle w:val="ListParagraph"/>
        <w:ind w:hanging="360"/>
        <w:jc w:val="both"/>
        <w:rPr>
          <w:color w:val="0066FF"/>
        </w:rPr>
      </w:pPr>
      <w:r w:rsidRPr="002826AC">
        <w:t>5,438 children with inflammatory bowel disease (including very early onset inflammatory bowel disease, ulcerative colitis, Crohn disease and associated phenotypes)</w:t>
      </w:r>
    </w:p>
    <w:p w14:paraId="0035AD6E" w14:textId="77777777" w:rsidR="00852466" w:rsidRPr="002826AC" w:rsidRDefault="00852466" w:rsidP="00852466">
      <w:pPr>
        <w:pStyle w:val="ListParagraph"/>
        <w:ind w:hanging="360"/>
        <w:jc w:val="both"/>
        <w:rPr>
          <w:color w:val="0066FF"/>
        </w:rPr>
      </w:pPr>
      <w:r w:rsidRPr="002826AC">
        <w:t>1,311 children with uveitis of all aetiological origins</w:t>
      </w:r>
    </w:p>
    <w:p w14:paraId="264B121B" w14:textId="77777777" w:rsidR="00852466" w:rsidRPr="002826AC" w:rsidRDefault="00852466" w:rsidP="00852466">
      <w:pPr>
        <w:pStyle w:val="ListParagraph"/>
        <w:ind w:hanging="360"/>
        <w:jc w:val="both"/>
        <w:rPr>
          <w:color w:val="0066FF"/>
        </w:rPr>
      </w:pPr>
      <w:r w:rsidRPr="002826AC">
        <w:t xml:space="preserve">392 children with either plaque, pustular or </w:t>
      </w:r>
      <w:proofErr w:type="spellStart"/>
      <w:r w:rsidRPr="002826AC">
        <w:t>rupioid</w:t>
      </w:r>
      <w:proofErr w:type="spellEnd"/>
      <w:r w:rsidRPr="002826AC">
        <w:t xml:space="preserve"> psoriasis</w:t>
      </w:r>
    </w:p>
    <w:p w14:paraId="290251AE" w14:textId="77777777" w:rsidR="00852466" w:rsidRDefault="00852466" w:rsidP="00852466">
      <w:pPr>
        <w:pStyle w:val="ListParagraph"/>
        <w:ind w:hanging="360"/>
        <w:jc w:val="both"/>
      </w:pPr>
      <w:r w:rsidRPr="002826AC">
        <w:t>93 patients with other rare auto-inflammatory diseases or acute inflammatory conditions.</w:t>
      </w:r>
    </w:p>
    <w:p w14:paraId="59044718" w14:textId="77777777" w:rsidR="00852466" w:rsidRPr="002826AC" w:rsidRDefault="00852466" w:rsidP="00852466">
      <w:pPr>
        <w:pStyle w:val="3-BodyText"/>
        <w:numPr>
          <w:ilvl w:val="1"/>
          <w:numId w:val="2"/>
        </w:numPr>
        <w:spacing w:before="120"/>
        <w:rPr>
          <w:color w:val="0066FF"/>
        </w:rPr>
      </w:pPr>
      <w:r w:rsidRPr="002826AC">
        <w:t>The submission further stated that the literature search also identified 92 observational studies with safety-related endpoints, encompassing 4,914 patients globally.</w:t>
      </w:r>
    </w:p>
    <w:p w14:paraId="1428371E" w14:textId="77777777" w:rsidR="00852466" w:rsidRPr="002826AC" w:rsidRDefault="00852466" w:rsidP="00852466">
      <w:pPr>
        <w:pStyle w:val="3-BodyText"/>
        <w:numPr>
          <w:ilvl w:val="1"/>
          <w:numId w:val="2"/>
        </w:numPr>
        <w:spacing w:before="120"/>
        <w:rPr>
          <w:color w:val="0066FF"/>
        </w:rPr>
      </w:pPr>
      <w:r w:rsidRPr="002826AC">
        <w:t xml:space="preserve">The ESC noted the literature provided primarily focused on the safety of adalimumab rather than efficacy in particular conditions, </w:t>
      </w:r>
      <w:proofErr w:type="gramStart"/>
      <w:r w:rsidRPr="002826AC">
        <w:t>and also</w:t>
      </w:r>
      <w:proofErr w:type="gramEnd"/>
      <w:r w:rsidRPr="002826AC">
        <w:t xml:space="preserve"> included real world data. The pre-PBAC response disagreed with this, and claimed evidence provided investigated both efficacy and safety outcomes.</w:t>
      </w:r>
    </w:p>
    <w:p w14:paraId="65D733BE" w14:textId="77777777" w:rsidR="00852466" w:rsidRDefault="00852466" w:rsidP="00852466">
      <w:pPr>
        <w:pStyle w:val="3-BodyText"/>
        <w:numPr>
          <w:ilvl w:val="1"/>
          <w:numId w:val="2"/>
        </w:numPr>
        <w:spacing w:before="120"/>
      </w:pPr>
      <w:r w:rsidRPr="002826AC">
        <w:t xml:space="preserve">The ESC noted the Juvenile Arthritis Foundation Australia’s IMPACT (Investigating the Mental, Physical, Social and Financials </w:t>
      </w:r>
      <w:proofErr w:type="spellStart"/>
      <w:r w:rsidRPr="002826AC">
        <w:t>CosTs</w:t>
      </w:r>
      <w:proofErr w:type="spellEnd"/>
      <w:r w:rsidRPr="002826AC">
        <w:t>) study</w:t>
      </w:r>
      <w:r w:rsidRPr="002826AC">
        <w:rPr>
          <w:rStyle w:val="FootnoteReference"/>
        </w:rPr>
        <w:footnoteReference w:id="17"/>
      </w:r>
      <w:r w:rsidRPr="002826AC">
        <w:t xml:space="preserve"> and its main findings, and the impacts of childhood rheumatic diseases on patients including therapy, costs and quality of life. The ESC noted that juvenile idiopathic arthritis led to a significant reduction in quality of life.</w:t>
      </w:r>
    </w:p>
    <w:p w14:paraId="0BE8E28F" w14:textId="77777777" w:rsidR="00852466" w:rsidRPr="002826AC" w:rsidRDefault="00852466" w:rsidP="00852466">
      <w:pPr>
        <w:pStyle w:val="4-SubsectionHeading"/>
      </w:pPr>
      <w:r w:rsidRPr="002826AC">
        <w:t>Comparative effectiveness</w:t>
      </w:r>
    </w:p>
    <w:p w14:paraId="004835F6" w14:textId="77777777" w:rsidR="00852466" w:rsidRPr="002826AC" w:rsidRDefault="00852466" w:rsidP="00852466">
      <w:pPr>
        <w:pStyle w:val="3-BodyText"/>
        <w:numPr>
          <w:ilvl w:val="1"/>
          <w:numId w:val="2"/>
        </w:numPr>
        <w:spacing w:before="120"/>
        <w:rPr>
          <w:color w:val="0066FF"/>
        </w:rPr>
      </w:pPr>
      <w:r w:rsidRPr="002826AC">
        <w:t>The submission did not provide any study results comparing the safety and efficacy of adalimumab to other treatments for the treatment of paediatric IMIDs. However, the submission did provide the following information regarding the use of adalimumab compared to other therapies for certain conditions:</w:t>
      </w:r>
    </w:p>
    <w:p w14:paraId="6D4ABFB5" w14:textId="77777777" w:rsidR="00852466" w:rsidRDefault="00852466" w:rsidP="00852466">
      <w:pPr>
        <w:pStyle w:val="ListParagraph"/>
        <w:ind w:hanging="360"/>
        <w:jc w:val="both"/>
      </w:pPr>
      <w:r w:rsidRPr="002826AC">
        <w:t>Inflammatory bowel diseases:</w:t>
      </w:r>
    </w:p>
    <w:p w14:paraId="67A97C70" w14:textId="77777777" w:rsidR="00852466" w:rsidRDefault="00852466" w:rsidP="00852466">
      <w:pPr>
        <w:pStyle w:val="3-BodyText"/>
        <w:numPr>
          <w:ilvl w:val="0"/>
          <w:numId w:val="106"/>
        </w:numPr>
        <w:spacing w:before="120"/>
        <w:ind w:left="1560"/>
      </w:pPr>
      <w:r w:rsidRPr="002826AC">
        <w:t xml:space="preserve">azathioprine is generally an effective first-line immunosuppressive treatment for ulcerative colitis. However, this is not the same for conventional immunosuppressive treatments mandated in Crohn disease (especially in high-risk patients with perianal, </w:t>
      </w:r>
      <w:proofErr w:type="spellStart"/>
      <w:r w:rsidRPr="002826AC">
        <w:t>stricturing</w:t>
      </w:r>
      <w:proofErr w:type="spellEnd"/>
      <w:r w:rsidRPr="002826AC">
        <w:t xml:space="preserve"> or penetrating disease, or with severe growth retardation). International guidelines recommend the use of anti-TNF biologic therapies first-line in these high-risk patients.</w:t>
      </w:r>
    </w:p>
    <w:p w14:paraId="6C17BC50" w14:textId="77777777" w:rsidR="00852466" w:rsidRPr="002826AC" w:rsidRDefault="00852466" w:rsidP="00852466">
      <w:pPr>
        <w:pStyle w:val="3-BodyText"/>
        <w:numPr>
          <w:ilvl w:val="0"/>
          <w:numId w:val="106"/>
        </w:numPr>
        <w:spacing w:before="120"/>
        <w:ind w:left="1560"/>
      </w:pPr>
      <w:r w:rsidRPr="002826AC">
        <w:t>Flexibility to optimise dosing in children with inflammatory bowel disease can have a steroid-sparing effect, reducing the risk of adverse effects from corticosteroids such as weight gain, insomnia and ‘moon face’.</w:t>
      </w:r>
    </w:p>
    <w:p w14:paraId="65A02AEB" w14:textId="77777777" w:rsidR="00852466" w:rsidRPr="002826AC" w:rsidRDefault="00852466" w:rsidP="00852466">
      <w:pPr>
        <w:pStyle w:val="ListParagraph"/>
        <w:ind w:hanging="360"/>
        <w:jc w:val="both"/>
      </w:pPr>
      <w:r w:rsidRPr="002826AC">
        <w:t>Uveitis:</w:t>
      </w:r>
    </w:p>
    <w:p w14:paraId="4C9B5BE7" w14:textId="77777777" w:rsidR="00852466" w:rsidRPr="002826AC" w:rsidRDefault="00852466" w:rsidP="00852466">
      <w:pPr>
        <w:pStyle w:val="3-BodyText"/>
        <w:numPr>
          <w:ilvl w:val="0"/>
          <w:numId w:val="108"/>
        </w:numPr>
        <w:spacing w:before="120"/>
        <w:ind w:left="1560"/>
      </w:pPr>
      <w:r w:rsidRPr="002826AC">
        <w:t xml:space="preserve">The ACR guidelines recommend starting combination therapy with a monoclonal antibody </w:t>
      </w:r>
      <w:proofErr w:type="spellStart"/>
      <w:r w:rsidRPr="002826AC">
        <w:t>TNFi</w:t>
      </w:r>
      <w:proofErr w:type="spellEnd"/>
      <w:r w:rsidRPr="002826AC">
        <w:t xml:space="preserve"> in conjunction with methotrexate in children and adolescents with juvenile idiopathic arthritis with severe active chronic anterior uveitis and sight-threating complications, compared to methotrexate monotherapy.</w:t>
      </w:r>
    </w:p>
    <w:p w14:paraId="7F218149" w14:textId="77777777" w:rsidR="00852466" w:rsidRPr="002826AC" w:rsidRDefault="00852466" w:rsidP="00852466">
      <w:pPr>
        <w:pStyle w:val="4-SubsectionHeading"/>
      </w:pPr>
      <w:r w:rsidRPr="002826AC">
        <w:t>Safety considerations</w:t>
      </w:r>
    </w:p>
    <w:p w14:paraId="4369BB97" w14:textId="77777777" w:rsidR="00852466" w:rsidRPr="002826AC" w:rsidRDefault="00852466" w:rsidP="00852466">
      <w:pPr>
        <w:pStyle w:val="3-BodyText"/>
        <w:numPr>
          <w:ilvl w:val="1"/>
          <w:numId w:val="2"/>
        </w:numPr>
        <w:spacing w:before="120"/>
      </w:pPr>
      <w:r w:rsidRPr="002826AC">
        <w:t>The Humira Product Information states: ‘The safety and efficacy of Humira has not been established in other forms of juvenile idiopathic arthritis (JIA) such as systemic JIA or oligoarticular JIA. The long term effects of Humira on the growth and development of children have not been studied. Treatment with Humira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Humira has not been studied in children with Crohn’s disease aged less than 6 years.’</w:t>
      </w:r>
    </w:p>
    <w:p w14:paraId="4A4E6340" w14:textId="77777777" w:rsidR="00852466" w:rsidRDefault="00852466" w:rsidP="00852466">
      <w:pPr>
        <w:pStyle w:val="3-BodyText"/>
        <w:numPr>
          <w:ilvl w:val="1"/>
          <w:numId w:val="2"/>
        </w:numPr>
        <w:spacing w:before="120"/>
      </w:pPr>
      <w:r w:rsidRPr="002826AC">
        <w:t>The submission cited a publication by Horneff et al, which was an analysis of safety events across 7 randomised and open-label trials of adalimumab and their open-label extensions (Horneff et al, 2018)</w:t>
      </w:r>
      <w:r w:rsidRPr="002826AC">
        <w:rPr>
          <w:rStyle w:val="FootnoteReference"/>
        </w:rPr>
        <w:footnoteReference w:id="18"/>
      </w:r>
      <w:r w:rsidRPr="002826AC">
        <w:t>. There were 577 paediatric patients included in the analysis, representing 1,440.7 patient-years of adalimumab exposure across polyarticular juvenile idiopathic arthritis, enthesitis-related arthritis, chronic plaque psoriasis and Crohn disease:</w:t>
      </w:r>
    </w:p>
    <w:p w14:paraId="3C426E75" w14:textId="77777777" w:rsidR="00852466" w:rsidRPr="002826AC" w:rsidRDefault="00852466" w:rsidP="00852466">
      <w:pPr>
        <w:pStyle w:val="ListParagraph"/>
        <w:ind w:hanging="360"/>
        <w:jc w:val="both"/>
      </w:pPr>
      <w:r w:rsidRPr="002826AC">
        <w:t xml:space="preserve">The </w:t>
      </w:r>
      <w:proofErr w:type="gramStart"/>
      <w:r w:rsidRPr="002826AC">
        <w:t>most commonly reported</w:t>
      </w:r>
      <w:proofErr w:type="gramEnd"/>
      <w:r w:rsidRPr="002826AC">
        <w:t xml:space="preserve"> adverse events (events/100 patient-years (PY)) were upper respiratory tract infections (24.3/100 PY), nasopharyngitis (17.3/100 PY), and headache (19.9/100 PY).</w:t>
      </w:r>
    </w:p>
    <w:p w14:paraId="5B946109" w14:textId="77777777" w:rsidR="00852466" w:rsidRPr="002826AC" w:rsidRDefault="00852466" w:rsidP="00852466">
      <w:pPr>
        <w:pStyle w:val="ListParagraph"/>
        <w:ind w:hanging="360"/>
        <w:jc w:val="both"/>
      </w:pPr>
      <w:r w:rsidRPr="002826AC">
        <w:t xml:space="preserve">Serious infections (4.0/100 PY) were the most frequent serious adverse events across indications; the </w:t>
      </w:r>
      <w:proofErr w:type="gramStart"/>
      <w:r w:rsidRPr="002826AC">
        <w:t>most commonly reported</w:t>
      </w:r>
      <w:proofErr w:type="gramEnd"/>
      <w:r w:rsidRPr="002826AC">
        <w:t xml:space="preserve"> was pneumonia (0.6/100 PY). Serious infection rates were 2.7, 0.8, and 6.6/100 PY in patients with juvenile idiopathic arthritis, psoriasis and Crohn disease, respectively.</w:t>
      </w:r>
    </w:p>
    <w:p w14:paraId="665B6AA3" w14:textId="77777777" w:rsidR="00852466" w:rsidRPr="002826AC" w:rsidRDefault="00852466" w:rsidP="00852466">
      <w:pPr>
        <w:pStyle w:val="ListParagraph"/>
        <w:ind w:hanging="360"/>
        <w:jc w:val="both"/>
      </w:pPr>
      <w:r w:rsidRPr="002826AC">
        <w:t>No events of malignancies were reported.</w:t>
      </w:r>
    </w:p>
    <w:p w14:paraId="5C16DD48" w14:textId="77777777" w:rsidR="00852466" w:rsidRPr="002826AC" w:rsidRDefault="00852466" w:rsidP="00852466">
      <w:pPr>
        <w:pStyle w:val="ListParagraph"/>
        <w:ind w:hanging="360"/>
        <w:jc w:val="both"/>
      </w:pPr>
      <w:r w:rsidRPr="002826AC">
        <w:t>One death (accidental fall) occurred in a patient with psoriasis.</w:t>
      </w:r>
    </w:p>
    <w:p w14:paraId="74340CD6" w14:textId="77777777" w:rsidR="00852466" w:rsidRDefault="00852466" w:rsidP="00852466">
      <w:pPr>
        <w:pStyle w:val="3-BodyText"/>
        <w:numPr>
          <w:ilvl w:val="1"/>
          <w:numId w:val="2"/>
        </w:numPr>
        <w:spacing w:before="120"/>
      </w:pPr>
      <w:r w:rsidRPr="002826AC">
        <w:t xml:space="preserve">The </w:t>
      </w:r>
      <w:r w:rsidRPr="008F7785">
        <w:t>submission</w:t>
      </w:r>
      <w:r w:rsidRPr="002826AC">
        <w:t xml:space="preserve"> provided the Update to the Periodic Safety Update Report for: Adalimumab (reporting interval of 1 January 2023 to 30 June 2023), which stated that there was no new efficacy or safety information received that had a significant impact on the benefit/risk evaluation of adalimumab.</w:t>
      </w:r>
    </w:p>
    <w:p w14:paraId="0BDD6D59" w14:textId="77777777" w:rsidR="00852466" w:rsidRPr="002826AC" w:rsidRDefault="00852466" w:rsidP="00852466">
      <w:pPr>
        <w:pStyle w:val="3-BodyText"/>
        <w:numPr>
          <w:ilvl w:val="1"/>
          <w:numId w:val="2"/>
        </w:numPr>
        <w:spacing w:before="120"/>
      </w:pPr>
      <w:r w:rsidRPr="002826AC">
        <w:t>The report stated that there was one new safety signal identified during the interval, outlined in Table 2.</w:t>
      </w:r>
    </w:p>
    <w:p w14:paraId="48B8AFB2" w14:textId="77777777" w:rsidR="00852466" w:rsidRPr="002826AC" w:rsidRDefault="00852466" w:rsidP="00852466">
      <w:pPr>
        <w:pStyle w:val="In-tableHeading"/>
      </w:pPr>
      <w:r w:rsidRPr="002826AC">
        <w:t>Table 2: Safety signals (closed or ongoing) during the PSUR Update Reporting Interval 1 January 2023 through 30 June 2023</w:t>
      </w:r>
    </w:p>
    <w:tbl>
      <w:tblPr>
        <w:tblStyle w:val="TableGrid"/>
        <w:tblW w:w="0" w:type="auto"/>
        <w:tblInd w:w="-5" w:type="dxa"/>
        <w:tblLook w:val="04A0" w:firstRow="1" w:lastRow="0" w:firstColumn="1" w:lastColumn="0" w:noHBand="0" w:noVBand="1"/>
        <w:tblCaption w:val="Table 2: Safety signals (closed or ongoing) during the PSUR Update Reporting Interval 1 January 2023 through 30 June 2023"/>
      </w:tblPr>
      <w:tblGrid>
        <w:gridCol w:w="2400"/>
        <w:gridCol w:w="6621"/>
      </w:tblGrid>
      <w:tr w:rsidR="00852466" w:rsidRPr="002826AC" w14:paraId="1CDD0499" w14:textId="77777777">
        <w:tc>
          <w:tcPr>
            <w:tcW w:w="2400" w:type="dxa"/>
            <w:tcMar>
              <w:left w:w="40" w:type="dxa"/>
              <w:right w:w="40" w:type="dxa"/>
            </w:tcMar>
            <w:vAlign w:val="center"/>
          </w:tcPr>
          <w:p w14:paraId="70391AA0" w14:textId="77777777" w:rsidR="00852466" w:rsidRPr="002826AC" w:rsidRDefault="00852466">
            <w:pPr>
              <w:pStyle w:val="TableText0"/>
            </w:pPr>
            <w:r w:rsidRPr="002826AC">
              <w:t>Signal Term</w:t>
            </w:r>
          </w:p>
        </w:tc>
        <w:tc>
          <w:tcPr>
            <w:tcW w:w="6622" w:type="dxa"/>
            <w:tcMar>
              <w:left w:w="40" w:type="dxa"/>
              <w:right w:w="40" w:type="dxa"/>
            </w:tcMar>
          </w:tcPr>
          <w:p w14:paraId="59BF5998" w14:textId="77777777" w:rsidR="00852466" w:rsidRPr="002826AC" w:rsidRDefault="00852466">
            <w:pPr>
              <w:pStyle w:val="TableText0"/>
              <w:rPr>
                <w:rFonts w:cs="CIDFont+F1"/>
                <w:szCs w:val="20"/>
              </w:rPr>
            </w:pPr>
            <w:r w:rsidRPr="002826AC">
              <w:rPr>
                <w:rFonts w:cs="CIDFont+F1"/>
                <w:szCs w:val="20"/>
              </w:rPr>
              <w:t>Neuropsychiatric disorders</w:t>
            </w:r>
          </w:p>
        </w:tc>
      </w:tr>
      <w:tr w:rsidR="00852466" w:rsidRPr="002826AC" w14:paraId="08EB893C" w14:textId="77777777">
        <w:tc>
          <w:tcPr>
            <w:tcW w:w="2400" w:type="dxa"/>
            <w:tcMar>
              <w:left w:w="40" w:type="dxa"/>
              <w:right w:w="40" w:type="dxa"/>
            </w:tcMar>
            <w:vAlign w:val="center"/>
          </w:tcPr>
          <w:p w14:paraId="66061608" w14:textId="77777777" w:rsidR="00852466" w:rsidRPr="002826AC" w:rsidRDefault="00852466">
            <w:pPr>
              <w:pStyle w:val="TableText0"/>
            </w:pPr>
            <w:r w:rsidRPr="002826AC">
              <w:t>Date Detected</w:t>
            </w:r>
          </w:p>
        </w:tc>
        <w:tc>
          <w:tcPr>
            <w:tcW w:w="6622" w:type="dxa"/>
            <w:tcMar>
              <w:left w:w="40" w:type="dxa"/>
              <w:right w:w="40" w:type="dxa"/>
            </w:tcMar>
          </w:tcPr>
          <w:p w14:paraId="12881071" w14:textId="77777777" w:rsidR="00852466" w:rsidRPr="002826AC" w:rsidRDefault="00852466">
            <w:pPr>
              <w:pStyle w:val="TableText0"/>
            </w:pPr>
            <w:r w:rsidRPr="002826AC">
              <w:t>21 February 2023</w:t>
            </w:r>
          </w:p>
        </w:tc>
      </w:tr>
      <w:tr w:rsidR="00852466" w:rsidRPr="002826AC" w14:paraId="14D7DDAE" w14:textId="77777777">
        <w:tc>
          <w:tcPr>
            <w:tcW w:w="2400" w:type="dxa"/>
            <w:tcMar>
              <w:left w:w="40" w:type="dxa"/>
              <w:right w:w="40" w:type="dxa"/>
            </w:tcMar>
            <w:vAlign w:val="center"/>
          </w:tcPr>
          <w:p w14:paraId="4EFC6F87" w14:textId="77777777" w:rsidR="00852466" w:rsidRPr="002826AC" w:rsidRDefault="00852466">
            <w:pPr>
              <w:pStyle w:val="TableText0"/>
              <w:rPr>
                <w:rFonts w:cs="CIDFont+F3"/>
                <w:b/>
                <w:szCs w:val="20"/>
              </w:rPr>
            </w:pPr>
            <w:r w:rsidRPr="002826AC">
              <w:rPr>
                <w:rFonts w:cs="CIDFont+F3"/>
                <w:b/>
                <w:szCs w:val="20"/>
              </w:rPr>
              <w:t>Status (New, Ongoing or Closed)</w:t>
            </w:r>
          </w:p>
        </w:tc>
        <w:tc>
          <w:tcPr>
            <w:tcW w:w="6622" w:type="dxa"/>
            <w:tcMar>
              <w:left w:w="40" w:type="dxa"/>
              <w:right w:w="40" w:type="dxa"/>
            </w:tcMar>
          </w:tcPr>
          <w:p w14:paraId="454F78BE" w14:textId="77777777" w:rsidR="00852466" w:rsidRPr="002826AC" w:rsidRDefault="00852466">
            <w:pPr>
              <w:pStyle w:val="TableText0"/>
            </w:pPr>
            <w:r w:rsidRPr="002826AC">
              <w:t>Closed</w:t>
            </w:r>
          </w:p>
        </w:tc>
      </w:tr>
      <w:tr w:rsidR="00852466" w:rsidRPr="002826AC" w14:paraId="1991563B" w14:textId="77777777">
        <w:tc>
          <w:tcPr>
            <w:tcW w:w="2400" w:type="dxa"/>
            <w:tcMar>
              <w:left w:w="40" w:type="dxa"/>
              <w:right w:w="40" w:type="dxa"/>
            </w:tcMar>
            <w:vAlign w:val="center"/>
          </w:tcPr>
          <w:p w14:paraId="386008B8" w14:textId="77777777" w:rsidR="00852466" w:rsidRPr="002826AC" w:rsidRDefault="00852466">
            <w:pPr>
              <w:pStyle w:val="TableText0"/>
              <w:rPr>
                <w:rFonts w:cs="CIDFont+F3"/>
                <w:b/>
                <w:szCs w:val="20"/>
              </w:rPr>
            </w:pPr>
            <w:r w:rsidRPr="002826AC">
              <w:rPr>
                <w:rFonts w:cs="CIDFont+F3"/>
                <w:b/>
                <w:szCs w:val="20"/>
              </w:rPr>
              <w:t>Date Closed (for Closed Signals)</w:t>
            </w:r>
          </w:p>
        </w:tc>
        <w:tc>
          <w:tcPr>
            <w:tcW w:w="6622" w:type="dxa"/>
            <w:tcMar>
              <w:left w:w="40" w:type="dxa"/>
              <w:right w:w="40" w:type="dxa"/>
            </w:tcMar>
          </w:tcPr>
          <w:p w14:paraId="573B50A3" w14:textId="77777777" w:rsidR="00852466" w:rsidRPr="002826AC" w:rsidRDefault="00852466">
            <w:pPr>
              <w:pStyle w:val="TableText0"/>
            </w:pPr>
            <w:r w:rsidRPr="002826AC">
              <w:t>12 May 2023</w:t>
            </w:r>
          </w:p>
        </w:tc>
      </w:tr>
      <w:tr w:rsidR="00852466" w:rsidRPr="002826AC" w14:paraId="26496CCB" w14:textId="77777777">
        <w:trPr>
          <w:trHeight w:val="110"/>
        </w:trPr>
        <w:tc>
          <w:tcPr>
            <w:tcW w:w="2400" w:type="dxa"/>
            <w:tcMar>
              <w:left w:w="40" w:type="dxa"/>
              <w:right w:w="40" w:type="dxa"/>
            </w:tcMar>
            <w:vAlign w:val="center"/>
          </w:tcPr>
          <w:p w14:paraId="77A5E72D" w14:textId="77777777" w:rsidR="00852466" w:rsidRPr="002826AC" w:rsidRDefault="00852466">
            <w:pPr>
              <w:pStyle w:val="TableText0"/>
            </w:pPr>
            <w:r w:rsidRPr="002826AC">
              <w:t>Source of Signal</w:t>
            </w:r>
          </w:p>
        </w:tc>
        <w:tc>
          <w:tcPr>
            <w:tcW w:w="6622" w:type="dxa"/>
            <w:tcMar>
              <w:left w:w="40" w:type="dxa"/>
              <w:right w:w="40" w:type="dxa"/>
            </w:tcMar>
          </w:tcPr>
          <w:p w14:paraId="32A2B012" w14:textId="77777777" w:rsidR="00852466" w:rsidRPr="002826AC" w:rsidRDefault="00852466">
            <w:pPr>
              <w:pStyle w:val="TableText0"/>
            </w:pPr>
            <w:r w:rsidRPr="002826AC">
              <w:t>FDA</w:t>
            </w:r>
          </w:p>
        </w:tc>
      </w:tr>
      <w:tr w:rsidR="00852466" w:rsidRPr="002826AC" w14:paraId="60BA4751" w14:textId="77777777">
        <w:tc>
          <w:tcPr>
            <w:tcW w:w="2400" w:type="dxa"/>
            <w:tcMar>
              <w:left w:w="40" w:type="dxa"/>
              <w:right w:w="40" w:type="dxa"/>
            </w:tcMar>
            <w:vAlign w:val="center"/>
          </w:tcPr>
          <w:p w14:paraId="69DF81CF" w14:textId="77777777" w:rsidR="00852466" w:rsidRPr="002826AC" w:rsidRDefault="00852466">
            <w:pPr>
              <w:pStyle w:val="TableText0"/>
              <w:rPr>
                <w:rFonts w:cs="CIDFont+F3"/>
                <w:b/>
                <w:szCs w:val="20"/>
              </w:rPr>
            </w:pPr>
            <w:r w:rsidRPr="002826AC">
              <w:rPr>
                <w:rFonts w:cs="CIDFont+F3"/>
                <w:b/>
                <w:szCs w:val="20"/>
              </w:rPr>
              <w:t>Reason for Evaluation and Summary of Key Data</w:t>
            </w:r>
          </w:p>
        </w:tc>
        <w:tc>
          <w:tcPr>
            <w:tcW w:w="6622" w:type="dxa"/>
            <w:tcMar>
              <w:left w:w="40" w:type="dxa"/>
              <w:right w:w="40" w:type="dxa"/>
            </w:tcMar>
          </w:tcPr>
          <w:p w14:paraId="3E83C8C7" w14:textId="77777777" w:rsidR="00852466" w:rsidRPr="002826AC" w:rsidRDefault="00852466">
            <w:pPr>
              <w:pStyle w:val="TableText0"/>
              <w:rPr>
                <w:rFonts w:cs="CIDFont+F1"/>
                <w:szCs w:val="20"/>
              </w:rPr>
            </w:pPr>
            <w:r w:rsidRPr="002826AC">
              <w:rPr>
                <w:rFonts w:cs="CIDFont+F1"/>
                <w:szCs w:val="20"/>
              </w:rPr>
              <w:t>On 21 February 2023, AbbVie received a Request for Information from the FDA for a comprehensive analysis of specific neuropsychiatric adverse events coincident with adalimumab and a cumulative summary of drug utilization rates for adalimumab in the United States and worldwide</w:t>
            </w:r>
          </w:p>
        </w:tc>
      </w:tr>
      <w:tr w:rsidR="00852466" w:rsidRPr="002826AC" w14:paraId="0797DD98" w14:textId="77777777">
        <w:tc>
          <w:tcPr>
            <w:tcW w:w="2400" w:type="dxa"/>
            <w:tcMar>
              <w:left w:w="40" w:type="dxa"/>
              <w:right w:w="40" w:type="dxa"/>
            </w:tcMar>
            <w:vAlign w:val="center"/>
          </w:tcPr>
          <w:p w14:paraId="654EE423" w14:textId="77777777" w:rsidR="00852466" w:rsidRPr="002826AC" w:rsidRDefault="00852466">
            <w:pPr>
              <w:pStyle w:val="TableText0"/>
              <w:rPr>
                <w:rFonts w:cs="CIDFont+F3"/>
                <w:b/>
                <w:szCs w:val="20"/>
              </w:rPr>
            </w:pPr>
            <w:r w:rsidRPr="002826AC">
              <w:rPr>
                <w:rFonts w:cs="CIDFont+F3"/>
                <w:b/>
                <w:szCs w:val="20"/>
              </w:rPr>
              <w:t>Method of Signal Evaluation</w:t>
            </w:r>
          </w:p>
        </w:tc>
        <w:tc>
          <w:tcPr>
            <w:tcW w:w="6622" w:type="dxa"/>
            <w:tcMar>
              <w:left w:w="40" w:type="dxa"/>
              <w:right w:w="40" w:type="dxa"/>
            </w:tcMar>
          </w:tcPr>
          <w:p w14:paraId="1E92FA45" w14:textId="77777777" w:rsidR="00852466" w:rsidRPr="002826AC" w:rsidRDefault="00852466">
            <w:pPr>
              <w:pStyle w:val="TableText0"/>
              <w:rPr>
                <w:rFonts w:cs="CIDFont+F1"/>
                <w:szCs w:val="20"/>
              </w:rPr>
            </w:pPr>
            <w:r w:rsidRPr="002826AC">
              <w:rPr>
                <w:rFonts w:cs="CIDFont+F1"/>
                <w:szCs w:val="20"/>
              </w:rPr>
              <w:t xml:space="preserve">Case Series </w:t>
            </w:r>
            <w:proofErr w:type="spellStart"/>
            <w:r w:rsidRPr="002826AC">
              <w:rPr>
                <w:rFonts w:cs="CIDFont+F1"/>
                <w:szCs w:val="20"/>
              </w:rPr>
              <w:t>Analysis</w:t>
            </w:r>
            <w:r w:rsidRPr="002826AC">
              <w:rPr>
                <w:rFonts w:cs="CIDFont+F1"/>
                <w:szCs w:val="20"/>
                <w:vertAlign w:val="superscript"/>
              </w:rPr>
              <w:t>a</w:t>
            </w:r>
            <w:proofErr w:type="spellEnd"/>
          </w:p>
        </w:tc>
      </w:tr>
      <w:tr w:rsidR="00852466" w:rsidRPr="002826AC" w14:paraId="192E8528" w14:textId="77777777">
        <w:tc>
          <w:tcPr>
            <w:tcW w:w="2400" w:type="dxa"/>
            <w:tcMar>
              <w:left w:w="40" w:type="dxa"/>
              <w:right w:w="40" w:type="dxa"/>
            </w:tcMar>
            <w:vAlign w:val="center"/>
          </w:tcPr>
          <w:p w14:paraId="681CD05B" w14:textId="77777777" w:rsidR="00852466" w:rsidRPr="002826AC" w:rsidRDefault="00852466">
            <w:pPr>
              <w:pStyle w:val="TableText0"/>
              <w:rPr>
                <w:rFonts w:cs="CIDFont+F3"/>
                <w:b/>
                <w:szCs w:val="20"/>
              </w:rPr>
            </w:pPr>
            <w:r w:rsidRPr="002826AC">
              <w:rPr>
                <w:rFonts w:cs="CIDFont+F3"/>
                <w:b/>
                <w:szCs w:val="20"/>
              </w:rPr>
              <w:t>Action(s) Taken or Planned</w:t>
            </w:r>
          </w:p>
        </w:tc>
        <w:tc>
          <w:tcPr>
            <w:tcW w:w="6622" w:type="dxa"/>
            <w:tcMar>
              <w:left w:w="40" w:type="dxa"/>
              <w:right w:w="40" w:type="dxa"/>
            </w:tcMar>
          </w:tcPr>
          <w:p w14:paraId="34721F7B" w14:textId="77777777" w:rsidR="00852466" w:rsidRPr="002826AC" w:rsidRDefault="00852466">
            <w:pPr>
              <w:pStyle w:val="TableText0"/>
              <w:rPr>
                <w:rFonts w:cs="CIDFont+F1"/>
                <w:szCs w:val="20"/>
              </w:rPr>
            </w:pPr>
            <w:r w:rsidRPr="002826AC">
              <w:rPr>
                <w:rFonts w:cs="CIDFont+F1"/>
                <w:szCs w:val="20"/>
              </w:rPr>
              <w:t xml:space="preserve">Signal not confirmed. There is no evidence of a causal relationship between the neuropsychiatric medical concepts of suicide, depression, anxiety, delirium/disorientation or hallucinations/paranoia/acute psychosis/psychotic disorder/mania and adalimumab based on clinical trial data and </w:t>
            </w:r>
            <w:proofErr w:type="spellStart"/>
            <w:r w:rsidRPr="002826AC">
              <w:rPr>
                <w:rFonts w:cs="CIDFont+F1"/>
                <w:szCs w:val="20"/>
              </w:rPr>
              <w:t>postmarketing</w:t>
            </w:r>
            <w:proofErr w:type="spellEnd"/>
            <w:r w:rsidRPr="002826AC">
              <w:rPr>
                <w:rFonts w:cs="CIDFont+F1"/>
                <w:szCs w:val="20"/>
              </w:rPr>
              <w:t xml:space="preserve"> reports. No changes to the CCDS or Risk Management Plan are recommended </w:t>
            </w:r>
            <w:proofErr w:type="gramStart"/>
            <w:r w:rsidRPr="002826AC">
              <w:rPr>
                <w:rFonts w:cs="CIDFont+F1"/>
                <w:szCs w:val="20"/>
              </w:rPr>
              <w:t>at this time</w:t>
            </w:r>
            <w:proofErr w:type="gramEnd"/>
            <w:r w:rsidRPr="002826AC">
              <w:rPr>
                <w:rFonts w:cs="CIDFont+F1"/>
                <w:szCs w:val="20"/>
              </w:rPr>
              <w:t xml:space="preserve">. The data reviewed in this report do not change the established benefit risk profile of adalimumab, which remains </w:t>
            </w:r>
            <w:proofErr w:type="spellStart"/>
            <w:r w:rsidRPr="002826AC">
              <w:rPr>
                <w:rFonts w:cs="CIDFont+F1"/>
                <w:szCs w:val="20"/>
              </w:rPr>
              <w:t>favorable</w:t>
            </w:r>
            <w:proofErr w:type="spellEnd"/>
          </w:p>
        </w:tc>
      </w:tr>
    </w:tbl>
    <w:p w14:paraId="28B71059" w14:textId="77777777" w:rsidR="00852466" w:rsidRPr="002826AC" w:rsidRDefault="00852466" w:rsidP="00852466">
      <w:pPr>
        <w:pStyle w:val="TableFigureFooter"/>
      </w:pPr>
      <w:r w:rsidRPr="002826AC">
        <w:t>Source: Attachment 4 ADA 30 June 2023 PSUR Update</w:t>
      </w:r>
    </w:p>
    <w:p w14:paraId="11FADE62" w14:textId="77777777" w:rsidR="00852466" w:rsidRPr="002826AC" w:rsidRDefault="00852466" w:rsidP="00852466">
      <w:pPr>
        <w:pStyle w:val="TableFigureFooter"/>
      </w:pPr>
      <w:r w:rsidRPr="002826AC">
        <w:t>AbbVie: AbbVie Inc.; CCDS: Company Core Data Sheet; FDA: Food and Drug Administration; PSUR: Periodic Safety Update Report</w:t>
      </w:r>
    </w:p>
    <w:p w14:paraId="603203FB" w14:textId="77777777" w:rsidR="00852466" w:rsidRPr="002826AC" w:rsidRDefault="00852466" w:rsidP="00852466">
      <w:pPr>
        <w:pStyle w:val="TableFigureFooter"/>
      </w:pPr>
      <w:proofErr w:type="spellStart"/>
      <w:r w:rsidRPr="002826AC">
        <w:rPr>
          <w:vertAlign w:val="superscript"/>
        </w:rPr>
        <w:t>a</w:t>
      </w:r>
      <w:r w:rsidRPr="002826AC">
        <w:t>Case</w:t>
      </w:r>
      <w:proofErr w:type="spellEnd"/>
      <w:r w:rsidRPr="002826AC">
        <w:t xml:space="preserve"> Series Analysis: MAH standardized analysis includes review of cases from MAH </w:t>
      </w:r>
      <w:proofErr w:type="spellStart"/>
      <w:r w:rsidRPr="002826AC">
        <w:t>postmarketing</w:t>
      </w:r>
      <w:proofErr w:type="spellEnd"/>
      <w:r w:rsidRPr="002826AC">
        <w:t xml:space="preserve"> and clinical trial databases and literature</w:t>
      </w:r>
    </w:p>
    <w:p w14:paraId="79CF9EBA" w14:textId="77777777" w:rsidR="00852466" w:rsidRPr="002826AC" w:rsidRDefault="00852466" w:rsidP="00852466">
      <w:pPr>
        <w:pStyle w:val="3-BodyText"/>
        <w:numPr>
          <w:ilvl w:val="1"/>
          <w:numId w:val="2"/>
        </w:numPr>
        <w:spacing w:before="120"/>
      </w:pPr>
      <w:r w:rsidRPr="002826AC">
        <w:t>The report stated that there had been no actions taken for safety reasons during the interval covered by this update.</w:t>
      </w:r>
    </w:p>
    <w:p w14:paraId="2D095103" w14:textId="77777777" w:rsidR="00852466" w:rsidRPr="002826AC" w:rsidRDefault="00852466" w:rsidP="00852466">
      <w:pPr>
        <w:pStyle w:val="3-BodyText"/>
        <w:numPr>
          <w:ilvl w:val="1"/>
          <w:numId w:val="2"/>
        </w:numPr>
        <w:spacing w:before="120"/>
      </w:pPr>
      <w:r w:rsidRPr="002826AC">
        <w:t>A benefits and harms table is not presented as the submission did not make a clinical claim.</w:t>
      </w:r>
    </w:p>
    <w:p w14:paraId="5975BB47" w14:textId="77777777" w:rsidR="00852466" w:rsidRPr="002826AC" w:rsidRDefault="00852466" w:rsidP="00852466">
      <w:pPr>
        <w:pStyle w:val="3-BodyText"/>
        <w:numPr>
          <w:ilvl w:val="1"/>
          <w:numId w:val="2"/>
        </w:numPr>
        <w:spacing w:before="120"/>
      </w:pPr>
      <w:r w:rsidRPr="002826AC">
        <w:t>The ESC noted that a broad listing for adalimumab with no restrictions on indications differs from the listings for similar medicines. It expressed concern about broadening the listing to  include conditions in which efficacy has not been established, given the drug is not without risks (known adverse events and immunosuppressive effects), the extent of which are unclear in the paediatric setting. The ESC also noted that there were different levels of evidence for the use of adalimumab in children for different indications.</w:t>
      </w:r>
    </w:p>
    <w:p w14:paraId="149E6ECF" w14:textId="77777777" w:rsidR="00852466" w:rsidRPr="002826AC" w:rsidRDefault="00852466" w:rsidP="00852466">
      <w:pPr>
        <w:pStyle w:val="4-SubsectionHeading"/>
      </w:pPr>
      <w:r w:rsidRPr="002826AC">
        <w:t>Clinical claim</w:t>
      </w:r>
    </w:p>
    <w:p w14:paraId="1D0DB0C7" w14:textId="77777777" w:rsidR="00852466" w:rsidRPr="002826AC" w:rsidRDefault="00852466" w:rsidP="00852466">
      <w:pPr>
        <w:pStyle w:val="3-BodyText"/>
        <w:numPr>
          <w:ilvl w:val="1"/>
          <w:numId w:val="2"/>
        </w:numPr>
        <w:spacing w:before="120"/>
        <w:rPr>
          <w:color w:val="0066FF"/>
        </w:rPr>
      </w:pPr>
      <w:r w:rsidRPr="002826AC">
        <w:t>The submission did not include a clinical claim.</w:t>
      </w:r>
    </w:p>
    <w:p w14:paraId="314370E6" w14:textId="77777777" w:rsidR="00852466" w:rsidRDefault="00852466" w:rsidP="00852466">
      <w:pPr>
        <w:pStyle w:val="4-SubsectionHeading"/>
      </w:pPr>
      <w:r w:rsidRPr="002826AC">
        <w:t>Economic analysis</w:t>
      </w:r>
    </w:p>
    <w:p w14:paraId="034F00A6" w14:textId="77777777" w:rsidR="00852466" w:rsidRPr="002826AC" w:rsidRDefault="00852466" w:rsidP="00852466">
      <w:pPr>
        <w:pStyle w:val="3-BodyText"/>
        <w:numPr>
          <w:ilvl w:val="1"/>
          <w:numId w:val="2"/>
        </w:numPr>
        <w:spacing w:before="120"/>
        <w:rPr>
          <w:b/>
          <w:bCs/>
        </w:rPr>
      </w:pPr>
      <w:r w:rsidRPr="002826AC">
        <w:t>The submission did not provide an economic analysis.</w:t>
      </w:r>
    </w:p>
    <w:p w14:paraId="08D892A9" w14:textId="77777777" w:rsidR="00852466" w:rsidRPr="002826AC" w:rsidRDefault="00852466" w:rsidP="00852466">
      <w:pPr>
        <w:pStyle w:val="3-BodyText"/>
        <w:numPr>
          <w:ilvl w:val="1"/>
          <w:numId w:val="2"/>
        </w:numPr>
        <w:spacing w:before="120"/>
        <w:rPr>
          <w:b/>
          <w:bCs/>
        </w:rPr>
      </w:pPr>
      <w:r w:rsidRPr="002826AC">
        <w:t>The PSCR stated ‘While the cost-effective price of adalimumab (Humira) has not been formally established in these patient groups, AbbVie refers to the NICE recommendation for adalimumab and etanercept in JIA,</w:t>
      </w:r>
      <w:r w:rsidRPr="002826AC">
        <w:rPr>
          <w:rStyle w:val="FootnoteReference"/>
        </w:rPr>
        <w:footnoteReference w:id="19"/>
      </w:r>
      <w:r w:rsidRPr="002826AC">
        <w:t xml:space="preserve"> which was inclusive of polyarticular juvenile idiopathic arthritis (</w:t>
      </w:r>
      <w:proofErr w:type="spellStart"/>
      <w:r w:rsidRPr="002826AC">
        <w:t>pJIA</w:t>
      </w:r>
      <w:proofErr w:type="spellEnd"/>
      <w:r w:rsidRPr="002826AC">
        <w:t>), enthesitis-related arthritis (ERA) and psoriatic JIA, where it was acknowledged that the outcomes between populations were overall generalisable and therefore likely to be equally cost-effective at a given price.’</w:t>
      </w:r>
    </w:p>
    <w:p w14:paraId="777F1344" w14:textId="77777777" w:rsidR="00852466" w:rsidRDefault="00852466" w:rsidP="00852466">
      <w:pPr>
        <w:pStyle w:val="3-BodyText"/>
        <w:numPr>
          <w:ilvl w:val="1"/>
          <w:numId w:val="2"/>
        </w:numPr>
        <w:spacing w:before="120"/>
      </w:pPr>
      <w:r w:rsidRPr="002826AC">
        <w:t>The ESC noted that as there was no economic analysis presented for any of the proposed indications there was no basis for assessing cost-effectiveness. No reference points of previous decisions were nominated. A parallel application for adalimumab for uveitis, which is a relative common feature of some of the indications in this submission, presented a cost-effectiveness analysis with a base incremental cost-effectiveness ratio (ICER) of $</w:t>
      </w:r>
      <w:r w:rsidRPr="001A0C93">
        <w:t>25,000 to &lt; $35,000</w:t>
      </w:r>
      <w:r w:rsidRPr="002826AC">
        <w:t xml:space="preserve">. That ICER was very sensitive to time horizon and assumed ocular benefits and a specific disease duration. When used in younger patients, adalimumab is likely to be used for a longer period compared to older patients, considering that treatment will be started earlier </w:t>
      </w:r>
      <w:proofErr w:type="gramStart"/>
      <w:r w:rsidRPr="002826AC">
        <w:t>and in most situations,</w:t>
      </w:r>
      <w:proofErr w:type="gramEnd"/>
      <w:r w:rsidRPr="002826AC">
        <w:t xml:space="preserve"> adalimumab will be used to control (rather than cure) the condition</w:t>
      </w:r>
      <w:r>
        <w:t xml:space="preserve">. </w:t>
      </w:r>
      <w:r w:rsidRPr="002826AC">
        <w:t xml:space="preserve"> </w:t>
      </w:r>
    </w:p>
    <w:p w14:paraId="61131F89" w14:textId="77777777" w:rsidR="00852466" w:rsidRDefault="00852466" w:rsidP="00852466">
      <w:pPr>
        <w:pStyle w:val="3-BodyText"/>
        <w:numPr>
          <w:ilvl w:val="1"/>
          <w:numId w:val="2"/>
        </w:numPr>
        <w:spacing w:before="120"/>
      </w:pPr>
      <w:r w:rsidRPr="002826AC">
        <w:t>The submission requested the following dispensed price for maximum quantity (DPMQ) for the different strengths of Humira:</w:t>
      </w:r>
    </w:p>
    <w:p w14:paraId="35ADC7D3" w14:textId="77777777" w:rsidR="00852466" w:rsidRPr="002826AC" w:rsidRDefault="00852466" w:rsidP="00852466">
      <w:pPr>
        <w:pStyle w:val="TableFigureHeading"/>
      </w:pPr>
      <w:r w:rsidRPr="002826AC">
        <w:t>Table 3: Requested DPMQ for Humira</w:t>
      </w:r>
    </w:p>
    <w:tbl>
      <w:tblPr>
        <w:tblStyle w:val="TableGrid"/>
        <w:tblW w:w="0" w:type="auto"/>
        <w:tblLook w:val="04A0" w:firstRow="1" w:lastRow="0" w:firstColumn="1" w:lastColumn="0" w:noHBand="0" w:noVBand="1"/>
        <w:tblCaption w:val="Table 3: Requested DPMQ for Humira"/>
      </w:tblPr>
      <w:tblGrid>
        <w:gridCol w:w="3396"/>
        <w:gridCol w:w="1701"/>
        <w:gridCol w:w="1843"/>
        <w:gridCol w:w="2076"/>
      </w:tblGrid>
      <w:tr w:rsidR="00852466" w:rsidRPr="002826AC" w14:paraId="7DCC7F31" w14:textId="77777777">
        <w:tc>
          <w:tcPr>
            <w:tcW w:w="3397" w:type="dxa"/>
            <w:vAlign w:val="center"/>
          </w:tcPr>
          <w:p w14:paraId="66D7C98F" w14:textId="77777777" w:rsidR="00852466" w:rsidRPr="002826AC" w:rsidRDefault="00852466">
            <w:pPr>
              <w:pStyle w:val="In-tableHeading"/>
            </w:pPr>
            <w:r w:rsidRPr="002826AC">
              <w:t>Listing</w:t>
            </w:r>
          </w:p>
        </w:tc>
        <w:tc>
          <w:tcPr>
            <w:tcW w:w="1701" w:type="dxa"/>
            <w:vAlign w:val="center"/>
          </w:tcPr>
          <w:p w14:paraId="7F5C5FF7" w14:textId="77777777" w:rsidR="00852466" w:rsidRPr="002826AC" w:rsidRDefault="00852466">
            <w:pPr>
              <w:pStyle w:val="In-tableHeading"/>
            </w:pPr>
            <w:r w:rsidRPr="002826AC">
              <w:t>Maximum quantity (packs)</w:t>
            </w:r>
          </w:p>
        </w:tc>
        <w:tc>
          <w:tcPr>
            <w:tcW w:w="1843" w:type="dxa"/>
            <w:vAlign w:val="center"/>
          </w:tcPr>
          <w:p w14:paraId="15DA91F3" w14:textId="77777777" w:rsidR="00852466" w:rsidRPr="002826AC" w:rsidRDefault="00852466">
            <w:pPr>
              <w:pStyle w:val="In-tableHeading"/>
            </w:pPr>
            <w:r w:rsidRPr="002826AC">
              <w:t>Maximum quantity (units)</w:t>
            </w:r>
          </w:p>
        </w:tc>
        <w:tc>
          <w:tcPr>
            <w:tcW w:w="2076" w:type="dxa"/>
            <w:vAlign w:val="center"/>
          </w:tcPr>
          <w:p w14:paraId="7D1DDDA2" w14:textId="77777777" w:rsidR="00852466" w:rsidRPr="002826AC" w:rsidRDefault="00852466">
            <w:pPr>
              <w:pStyle w:val="In-tableHeading"/>
            </w:pPr>
            <w:r w:rsidRPr="002826AC">
              <w:t>Requested DPMQ</w:t>
            </w:r>
          </w:p>
        </w:tc>
      </w:tr>
      <w:tr w:rsidR="00852466" w:rsidRPr="002826AC" w14:paraId="7660AC48" w14:textId="77777777">
        <w:tc>
          <w:tcPr>
            <w:tcW w:w="9017" w:type="dxa"/>
            <w:gridSpan w:val="4"/>
            <w:vAlign w:val="center"/>
          </w:tcPr>
          <w:p w14:paraId="29387802" w14:textId="77777777" w:rsidR="00852466" w:rsidRPr="002826AC" w:rsidRDefault="00852466">
            <w:pPr>
              <w:pStyle w:val="In-tableHeading"/>
            </w:pPr>
            <w:r w:rsidRPr="002826AC">
              <w:t>Initial treatment</w:t>
            </w:r>
          </w:p>
        </w:tc>
      </w:tr>
      <w:tr w:rsidR="00852466" w:rsidRPr="002826AC" w14:paraId="243D0D7A" w14:textId="77777777">
        <w:trPr>
          <w:trHeight w:val="398"/>
        </w:trPr>
        <w:tc>
          <w:tcPr>
            <w:tcW w:w="3397" w:type="dxa"/>
            <w:vAlign w:val="center"/>
          </w:tcPr>
          <w:p w14:paraId="75BE31E6" w14:textId="77777777" w:rsidR="00852466" w:rsidRPr="002826AC" w:rsidRDefault="00852466">
            <w:pPr>
              <w:pStyle w:val="TableText0"/>
            </w:pPr>
            <w:r w:rsidRPr="002826AC">
              <w:t>80 mg in 0.8 mL pre-filled syringe</w:t>
            </w:r>
          </w:p>
          <w:p w14:paraId="1C8D4C8D" w14:textId="77777777" w:rsidR="00852466" w:rsidRPr="002826AC" w:rsidRDefault="00852466">
            <w:pPr>
              <w:pStyle w:val="TableText0"/>
            </w:pPr>
            <w:r w:rsidRPr="002826AC">
              <w:t>80 mg in 0.8 mL pre-filled pen</w:t>
            </w:r>
          </w:p>
        </w:tc>
        <w:tc>
          <w:tcPr>
            <w:tcW w:w="1701" w:type="dxa"/>
            <w:vAlign w:val="center"/>
          </w:tcPr>
          <w:p w14:paraId="73BE8AC5" w14:textId="77777777" w:rsidR="00852466" w:rsidRPr="002826AC" w:rsidRDefault="00852466">
            <w:pPr>
              <w:pStyle w:val="TableText0"/>
            </w:pPr>
            <w:r w:rsidRPr="002826AC">
              <w:t>3</w:t>
            </w:r>
          </w:p>
        </w:tc>
        <w:tc>
          <w:tcPr>
            <w:tcW w:w="1843" w:type="dxa"/>
            <w:vAlign w:val="center"/>
          </w:tcPr>
          <w:p w14:paraId="6FDEA7B1" w14:textId="77777777" w:rsidR="00852466" w:rsidRPr="002826AC" w:rsidRDefault="00852466">
            <w:pPr>
              <w:pStyle w:val="TableText0"/>
            </w:pPr>
            <w:r w:rsidRPr="002826AC">
              <w:t>3</w:t>
            </w:r>
          </w:p>
        </w:tc>
        <w:tc>
          <w:tcPr>
            <w:tcW w:w="2076" w:type="dxa"/>
            <w:vAlign w:val="center"/>
          </w:tcPr>
          <w:p w14:paraId="4BD42284" w14:textId="77777777" w:rsidR="00852466" w:rsidRPr="002826AC" w:rsidRDefault="00852466">
            <w:pPr>
              <w:pStyle w:val="TableText0"/>
            </w:pPr>
            <w:r w:rsidRPr="002826AC">
              <w:t>$2,014.38</w:t>
            </w:r>
          </w:p>
        </w:tc>
      </w:tr>
      <w:tr w:rsidR="00852466" w:rsidRPr="002826AC" w14:paraId="4DF4B385" w14:textId="77777777">
        <w:tc>
          <w:tcPr>
            <w:tcW w:w="3397" w:type="dxa"/>
            <w:vAlign w:val="center"/>
          </w:tcPr>
          <w:p w14:paraId="553ACDE5" w14:textId="77777777" w:rsidR="00852466" w:rsidRPr="002826AC" w:rsidRDefault="00852466">
            <w:pPr>
              <w:pStyle w:val="TableText0"/>
            </w:pPr>
            <w:r w:rsidRPr="002826AC">
              <w:t>40 mg in 0.4 mL pre-filled syringe</w:t>
            </w:r>
          </w:p>
          <w:p w14:paraId="4BF9BC75" w14:textId="77777777" w:rsidR="00852466" w:rsidRPr="002826AC" w:rsidRDefault="00852466">
            <w:pPr>
              <w:pStyle w:val="TableText0"/>
            </w:pPr>
            <w:r w:rsidRPr="002826AC">
              <w:t>40 mg in 0.4 mL pre-filled pen</w:t>
            </w:r>
          </w:p>
        </w:tc>
        <w:tc>
          <w:tcPr>
            <w:tcW w:w="1701" w:type="dxa"/>
            <w:vAlign w:val="center"/>
          </w:tcPr>
          <w:p w14:paraId="46BFAE6B" w14:textId="77777777" w:rsidR="00852466" w:rsidRPr="002826AC" w:rsidRDefault="00852466">
            <w:pPr>
              <w:pStyle w:val="TableText0"/>
            </w:pPr>
            <w:r w:rsidRPr="002826AC">
              <w:t>2</w:t>
            </w:r>
          </w:p>
        </w:tc>
        <w:tc>
          <w:tcPr>
            <w:tcW w:w="1843" w:type="dxa"/>
            <w:vAlign w:val="center"/>
          </w:tcPr>
          <w:p w14:paraId="42931783" w14:textId="77777777" w:rsidR="00852466" w:rsidRPr="002826AC" w:rsidRDefault="00852466">
            <w:pPr>
              <w:pStyle w:val="TableText0"/>
            </w:pPr>
            <w:r w:rsidRPr="002826AC">
              <w:t>4</w:t>
            </w:r>
          </w:p>
        </w:tc>
        <w:tc>
          <w:tcPr>
            <w:tcW w:w="2076" w:type="dxa"/>
            <w:vAlign w:val="center"/>
          </w:tcPr>
          <w:p w14:paraId="1FF9D1DC" w14:textId="77777777" w:rsidR="00852466" w:rsidRPr="002826AC" w:rsidRDefault="00852466">
            <w:pPr>
              <w:pStyle w:val="TableText0"/>
            </w:pPr>
            <w:r w:rsidRPr="002826AC">
              <w:t>$</w:t>
            </w:r>
            <w:r w:rsidRPr="009E7F76">
              <w:t>1,345.59</w:t>
            </w:r>
          </w:p>
        </w:tc>
      </w:tr>
      <w:tr w:rsidR="00852466" w:rsidRPr="002826AC" w14:paraId="04A68F92" w14:textId="77777777">
        <w:tc>
          <w:tcPr>
            <w:tcW w:w="3397" w:type="dxa"/>
            <w:vAlign w:val="center"/>
          </w:tcPr>
          <w:p w14:paraId="3F97E3E9" w14:textId="77777777" w:rsidR="00852466" w:rsidRPr="002826AC" w:rsidRDefault="00852466">
            <w:pPr>
              <w:pStyle w:val="TableText0"/>
            </w:pPr>
            <w:r w:rsidRPr="002826AC">
              <w:t>20 mg in 0.2 mL pre-filled syringe</w:t>
            </w:r>
          </w:p>
        </w:tc>
        <w:tc>
          <w:tcPr>
            <w:tcW w:w="1701" w:type="dxa"/>
            <w:vAlign w:val="center"/>
          </w:tcPr>
          <w:p w14:paraId="410F3F61" w14:textId="77777777" w:rsidR="00852466" w:rsidRPr="002826AC" w:rsidRDefault="00852466">
            <w:pPr>
              <w:pStyle w:val="TableText0"/>
            </w:pPr>
            <w:r w:rsidRPr="002826AC">
              <w:t>1</w:t>
            </w:r>
          </w:p>
        </w:tc>
        <w:tc>
          <w:tcPr>
            <w:tcW w:w="1843" w:type="dxa"/>
            <w:vAlign w:val="center"/>
          </w:tcPr>
          <w:p w14:paraId="00FF4EFF" w14:textId="77777777" w:rsidR="00852466" w:rsidRPr="002826AC" w:rsidRDefault="00852466">
            <w:pPr>
              <w:pStyle w:val="TableText0"/>
            </w:pPr>
            <w:r w:rsidRPr="002826AC">
              <w:t>2</w:t>
            </w:r>
          </w:p>
        </w:tc>
        <w:tc>
          <w:tcPr>
            <w:tcW w:w="2076" w:type="dxa"/>
            <w:vAlign w:val="center"/>
          </w:tcPr>
          <w:p w14:paraId="5D864F8C" w14:textId="77777777" w:rsidR="00852466" w:rsidRPr="002826AC" w:rsidRDefault="00852466">
            <w:pPr>
              <w:pStyle w:val="TableText0"/>
            </w:pPr>
            <w:r w:rsidRPr="002826AC">
              <w:t>$706.70</w:t>
            </w:r>
          </w:p>
        </w:tc>
      </w:tr>
      <w:tr w:rsidR="00852466" w:rsidRPr="002826AC" w14:paraId="68EA7A26" w14:textId="77777777">
        <w:tc>
          <w:tcPr>
            <w:tcW w:w="9017" w:type="dxa"/>
            <w:gridSpan w:val="4"/>
            <w:vAlign w:val="center"/>
          </w:tcPr>
          <w:p w14:paraId="04DE8D97" w14:textId="77777777" w:rsidR="00852466" w:rsidRPr="002826AC" w:rsidRDefault="00852466">
            <w:pPr>
              <w:pStyle w:val="In-tableHeading"/>
            </w:pPr>
            <w:r w:rsidRPr="002826AC">
              <w:t>Continuing treatment</w:t>
            </w:r>
          </w:p>
        </w:tc>
      </w:tr>
      <w:tr w:rsidR="00852466" w:rsidRPr="002826AC" w14:paraId="11F8BE02" w14:textId="77777777">
        <w:tc>
          <w:tcPr>
            <w:tcW w:w="3397" w:type="dxa"/>
            <w:vAlign w:val="center"/>
          </w:tcPr>
          <w:p w14:paraId="065CE8A9" w14:textId="77777777" w:rsidR="00852466" w:rsidRPr="002826AC" w:rsidRDefault="00852466">
            <w:pPr>
              <w:pStyle w:val="TableText0"/>
            </w:pPr>
            <w:r w:rsidRPr="002826AC">
              <w:t>80 mg in 0.8 mL pre-filled syringe</w:t>
            </w:r>
          </w:p>
          <w:p w14:paraId="3556619A" w14:textId="77777777" w:rsidR="00852466" w:rsidRPr="002826AC" w:rsidRDefault="00852466">
            <w:pPr>
              <w:pStyle w:val="TableText0"/>
            </w:pPr>
            <w:r w:rsidRPr="002826AC">
              <w:t>80 mg in 0.8 mL pre-filled pen</w:t>
            </w:r>
          </w:p>
        </w:tc>
        <w:tc>
          <w:tcPr>
            <w:tcW w:w="1701" w:type="dxa"/>
            <w:vAlign w:val="center"/>
          </w:tcPr>
          <w:p w14:paraId="4DEB325A" w14:textId="77777777" w:rsidR="00852466" w:rsidRPr="002826AC" w:rsidRDefault="00852466">
            <w:pPr>
              <w:pStyle w:val="TableText0"/>
            </w:pPr>
            <w:r w:rsidRPr="002826AC">
              <w:t>2</w:t>
            </w:r>
          </w:p>
        </w:tc>
        <w:tc>
          <w:tcPr>
            <w:tcW w:w="1843" w:type="dxa"/>
            <w:vAlign w:val="center"/>
          </w:tcPr>
          <w:p w14:paraId="52F785A1" w14:textId="77777777" w:rsidR="00852466" w:rsidRPr="002826AC" w:rsidRDefault="00852466">
            <w:pPr>
              <w:pStyle w:val="TableText0"/>
            </w:pPr>
            <w:r w:rsidRPr="002826AC">
              <w:t>2</w:t>
            </w:r>
          </w:p>
        </w:tc>
        <w:tc>
          <w:tcPr>
            <w:tcW w:w="2076" w:type="dxa"/>
            <w:vAlign w:val="center"/>
          </w:tcPr>
          <w:p w14:paraId="7CCE50A5" w14:textId="77777777" w:rsidR="00852466" w:rsidRPr="002826AC" w:rsidRDefault="00852466">
            <w:pPr>
              <w:pStyle w:val="TableText0"/>
            </w:pPr>
            <w:r w:rsidRPr="002826AC">
              <w:t>$1,345.59</w:t>
            </w:r>
          </w:p>
        </w:tc>
      </w:tr>
      <w:tr w:rsidR="00852466" w:rsidRPr="002826AC" w14:paraId="77DA7FBD" w14:textId="77777777">
        <w:tc>
          <w:tcPr>
            <w:tcW w:w="3397" w:type="dxa"/>
            <w:vAlign w:val="center"/>
          </w:tcPr>
          <w:p w14:paraId="0E9E1424" w14:textId="77777777" w:rsidR="00852466" w:rsidRPr="002826AC" w:rsidRDefault="00852466">
            <w:pPr>
              <w:pStyle w:val="TableText0"/>
            </w:pPr>
            <w:r w:rsidRPr="002826AC">
              <w:t>40 mg in 0.4 mL pre-filled syringe</w:t>
            </w:r>
          </w:p>
          <w:p w14:paraId="61777282" w14:textId="77777777" w:rsidR="00852466" w:rsidRPr="002826AC" w:rsidRDefault="00852466">
            <w:pPr>
              <w:pStyle w:val="TableText0"/>
            </w:pPr>
            <w:r w:rsidRPr="002826AC">
              <w:t>40 mg in 0.4 mL pre-filled pen</w:t>
            </w:r>
          </w:p>
        </w:tc>
        <w:tc>
          <w:tcPr>
            <w:tcW w:w="1701" w:type="dxa"/>
            <w:vAlign w:val="center"/>
          </w:tcPr>
          <w:p w14:paraId="3E70BF5E" w14:textId="77777777" w:rsidR="00852466" w:rsidRPr="002826AC" w:rsidRDefault="00852466">
            <w:pPr>
              <w:pStyle w:val="TableText0"/>
            </w:pPr>
            <w:r w:rsidRPr="002826AC">
              <w:t>2</w:t>
            </w:r>
          </w:p>
        </w:tc>
        <w:tc>
          <w:tcPr>
            <w:tcW w:w="1843" w:type="dxa"/>
            <w:vAlign w:val="center"/>
          </w:tcPr>
          <w:p w14:paraId="066A4056" w14:textId="77777777" w:rsidR="00852466" w:rsidRPr="002826AC" w:rsidRDefault="00852466">
            <w:pPr>
              <w:pStyle w:val="TableText0"/>
            </w:pPr>
            <w:r w:rsidRPr="002826AC">
              <w:t>4</w:t>
            </w:r>
          </w:p>
        </w:tc>
        <w:tc>
          <w:tcPr>
            <w:tcW w:w="2076" w:type="dxa"/>
            <w:vAlign w:val="center"/>
          </w:tcPr>
          <w:p w14:paraId="3532C5C9" w14:textId="77777777" w:rsidR="00852466" w:rsidRPr="002826AC" w:rsidRDefault="00852466">
            <w:pPr>
              <w:pStyle w:val="TableText0"/>
            </w:pPr>
            <w:r w:rsidRPr="002826AC">
              <w:t>$1,345.59</w:t>
            </w:r>
          </w:p>
        </w:tc>
      </w:tr>
      <w:tr w:rsidR="00852466" w:rsidRPr="002826AC" w14:paraId="34D22D83" w14:textId="77777777">
        <w:tc>
          <w:tcPr>
            <w:tcW w:w="3397" w:type="dxa"/>
            <w:vAlign w:val="center"/>
          </w:tcPr>
          <w:p w14:paraId="1463800E" w14:textId="77777777" w:rsidR="00852466" w:rsidRPr="002826AC" w:rsidRDefault="00852466">
            <w:pPr>
              <w:pStyle w:val="TableText0"/>
            </w:pPr>
            <w:r w:rsidRPr="002826AC">
              <w:t>20 mg in 0.2 mL pre-filled syringe</w:t>
            </w:r>
          </w:p>
        </w:tc>
        <w:tc>
          <w:tcPr>
            <w:tcW w:w="1701" w:type="dxa"/>
            <w:vAlign w:val="center"/>
          </w:tcPr>
          <w:p w14:paraId="48345F72" w14:textId="77777777" w:rsidR="00852466" w:rsidRPr="002826AC" w:rsidRDefault="00852466">
            <w:pPr>
              <w:pStyle w:val="TableText0"/>
            </w:pPr>
            <w:r w:rsidRPr="002826AC">
              <w:t>2</w:t>
            </w:r>
          </w:p>
        </w:tc>
        <w:tc>
          <w:tcPr>
            <w:tcW w:w="1843" w:type="dxa"/>
            <w:vAlign w:val="center"/>
          </w:tcPr>
          <w:p w14:paraId="1C3E6166" w14:textId="77777777" w:rsidR="00852466" w:rsidRPr="002826AC" w:rsidRDefault="00852466">
            <w:pPr>
              <w:pStyle w:val="TableText0"/>
            </w:pPr>
            <w:r w:rsidRPr="002826AC">
              <w:t>4</w:t>
            </w:r>
          </w:p>
        </w:tc>
        <w:tc>
          <w:tcPr>
            <w:tcW w:w="2076" w:type="dxa"/>
            <w:vAlign w:val="center"/>
          </w:tcPr>
          <w:p w14:paraId="202B3663" w14:textId="77777777" w:rsidR="00852466" w:rsidRPr="002826AC" w:rsidRDefault="00852466">
            <w:pPr>
              <w:pStyle w:val="TableText0"/>
            </w:pPr>
            <w:r w:rsidRPr="002826AC">
              <w:t>$1,345.59</w:t>
            </w:r>
          </w:p>
        </w:tc>
      </w:tr>
    </w:tbl>
    <w:p w14:paraId="7E28C13E" w14:textId="77777777" w:rsidR="00852466" w:rsidRPr="002826AC" w:rsidRDefault="00852466" w:rsidP="00852466">
      <w:pPr>
        <w:pStyle w:val="TableFigureFooter"/>
      </w:pPr>
      <w:r w:rsidRPr="002826AC">
        <w:t xml:space="preserve">Source: Attachment 2: ADA </w:t>
      </w:r>
      <w:proofErr w:type="spellStart"/>
      <w:r w:rsidRPr="002826AC">
        <w:t>Paed</w:t>
      </w:r>
      <w:proofErr w:type="spellEnd"/>
      <w:r w:rsidRPr="002826AC">
        <w:t xml:space="preserve"> IMIDs Proposed Restrictions</w:t>
      </w:r>
    </w:p>
    <w:p w14:paraId="7C8A72BD" w14:textId="77777777" w:rsidR="00852466" w:rsidRPr="002826AC" w:rsidRDefault="00852466" w:rsidP="00852466">
      <w:pPr>
        <w:pStyle w:val="TableFigureFooter"/>
      </w:pPr>
      <w:r w:rsidRPr="002826AC">
        <w:t>DPMQ: dispensed price for maximum quantity</w:t>
      </w:r>
    </w:p>
    <w:p w14:paraId="6660A961" w14:textId="77777777" w:rsidR="00852466" w:rsidRPr="002826AC" w:rsidRDefault="00852466" w:rsidP="00852466">
      <w:pPr>
        <w:pStyle w:val="3-BodyText"/>
        <w:numPr>
          <w:ilvl w:val="1"/>
          <w:numId w:val="2"/>
        </w:numPr>
        <w:spacing w:before="120"/>
      </w:pPr>
      <w:r w:rsidRPr="002826AC">
        <w:t xml:space="preserve">All requested DPMQs are consistent with the current DPMQ for the General Schedule listings of Humira as of January 2024 for the respective strengths and quantities, </w:t>
      </w:r>
      <w:proofErr w:type="gramStart"/>
      <w:r w:rsidRPr="002826AC">
        <w:t>with the exception of</w:t>
      </w:r>
      <w:proofErr w:type="gramEnd"/>
      <w:r w:rsidRPr="002826AC">
        <w:t xml:space="preserve"> the requested DPMQ for the 20 mg in 0.2 mL pre-filled syringe. There is currently no PBS-listing for this strength with a maximum quantity of 4 units. The current DPMQ for Humira 20 mg in 0.2 mL pre-filled syringe for a maximum quantity of 2 units is $706.70.</w:t>
      </w:r>
    </w:p>
    <w:p w14:paraId="254EDDA9" w14:textId="77777777" w:rsidR="00852466" w:rsidRPr="002826AC" w:rsidRDefault="00852466" w:rsidP="00852466">
      <w:pPr>
        <w:pStyle w:val="4-SubsectionHeading"/>
      </w:pPr>
      <w:r w:rsidRPr="002826AC">
        <w:t>Drug cost/patient/year</w:t>
      </w:r>
    </w:p>
    <w:p w14:paraId="5D9A53B1" w14:textId="77777777" w:rsidR="00852466" w:rsidRPr="002826AC" w:rsidRDefault="00852466" w:rsidP="00852466">
      <w:pPr>
        <w:pStyle w:val="3-BodyText"/>
        <w:numPr>
          <w:ilvl w:val="1"/>
          <w:numId w:val="2"/>
        </w:numPr>
        <w:spacing w:before="120"/>
      </w:pPr>
      <w:r w:rsidRPr="002826AC">
        <w:t>Table 4 outlines the maximum drug cost per patient per year based on the indication, assuming the highest recommended dose and induction treatment.</w:t>
      </w:r>
    </w:p>
    <w:p w14:paraId="04898918" w14:textId="77777777" w:rsidR="00852466" w:rsidRPr="002826AC" w:rsidRDefault="00852466" w:rsidP="00852466">
      <w:pPr>
        <w:pStyle w:val="Caption"/>
        <w:rPr>
          <w:rStyle w:val="CommentReference"/>
          <w:b/>
          <w:szCs w:val="24"/>
        </w:rPr>
      </w:pPr>
      <w:r w:rsidRPr="002826AC">
        <w:t>Table 4:</w:t>
      </w:r>
      <w:r w:rsidRPr="002826AC">
        <w:rPr>
          <w:rStyle w:val="CommentReference"/>
          <w:b/>
          <w:szCs w:val="24"/>
        </w:rPr>
        <w:t xml:space="preserve"> Maximum drug cost per patient per year based on indication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Maximum drug cost per patient per year based on indication"/>
      </w:tblPr>
      <w:tblGrid>
        <w:gridCol w:w="1982"/>
        <w:gridCol w:w="3117"/>
        <w:gridCol w:w="2269"/>
        <w:gridCol w:w="1558"/>
      </w:tblGrid>
      <w:tr w:rsidR="00852466" w:rsidRPr="002826AC" w14:paraId="68C74CE6" w14:textId="77777777">
        <w:trPr>
          <w:cantSplit/>
          <w:tblHeader/>
          <w:jc w:val="center"/>
        </w:trPr>
        <w:tc>
          <w:tcPr>
            <w:tcW w:w="1110" w:type="pct"/>
            <w:vAlign w:val="center"/>
          </w:tcPr>
          <w:p w14:paraId="2B5CFE64" w14:textId="77777777" w:rsidR="00852466" w:rsidRPr="002826AC" w:rsidRDefault="00852466">
            <w:pPr>
              <w:pStyle w:val="In-tableHeading"/>
              <w:jc w:val="center"/>
              <w:rPr>
                <w:lang w:val="en-AU"/>
              </w:rPr>
            </w:pPr>
            <w:r w:rsidRPr="002826AC">
              <w:rPr>
                <w:lang w:val="en-AU"/>
              </w:rPr>
              <w:t>Indication</w:t>
            </w:r>
          </w:p>
        </w:tc>
        <w:tc>
          <w:tcPr>
            <w:tcW w:w="1746" w:type="pct"/>
            <w:vAlign w:val="center"/>
          </w:tcPr>
          <w:p w14:paraId="2997FD4C" w14:textId="77777777" w:rsidR="00852466" w:rsidRPr="002826AC" w:rsidRDefault="00852466">
            <w:pPr>
              <w:pStyle w:val="In-tableHeading"/>
              <w:jc w:val="center"/>
              <w:rPr>
                <w:lang w:val="en-AU"/>
              </w:rPr>
            </w:pPr>
            <w:r w:rsidRPr="00EE4E0D">
              <w:rPr>
                <w:lang w:val="en-AU"/>
              </w:rPr>
              <w:t>Maximum dose</w:t>
            </w:r>
          </w:p>
        </w:tc>
        <w:tc>
          <w:tcPr>
            <w:tcW w:w="1271" w:type="pct"/>
            <w:vAlign w:val="center"/>
          </w:tcPr>
          <w:p w14:paraId="46DD2493" w14:textId="77777777" w:rsidR="00852466" w:rsidRPr="002826AC" w:rsidRDefault="00852466">
            <w:pPr>
              <w:pStyle w:val="In-tableHeading"/>
              <w:jc w:val="center"/>
              <w:rPr>
                <w:lang w:val="en-AU"/>
              </w:rPr>
            </w:pPr>
            <w:r w:rsidRPr="00EE4E0D">
              <w:rPr>
                <w:lang w:val="en-AU"/>
              </w:rPr>
              <w:t>Cost/patient/month</w:t>
            </w:r>
          </w:p>
        </w:tc>
        <w:tc>
          <w:tcPr>
            <w:tcW w:w="873" w:type="pct"/>
            <w:vAlign w:val="center"/>
          </w:tcPr>
          <w:p w14:paraId="2CD0FEAF" w14:textId="77777777" w:rsidR="00852466" w:rsidRPr="002826AC" w:rsidRDefault="00852466">
            <w:pPr>
              <w:pStyle w:val="In-tableHeading"/>
              <w:jc w:val="center"/>
              <w:rPr>
                <w:lang w:val="en-AU"/>
              </w:rPr>
            </w:pPr>
            <w:r w:rsidRPr="00EE4E0D">
              <w:rPr>
                <w:lang w:val="en-AU"/>
              </w:rPr>
              <w:t>Cost/patient/year</w:t>
            </w:r>
          </w:p>
        </w:tc>
      </w:tr>
      <w:tr w:rsidR="00852466" w:rsidRPr="002826AC" w14:paraId="38E9EEC3" w14:textId="77777777">
        <w:trPr>
          <w:cantSplit/>
          <w:jc w:val="center"/>
        </w:trPr>
        <w:tc>
          <w:tcPr>
            <w:tcW w:w="1110" w:type="pct"/>
            <w:vAlign w:val="center"/>
          </w:tcPr>
          <w:p w14:paraId="40DDFEC7" w14:textId="77777777" w:rsidR="00852466" w:rsidRPr="002826AC" w:rsidRDefault="00852466">
            <w:pPr>
              <w:pStyle w:val="TableText0"/>
            </w:pPr>
            <w:r w:rsidRPr="002826AC">
              <w:t>Juvenile idiopathic arthritis</w:t>
            </w:r>
          </w:p>
        </w:tc>
        <w:tc>
          <w:tcPr>
            <w:tcW w:w="1746" w:type="pct"/>
            <w:vAlign w:val="center"/>
          </w:tcPr>
          <w:p w14:paraId="1F83EF5D" w14:textId="77777777" w:rsidR="00852466" w:rsidRPr="002826AC" w:rsidRDefault="00852466">
            <w:pPr>
              <w:pStyle w:val="TableText0"/>
              <w:jc w:val="center"/>
            </w:pPr>
            <w:r w:rsidRPr="002826AC">
              <w:t>40 mg every 2 weeks</w:t>
            </w:r>
          </w:p>
        </w:tc>
        <w:tc>
          <w:tcPr>
            <w:tcW w:w="1271" w:type="pct"/>
            <w:vAlign w:val="center"/>
          </w:tcPr>
          <w:p w14:paraId="238278CF" w14:textId="77777777" w:rsidR="00852466" w:rsidRPr="002826AC" w:rsidRDefault="00852466">
            <w:pPr>
              <w:pStyle w:val="TableText0"/>
              <w:jc w:val="center"/>
            </w:pPr>
            <w:r w:rsidRPr="002826AC">
              <w:t>$672.80</w:t>
            </w:r>
          </w:p>
        </w:tc>
        <w:tc>
          <w:tcPr>
            <w:tcW w:w="873" w:type="pct"/>
            <w:vAlign w:val="center"/>
          </w:tcPr>
          <w:p w14:paraId="5F61759D" w14:textId="77777777" w:rsidR="00852466" w:rsidRPr="002826AC" w:rsidRDefault="00852466">
            <w:pPr>
              <w:pStyle w:val="TableText0"/>
              <w:jc w:val="center"/>
            </w:pPr>
            <w:r w:rsidRPr="002826AC">
              <w:t>$8,746.40</w:t>
            </w:r>
          </w:p>
        </w:tc>
      </w:tr>
      <w:tr w:rsidR="00852466" w:rsidRPr="002826AC" w14:paraId="5C70C16F" w14:textId="77777777">
        <w:trPr>
          <w:cantSplit/>
          <w:jc w:val="center"/>
        </w:trPr>
        <w:tc>
          <w:tcPr>
            <w:tcW w:w="1110" w:type="pct"/>
            <w:vAlign w:val="center"/>
          </w:tcPr>
          <w:p w14:paraId="017989CF" w14:textId="77777777" w:rsidR="00852466" w:rsidRPr="002826AC" w:rsidRDefault="00852466">
            <w:pPr>
              <w:pStyle w:val="TableText0"/>
            </w:pPr>
            <w:r w:rsidRPr="002826AC">
              <w:t>Enthesitis-related arthritis</w:t>
            </w:r>
          </w:p>
        </w:tc>
        <w:tc>
          <w:tcPr>
            <w:tcW w:w="1746" w:type="pct"/>
            <w:vAlign w:val="center"/>
          </w:tcPr>
          <w:p w14:paraId="2EA86AF2" w14:textId="77777777" w:rsidR="00852466" w:rsidRPr="002826AC" w:rsidRDefault="00852466">
            <w:pPr>
              <w:pStyle w:val="TableText0"/>
              <w:jc w:val="center"/>
            </w:pPr>
            <w:r w:rsidRPr="002826AC">
              <w:t>40 mg every 2 weeks</w:t>
            </w:r>
          </w:p>
        </w:tc>
        <w:tc>
          <w:tcPr>
            <w:tcW w:w="1271" w:type="pct"/>
            <w:vAlign w:val="center"/>
          </w:tcPr>
          <w:p w14:paraId="0E1B87DB" w14:textId="77777777" w:rsidR="00852466" w:rsidRPr="002826AC" w:rsidRDefault="00852466">
            <w:pPr>
              <w:pStyle w:val="TableText0"/>
              <w:jc w:val="center"/>
            </w:pPr>
            <w:r w:rsidRPr="002826AC">
              <w:t>$672.80</w:t>
            </w:r>
          </w:p>
        </w:tc>
        <w:tc>
          <w:tcPr>
            <w:tcW w:w="873" w:type="pct"/>
            <w:vAlign w:val="center"/>
          </w:tcPr>
          <w:p w14:paraId="5137958A" w14:textId="77777777" w:rsidR="00852466" w:rsidRPr="002826AC" w:rsidRDefault="00852466">
            <w:pPr>
              <w:pStyle w:val="TableText0"/>
              <w:jc w:val="center"/>
            </w:pPr>
            <w:r w:rsidRPr="002826AC">
              <w:t>$8,746.40</w:t>
            </w:r>
          </w:p>
        </w:tc>
      </w:tr>
      <w:tr w:rsidR="00852466" w:rsidRPr="002826AC" w14:paraId="55676384" w14:textId="77777777">
        <w:trPr>
          <w:cantSplit/>
          <w:jc w:val="center"/>
        </w:trPr>
        <w:tc>
          <w:tcPr>
            <w:tcW w:w="1110" w:type="pct"/>
            <w:vAlign w:val="center"/>
          </w:tcPr>
          <w:p w14:paraId="6CB9AFDD" w14:textId="77777777" w:rsidR="00852466" w:rsidRPr="002826AC" w:rsidRDefault="00852466">
            <w:pPr>
              <w:pStyle w:val="TableText0"/>
            </w:pPr>
            <w:r w:rsidRPr="002826AC">
              <w:t>Crohn disease</w:t>
            </w:r>
          </w:p>
        </w:tc>
        <w:tc>
          <w:tcPr>
            <w:tcW w:w="1746" w:type="pct"/>
            <w:vAlign w:val="center"/>
          </w:tcPr>
          <w:p w14:paraId="2A9CAABF" w14:textId="77777777" w:rsidR="00852466" w:rsidRPr="002826AC" w:rsidRDefault="00852466">
            <w:pPr>
              <w:pStyle w:val="TableText0"/>
              <w:jc w:val="center"/>
              <w:rPr>
                <w:szCs w:val="20"/>
              </w:rPr>
            </w:pPr>
            <w:r w:rsidRPr="002826AC">
              <w:rPr>
                <w:szCs w:val="20"/>
              </w:rPr>
              <w:t>Induction: 160 mg (Day 0), 80 mg (Day 14)</w:t>
            </w:r>
          </w:p>
          <w:p w14:paraId="574F25CC" w14:textId="77777777" w:rsidR="00852466" w:rsidRPr="002826AC" w:rsidRDefault="00852466">
            <w:pPr>
              <w:pStyle w:val="TableText0"/>
              <w:jc w:val="center"/>
            </w:pPr>
            <w:r w:rsidRPr="002826AC">
              <w:t>Maintenance: 80 mg every 2 weeks</w:t>
            </w:r>
          </w:p>
        </w:tc>
        <w:tc>
          <w:tcPr>
            <w:tcW w:w="1271" w:type="pct"/>
            <w:vAlign w:val="center"/>
          </w:tcPr>
          <w:p w14:paraId="1269D6BC" w14:textId="77777777" w:rsidR="00852466" w:rsidRPr="002826AC" w:rsidRDefault="00852466">
            <w:pPr>
              <w:pStyle w:val="TableText0"/>
              <w:jc w:val="center"/>
            </w:pPr>
            <w:r w:rsidRPr="002826AC">
              <w:t>Month 1: $2,014.38</w:t>
            </w:r>
          </w:p>
          <w:p w14:paraId="015F92B0" w14:textId="77777777" w:rsidR="00852466" w:rsidRPr="002826AC" w:rsidRDefault="00852466">
            <w:pPr>
              <w:pStyle w:val="TableText0"/>
              <w:jc w:val="center"/>
            </w:pPr>
            <w:r w:rsidRPr="002826AC">
              <w:t>Month 2 onwards: $1,345.59</w:t>
            </w:r>
          </w:p>
        </w:tc>
        <w:tc>
          <w:tcPr>
            <w:tcW w:w="873" w:type="pct"/>
            <w:vAlign w:val="center"/>
          </w:tcPr>
          <w:p w14:paraId="4A8B19BE" w14:textId="77777777" w:rsidR="00852466" w:rsidRPr="002826AC" w:rsidRDefault="00852466">
            <w:pPr>
              <w:pStyle w:val="TableText0"/>
              <w:jc w:val="center"/>
              <w:rPr>
                <w:iCs/>
              </w:rPr>
            </w:pPr>
            <w:r w:rsidRPr="002826AC">
              <w:rPr>
                <w:iCs/>
              </w:rPr>
              <w:t>$18,161.46</w:t>
            </w:r>
          </w:p>
        </w:tc>
      </w:tr>
      <w:tr w:rsidR="00852466" w:rsidRPr="002826AC" w14:paraId="25D28FA1" w14:textId="77777777">
        <w:trPr>
          <w:cantSplit/>
          <w:jc w:val="center"/>
        </w:trPr>
        <w:tc>
          <w:tcPr>
            <w:tcW w:w="1110" w:type="pct"/>
            <w:vAlign w:val="center"/>
          </w:tcPr>
          <w:p w14:paraId="7A61ADEB" w14:textId="77777777" w:rsidR="00852466" w:rsidRPr="002826AC" w:rsidRDefault="00852466">
            <w:pPr>
              <w:pStyle w:val="TableText0"/>
            </w:pPr>
            <w:r w:rsidRPr="002826AC">
              <w:t>Ulcerative colitis</w:t>
            </w:r>
          </w:p>
        </w:tc>
        <w:tc>
          <w:tcPr>
            <w:tcW w:w="1746" w:type="pct"/>
            <w:vAlign w:val="center"/>
          </w:tcPr>
          <w:p w14:paraId="105A10F4" w14:textId="77777777" w:rsidR="00852466" w:rsidRPr="002826AC" w:rsidRDefault="00852466">
            <w:pPr>
              <w:pStyle w:val="TableText0"/>
              <w:jc w:val="center"/>
              <w:rPr>
                <w:szCs w:val="20"/>
              </w:rPr>
            </w:pPr>
            <w:r w:rsidRPr="002826AC">
              <w:t xml:space="preserve">Induction: </w:t>
            </w:r>
            <w:r w:rsidRPr="002826AC">
              <w:rPr>
                <w:szCs w:val="20"/>
              </w:rPr>
              <w:t>160 mg (Day 0), 80 mg (Day 14)</w:t>
            </w:r>
          </w:p>
          <w:p w14:paraId="6A49086D" w14:textId="77777777" w:rsidR="00852466" w:rsidRPr="002826AC" w:rsidRDefault="00852466">
            <w:pPr>
              <w:pStyle w:val="TableText0"/>
              <w:jc w:val="center"/>
            </w:pPr>
            <w:r w:rsidRPr="002826AC">
              <w:t>Maintenance: 40 mg every 2 weeks</w:t>
            </w:r>
          </w:p>
        </w:tc>
        <w:tc>
          <w:tcPr>
            <w:tcW w:w="1271" w:type="pct"/>
            <w:vAlign w:val="center"/>
          </w:tcPr>
          <w:p w14:paraId="0ED528C0" w14:textId="77777777" w:rsidR="00852466" w:rsidRPr="002826AC" w:rsidRDefault="00852466">
            <w:pPr>
              <w:pStyle w:val="TableText0"/>
              <w:jc w:val="center"/>
            </w:pPr>
            <w:r w:rsidRPr="002826AC">
              <w:t>Month 1: $2,014.38</w:t>
            </w:r>
          </w:p>
          <w:p w14:paraId="2288F77D" w14:textId="77777777" w:rsidR="00852466" w:rsidRPr="002826AC" w:rsidRDefault="00852466">
            <w:pPr>
              <w:pStyle w:val="TableText0"/>
              <w:jc w:val="center"/>
            </w:pPr>
            <w:r w:rsidRPr="002826AC">
              <w:t>Month 2 onwards: $672.80</w:t>
            </w:r>
          </w:p>
        </w:tc>
        <w:tc>
          <w:tcPr>
            <w:tcW w:w="873" w:type="pct"/>
            <w:vAlign w:val="center"/>
          </w:tcPr>
          <w:p w14:paraId="7B8B308D" w14:textId="77777777" w:rsidR="00852466" w:rsidRPr="002826AC" w:rsidRDefault="00852466">
            <w:pPr>
              <w:pStyle w:val="TableText0"/>
              <w:jc w:val="center"/>
              <w:rPr>
                <w:iCs/>
              </w:rPr>
            </w:pPr>
            <w:r w:rsidRPr="002826AC">
              <w:rPr>
                <w:iCs/>
              </w:rPr>
              <w:t>$10,087.98</w:t>
            </w:r>
          </w:p>
        </w:tc>
      </w:tr>
      <w:tr w:rsidR="00852466" w:rsidRPr="002826AC" w14:paraId="0C33485A" w14:textId="77777777">
        <w:trPr>
          <w:cantSplit/>
          <w:jc w:val="center"/>
        </w:trPr>
        <w:tc>
          <w:tcPr>
            <w:tcW w:w="1110" w:type="pct"/>
            <w:vAlign w:val="center"/>
          </w:tcPr>
          <w:p w14:paraId="19DCD773" w14:textId="77777777" w:rsidR="00852466" w:rsidRPr="002826AC" w:rsidRDefault="00852466">
            <w:pPr>
              <w:pStyle w:val="TableText0"/>
            </w:pPr>
            <w:r w:rsidRPr="002826AC">
              <w:t>Psoriasis</w:t>
            </w:r>
          </w:p>
        </w:tc>
        <w:tc>
          <w:tcPr>
            <w:tcW w:w="1746" w:type="pct"/>
            <w:vAlign w:val="center"/>
          </w:tcPr>
          <w:p w14:paraId="484226F3" w14:textId="77777777" w:rsidR="00852466" w:rsidRPr="002826AC" w:rsidRDefault="00852466">
            <w:pPr>
              <w:pStyle w:val="TableText0"/>
              <w:jc w:val="center"/>
              <w:rPr>
                <w:szCs w:val="20"/>
              </w:rPr>
            </w:pPr>
            <w:r w:rsidRPr="002826AC">
              <w:t xml:space="preserve">Induction: </w:t>
            </w:r>
            <w:r w:rsidRPr="002826AC">
              <w:rPr>
                <w:szCs w:val="20"/>
              </w:rPr>
              <w:t>40 mg (Week 0), 40 mg (Week 1)</w:t>
            </w:r>
          </w:p>
          <w:p w14:paraId="2CDD1FC1" w14:textId="77777777" w:rsidR="00852466" w:rsidRPr="002826AC" w:rsidRDefault="00852466">
            <w:pPr>
              <w:pStyle w:val="TableText0"/>
              <w:jc w:val="center"/>
            </w:pPr>
            <w:r w:rsidRPr="002826AC">
              <w:t>Maintenance: 40 mg every 2 weeks (from week 3)</w:t>
            </w:r>
          </w:p>
        </w:tc>
        <w:tc>
          <w:tcPr>
            <w:tcW w:w="1271" w:type="pct"/>
            <w:vAlign w:val="center"/>
          </w:tcPr>
          <w:p w14:paraId="3A180309" w14:textId="77777777" w:rsidR="00852466" w:rsidRPr="002826AC" w:rsidRDefault="00852466">
            <w:pPr>
              <w:pStyle w:val="TableText0"/>
              <w:jc w:val="center"/>
            </w:pPr>
            <w:r w:rsidRPr="002826AC">
              <w:t>Month 1: $1,345.59</w:t>
            </w:r>
          </w:p>
          <w:p w14:paraId="46393487" w14:textId="77777777" w:rsidR="00852466" w:rsidRPr="002826AC" w:rsidRDefault="00852466">
            <w:pPr>
              <w:pStyle w:val="TableText0"/>
              <w:jc w:val="center"/>
            </w:pPr>
            <w:r w:rsidRPr="002826AC">
              <w:t>Month 2 onwards: $672.80</w:t>
            </w:r>
          </w:p>
        </w:tc>
        <w:tc>
          <w:tcPr>
            <w:tcW w:w="873" w:type="pct"/>
            <w:vAlign w:val="center"/>
          </w:tcPr>
          <w:p w14:paraId="1BA10B18" w14:textId="77777777" w:rsidR="00852466" w:rsidRPr="002826AC" w:rsidRDefault="00852466">
            <w:pPr>
              <w:pStyle w:val="TableText0"/>
              <w:jc w:val="center"/>
            </w:pPr>
            <w:r w:rsidRPr="002826AC">
              <w:t>$9,419.19</w:t>
            </w:r>
          </w:p>
        </w:tc>
      </w:tr>
      <w:tr w:rsidR="00852466" w:rsidRPr="002826AC" w14:paraId="19E80599" w14:textId="77777777">
        <w:trPr>
          <w:cantSplit/>
          <w:jc w:val="center"/>
        </w:trPr>
        <w:tc>
          <w:tcPr>
            <w:tcW w:w="1110" w:type="pct"/>
            <w:vAlign w:val="center"/>
          </w:tcPr>
          <w:p w14:paraId="266B53C1" w14:textId="77777777" w:rsidR="00852466" w:rsidRPr="002826AC" w:rsidRDefault="00852466">
            <w:pPr>
              <w:pStyle w:val="TableText0"/>
            </w:pPr>
            <w:r w:rsidRPr="002826AC">
              <w:t>Hidradenitis suppurativa</w:t>
            </w:r>
          </w:p>
        </w:tc>
        <w:tc>
          <w:tcPr>
            <w:tcW w:w="1746" w:type="pct"/>
            <w:vAlign w:val="center"/>
          </w:tcPr>
          <w:p w14:paraId="7E78C948" w14:textId="77777777" w:rsidR="00852466" w:rsidRPr="002826AC" w:rsidRDefault="00852466">
            <w:pPr>
              <w:pStyle w:val="TableText0"/>
              <w:jc w:val="center"/>
            </w:pPr>
            <w:r w:rsidRPr="002826AC">
              <w:t>Induction: 80 mg</w:t>
            </w:r>
          </w:p>
          <w:p w14:paraId="7ACEDBDE" w14:textId="77777777" w:rsidR="00852466" w:rsidRPr="002826AC" w:rsidRDefault="00852466">
            <w:pPr>
              <w:pStyle w:val="TableText0"/>
              <w:jc w:val="center"/>
            </w:pPr>
            <w:r w:rsidRPr="002826AC">
              <w:t>Maintenance: 80 mg every 2 weeks (from Week 1)</w:t>
            </w:r>
          </w:p>
        </w:tc>
        <w:tc>
          <w:tcPr>
            <w:tcW w:w="1271" w:type="pct"/>
            <w:vAlign w:val="center"/>
          </w:tcPr>
          <w:p w14:paraId="6CD5D8A5" w14:textId="77777777" w:rsidR="00852466" w:rsidRPr="002826AC" w:rsidRDefault="00852466">
            <w:pPr>
              <w:pStyle w:val="TableText0"/>
              <w:jc w:val="center"/>
            </w:pPr>
            <w:r w:rsidRPr="002826AC">
              <w:t>Month 1: $2,014.38</w:t>
            </w:r>
          </w:p>
          <w:p w14:paraId="62E51BAA" w14:textId="77777777" w:rsidR="00852466" w:rsidRPr="002826AC" w:rsidRDefault="00852466">
            <w:pPr>
              <w:pStyle w:val="TableText0"/>
              <w:jc w:val="center"/>
            </w:pPr>
            <w:r w:rsidRPr="002826AC">
              <w:t>Month 2 onwards: $1,345.59</w:t>
            </w:r>
          </w:p>
        </w:tc>
        <w:tc>
          <w:tcPr>
            <w:tcW w:w="873" w:type="pct"/>
            <w:vAlign w:val="center"/>
          </w:tcPr>
          <w:p w14:paraId="0A632DFD" w14:textId="77777777" w:rsidR="00852466" w:rsidRPr="002826AC" w:rsidRDefault="00852466">
            <w:pPr>
              <w:pStyle w:val="TableText0"/>
              <w:jc w:val="center"/>
            </w:pPr>
            <w:r w:rsidRPr="002826AC">
              <w:rPr>
                <w:iCs/>
              </w:rPr>
              <w:t>$18,161.46</w:t>
            </w:r>
          </w:p>
        </w:tc>
      </w:tr>
      <w:tr w:rsidR="00852466" w:rsidRPr="002826AC" w14:paraId="20EE0FEB" w14:textId="77777777">
        <w:trPr>
          <w:cantSplit/>
          <w:jc w:val="center"/>
        </w:trPr>
        <w:tc>
          <w:tcPr>
            <w:tcW w:w="1110" w:type="pct"/>
            <w:vAlign w:val="center"/>
          </w:tcPr>
          <w:p w14:paraId="752B8B61" w14:textId="77777777" w:rsidR="00852466" w:rsidRPr="002826AC" w:rsidRDefault="00852466">
            <w:pPr>
              <w:pStyle w:val="TableText0"/>
            </w:pPr>
            <w:r w:rsidRPr="002826AC">
              <w:t>Uveitis</w:t>
            </w:r>
          </w:p>
        </w:tc>
        <w:tc>
          <w:tcPr>
            <w:tcW w:w="1746" w:type="pct"/>
            <w:vAlign w:val="center"/>
          </w:tcPr>
          <w:p w14:paraId="228F0F69" w14:textId="77777777" w:rsidR="00852466" w:rsidRPr="002826AC" w:rsidRDefault="00852466">
            <w:pPr>
              <w:pStyle w:val="TableText0"/>
              <w:jc w:val="center"/>
            </w:pPr>
            <w:r w:rsidRPr="002826AC">
              <w:t>Induction: 80 mg</w:t>
            </w:r>
          </w:p>
          <w:p w14:paraId="654EFCB2" w14:textId="77777777" w:rsidR="00852466" w:rsidRPr="002826AC" w:rsidRDefault="00852466">
            <w:pPr>
              <w:pStyle w:val="TableText0"/>
              <w:jc w:val="center"/>
            </w:pPr>
            <w:r w:rsidRPr="002826AC">
              <w:t xml:space="preserve">Maintenance: </w:t>
            </w:r>
            <w:r w:rsidRPr="002826AC">
              <w:rPr>
                <w:szCs w:val="20"/>
              </w:rPr>
              <w:t>40 mg every 2 weeks (from Week 1)</w:t>
            </w:r>
          </w:p>
        </w:tc>
        <w:tc>
          <w:tcPr>
            <w:tcW w:w="1271" w:type="pct"/>
            <w:vAlign w:val="center"/>
          </w:tcPr>
          <w:p w14:paraId="2241126E" w14:textId="77777777" w:rsidR="00852466" w:rsidRPr="002826AC" w:rsidRDefault="00852466">
            <w:pPr>
              <w:pStyle w:val="TableText0"/>
              <w:jc w:val="center"/>
            </w:pPr>
            <w:r w:rsidRPr="002826AC">
              <w:t>Month 1: $1,345.59</w:t>
            </w:r>
          </w:p>
          <w:p w14:paraId="356CD0AA" w14:textId="77777777" w:rsidR="00852466" w:rsidRPr="002826AC" w:rsidRDefault="00852466">
            <w:pPr>
              <w:pStyle w:val="TableText0"/>
              <w:jc w:val="center"/>
            </w:pPr>
            <w:r w:rsidRPr="002826AC">
              <w:t>Month 2: $672.80</w:t>
            </w:r>
          </w:p>
        </w:tc>
        <w:tc>
          <w:tcPr>
            <w:tcW w:w="873" w:type="pct"/>
            <w:vAlign w:val="center"/>
          </w:tcPr>
          <w:p w14:paraId="2A8DE745" w14:textId="77777777" w:rsidR="00852466" w:rsidRPr="002826AC" w:rsidRDefault="00852466">
            <w:pPr>
              <w:pStyle w:val="TableText0"/>
              <w:jc w:val="center"/>
            </w:pPr>
            <w:r w:rsidRPr="002826AC">
              <w:t>$9,419.19</w:t>
            </w:r>
          </w:p>
        </w:tc>
      </w:tr>
    </w:tbl>
    <w:p w14:paraId="67E579A5" w14:textId="77777777" w:rsidR="00852466" w:rsidRPr="002826AC" w:rsidRDefault="00852466" w:rsidP="00852466">
      <w:pPr>
        <w:pStyle w:val="FooterTableFigure"/>
      </w:pPr>
      <w:r w:rsidRPr="002826AC">
        <w:t>Source: Based on requested DPMQ in Attachment 2 of the submission</w:t>
      </w:r>
    </w:p>
    <w:p w14:paraId="69788F86" w14:textId="77777777" w:rsidR="00852466" w:rsidRPr="002826AC" w:rsidRDefault="00852466" w:rsidP="00852466">
      <w:pPr>
        <w:pStyle w:val="4-SubsectionHeading"/>
      </w:pPr>
      <w:r w:rsidRPr="002826AC">
        <w:t>Estimated PBS usage &amp; financial implications</w:t>
      </w:r>
    </w:p>
    <w:p w14:paraId="5126E6B0" w14:textId="77777777" w:rsidR="00852466" w:rsidRDefault="00852466" w:rsidP="00852466">
      <w:pPr>
        <w:pStyle w:val="3-BodyText"/>
        <w:numPr>
          <w:ilvl w:val="1"/>
          <w:numId w:val="2"/>
        </w:numPr>
        <w:spacing w:before="120"/>
      </w:pPr>
      <w:r w:rsidRPr="002826AC">
        <w:t>This submission was not considered by DUSC.</w:t>
      </w:r>
    </w:p>
    <w:p w14:paraId="5C6CD410" w14:textId="77777777" w:rsidR="00852466" w:rsidRPr="002826AC" w:rsidRDefault="00852466" w:rsidP="00852466">
      <w:pPr>
        <w:pStyle w:val="3-BodyText"/>
        <w:numPr>
          <w:ilvl w:val="1"/>
          <w:numId w:val="2"/>
        </w:numPr>
        <w:spacing w:before="120"/>
      </w:pPr>
      <w:r w:rsidRPr="002826AC">
        <w:t>The PSCR provided estimates of expected use and financial implications for the first 6 years of listing (see Table 5). The PSCR stated that estimates are based on expert opinion and available evidence, and considered that estimates are likely to be over-estimated as they do not account for future price reductions.</w:t>
      </w:r>
    </w:p>
    <w:p w14:paraId="561059C1" w14:textId="77777777" w:rsidR="00852466" w:rsidRPr="002826AC" w:rsidRDefault="00852466" w:rsidP="00852466">
      <w:pPr>
        <w:pStyle w:val="Caption"/>
      </w:pPr>
      <w:r w:rsidRPr="002826AC">
        <w:t xml:space="preserve">Table </w:t>
      </w:r>
      <w:r>
        <w:fldChar w:fldCharType="begin" w:fldLock="1"/>
      </w:r>
      <w:r>
        <w:instrText xml:space="preserve"> SEQ Table \* ARABIC </w:instrText>
      </w:r>
      <w:r>
        <w:fldChar w:fldCharType="separate"/>
      </w:r>
      <w:r w:rsidRPr="002826AC">
        <w:t>5</w:t>
      </w:r>
      <w:r>
        <w:fldChar w:fldCharType="end"/>
      </w:r>
      <w:r w:rsidRPr="002826AC">
        <w:t>:</w:t>
      </w:r>
      <w:r w:rsidRPr="002826AC">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Estimated use and financial implications"/>
      </w:tblPr>
      <w:tblGrid>
        <w:gridCol w:w="2404"/>
        <w:gridCol w:w="1102"/>
        <w:gridCol w:w="1102"/>
        <w:gridCol w:w="1102"/>
        <w:gridCol w:w="1102"/>
        <w:gridCol w:w="1102"/>
        <w:gridCol w:w="1102"/>
      </w:tblGrid>
      <w:tr w:rsidR="00852466" w:rsidRPr="002826AC" w14:paraId="1BE87F1C" w14:textId="77777777">
        <w:trPr>
          <w:tblHeader/>
        </w:trPr>
        <w:tc>
          <w:tcPr>
            <w:tcW w:w="1334" w:type="pct"/>
            <w:vAlign w:val="center"/>
          </w:tcPr>
          <w:p w14:paraId="4C502930" w14:textId="77777777" w:rsidR="00852466" w:rsidRPr="002826AC" w:rsidRDefault="00852466">
            <w:pPr>
              <w:pStyle w:val="In-tableHeading"/>
              <w:keepLines/>
              <w:jc w:val="center"/>
              <w:rPr>
                <w:lang w:val="en-AU"/>
              </w:rPr>
            </w:pPr>
          </w:p>
        </w:tc>
        <w:tc>
          <w:tcPr>
            <w:tcW w:w="611" w:type="pct"/>
            <w:vAlign w:val="center"/>
          </w:tcPr>
          <w:p w14:paraId="3A48FBBE" w14:textId="77777777" w:rsidR="00852466" w:rsidRPr="002826AC" w:rsidRDefault="00852466">
            <w:pPr>
              <w:pStyle w:val="In-tableHeading"/>
              <w:keepLines/>
              <w:jc w:val="center"/>
              <w:rPr>
                <w:lang w:val="en-AU"/>
              </w:rPr>
            </w:pPr>
            <w:r w:rsidRPr="002826AC">
              <w:rPr>
                <w:lang w:val="en-AU"/>
              </w:rPr>
              <w:t>Year 1</w:t>
            </w:r>
          </w:p>
        </w:tc>
        <w:tc>
          <w:tcPr>
            <w:tcW w:w="611" w:type="pct"/>
            <w:vAlign w:val="center"/>
          </w:tcPr>
          <w:p w14:paraId="1CEE71AE" w14:textId="77777777" w:rsidR="00852466" w:rsidRPr="002826AC" w:rsidRDefault="00852466">
            <w:pPr>
              <w:pStyle w:val="In-tableHeading"/>
              <w:keepLines/>
              <w:jc w:val="center"/>
              <w:rPr>
                <w:lang w:val="en-AU"/>
              </w:rPr>
            </w:pPr>
            <w:r w:rsidRPr="002826AC">
              <w:rPr>
                <w:lang w:val="en-AU"/>
              </w:rPr>
              <w:t>Year 2</w:t>
            </w:r>
          </w:p>
        </w:tc>
        <w:tc>
          <w:tcPr>
            <w:tcW w:w="611" w:type="pct"/>
            <w:vAlign w:val="center"/>
          </w:tcPr>
          <w:p w14:paraId="028BE8E5" w14:textId="77777777" w:rsidR="00852466" w:rsidRPr="002826AC" w:rsidRDefault="00852466">
            <w:pPr>
              <w:pStyle w:val="In-tableHeading"/>
              <w:keepLines/>
              <w:jc w:val="center"/>
              <w:rPr>
                <w:lang w:val="en-AU"/>
              </w:rPr>
            </w:pPr>
            <w:r w:rsidRPr="002826AC">
              <w:rPr>
                <w:lang w:val="en-AU"/>
              </w:rPr>
              <w:t>Year 3</w:t>
            </w:r>
          </w:p>
        </w:tc>
        <w:tc>
          <w:tcPr>
            <w:tcW w:w="611" w:type="pct"/>
            <w:vAlign w:val="center"/>
          </w:tcPr>
          <w:p w14:paraId="4C725402" w14:textId="77777777" w:rsidR="00852466" w:rsidRPr="002826AC" w:rsidRDefault="00852466">
            <w:pPr>
              <w:pStyle w:val="In-tableHeading"/>
              <w:keepLines/>
              <w:jc w:val="center"/>
              <w:rPr>
                <w:lang w:val="en-AU"/>
              </w:rPr>
            </w:pPr>
            <w:r w:rsidRPr="002826AC">
              <w:rPr>
                <w:lang w:val="en-AU"/>
              </w:rPr>
              <w:t>Year 4</w:t>
            </w:r>
          </w:p>
        </w:tc>
        <w:tc>
          <w:tcPr>
            <w:tcW w:w="611" w:type="pct"/>
            <w:vAlign w:val="center"/>
          </w:tcPr>
          <w:p w14:paraId="590DC11F" w14:textId="77777777" w:rsidR="00852466" w:rsidRPr="002826AC" w:rsidRDefault="00852466">
            <w:pPr>
              <w:pStyle w:val="In-tableHeading"/>
              <w:keepLines/>
              <w:jc w:val="center"/>
              <w:rPr>
                <w:lang w:val="en-AU"/>
              </w:rPr>
            </w:pPr>
            <w:r w:rsidRPr="002826AC">
              <w:rPr>
                <w:lang w:val="en-AU"/>
              </w:rPr>
              <w:t>Year 5</w:t>
            </w:r>
          </w:p>
        </w:tc>
        <w:tc>
          <w:tcPr>
            <w:tcW w:w="611" w:type="pct"/>
          </w:tcPr>
          <w:p w14:paraId="7FB69E6C" w14:textId="77777777" w:rsidR="00852466" w:rsidRPr="002826AC" w:rsidRDefault="00852466">
            <w:pPr>
              <w:pStyle w:val="In-tableHeading"/>
              <w:keepLines/>
              <w:jc w:val="center"/>
              <w:rPr>
                <w:lang w:val="en-AU"/>
              </w:rPr>
            </w:pPr>
            <w:r w:rsidRPr="002826AC">
              <w:rPr>
                <w:lang w:val="en-AU"/>
              </w:rPr>
              <w:t>Year 6</w:t>
            </w:r>
          </w:p>
        </w:tc>
      </w:tr>
      <w:tr w:rsidR="00852466" w:rsidRPr="002826AC" w14:paraId="46612E44" w14:textId="77777777">
        <w:tc>
          <w:tcPr>
            <w:tcW w:w="5000" w:type="pct"/>
            <w:gridSpan w:val="7"/>
            <w:vAlign w:val="center"/>
          </w:tcPr>
          <w:p w14:paraId="416121F9" w14:textId="77777777" w:rsidR="00852466" w:rsidRPr="002826AC" w:rsidRDefault="00852466">
            <w:pPr>
              <w:pStyle w:val="In-tableHeading"/>
              <w:keepLines/>
              <w:rPr>
                <w:bCs/>
                <w:color w:val="000000"/>
                <w:lang w:val="en-AU"/>
              </w:rPr>
            </w:pPr>
            <w:r w:rsidRPr="002826AC">
              <w:rPr>
                <w:bCs/>
                <w:color w:val="000000"/>
                <w:lang w:val="en-AU"/>
              </w:rPr>
              <w:t>Estimated extent of use (all strengths)</w:t>
            </w:r>
          </w:p>
        </w:tc>
      </w:tr>
      <w:tr w:rsidR="00852466" w:rsidRPr="002826AC" w14:paraId="6178166B" w14:textId="77777777">
        <w:tc>
          <w:tcPr>
            <w:tcW w:w="1334" w:type="pct"/>
            <w:vAlign w:val="center"/>
          </w:tcPr>
          <w:p w14:paraId="1938B442" w14:textId="77777777" w:rsidR="00852466" w:rsidRPr="002826AC" w:rsidRDefault="00852466">
            <w:pPr>
              <w:pStyle w:val="TableText0"/>
              <w:keepLines/>
            </w:pPr>
            <w:r w:rsidRPr="002826AC">
              <w:t>Number of patients treated</w:t>
            </w:r>
          </w:p>
        </w:tc>
        <w:tc>
          <w:tcPr>
            <w:tcW w:w="611" w:type="pct"/>
            <w:vAlign w:val="center"/>
          </w:tcPr>
          <w:p w14:paraId="2F67FB61"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21"/>
                <w:szCs w:val="20"/>
                <w:shd w:val="solid" w:color="000000" w:fill="000000"/>
                <w:fitText w:val="94" w:id="-649849088"/>
                <w14:textFill>
                  <w14:solidFill>
                    <w14:srgbClr w14:val="000000">
                      <w14:alpha w14:val="100000"/>
                    </w14:srgbClr>
                  </w14:solidFill>
                </w14:textFill>
              </w:rPr>
              <w:t xml:space="preserve">　</w:t>
            </w:r>
            <w:r w:rsidRPr="00852466">
              <w:rPr>
                <w:rFonts w:cs="Arial"/>
                <w:color w:val="000000"/>
                <w:w w:val="21"/>
                <w:szCs w:val="20"/>
                <w:shd w:val="solid" w:color="000000" w:fill="000000"/>
                <w:fitText w:val="94" w:id="-649849088"/>
                <w14:textFill>
                  <w14:solidFill>
                    <w14:srgbClr w14:val="000000">
                      <w14:alpha w14:val="100000"/>
                    </w14:srgbClr>
                  </w14:solidFill>
                </w14:textFill>
              </w:rPr>
              <w:t>|</w:t>
            </w:r>
            <w:r w:rsidRPr="00852466">
              <w:rPr>
                <w:rFonts w:ascii="MS Mincho" w:eastAsia="MS Mincho" w:hAnsi="MS Mincho" w:cs="MS Mincho" w:hint="eastAsia"/>
                <w:color w:val="000000"/>
                <w:spacing w:val="3"/>
                <w:w w:val="21"/>
                <w:szCs w:val="20"/>
                <w:shd w:val="solid" w:color="000000" w:fill="000000"/>
                <w:fitText w:val="94" w:id="-649849088"/>
                <w14:textFill>
                  <w14:solidFill>
                    <w14:srgbClr w14:val="000000">
                      <w14:alpha w14:val="100000"/>
                    </w14:srgbClr>
                  </w14:solidFill>
                </w14:textFill>
              </w:rPr>
              <w:t xml:space="preserve">　</w:t>
            </w:r>
            <w:r w:rsidRPr="00584653">
              <w:rPr>
                <w:rFonts w:cs="Arial"/>
                <w:color w:val="000000"/>
                <w:szCs w:val="20"/>
                <w:vertAlign w:val="superscript"/>
              </w:rPr>
              <w:t>1</w:t>
            </w:r>
            <w:r w:rsidRPr="00584653">
              <w:rPr>
                <w:rFonts w:cs="Arial"/>
                <w:color w:val="000000"/>
                <w:szCs w:val="20"/>
              </w:rPr>
              <w:t>`</w:t>
            </w:r>
          </w:p>
        </w:tc>
        <w:tc>
          <w:tcPr>
            <w:tcW w:w="611" w:type="pct"/>
            <w:vAlign w:val="center"/>
          </w:tcPr>
          <w:p w14:paraId="432382F1"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15"/>
                <w:szCs w:val="20"/>
                <w:shd w:val="solid" w:color="000000" w:fill="000000"/>
                <w:fitText w:val="38" w:id="-649849087"/>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87"/>
                <w14:textFill>
                  <w14:solidFill>
                    <w14:srgbClr w14:val="000000">
                      <w14:alpha w14:val="100000"/>
                    </w14:srgbClr>
                  </w14:solidFill>
                </w14:textFill>
              </w:rPr>
              <w:t>|</w:t>
            </w:r>
            <w:r w:rsidRPr="00852466">
              <w:rPr>
                <w:rFonts w:ascii="MS Mincho" w:eastAsia="MS Mincho" w:hAnsi="MS Mincho" w:cs="MS Mincho" w:hint="eastAsia"/>
                <w:color w:val="000000"/>
                <w:spacing w:val="-27"/>
                <w:w w:val="15"/>
                <w:szCs w:val="20"/>
                <w:shd w:val="solid" w:color="000000" w:fill="000000"/>
                <w:fitText w:val="38" w:id="-649849087"/>
                <w14:textFill>
                  <w14:solidFill>
                    <w14:srgbClr w14:val="000000">
                      <w14:alpha w14:val="100000"/>
                    </w14:srgbClr>
                  </w14:solidFill>
                </w14:textFill>
              </w:rPr>
              <w:t xml:space="preserve">　</w:t>
            </w:r>
            <w:r w:rsidRPr="002B6DCA">
              <w:rPr>
                <w:rFonts w:cs="Arial"/>
                <w:color w:val="000000"/>
                <w:szCs w:val="20"/>
                <w:vertAlign w:val="superscript"/>
              </w:rPr>
              <w:t>1</w:t>
            </w:r>
          </w:p>
        </w:tc>
        <w:tc>
          <w:tcPr>
            <w:tcW w:w="611" w:type="pct"/>
            <w:vAlign w:val="center"/>
          </w:tcPr>
          <w:p w14:paraId="44633510"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15"/>
                <w:szCs w:val="20"/>
                <w:shd w:val="solid" w:color="000000" w:fill="000000"/>
                <w:fitText w:val="37" w:id="-649849086"/>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6"/>
                <w14:textFill>
                  <w14:solidFill>
                    <w14:srgbClr w14:val="000000">
                      <w14:alpha w14:val="100000"/>
                    </w14:srgbClr>
                  </w14:solidFill>
                </w14:textFill>
              </w:rPr>
              <w:t>|</w:t>
            </w:r>
            <w:r w:rsidRPr="00852466">
              <w:rPr>
                <w:rFonts w:ascii="MS Mincho" w:eastAsia="MS Mincho" w:hAnsi="MS Mincho" w:cs="MS Mincho" w:hint="eastAsia"/>
                <w:color w:val="000000"/>
                <w:spacing w:val="-28"/>
                <w:w w:val="15"/>
                <w:szCs w:val="20"/>
                <w:shd w:val="solid" w:color="000000" w:fill="000000"/>
                <w:fitText w:val="37" w:id="-649849086"/>
                <w14:textFill>
                  <w14:solidFill>
                    <w14:srgbClr w14:val="000000">
                      <w14:alpha w14:val="100000"/>
                    </w14:srgbClr>
                  </w14:solidFill>
                </w14:textFill>
              </w:rPr>
              <w:t xml:space="preserve">　</w:t>
            </w:r>
            <w:r w:rsidRPr="00584653">
              <w:rPr>
                <w:rFonts w:cs="Arial"/>
                <w:color w:val="000000"/>
                <w:szCs w:val="20"/>
                <w:vertAlign w:val="superscript"/>
              </w:rPr>
              <w:t>2</w:t>
            </w:r>
          </w:p>
        </w:tc>
        <w:tc>
          <w:tcPr>
            <w:tcW w:w="611" w:type="pct"/>
            <w:vAlign w:val="center"/>
          </w:tcPr>
          <w:p w14:paraId="2CF774AA"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15"/>
                <w:szCs w:val="20"/>
                <w:shd w:val="solid" w:color="000000" w:fill="000000"/>
                <w:fitText w:val="37" w:id="-649849085"/>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5"/>
                <w14:textFill>
                  <w14:solidFill>
                    <w14:srgbClr w14:val="000000">
                      <w14:alpha w14:val="100000"/>
                    </w14:srgbClr>
                  </w14:solidFill>
                </w14:textFill>
              </w:rPr>
              <w:t>|</w:t>
            </w:r>
            <w:r w:rsidRPr="00852466">
              <w:rPr>
                <w:rFonts w:ascii="MS Mincho" w:eastAsia="MS Mincho" w:hAnsi="MS Mincho" w:cs="MS Mincho" w:hint="eastAsia"/>
                <w:color w:val="000000"/>
                <w:spacing w:val="-28"/>
                <w:w w:val="15"/>
                <w:szCs w:val="20"/>
                <w:shd w:val="solid" w:color="000000" w:fill="000000"/>
                <w:fitText w:val="37" w:id="-649849085"/>
                <w14:textFill>
                  <w14:solidFill>
                    <w14:srgbClr w14:val="000000">
                      <w14:alpha w14:val="100000"/>
                    </w14:srgbClr>
                  </w14:solidFill>
                </w14:textFill>
              </w:rPr>
              <w:t xml:space="preserve">　</w:t>
            </w:r>
            <w:r w:rsidRPr="002B6DCA">
              <w:rPr>
                <w:rFonts w:cs="Arial"/>
                <w:color w:val="000000"/>
                <w:szCs w:val="20"/>
                <w:vertAlign w:val="superscript"/>
              </w:rPr>
              <w:t>2</w:t>
            </w:r>
          </w:p>
        </w:tc>
        <w:tc>
          <w:tcPr>
            <w:tcW w:w="611" w:type="pct"/>
            <w:vAlign w:val="center"/>
          </w:tcPr>
          <w:p w14:paraId="2C436D09"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15"/>
                <w:szCs w:val="20"/>
                <w:shd w:val="solid" w:color="000000" w:fill="000000"/>
                <w:fitText w:val="38" w:id="-649849084"/>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84"/>
                <w14:textFill>
                  <w14:solidFill>
                    <w14:srgbClr w14:val="000000">
                      <w14:alpha w14:val="100000"/>
                    </w14:srgbClr>
                  </w14:solidFill>
                </w14:textFill>
              </w:rPr>
              <w:t>|</w:t>
            </w:r>
            <w:r w:rsidRPr="00852466">
              <w:rPr>
                <w:rFonts w:ascii="MS Mincho" w:eastAsia="MS Mincho" w:hAnsi="MS Mincho" w:cs="MS Mincho" w:hint="eastAsia"/>
                <w:color w:val="000000"/>
                <w:spacing w:val="-27"/>
                <w:w w:val="15"/>
                <w:szCs w:val="20"/>
                <w:shd w:val="solid" w:color="000000" w:fill="000000"/>
                <w:fitText w:val="38" w:id="-649849084"/>
                <w14:textFill>
                  <w14:solidFill>
                    <w14:srgbClr w14:val="000000">
                      <w14:alpha w14:val="100000"/>
                    </w14:srgbClr>
                  </w14:solidFill>
                </w14:textFill>
              </w:rPr>
              <w:t xml:space="preserve">　</w:t>
            </w:r>
            <w:r w:rsidRPr="002B6DCA">
              <w:rPr>
                <w:rFonts w:cs="Arial"/>
                <w:color w:val="000000"/>
                <w:szCs w:val="20"/>
                <w:vertAlign w:val="superscript"/>
              </w:rPr>
              <w:t>2</w:t>
            </w:r>
          </w:p>
        </w:tc>
        <w:tc>
          <w:tcPr>
            <w:tcW w:w="611" w:type="pct"/>
          </w:tcPr>
          <w:p w14:paraId="31BAAC7D" w14:textId="77777777" w:rsidR="00852466" w:rsidRPr="00584653" w:rsidRDefault="00852466">
            <w:pPr>
              <w:pStyle w:val="TableText0"/>
              <w:keepLines/>
              <w:jc w:val="center"/>
              <w:rPr>
                <w:rFonts w:cs="Arial"/>
                <w:color w:val="000000"/>
                <w:szCs w:val="20"/>
                <w:highlight w:val="lightGray"/>
              </w:rPr>
            </w:pPr>
            <w:r w:rsidRPr="00852466">
              <w:rPr>
                <w:rFonts w:ascii="MS Mincho" w:eastAsia="MS Mincho" w:hAnsi="MS Mincho" w:cs="MS Mincho" w:hint="eastAsia"/>
                <w:color w:val="000000"/>
                <w:w w:val="15"/>
                <w:szCs w:val="20"/>
                <w:shd w:val="solid" w:color="000000" w:fill="000000"/>
                <w:fitText w:val="37" w:id="-649849083"/>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3"/>
                <w14:textFill>
                  <w14:solidFill>
                    <w14:srgbClr w14:val="000000">
                      <w14:alpha w14:val="100000"/>
                    </w14:srgbClr>
                  </w14:solidFill>
                </w14:textFill>
              </w:rPr>
              <w:t>|</w:t>
            </w:r>
            <w:r w:rsidRPr="00852466">
              <w:rPr>
                <w:rFonts w:ascii="MS Mincho" w:eastAsia="MS Mincho" w:hAnsi="MS Mincho" w:cs="MS Mincho" w:hint="eastAsia"/>
                <w:color w:val="000000"/>
                <w:spacing w:val="-28"/>
                <w:w w:val="15"/>
                <w:szCs w:val="20"/>
                <w:shd w:val="solid" w:color="000000" w:fill="000000"/>
                <w:fitText w:val="37" w:id="-649849083"/>
                <w14:textFill>
                  <w14:solidFill>
                    <w14:srgbClr w14:val="000000">
                      <w14:alpha w14:val="100000"/>
                    </w14:srgbClr>
                  </w14:solidFill>
                </w14:textFill>
              </w:rPr>
              <w:t xml:space="preserve">　</w:t>
            </w:r>
            <w:r w:rsidRPr="002B6DCA">
              <w:rPr>
                <w:rFonts w:cs="Arial"/>
                <w:color w:val="000000"/>
                <w:szCs w:val="20"/>
                <w:vertAlign w:val="superscript"/>
              </w:rPr>
              <w:t>2</w:t>
            </w:r>
          </w:p>
        </w:tc>
      </w:tr>
      <w:tr w:rsidR="00852466" w:rsidRPr="002826AC" w14:paraId="59658DB9" w14:textId="77777777">
        <w:tc>
          <w:tcPr>
            <w:tcW w:w="1334" w:type="pct"/>
            <w:vAlign w:val="center"/>
          </w:tcPr>
          <w:p w14:paraId="5700ECFF" w14:textId="77777777" w:rsidR="00852466" w:rsidRPr="002826AC" w:rsidRDefault="00852466">
            <w:pPr>
              <w:pStyle w:val="TableText0"/>
              <w:keepLines/>
              <w:rPr>
                <w:rFonts w:ascii="Times" w:hAnsi="Times"/>
              </w:rPr>
            </w:pPr>
            <w:r w:rsidRPr="002826AC">
              <w:t xml:space="preserve">Number of scripts </w:t>
            </w:r>
            <w:proofErr w:type="spellStart"/>
            <w:r w:rsidRPr="002826AC">
              <w:t>dispensed</w:t>
            </w:r>
            <w:r w:rsidRPr="002826AC">
              <w:rPr>
                <w:vertAlign w:val="superscript"/>
              </w:rPr>
              <w:t>a</w:t>
            </w:r>
            <w:proofErr w:type="spellEnd"/>
          </w:p>
        </w:tc>
        <w:tc>
          <w:tcPr>
            <w:tcW w:w="611" w:type="pct"/>
            <w:vAlign w:val="center"/>
          </w:tcPr>
          <w:p w14:paraId="5990E294" w14:textId="77777777" w:rsidR="00852466" w:rsidRPr="00584653" w:rsidRDefault="00852466">
            <w:pPr>
              <w:pStyle w:val="TableText0"/>
              <w:keepLines/>
              <w:jc w:val="center"/>
              <w:rPr>
                <w:color w:val="000000"/>
                <w:highlight w:val="lightGray"/>
              </w:rPr>
            </w:pPr>
            <w:r w:rsidRPr="00852466">
              <w:rPr>
                <w:rFonts w:ascii="MS Mincho" w:eastAsia="MS Mincho" w:hAnsi="MS Mincho" w:cs="MS Mincho" w:hint="eastAsia"/>
                <w:color w:val="000000"/>
                <w:w w:val="15"/>
                <w:szCs w:val="20"/>
                <w:shd w:val="solid" w:color="000000" w:fill="000000"/>
                <w:fitText w:val="37" w:id="-649849082"/>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2"/>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82"/>
                <w14:textFill>
                  <w14:solidFill>
                    <w14:srgbClr w14:val="000000">
                      <w14:alpha w14:val="100000"/>
                    </w14:srgbClr>
                  </w14:solidFill>
                </w14:textFill>
              </w:rPr>
              <w:t xml:space="preserve">　</w:t>
            </w:r>
            <w:r w:rsidRPr="002B6DCA">
              <w:rPr>
                <w:rFonts w:cs="Arial"/>
                <w:color w:val="000000"/>
                <w:szCs w:val="20"/>
                <w:vertAlign w:val="superscript"/>
              </w:rPr>
              <w:t>2</w:t>
            </w:r>
          </w:p>
        </w:tc>
        <w:tc>
          <w:tcPr>
            <w:tcW w:w="611" w:type="pct"/>
            <w:vAlign w:val="center"/>
          </w:tcPr>
          <w:p w14:paraId="26512FD8" w14:textId="77777777" w:rsidR="00852466" w:rsidRPr="00584653" w:rsidRDefault="00852466">
            <w:pPr>
              <w:pStyle w:val="TableText0"/>
              <w:keepLines/>
              <w:jc w:val="center"/>
              <w:rPr>
                <w:color w:val="000000"/>
                <w:highlight w:val="lightGray"/>
                <w:vertAlign w:val="superscript"/>
              </w:rPr>
            </w:pPr>
            <w:r w:rsidRPr="00852466">
              <w:rPr>
                <w:rFonts w:ascii="MS Mincho" w:eastAsia="MS Mincho" w:hAnsi="MS Mincho" w:cs="MS Mincho" w:hint="eastAsia"/>
                <w:color w:val="000000"/>
                <w:w w:val="15"/>
                <w:szCs w:val="20"/>
                <w:shd w:val="solid" w:color="000000" w:fill="000000"/>
                <w:fitText w:val="38" w:id="-649849081"/>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81"/>
                <w14:textFill>
                  <w14:solidFill>
                    <w14:srgbClr w14:val="000000">
                      <w14:alpha w14:val="100000"/>
                    </w14:srgbClr>
                  </w14:solidFill>
                </w14:textFill>
              </w:rPr>
              <w:t>|</w:t>
            </w:r>
            <w:r w:rsidRPr="00852466">
              <w:rPr>
                <w:rFonts w:ascii="MS Mincho" w:eastAsia="MS Mincho" w:hAnsi="MS Mincho" w:cs="MS Mincho" w:hint="eastAsia"/>
                <w:color w:val="000000"/>
                <w:spacing w:val="-56"/>
                <w:w w:val="15"/>
                <w:szCs w:val="20"/>
                <w:shd w:val="solid" w:color="000000" w:fill="000000"/>
                <w:fitText w:val="38" w:id="-649849081"/>
                <w14:textFill>
                  <w14:solidFill>
                    <w14:srgbClr w14:val="000000">
                      <w14:alpha w14:val="100000"/>
                    </w14:srgbClr>
                  </w14:solidFill>
                </w14:textFill>
              </w:rPr>
              <w:t xml:space="preserve">　</w:t>
            </w:r>
            <w:r w:rsidRPr="00584653">
              <w:rPr>
                <w:rFonts w:cs="Arial"/>
                <w:color w:val="000000"/>
                <w:szCs w:val="20"/>
                <w:vertAlign w:val="superscript"/>
              </w:rPr>
              <w:t>3</w:t>
            </w:r>
          </w:p>
        </w:tc>
        <w:tc>
          <w:tcPr>
            <w:tcW w:w="611" w:type="pct"/>
            <w:vAlign w:val="center"/>
          </w:tcPr>
          <w:p w14:paraId="13A53069" w14:textId="77777777" w:rsidR="00852466" w:rsidRPr="00584653" w:rsidRDefault="00852466">
            <w:pPr>
              <w:pStyle w:val="TableText0"/>
              <w:keepLines/>
              <w:jc w:val="center"/>
              <w:rPr>
                <w:color w:val="000000"/>
                <w:highlight w:val="lightGray"/>
              </w:rPr>
            </w:pPr>
            <w:r w:rsidRPr="00852466">
              <w:rPr>
                <w:rFonts w:ascii="MS Mincho" w:eastAsia="MS Mincho" w:hAnsi="MS Mincho" w:cs="MS Mincho" w:hint="eastAsia"/>
                <w:color w:val="000000"/>
                <w:w w:val="15"/>
                <w:szCs w:val="20"/>
                <w:shd w:val="solid" w:color="000000" w:fill="000000"/>
                <w:fitText w:val="37" w:id="-649849080"/>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0"/>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80"/>
                <w14:textFill>
                  <w14:solidFill>
                    <w14:srgbClr w14:val="000000">
                      <w14:alpha w14:val="100000"/>
                    </w14:srgbClr>
                  </w14:solidFill>
                </w14:textFill>
              </w:rPr>
              <w:t xml:space="preserve">　</w:t>
            </w:r>
            <w:r w:rsidRPr="002B6DCA">
              <w:rPr>
                <w:rFonts w:cs="Arial"/>
                <w:color w:val="000000"/>
                <w:szCs w:val="20"/>
                <w:vertAlign w:val="superscript"/>
              </w:rPr>
              <w:t>3</w:t>
            </w:r>
          </w:p>
        </w:tc>
        <w:tc>
          <w:tcPr>
            <w:tcW w:w="611" w:type="pct"/>
            <w:vAlign w:val="center"/>
          </w:tcPr>
          <w:p w14:paraId="433EF5CD" w14:textId="77777777" w:rsidR="00852466" w:rsidRPr="00584653" w:rsidRDefault="00852466">
            <w:pPr>
              <w:pStyle w:val="TableText0"/>
              <w:keepLines/>
              <w:jc w:val="center"/>
              <w:rPr>
                <w:color w:val="000000"/>
                <w:highlight w:val="lightGray"/>
              </w:rPr>
            </w:pPr>
            <w:r w:rsidRPr="00852466">
              <w:rPr>
                <w:rFonts w:ascii="MS Mincho" w:eastAsia="MS Mincho" w:hAnsi="MS Mincho" w:cs="MS Mincho" w:hint="eastAsia"/>
                <w:color w:val="000000"/>
                <w:w w:val="15"/>
                <w:szCs w:val="20"/>
                <w:shd w:val="solid" w:color="000000" w:fill="000000"/>
                <w:fitText w:val="37" w:id="-649849079"/>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79"/>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79"/>
                <w14:textFill>
                  <w14:solidFill>
                    <w14:srgbClr w14:val="000000">
                      <w14:alpha w14:val="100000"/>
                    </w14:srgbClr>
                  </w14:solidFill>
                </w14:textFill>
              </w:rPr>
              <w:t xml:space="preserve">　</w:t>
            </w:r>
            <w:r w:rsidRPr="002B6DCA">
              <w:rPr>
                <w:rFonts w:cs="Arial"/>
                <w:color w:val="000000"/>
                <w:szCs w:val="20"/>
                <w:vertAlign w:val="superscript"/>
              </w:rPr>
              <w:t>3</w:t>
            </w:r>
          </w:p>
        </w:tc>
        <w:tc>
          <w:tcPr>
            <w:tcW w:w="611" w:type="pct"/>
            <w:vAlign w:val="center"/>
          </w:tcPr>
          <w:p w14:paraId="61688227" w14:textId="77777777" w:rsidR="00852466" w:rsidRPr="00584653" w:rsidRDefault="00852466">
            <w:pPr>
              <w:pStyle w:val="TableText0"/>
              <w:keepLines/>
              <w:jc w:val="center"/>
              <w:rPr>
                <w:color w:val="000000"/>
                <w:highlight w:val="lightGray"/>
              </w:rPr>
            </w:pPr>
            <w:r w:rsidRPr="00852466">
              <w:rPr>
                <w:rFonts w:ascii="MS Mincho" w:eastAsia="MS Mincho" w:hAnsi="MS Mincho" w:cs="MS Mincho" w:hint="eastAsia"/>
                <w:color w:val="000000"/>
                <w:w w:val="15"/>
                <w:szCs w:val="20"/>
                <w:shd w:val="solid" w:color="000000" w:fill="000000"/>
                <w:fitText w:val="38" w:id="-649849078"/>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78"/>
                <w14:textFill>
                  <w14:solidFill>
                    <w14:srgbClr w14:val="000000">
                      <w14:alpha w14:val="100000"/>
                    </w14:srgbClr>
                  </w14:solidFill>
                </w14:textFill>
              </w:rPr>
              <w:t>|</w:t>
            </w:r>
            <w:r w:rsidRPr="00852466">
              <w:rPr>
                <w:rFonts w:ascii="MS Mincho" w:eastAsia="MS Mincho" w:hAnsi="MS Mincho" w:cs="MS Mincho" w:hint="eastAsia"/>
                <w:color w:val="000000"/>
                <w:spacing w:val="-56"/>
                <w:w w:val="15"/>
                <w:szCs w:val="20"/>
                <w:shd w:val="solid" w:color="000000" w:fill="000000"/>
                <w:fitText w:val="38" w:id="-649849078"/>
                <w14:textFill>
                  <w14:solidFill>
                    <w14:srgbClr w14:val="000000">
                      <w14:alpha w14:val="100000"/>
                    </w14:srgbClr>
                  </w14:solidFill>
                </w14:textFill>
              </w:rPr>
              <w:t xml:space="preserve">　</w:t>
            </w:r>
            <w:r w:rsidRPr="002B6DCA">
              <w:rPr>
                <w:rFonts w:cs="Arial"/>
                <w:color w:val="000000"/>
                <w:szCs w:val="20"/>
                <w:vertAlign w:val="superscript"/>
              </w:rPr>
              <w:t>3</w:t>
            </w:r>
          </w:p>
        </w:tc>
        <w:tc>
          <w:tcPr>
            <w:tcW w:w="611" w:type="pct"/>
            <w:vAlign w:val="center"/>
          </w:tcPr>
          <w:p w14:paraId="0155F35B" w14:textId="77777777" w:rsidR="00852466" w:rsidRPr="00584653" w:rsidRDefault="00852466">
            <w:pPr>
              <w:pStyle w:val="TableText0"/>
              <w:keepLines/>
              <w:jc w:val="center"/>
              <w:rPr>
                <w:color w:val="000000"/>
                <w:highlight w:val="lightGray"/>
              </w:rPr>
            </w:pPr>
            <w:r w:rsidRPr="00852466">
              <w:rPr>
                <w:rFonts w:ascii="MS Mincho" w:eastAsia="MS Mincho" w:hAnsi="MS Mincho" w:cs="MS Mincho" w:hint="eastAsia"/>
                <w:color w:val="000000"/>
                <w:w w:val="15"/>
                <w:szCs w:val="20"/>
                <w:shd w:val="solid" w:color="000000" w:fill="000000"/>
                <w:fitText w:val="37" w:id="-649849077"/>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77"/>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77"/>
                <w14:textFill>
                  <w14:solidFill>
                    <w14:srgbClr w14:val="000000">
                      <w14:alpha w14:val="100000"/>
                    </w14:srgbClr>
                  </w14:solidFill>
                </w14:textFill>
              </w:rPr>
              <w:t xml:space="preserve">　</w:t>
            </w:r>
            <w:r w:rsidRPr="002B6DCA">
              <w:rPr>
                <w:rFonts w:cs="Arial"/>
                <w:color w:val="000000"/>
                <w:szCs w:val="20"/>
                <w:vertAlign w:val="superscript"/>
              </w:rPr>
              <w:t>3</w:t>
            </w:r>
          </w:p>
        </w:tc>
      </w:tr>
      <w:tr w:rsidR="00852466" w:rsidRPr="002826AC" w14:paraId="5E1926F9" w14:textId="77777777">
        <w:tc>
          <w:tcPr>
            <w:tcW w:w="5000" w:type="pct"/>
            <w:gridSpan w:val="7"/>
            <w:vAlign w:val="center"/>
          </w:tcPr>
          <w:p w14:paraId="27FADDBB" w14:textId="77777777" w:rsidR="00852466" w:rsidRPr="002826AC" w:rsidRDefault="00852466">
            <w:pPr>
              <w:pStyle w:val="In-tableHeading"/>
              <w:keepLines/>
              <w:rPr>
                <w:lang w:val="en-AU"/>
              </w:rPr>
            </w:pPr>
            <w:r w:rsidRPr="002826AC">
              <w:rPr>
                <w:lang w:val="en-AU"/>
              </w:rPr>
              <w:t>Estimated financial implications of adalimumab (all strengths)</w:t>
            </w:r>
          </w:p>
        </w:tc>
      </w:tr>
      <w:tr w:rsidR="00852466" w:rsidRPr="002826AC" w14:paraId="10F1C196" w14:textId="77777777">
        <w:tc>
          <w:tcPr>
            <w:tcW w:w="1334" w:type="pct"/>
            <w:vAlign w:val="center"/>
          </w:tcPr>
          <w:p w14:paraId="05F908B6" w14:textId="77777777" w:rsidR="00852466" w:rsidRPr="002826AC" w:rsidRDefault="00852466">
            <w:pPr>
              <w:pStyle w:val="TableText0"/>
              <w:keepLines/>
              <w:rPr>
                <w:sz w:val="19"/>
                <w:szCs w:val="19"/>
              </w:rPr>
            </w:pPr>
            <w:r w:rsidRPr="002826AC">
              <w:rPr>
                <w:sz w:val="19"/>
                <w:szCs w:val="19"/>
              </w:rPr>
              <w:t>Cost to PBS/RPBS less copayments</w:t>
            </w:r>
          </w:p>
        </w:tc>
        <w:tc>
          <w:tcPr>
            <w:tcW w:w="611" w:type="pct"/>
            <w:vAlign w:val="center"/>
          </w:tcPr>
          <w:p w14:paraId="3DCFD0F6"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7" w:id="-649849076"/>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76"/>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76"/>
                <w14:textFill>
                  <w14:solidFill>
                    <w14:srgbClr w14:val="000000">
                      <w14:alpha w14:val="100000"/>
                    </w14:srgbClr>
                  </w14:solidFill>
                </w14:textFill>
              </w:rPr>
              <w:t xml:space="preserve">　</w:t>
            </w:r>
            <w:r w:rsidRPr="00584653">
              <w:rPr>
                <w:rFonts w:cs="Arial"/>
                <w:color w:val="000000"/>
                <w:szCs w:val="20"/>
                <w:vertAlign w:val="superscript"/>
              </w:rPr>
              <w:t>4</w:t>
            </w:r>
          </w:p>
        </w:tc>
        <w:tc>
          <w:tcPr>
            <w:tcW w:w="611" w:type="pct"/>
            <w:vAlign w:val="center"/>
          </w:tcPr>
          <w:p w14:paraId="68903299"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8" w:id="-649849075"/>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75"/>
                <w14:textFill>
                  <w14:solidFill>
                    <w14:srgbClr w14:val="000000">
                      <w14:alpha w14:val="100000"/>
                    </w14:srgbClr>
                  </w14:solidFill>
                </w14:textFill>
              </w:rPr>
              <w:t>|</w:t>
            </w:r>
            <w:r w:rsidRPr="00852466">
              <w:rPr>
                <w:rFonts w:ascii="MS Mincho" w:eastAsia="MS Mincho" w:hAnsi="MS Mincho" w:cs="MS Mincho" w:hint="eastAsia"/>
                <w:color w:val="000000"/>
                <w:spacing w:val="-56"/>
                <w:w w:val="15"/>
                <w:szCs w:val="20"/>
                <w:shd w:val="solid" w:color="000000" w:fill="000000"/>
                <w:fitText w:val="38" w:id="-649849075"/>
                <w14:textFill>
                  <w14:solidFill>
                    <w14:srgbClr w14:val="000000">
                      <w14:alpha w14:val="100000"/>
                    </w14:srgbClr>
                  </w14:solidFill>
                </w14:textFill>
              </w:rPr>
              <w:t xml:space="preserve">　</w:t>
            </w:r>
            <w:r w:rsidRPr="002B6DCA">
              <w:rPr>
                <w:rFonts w:cs="Arial"/>
                <w:color w:val="000000"/>
                <w:szCs w:val="20"/>
                <w:vertAlign w:val="superscript"/>
              </w:rPr>
              <w:t>4</w:t>
            </w:r>
          </w:p>
        </w:tc>
        <w:tc>
          <w:tcPr>
            <w:tcW w:w="611" w:type="pct"/>
            <w:vAlign w:val="center"/>
          </w:tcPr>
          <w:p w14:paraId="7EF2117D"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7" w:id="-649849074"/>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74"/>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74"/>
                <w14:textFill>
                  <w14:solidFill>
                    <w14:srgbClr w14:val="000000">
                      <w14:alpha w14:val="100000"/>
                    </w14:srgbClr>
                  </w14:solidFill>
                </w14:textFill>
              </w:rPr>
              <w:t xml:space="preserve">　</w:t>
            </w:r>
            <w:r w:rsidRPr="002B6DCA">
              <w:rPr>
                <w:rFonts w:cs="Arial"/>
                <w:color w:val="000000"/>
                <w:szCs w:val="20"/>
                <w:vertAlign w:val="superscript"/>
              </w:rPr>
              <w:t>4</w:t>
            </w:r>
          </w:p>
        </w:tc>
        <w:tc>
          <w:tcPr>
            <w:tcW w:w="611" w:type="pct"/>
            <w:vAlign w:val="center"/>
          </w:tcPr>
          <w:p w14:paraId="2795D68E"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7" w:id="-649849073"/>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73"/>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73"/>
                <w14:textFill>
                  <w14:solidFill>
                    <w14:srgbClr w14:val="000000">
                      <w14:alpha w14:val="100000"/>
                    </w14:srgbClr>
                  </w14:solidFill>
                </w14:textFill>
              </w:rPr>
              <w:t xml:space="preserve">　</w:t>
            </w:r>
            <w:r w:rsidRPr="002B6DCA">
              <w:rPr>
                <w:rFonts w:cs="Arial"/>
                <w:color w:val="000000"/>
                <w:szCs w:val="20"/>
                <w:vertAlign w:val="superscript"/>
              </w:rPr>
              <w:t>4</w:t>
            </w:r>
          </w:p>
        </w:tc>
        <w:tc>
          <w:tcPr>
            <w:tcW w:w="611" w:type="pct"/>
            <w:vAlign w:val="center"/>
          </w:tcPr>
          <w:p w14:paraId="3A54E006"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8" w:id="-649849072"/>
                <w14:textFill>
                  <w14:solidFill>
                    <w14:srgbClr w14:val="000000">
                      <w14:alpha w14:val="100000"/>
                    </w14:srgbClr>
                  </w14:solidFill>
                </w14:textFill>
              </w:rPr>
              <w:t xml:space="preserve">　</w:t>
            </w:r>
            <w:r w:rsidRPr="00852466">
              <w:rPr>
                <w:rFonts w:cs="Arial"/>
                <w:color w:val="000000"/>
                <w:w w:val="15"/>
                <w:szCs w:val="20"/>
                <w:shd w:val="solid" w:color="000000" w:fill="000000"/>
                <w:fitText w:val="38" w:id="-649849072"/>
                <w14:textFill>
                  <w14:solidFill>
                    <w14:srgbClr w14:val="000000">
                      <w14:alpha w14:val="100000"/>
                    </w14:srgbClr>
                  </w14:solidFill>
                </w14:textFill>
              </w:rPr>
              <w:t>|</w:t>
            </w:r>
            <w:r w:rsidRPr="00852466">
              <w:rPr>
                <w:rFonts w:ascii="MS Mincho" w:eastAsia="MS Mincho" w:hAnsi="MS Mincho" w:cs="MS Mincho" w:hint="eastAsia"/>
                <w:color w:val="000000"/>
                <w:spacing w:val="-56"/>
                <w:w w:val="15"/>
                <w:szCs w:val="20"/>
                <w:shd w:val="solid" w:color="000000" w:fill="000000"/>
                <w:fitText w:val="38" w:id="-649849072"/>
                <w14:textFill>
                  <w14:solidFill>
                    <w14:srgbClr w14:val="000000">
                      <w14:alpha w14:val="100000"/>
                    </w14:srgbClr>
                  </w14:solidFill>
                </w14:textFill>
              </w:rPr>
              <w:t xml:space="preserve">　</w:t>
            </w:r>
            <w:r w:rsidRPr="002B6DCA">
              <w:rPr>
                <w:rFonts w:cs="Arial"/>
                <w:color w:val="000000"/>
                <w:szCs w:val="20"/>
                <w:vertAlign w:val="superscript"/>
              </w:rPr>
              <w:t>4</w:t>
            </w:r>
          </w:p>
        </w:tc>
        <w:tc>
          <w:tcPr>
            <w:tcW w:w="611" w:type="pct"/>
            <w:vAlign w:val="center"/>
          </w:tcPr>
          <w:p w14:paraId="6523293C" w14:textId="77777777" w:rsidR="00852466" w:rsidRPr="00584653" w:rsidRDefault="00852466">
            <w:pPr>
              <w:pStyle w:val="TableText0"/>
              <w:keepLines/>
              <w:jc w:val="center"/>
              <w:rPr>
                <w:highlight w:val="lightGray"/>
              </w:rPr>
            </w:pPr>
            <w:r w:rsidRPr="00852466">
              <w:rPr>
                <w:rFonts w:ascii="MS Mincho" w:eastAsia="MS Mincho" w:hAnsi="MS Mincho" w:cs="MS Mincho" w:hint="eastAsia"/>
                <w:color w:val="000000"/>
                <w:w w:val="15"/>
                <w:szCs w:val="20"/>
                <w:shd w:val="solid" w:color="000000" w:fill="000000"/>
                <w:fitText w:val="37" w:id="-649849088"/>
                <w14:textFill>
                  <w14:solidFill>
                    <w14:srgbClr w14:val="000000">
                      <w14:alpha w14:val="100000"/>
                    </w14:srgbClr>
                  </w14:solidFill>
                </w14:textFill>
              </w:rPr>
              <w:t xml:space="preserve">　</w:t>
            </w:r>
            <w:r w:rsidRPr="00852466">
              <w:rPr>
                <w:rFonts w:cs="Arial"/>
                <w:color w:val="000000"/>
                <w:w w:val="15"/>
                <w:szCs w:val="20"/>
                <w:shd w:val="solid" w:color="000000" w:fill="000000"/>
                <w:fitText w:val="37" w:id="-649849088"/>
                <w14:textFill>
                  <w14:solidFill>
                    <w14:srgbClr w14:val="000000">
                      <w14:alpha w14:val="100000"/>
                    </w14:srgbClr>
                  </w14:solidFill>
                </w14:textFill>
              </w:rPr>
              <w:t>|</w:t>
            </w:r>
            <w:r w:rsidRPr="00852466">
              <w:rPr>
                <w:rFonts w:ascii="MS Mincho" w:eastAsia="MS Mincho" w:hAnsi="MS Mincho" w:cs="MS Mincho" w:hint="eastAsia"/>
                <w:color w:val="000000"/>
                <w:spacing w:val="-74"/>
                <w:w w:val="15"/>
                <w:szCs w:val="20"/>
                <w:shd w:val="solid" w:color="000000" w:fill="000000"/>
                <w:fitText w:val="37" w:id="-649849088"/>
                <w14:textFill>
                  <w14:solidFill>
                    <w14:srgbClr w14:val="000000">
                      <w14:alpha w14:val="100000"/>
                    </w14:srgbClr>
                  </w14:solidFill>
                </w14:textFill>
              </w:rPr>
              <w:t xml:space="preserve">　</w:t>
            </w:r>
            <w:r w:rsidRPr="00584653">
              <w:rPr>
                <w:rFonts w:cs="Arial"/>
                <w:color w:val="000000"/>
                <w:szCs w:val="20"/>
                <w:vertAlign w:val="superscript"/>
              </w:rPr>
              <w:t>5</w:t>
            </w:r>
          </w:p>
        </w:tc>
      </w:tr>
    </w:tbl>
    <w:p w14:paraId="259C425A" w14:textId="77777777" w:rsidR="00852466" w:rsidRPr="002826AC" w:rsidRDefault="00852466" w:rsidP="00852466">
      <w:pPr>
        <w:pStyle w:val="FooterTableFigure"/>
        <w:keepNext/>
        <w:keepLines/>
        <w:rPr>
          <w:rStyle w:val="CommentReference"/>
          <w:snapToGrid/>
        </w:rPr>
      </w:pPr>
      <w:r w:rsidRPr="002826AC">
        <w:t>Source: Utilisation and cost workbook</w:t>
      </w:r>
    </w:p>
    <w:p w14:paraId="76AA4CA3" w14:textId="77777777" w:rsidR="00852466" w:rsidRDefault="00852466" w:rsidP="00852466">
      <w:pPr>
        <w:pStyle w:val="FooterTableFigure"/>
        <w:keepNext/>
        <w:keepLines/>
      </w:pPr>
      <w:r w:rsidRPr="002826AC">
        <w:rPr>
          <w:vertAlign w:val="superscript"/>
        </w:rPr>
        <w:t>a</w:t>
      </w:r>
      <w:r w:rsidRPr="002826AC">
        <w:t xml:space="preserve"> Assuming 12 scripts per year as estimated by the submission.</w:t>
      </w:r>
    </w:p>
    <w:p w14:paraId="7E4AF02A" w14:textId="77777777" w:rsidR="00852466" w:rsidRPr="00584653" w:rsidRDefault="00852466" w:rsidP="00852466">
      <w:pPr>
        <w:pStyle w:val="FooterTableFigure"/>
        <w:keepNext/>
        <w:keepLines/>
        <w:rPr>
          <w:i/>
          <w:iCs/>
        </w:rPr>
      </w:pPr>
      <w:r w:rsidRPr="00584653">
        <w:rPr>
          <w:i/>
          <w:iCs/>
        </w:rPr>
        <w:t>The redacted values correspond to the following ranges:</w:t>
      </w:r>
    </w:p>
    <w:p w14:paraId="1BEC6B47" w14:textId="77777777" w:rsidR="00852466" w:rsidRPr="00584653" w:rsidRDefault="00852466" w:rsidP="00852466">
      <w:pPr>
        <w:pStyle w:val="FooterTableFigure"/>
        <w:keepNext/>
        <w:keepLines/>
        <w:rPr>
          <w:i/>
          <w:iCs/>
        </w:rPr>
      </w:pPr>
      <w:r w:rsidRPr="00584653">
        <w:rPr>
          <w:i/>
          <w:iCs/>
          <w:vertAlign w:val="superscript"/>
        </w:rPr>
        <w:t>1</w:t>
      </w:r>
      <w:r w:rsidRPr="00584653">
        <w:rPr>
          <w:i/>
          <w:iCs/>
        </w:rPr>
        <w:t xml:space="preserve"> &lt; 500</w:t>
      </w:r>
    </w:p>
    <w:p w14:paraId="57DC4B8C" w14:textId="77777777" w:rsidR="00852466" w:rsidRPr="00584653" w:rsidRDefault="00852466" w:rsidP="00852466">
      <w:pPr>
        <w:pStyle w:val="FooterTableFigure"/>
        <w:keepNext/>
        <w:keepLines/>
        <w:rPr>
          <w:i/>
          <w:iCs/>
        </w:rPr>
      </w:pPr>
      <w:r w:rsidRPr="00584653">
        <w:rPr>
          <w:i/>
          <w:iCs/>
          <w:vertAlign w:val="superscript"/>
        </w:rPr>
        <w:t>2</w:t>
      </w:r>
      <w:r w:rsidRPr="00584653">
        <w:rPr>
          <w:i/>
          <w:iCs/>
        </w:rPr>
        <w:t xml:space="preserve"> 500 to &lt; 5,000</w:t>
      </w:r>
    </w:p>
    <w:p w14:paraId="394B2203" w14:textId="77777777" w:rsidR="00852466" w:rsidRPr="00584653" w:rsidRDefault="00852466" w:rsidP="00852466">
      <w:pPr>
        <w:pStyle w:val="FooterTableFigure"/>
        <w:keepNext/>
        <w:keepLines/>
        <w:rPr>
          <w:i/>
          <w:iCs/>
        </w:rPr>
      </w:pPr>
      <w:r w:rsidRPr="00584653">
        <w:rPr>
          <w:i/>
          <w:iCs/>
          <w:vertAlign w:val="superscript"/>
        </w:rPr>
        <w:t>3</w:t>
      </w:r>
      <w:r w:rsidRPr="00584653">
        <w:rPr>
          <w:i/>
          <w:iCs/>
        </w:rPr>
        <w:t xml:space="preserve"> 5,000 to &lt; 10,000</w:t>
      </w:r>
    </w:p>
    <w:p w14:paraId="12649300" w14:textId="77777777" w:rsidR="00852466" w:rsidRPr="00584653" w:rsidRDefault="00852466" w:rsidP="00852466">
      <w:pPr>
        <w:pStyle w:val="FooterTableFigure"/>
        <w:keepNext/>
        <w:keepLines/>
        <w:rPr>
          <w:i/>
          <w:iCs/>
        </w:rPr>
      </w:pPr>
      <w:r w:rsidRPr="00584653">
        <w:rPr>
          <w:i/>
          <w:iCs/>
          <w:vertAlign w:val="superscript"/>
        </w:rPr>
        <w:t xml:space="preserve">4 </w:t>
      </w:r>
      <w:r w:rsidRPr="00584653">
        <w:rPr>
          <w:i/>
          <w:iCs/>
        </w:rPr>
        <w:t>$0 to &lt; $10 million</w:t>
      </w:r>
    </w:p>
    <w:p w14:paraId="37682C89" w14:textId="77777777" w:rsidR="00852466" w:rsidRPr="00584653" w:rsidRDefault="00852466" w:rsidP="00852466">
      <w:pPr>
        <w:pStyle w:val="FooterTableFigure"/>
        <w:rPr>
          <w:i/>
          <w:iCs/>
        </w:rPr>
      </w:pPr>
      <w:r w:rsidRPr="00584653">
        <w:rPr>
          <w:i/>
          <w:iCs/>
          <w:vertAlign w:val="superscript"/>
        </w:rPr>
        <w:t>5</w:t>
      </w:r>
      <w:r w:rsidRPr="00584653">
        <w:rPr>
          <w:i/>
          <w:iCs/>
        </w:rPr>
        <w:t xml:space="preserve"> $10 million to &lt; $20 million</w:t>
      </w:r>
    </w:p>
    <w:p w14:paraId="32814CD3" w14:textId="77777777" w:rsidR="00852466" w:rsidRDefault="00852466" w:rsidP="00852466">
      <w:pPr>
        <w:pStyle w:val="3-BodyText"/>
        <w:numPr>
          <w:ilvl w:val="1"/>
          <w:numId w:val="2"/>
        </w:numPr>
        <w:spacing w:before="120"/>
        <w:rPr>
          <w:color w:val="000000" w:themeColor="text1"/>
        </w:rPr>
      </w:pPr>
      <w:r w:rsidRPr="002826AC">
        <w:t>The total cost to the PBS/RPBS of listing adalimumab for the requested restriction was estimated to be $</w:t>
      </w:r>
      <w:r w:rsidRPr="0065179F">
        <w:t>10 million to &lt; $20 million</w:t>
      </w:r>
      <w:r>
        <w:t xml:space="preserve"> </w:t>
      </w:r>
      <w:r w:rsidRPr="002826AC">
        <w:t>in Year 6, and a total of $</w:t>
      </w:r>
      <w:r w:rsidRPr="0065179F">
        <w:t>50 million to &lt;</w:t>
      </w:r>
      <w:r>
        <w:t> </w:t>
      </w:r>
      <w:r w:rsidRPr="0065179F">
        <w:t>$60 million</w:t>
      </w:r>
      <w:r>
        <w:t xml:space="preserve"> </w:t>
      </w:r>
      <w:r w:rsidRPr="002826AC">
        <w:t xml:space="preserve">in the first 6 years of listing. </w:t>
      </w:r>
      <w:r w:rsidRPr="002826AC">
        <w:rPr>
          <w:color w:val="000000" w:themeColor="text1"/>
        </w:rPr>
        <w:t>The ESC considered this to be uncertain but plausible.</w:t>
      </w:r>
    </w:p>
    <w:p w14:paraId="256D1851" w14:textId="77777777" w:rsidR="00852466" w:rsidRDefault="00852466" w:rsidP="00852466">
      <w:pPr>
        <w:pStyle w:val="3-BodyText"/>
        <w:numPr>
          <w:ilvl w:val="1"/>
          <w:numId w:val="2"/>
        </w:numPr>
        <w:spacing w:before="120"/>
      </w:pPr>
      <w:r w:rsidRPr="002826AC">
        <w:t>The estimated financial implications do not account for any potential financial implications of other PBS-listed medicines if adalimumab replaces the use of other therapies.</w:t>
      </w:r>
    </w:p>
    <w:p w14:paraId="654A90D9" w14:textId="77777777" w:rsidR="00852466" w:rsidRPr="002826AC" w:rsidRDefault="00852466" w:rsidP="00852466">
      <w:pPr>
        <w:pStyle w:val="3-BodyText"/>
        <w:numPr>
          <w:ilvl w:val="1"/>
          <w:numId w:val="2"/>
        </w:numPr>
        <w:spacing w:before="120"/>
      </w:pPr>
      <w:r w:rsidRPr="002826AC">
        <w:t xml:space="preserve">The PSCR stated the proposed population estimates include, but are not limited to, patients who have been diagnosed with an IMID for which adalimumab is currently PBS-listed but who do not meet the eligibility requirements of the existing restrictions. The estimates do not include patients with uveitis. The ESC considered this is likely to cover </w:t>
      </w:r>
      <w:proofErr w:type="gramStart"/>
      <w:r w:rsidRPr="002826AC">
        <w:t>the majority of</w:t>
      </w:r>
      <w:proofErr w:type="gramEnd"/>
      <w:r w:rsidRPr="002826AC">
        <w:t xml:space="preserve"> potentially eligible patients.</w:t>
      </w:r>
    </w:p>
    <w:p w14:paraId="78A3C239" w14:textId="77777777" w:rsidR="00852466" w:rsidRPr="002826AC" w:rsidRDefault="00852466" w:rsidP="00852466">
      <w:pPr>
        <w:pStyle w:val="3-BodyText"/>
        <w:numPr>
          <w:ilvl w:val="1"/>
          <w:numId w:val="2"/>
        </w:numPr>
        <w:spacing w:before="120"/>
      </w:pPr>
      <w:r w:rsidRPr="002826AC">
        <w:t xml:space="preserve">The submission estimated a minor increase in uptake of adalimumab by the paediatric population relative to the whole population currently accessing treatment with adalimumab through the PBS. It estimated </w:t>
      </w:r>
      <w:r w:rsidRPr="0065179F">
        <w:t>500 to &lt; 5,000</w:t>
      </w:r>
      <w:r>
        <w:t xml:space="preserve"> </w:t>
      </w:r>
      <w:r w:rsidRPr="002826AC">
        <w:t>additional paediatric patients would access adalimumab through the requested listing (</w:t>
      </w:r>
      <w:r w:rsidRPr="0065179F">
        <w:t>&lt; 500</w:t>
      </w:r>
      <w:r>
        <w:t xml:space="preserve"> </w:t>
      </w:r>
      <w:r w:rsidRPr="002826AC">
        <w:t xml:space="preserve">patients through the grandfather listing and </w:t>
      </w:r>
      <w:r w:rsidRPr="0065179F">
        <w:t>&lt; 500</w:t>
      </w:r>
      <w:r w:rsidRPr="002826AC">
        <w:t> new patients) (Table 6).</w:t>
      </w:r>
    </w:p>
    <w:p w14:paraId="3D5F0C67" w14:textId="77777777" w:rsidR="00852466" w:rsidRPr="002826AC" w:rsidRDefault="00852466" w:rsidP="00852466">
      <w:pPr>
        <w:pStyle w:val="TableFigureHeading"/>
      </w:pPr>
      <w:r w:rsidRPr="002826AC">
        <w:t>Table 6: Estimated patient numbers based on state/territory and condition</w:t>
      </w:r>
    </w:p>
    <w:tbl>
      <w:tblPr>
        <w:tblStyle w:val="TableGrid"/>
        <w:tblW w:w="0" w:type="auto"/>
        <w:tblLayout w:type="fixed"/>
        <w:tblLook w:val="04A0" w:firstRow="1" w:lastRow="0" w:firstColumn="1" w:lastColumn="0" w:noHBand="0" w:noVBand="1"/>
        <w:tblCaption w:val="Table 6: Estimated patient numbers based on state/territory and condition"/>
      </w:tblPr>
      <w:tblGrid>
        <w:gridCol w:w="1315"/>
        <w:gridCol w:w="720"/>
        <w:gridCol w:w="960"/>
        <w:gridCol w:w="776"/>
        <w:gridCol w:w="807"/>
        <w:gridCol w:w="937"/>
        <w:gridCol w:w="1680"/>
        <w:gridCol w:w="803"/>
        <w:gridCol w:w="1019"/>
      </w:tblGrid>
      <w:tr w:rsidR="00852466" w:rsidRPr="002826AC" w14:paraId="4CF93BA2" w14:textId="77777777">
        <w:trPr>
          <w:trHeight w:val="205"/>
        </w:trPr>
        <w:tc>
          <w:tcPr>
            <w:tcW w:w="1315" w:type="dxa"/>
            <w:vMerge w:val="restart"/>
            <w:tcMar>
              <w:left w:w="40" w:type="dxa"/>
              <w:right w:w="40" w:type="dxa"/>
            </w:tcMar>
            <w:vAlign w:val="center"/>
          </w:tcPr>
          <w:p w14:paraId="026BA376" w14:textId="77777777" w:rsidR="00852466" w:rsidRPr="002826AC" w:rsidRDefault="00852466">
            <w:pPr>
              <w:pStyle w:val="TableText0"/>
            </w:pPr>
            <w:r w:rsidRPr="002826AC">
              <w:t>Tertiary Institution</w:t>
            </w:r>
          </w:p>
        </w:tc>
        <w:tc>
          <w:tcPr>
            <w:tcW w:w="720" w:type="dxa"/>
            <w:vMerge w:val="restart"/>
            <w:tcMar>
              <w:left w:w="40" w:type="dxa"/>
              <w:right w:w="40" w:type="dxa"/>
            </w:tcMar>
            <w:vAlign w:val="center"/>
          </w:tcPr>
          <w:p w14:paraId="766AA9C0" w14:textId="77777777" w:rsidR="00852466" w:rsidRPr="002826AC" w:rsidRDefault="00852466">
            <w:pPr>
              <w:pStyle w:val="TableText0"/>
            </w:pPr>
            <w:r w:rsidRPr="002826AC">
              <w:t>State</w:t>
            </w:r>
          </w:p>
        </w:tc>
        <w:tc>
          <w:tcPr>
            <w:tcW w:w="960" w:type="dxa"/>
            <w:vMerge w:val="restart"/>
            <w:tcMar>
              <w:left w:w="40" w:type="dxa"/>
              <w:right w:w="40" w:type="dxa"/>
            </w:tcMar>
            <w:vAlign w:val="center"/>
          </w:tcPr>
          <w:p w14:paraId="74FF1A51" w14:textId="77777777" w:rsidR="00852466" w:rsidRPr="002826AC" w:rsidRDefault="00852466">
            <w:pPr>
              <w:pStyle w:val="TableText0"/>
            </w:pPr>
            <w:r w:rsidRPr="002826AC">
              <w:t>Relative proportion</w:t>
            </w:r>
          </w:p>
        </w:tc>
        <w:tc>
          <w:tcPr>
            <w:tcW w:w="1583" w:type="dxa"/>
            <w:gridSpan w:val="2"/>
            <w:tcMar>
              <w:left w:w="40" w:type="dxa"/>
              <w:right w:w="40" w:type="dxa"/>
            </w:tcMar>
            <w:vAlign w:val="center"/>
          </w:tcPr>
          <w:p w14:paraId="79A19806" w14:textId="77777777" w:rsidR="00852466" w:rsidRPr="002826AC" w:rsidRDefault="00852466">
            <w:pPr>
              <w:pStyle w:val="TableText0"/>
            </w:pPr>
            <w:r w:rsidRPr="002826AC">
              <w:t>Dermatology</w:t>
            </w:r>
          </w:p>
        </w:tc>
        <w:tc>
          <w:tcPr>
            <w:tcW w:w="937" w:type="dxa"/>
            <w:vMerge w:val="restart"/>
            <w:tcMar>
              <w:left w:w="40" w:type="dxa"/>
              <w:right w:w="40" w:type="dxa"/>
            </w:tcMar>
            <w:vAlign w:val="center"/>
          </w:tcPr>
          <w:p w14:paraId="47520F19" w14:textId="77777777" w:rsidR="00852466" w:rsidRPr="002826AC" w:rsidRDefault="00852466">
            <w:pPr>
              <w:pStyle w:val="TableText0"/>
            </w:pPr>
            <w:r w:rsidRPr="002826AC">
              <w:t>Gastro</w:t>
            </w:r>
          </w:p>
          <w:p w14:paraId="321A01BB" w14:textId="77777777" w:rsidR="00852466" w:rsidRPr="002826AC" w:rsidRDefault="00852466">
            <w:pPr>
              <w:pStyle w:val="TableText0"/>
            </w:pPr>
            <w:r w:rsidRPr="002826AC">
              <w:t>IBD (CD &amp; UC)</w:t>
            </w:r>
          </w:p>
        </w:tc>
        <w:tc>
          <w:tcPr>
            <w:tcW w:w="2483" w:type="dxa"/>
            <w:gridSpan w:val="2"/>
            <w:tcMar>
              <w:left w:w="40" w:type="dxa"/>
              <w:right w:w="40" w:type="dxa"/>
            </w:tcMar>
            <w:vAlign w:val="center"/>
          </w:tcPr>
          <w:p w14:paraId="2AC13FFF" w14:textId="77777777" w:rsidR="00852466" w:rsidRPr="002826AC" w:rsidRDefault="00852466">
            <w:pPr>
              <w:pStyle w:val="TableText0"/>
            </w:pPr>
            <w:r w:rsidRPr="002826AC">
              <w:t>Rheumatology</w:t>
            </w:r>
          </w:p>
        </w:tc>
        <w:tc>
          <w:tcPr>
            <w:tcW w:w="1019" w:type="dxa"/>
            <w:vMerge w:val="restart"/>
            <w:tcMar>
              <w:left w:w="40" w:type="dxa"/>
              <w:right w:w="40" w:type="dxa"/>
            </w:tcMar>
            <w:vAlign w:val="center"/>
          </w:tcPr>
          <w:p w14:paraId="52C0E40A" w14:textId="77777777" w:rsidR="00852466" w:rsidRPr="002826AC" w:rsidRDefault="00852466">
            <w:pPr>
              <w:pStyle w:val="TableText0"/>
            </w:pPr>
            <w:r w:rsidRPr="002826AC">
              <w:t>Grandfather</w:t>
            </w:r>
          </w:p>
        </w:tc>
      </w:tr>
      <w:tr w:rsidR="00852466" w:rsidRPr="002826AC" w14:paraId="3C631690" w14:textId="77777777">
        <w:trPr>
          <w:trHeight w:val="205"/>
        </w:trPr>
        <w:tc>
          <w:tcPr>
            <w:tcW w:w="1315" w:type="dxa"/>
            <w:vMerge/>
            <w:tcMar>
              <w:left w:w="40" w:type="dxa"/>
              <w:right w:w="40" w:type="dxa"/>
            </w:tcMar>
            <w:vAlign w:val="center"/>
          </w:tcPr>
          <w:p w14:paraId="10719431" w14:textId="77777777" w:rsidR="00852466" w:rsidRPr="002826AC" w:rsidRDefault="00852466">
            <w:pPr>
              <w:pStyle w:val="TableText0"/>
            </w:pPr>
          </w:p>
        </w:tc>
        <w:tc>
          <w:tcPr>
            <w:tcW w:w="720" w:type="dxa"/>
            <w:vMerge/>
            <w:tcMar>
              <w:left w:w="40" w:type="dxa"/>
              <w:right w:w="40" w:type="dxa"/>
            </w:tcMar>
            <w:vAlign w:val="center"/>
          </w:tcPr>
          <w:p w14:paraId="704EC336" w14:textId="77777777" w:rsidR="00852466" w:rsidRPr="002826AC" w:rsidRDefault="00852466">
            <w:pPr>
              <w:pStyle w:val="TableText0"/>
            </w:pPr>
          </w:p>
        </w:tc>
        <w:tc>
          <w:tcPr>
            <w:tcW w:w="960" w:type="dxa"/>
            <w:vMerge/>
            <w:tcMar>
              <w:left w:w="40" w:type="dxa"/>
              <w:right w:w="40" w:type="dxa"/>
            </w:tcMar>
          </w:tcPr>
          <w:p w14:paraId="18A3DD4A" w14:textId="77777777" w:rsidR="00852466" w:rsidRPr="002826AC" w:rsidRDefault="00852466">
            <w:pPr>
              <w:pStyle w:val="TableText0"/>
            </w:pPr>
          </w:p>
        </w:tc>
        <w:tc>
          <w:tcPr>
            <w:tcW w:w="776" w:type="dxa"/>
            <w:tcMar>
              <w:left w:w="40" w:type="dxa"/>
              <w:right w:w="40" w:type="dxa"/>
            </w:tcMar>
          </w:tcPr>
          <w:p w14:paraId="616D1E4C" w14:textId="77777777" w:rsidR="00852466" w:rsidRPr="002826AC" w:rsidRDefault="00852466">
            <w:pPr>
              <w:pStyle w:val="TableText0"/>
            </w:pPr>
            <w:proofErr w:type="spellStart"/>
            <w:r w:rsidRPr="002826AC">
              <w:t>PsO</w:t>
            </w:r>
            <w:proofErr w:type="spellEnd"/>
          </w:p>
        </w:tc>
        <w:tc>
          <w:tcPr>
            <w:tcW w:w="807" w:type="dxa"/>
            <w:tcMar>
              <w:left w:w="40" w:type="dxa"/>
              <w:right w:w="40" w:type="dxa"/>
            </w:tcMar>
          </w:tcPr>
          <w:p w14:paraId="32302F37" w14:textId="77777777" w:rsidR="00852466" w:rsidRPr="002826AC" w:rsidRDefault="00852466">
            <w:pPr>
              <w:pStyle w:val="TableText0"/>
            </w:pPr>
            <w:r w:rsidRPr="002826AC">
              <w:t>Other</w:t>
            </w:r>
          </w:p>
        </w:tc>
        <w:tc>
          <w:tcPr>
            <w:tcW w:w="937" w:type="dxa"/>
            <w:vMerge/>
            <w:tcMar>
              <w:left w:w="40" w:type="dxa"/>
              <w:right w:w="40" w:type="dxa"/>
            </w:tcMar>
          </w:tcPr>
          <w:p w14:paraId="7D901024" w14:textId="77777777" w:rsidR="00852466" w:rsidRPr="002826AC" w:rsidRDefault="00852466">
            <w:pPr>
              <w:pStyle w:val="TableText0"/>
            </w:pPr>
          </w:p>
        </w:tc>
        <w:tc>
          <w:tcPr>
            <w:tcW w:w="1680" w:type="dxa"/>
            <w:tcMar>
              <w:left w:w="40" w:type="dxa"/>
              <w:right w:w="40" w:type="dxa"/>
            </w:tcMar>
          </w:tcPr>
          <w:p w14:paraId="1AC83A01" w14:textId="77777777" w:rsidR="00852466" w:rsidRPr="002826AC" w:rsidRDefault="00852466">
            <w:pPr>
              <w:pStyle w:val="TableText0"/>
            </w:pPr>
            <w:r w:rsidRPr="002826AC">
              <w:t xml:space="preserve">Inflammatory </w:t>
            </w:r>
            <w:proofErr w:type="spellStart"/>
            <w:r w:rsidRPr="002826AC">
              <w:t>arthritides</w:t>
            </w:r>
            <w:proofErr w:type="spellEnd"/>
            <w:r w:rsidRPr="002826AC">
              <w:t xml:space="preserve"> &amp; uveitis</w:t>
            </w:r>
          </w:p>
        </w:tc>
        <w:tc>
          <w:tcPr>
            <w:tcW w:w="803" w:type="dxa"/>
            <w:tcMar>
              <w:left w:w="40" w:type="dxa"/>
              <w:right w:w="40" w:type="dxa"/>
            </w:tcMar>
          </w:tcPr>
          <w:p w14:paraId="0E65F4D5" w14:textId="77777777" w:rsidR="00852466" w:rsidRPr="002826AC" w:rsidRDefault="00852466">
            <w:pPr>
              <w:pStyle w:val="TableText0"/>
            </w:pPr>
            <w:r w:rsidRPr="002826AC">
              <w:t>Other</w:t>
            </w:r>
          </w:p>
        </w:tc>
        <w:tc>
          <w:tcPr>
            <w:tcW w:w="1019" w:type="dxa"/>
            <w:vMerge/>
            <w:tcMar>
              <w:left w:w="40" w:type="dxa"/>
              <w:right w:w="40" w:type="dxa"/>
            </w:tcMar>
          </w:tcPr>
          <w:p w14:paraId="786E5941" w14:textId="77777777" w:rsidR="00852466" w:rsidRPr="002826AC" w:rsidRDefault="00852466">
            <w:pPr>
              <w:pStyle w:val="TableText0"/>
            </w:pPr>
          </w:p>
        </w:tc>
      </w:tr>
      <w:tr w:rsidR="00852466" w:rsidRPr="002826AC" w14:paraId="11BE6BB7" w14:textId="77777777">
        <w:tc>
          <w:tcPr>
            <w:tcW w:w="1315" w:type="dxa"/>
            <w:tcMar>
              <w:left w:w="40" w:type="dxa"/>
              <w:right w:w="40" w:type="dxa"/>
            </w:tcMar>
            <w:vAlign w:val="center"/>
          </w:tcPr>
          <w:p w14:paraId="40656735" w14:textId="77777777" w:rsidR="00852466" w:rsidRPr="002826AC" w:rsidRDefault="00852466">
            <w:pPr>
              <w:pStyle w:val="TableText0"/>
            </w:pPr>
            <w:r w:rsidRPr="002826AC">
              <w:t>TCH Westmead</w:t>
            </w:r>
          </w:p>
        </w:tc>
        <w:tc>
          <w:tcPr>
            <w:tcW w:w="720" w:type="dxa"/>
            <w:tcMar>
              <w:left w:w="40" w:type="dxa"/>
              <w:right w:w="40" w:type="dxa"/>
            </w:tcMar>
            <w:vAlign w:val="center"/>
          </w:tcPr>
          <w:p w14:paraId="0D352E61" w14:textId="77777777" w:rsidR="00852466" w:rsidRPr="002826AC" w:rsidRDefault="00852466">
            <w:pPr>
              <w:pStyle w:val="TableText0"/>
            </w:pPr>
            <w:r w:rsidRPr="002826AC">
              <w:t>NSW</w:t>
            </w:r>
          </w:p>
        </w:tc>
        <w:tc>
          <w:tcPr>
            <w:tcW w:w="960" w:type="dxa"/>
            <w:vMerge w:val="restart"/>
            <w:tcMar>
              <w:left w:w="40" w:type="dxa"/>
              <w:right w:w="40" w:type="dxa"/>
            </w:tcMar>
            <w:vAlign w:val="center"/>
          </w:tcPr>
          <w:p w14:paraId="4C40F5B6" w14:textId="77777777" w:rsidR="00852466" w:rsidRPr="002826AC" w:rsidRDefault="00852466">
            <w:pPr>
              <w:pStyle w:val="TableText0"/>
            </w:pPr>
            <w:r w:rsidRPr="002826AC">
              <w:t>1</w:t>
            </w:r>
          </w:p>
        </w:tc>
        <w:tc>
          <w:tcPr>
            <w:tcW w:w="776" w:type="dxa"/>
            <w:tcMar>
              <w:left w:w="40" w:type="dxa"/>
              <w:right w:w="40" w:type="dxa"/>
            </w:tcMar>
            <w:vAlign w:val="center"/>
          </w:tcPr>
          <w:p w14:paraId="731F22FA"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584653">
              <w:rPr>
                <w:color w:val="000000"/>
                <w:vertAlign w:val="superscript"/>
              </w:rPr>
              <w:t>1</w:t>
            </w:r>
          </w:p>
        </w:tc>
        <w:tc>
          <w:tcPr>
            <w:tcW w:w="807" w:type="dxa"/>
            <w:tcMar>
              <w:left w:w="40" w:type="dxa"/>
              <w:right w:w="40" w:type="dxa"/>
            </w:tcMar>
            <w:vAlign w:val="center"/>
          </w:tcPr>
          <w:p w14:paraId="0C8DC530"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35D2795C" w14:textId="77777777" w:rsidR="00852466" w:rsidRPr="002826AC" w:rsidRDefault="00852466">
            <w:pPr>
              <w:pStyle w:val="TableText0"/>
            </w:pPr>
            <w:r w:rsidRPr="002826AC">
              <w:t>-</w:t>
            </w:r>
          </w:p>
        </w:tc>
        <w:tc>
          <w:tcPr>
            <w:tcW w:w="1680" w:type="dxa"/>
            <w:tcMar>
              <w:left w:w="40" w:type="dxa"/>
              <w:right w:w="40" w:type="dxa"/>
            </w:tcMar>
            <w:vAlign w:val="center"/>
          </w:tcPr>
          <w:p w14:paraId="66869DBB"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555DEA92"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0EFCC280" w14:textId="77777777" w:rsidR="00852466" w:rsidRPr="002826AC" w:rsidRDefault="00852466">
            <w:pPr>
              <w:pStyle w:val="TableText0"/>
            </w:pPr>
          </w:p>
        </w:tc>
      </w:tr>
      <w:tr w:rsidR="00852466" w:rsidRPr="002826AC" w14:paraId="52E0A5F1" w14:textId="77777777">
        <w:tc>
          <w:tcPr>
            <w:tcW w:w="1315" w:type="dxa"/>
            <w:tcMar>
              <w:left w:w="40" w:type="dxa"/>
              <w:right w:w="40" w:type="dxa"/>
            </w:tcMar>
            <w:vAlign w:val="center"/>
          </w:tcPr>
          <w:p w14:paraId="5136FC55" w14:textId="77777777" w:rsidR="00852466" w:rsidRPr="002826AC" w:rsidRDefault="00852466">
            <w:pPr>
              <w:pStyle w:val="TableText0"/>
            </w:pPr>
            <w:r w:rsidRPr="002826AC">
              <w:t>SCH Randwick</w:t>
            </w:r>
          </w:p>
        </w:tc>
        <w:tc>
          <w:tcPr>
            <w:tcW w:w="720" w:type="dxa"/>
            <w:tcMar>
              <w:left w:w="40" w:type="dxa"/>
              <w:right w:w="40" w:type="dxa"/>
            </w:tcMar>
            <w:vAlign w:val="center"/>
          </w:tcPr>
          <w:p w14:paraId="457B3334" w14:textId="77777777" w:rsidR="00852466" w:rsidRPr="002826AC" w:rsidRDefault="00852466">
            <w:pPr>
              <w:pStyle w:val="TableText0"/>
            </w:pPr>
            <w:r w:rsidRPr="002826AC">
              <w:t>NSW</w:t>
            </w:r>
          </w:p>
        </w:tc>
        <w:tc>
          <w:tcPr>
            <w:tcW w:w="960" w:type="dxa"/>
            <w:vMerge/>
            <w:tcMar>
              <w:left w:w="40" w:type="dxa"/>
              <w:right w:w="40" w:type="dxa"/>
            </w:tcMar>
            <w:vAlign w:val="center"/>
          </w:tcPr>
          <w:p w14:paraId="22682211" w14:textId="77777777" w:rsidR="00852466" w:rsidRPr="002826AC" w:rsidRDefault="00852466">
            <w:pPr>
              <w:pStyle w:val="TableText0"/>
            </w:pPr>
          </w:p>
        </w:tc>
        <w:tc>
          <w:tcPr>
            <w:tcW w:w="776" w:type="dxa"/>
            <w:tcMar>
              <w:left w:w="40" w:type="dxa"/>
              <w:right w:w="40" w:type="dxa"/>
            </w:tcMar>
            <w:vAlign w:val="center"/>
          </w:tcPr>
          <w:p w14:paraId="0FEFA74B"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77F195CD"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0A0CC419" w14:textId="77777777" w:rsidR="00852466" w:rsidRPr="002826AC" w:rsidRDefault="00852466">
            <w:pPr>
              <w:pStyle w:val="TableText0"/>
            </w:pPr>
            <w:r w:rsidRPr="002826AC">
              <w:t>-</w:t>
            </w:r>
          </w:p>
        </w:tc>
        <w:tc>
          <w:tcPr>
            <w:tcW w:w="1680" w:type="dxa"/>
            <w:tcMar>
              <w:left w:w="40" w:type="dxa"/>
              <w:right w:w="40" w:type="dxa"/>
            </w:tcMar>
            <w:vAlign w:val="center"/>
          </w:tcPr>
          <w:p w14:paraId="26CBB8D8"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707EEE10"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507FD379" w14:textId="77777777" w:rsidR="00852466" w:rsidRPr="002826AC" w:rsidRDefault="00852466">
            <w:pPr>
              <w:pStyle w:val="TableText0"/>
            </w:pPr>
          </w:p>
        </w:tc>
      </w:tr>
      <w:tr w:rsidR="00852466" w:rsidRPr="002826AC" w14:paraId="00DA4EC5" w14:textId="77777777">
        <w:tc>
          <w:tcPr>
            <w:tcW w:w="1315" w:type="dxa"/>
            <w:tcMar>
              <w:left w:w="40" w:type="dxa"/>
              <w:right w:w="40" w:type="dxa"/>
            </w:tcMar>
            <w:vAlign w:val="center"/>
          </w:tcPr>
          <w:p w14:paraId="0F4AF85A" w14:textId="77777777" w:rsidR="00852466" w:rsidRPr="002826AC" w:rsidRDefault="00852466">
            <w:pPr>
              <w:pStyle w:val="TableText0"/>
            </w:pPr>
            <w:r w:rsidRPr="002826AC">
              <w:t>Monash Children’s Hospital</w:t>
            </w:r>
          </w:p>
        </w:tc>
        <w:tc>
          <w:tcPr>
            <w:tcW w:w="720" w:type="dxa"/>
            <w:tcMar>
              <w:left w:w="40" w:type="dxa"/>
              <w:right w:w="40" w:type="dxa"/>
            </w:tcMar>
            <w:vAlign w:val="center"/>
          </w:tcPr>
          <w:p w14:paraId="4A265A74" w14:textId="77777777" w:rsidR="00852466" w:rsidRPr="002826AC" w:rsidRDefault="00852466">
            <w:pPr>
              <w:pStyle w:val="TableText0"/>
            </w:pPr>
            <w:r w:rsidRPr="002826AC">
              <w:t>VIC</w:t>
            </w:r>
          </w:p>
        </w:tc>
        <w:tc>
          <w:tcPr>
            <w:tcW w:w="960" w:type="dxa"/>
            <w:vMerge w:val="restart"/>
            <w:tcMar>
              <w:left w:w="40" w:type="dxa"/>
              <w:right w:w="40" w:type="dxa"/>
            </w:tcMar>
            <w:vAlign w:val="center"/>
          </w:tcPr>
          <w:p w14:paraId="3C68F21A" w14:textId="77777777" w:rsidR="00852466" w:rsidRPr="002826AC" w:rsidRDefault="00852466">
            <w:pPr>
              <w:pStyle w:val="TableText0"/>
            </w:pPr>
            <w:r w:rsidRPr="002826AC">
              <w:t>0.8</w:t>
            </w:r>
          </w:p>
        </w:tc>
        <w:tc>
          <w:tcPr>
            <w:tcW w:w="776" w:type="dxa"/>
            <w:tcMar>
              <w:left w:w="40" w:type="dxa"/>
              <w:right w:w="40" w:type="dxa"/>
            </w:tcMar>
            <w:vAlign w:val="center"/>
          </w:tcPr>
          <w:p w14:paraId="211CA0BF"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624F75EF"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1D6C34A8" w14:textId="77777777" w:rsidR="00852466" w:rsidRPr="002826AC" w:rsidRDefault="00852466">
            <w:pPr>
              <w:pStyle w:val="TableText0"/>
            </w:pPr>
            <w:r w:rsidRPr="002826AC">
              <w:t>-</w:t>
            </w:r>
          </w:p>
        </w:tc>
        <w:tc>
          <w:tcPr>
            <w:tcW w:w="1680" w:type="dxa"/>
            <w:tcMar>
              <w:left w:w="40" w:type="dxa"/>
              <w:right w:w="40" w:type="dxa"/>
            </w:tcMar>
            <w:vAlign w:val="center"/>
          </w:tcPr>
          <w:p w14:paraId="5B2CDAE9"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62D6FA3A"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6C4A7E40" w14:textId="77777777" w:rsidR="00852466" w:rsidRPr="002826AC" w:rsidRDefault="00852466">
            <w:pPr>
              <w:pStyle w:val="TableText0"/>
            </w:pPr>
          </w:p>
        </w:tc>
      </w:tr>
      <w:tr w:rsidR="00852466" w:rsidRPr="002826AC" w14:paraId="65FF0C1F" w14:textId="77777777">
        <w:tc>
          <w:tcPr>
            <w:tcW w:w="1315" w:type="dxa"/>
            <w:tcMar>
              <w:left w:w="40" w:type="dxa"/>
              <w:right w:w="40" w:type="dxa"/>
            </w:tcMar>
            <w:vAlign w:val="center"/>
          </w:tcPr>
          <w:p w14:paraId="520C963C" w14:textId="77777777" w:rsidR="00852466" w:rsidRPr="002826AC" w:rsidRDefault="00852466">
            <w:pPr>
              <w:pStyle w:val="TableText0"/>
            </w:pPr>
            <w:r w:rsidRPr="002826AC">
              <w:t>RCH Melbourne</w:t>
            </w:r>
          </w:p>
        </w:tc>
        <w:tc>
          <w:tcPr>
            <w:tcW w:w="720" w:type="dxa"/>
            <w:tcMar>
              <w:left w:w="40" w:type="dxa"/>
              <w:right w:w="40" w:type="dxa"/>
            </w:tcMar>
            <w:vAlign w:val="center"/>
          </w:tcPr>
          <w:p w14:paraId="47EC5E41" w14:textId="77777777" w:rsidR="00852466" w:rsidRPr="002826AC" w:rsidRDefault="00852466">
            <w:pPr>
              <w:pStyle w:val="TableText0"/>
            </w:pPr>
            <w:r w:rsidRPr="002826AC">
              <w:t>VIC</w:t>
            </w:r>
          </w:p>
        </w:tc>
        <w:tc>
          <w:tcPr>
            <w:tcW w:w="960" w:type="dxa"/>
            <w:vMerge/>
            <w:tcMar>
              <w:left w:w="40" w:type="dxa"/>
              <w:right w:w="40" w:type="dxa"/>
            </w:tcMar>
            <w:vAlign w:val="center"/>
          </w:tcPr>
          <w:p w14:paraId="51E8BC7A" w14:textId="77777777" w:rsidR="00852466" w:rsidRPr="002826AC" w:rsidRDefault="00852466">
            <w:pPr>
              <w:pStyle w:val="TableText0"/>
            </w:pPr>
          </w:p>
        </w:tc>
        <w:tc>
          <w:tcPr>
            <w:tcW w:w="776" w:type="dxa"/>
            <w:tcMar>
              <w:left w:w="40" w:type="dxa"/>
              <w:right w:w="40" w:type="dxa"/>
            </w:tcMar>
            <w:vAlign w:val="center"/>
          </w:tcPr>
          <w:p w14:paraId="68937E7E"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7D68905F"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2F777C3B" w14:textId="77777777" w:rsidR="00852466" w:rsidRPr="002826AC" w:rsidRDefault="00852466">
            <w:pPr>
              <w:pStyle w:val="TableText0"/>
            </w:pPr>
            <w:r w:rsidRPr="002826AC">
              <w:t>-</w:t>
            </w:r>
          </w:p>
        </w:tc>
        <w:tc>
          <w:tcPr>
            <w:tcW w:w="1680" w:type="dxa"/>
            <w:tcMar>
              <w:left w:w="40" w:type="dxa"/>
              <w:right w:w="40" w:type="dxa"/>
            </w:tcMar>
            <w:vAlign w:val="center"/>
          </w:tcPr>
          <w:p w14:paraId="15E5B6AF"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289E037C"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50F87075" w14:textId="77777777" w:rsidR="00852466" w:rsidRPr="002826AC" w:rsidRDefault="00852466">
            <w:pPr>
              <w:pStyle w:val="TableText0"/>
            </w:pPr>
          </w:p>
        </w:tc>
      </w:tr>
      <w:tr w:rsidR="00852466" w:rsidRPr="002826AC" w14:paraId="6DDE1DE6" w14:textId="77777777">
        <w:tc>
          <w:tcPr>
            <w:tcW w:w="1315" w:type="dxa"/>
            <w:tcMar>
              <w:left w:w="40" w:type="dxa"/>
              <w:right w:w="40" w:type="dxa"/>
            </w:tcMar>
            <w:vAlign w:val="center"/>
          </w:tcPr>
          <w:p w14:paraId="0480F661" w14:textId="77777777" w:rsidR="00852466" w:rsidRPr="002826AC" w:rsidRDefault="00852466">
            <w:pPr>
              <w:pStyle w:val="TableText0"/>
            </w:pPr>
            <w:r w:rsidRPr="002826AC">
              <w:t>Queensland Children’s Hospital</w:t>
            </w:r>
          </w:p>
        </w:tc>
        <w:tc>
          <w:tcPr>
            <w:tcW w:w="720" w:type="dxa"/>
            <w:tcMar>
              <w:left w:w="40" w:type="dxa"/>
              <w:right w:w="40" w:type="dxa"/>
            </w:tcMar>
            <w:vAlign w:val="center"/>
          </w:tcPr>
          <w:p w14:paraId="6278970A" w14:textId="77777777" w:rsidR="00852466" w:rsidRPr="002826AC" w:rsidRDefault="00852466">
            <w:pPr>
              <w:pStyle w:val="TableText0"/>
            </w:pPr>
            <w:r w:rsidRPr="002826AC">
              <w:t>QLD</w:t>
            </w:r>
          </w:p>
        </w:tc>
        <w:tc>
          <w:tcPr>
            <w:tcW w:w="960" w:type="dxa"/>
            <w:tcMar>
              <w:left w:w="40" w:type="dxa"/>
              <w:right w:w="40" w:type="dxa"/>
            </w:tcMar>
            <w:vAlign w:val="center"/>
          </w:tcPr>
          <w:p w14:paraId="4747567D" w14:textId="77777777" w:rsidR="00852466" w:rsidRPr="002826AC" w:rsidRDefault="00852466">
            <w:pPr>
              <w:pStyle w:val="TableText0"/>
            </w:pPr>
            <w:r w:rsidRPr="002826AC">
              <w:t>0.7</w:t>
            </w:r>
          </w:p>
        </w:tc>
        <w:tc>
          <w:tcPr>
            <w:tcW w:w="776" w:type="dxa"/>
            <w:tcMar>
              <w:left w:w="40" w:type="dxa"/>
              <w:right w:w="40" w:type="dxa"/>
            </w:tcMar>
            <w:vAlign w:val="center"/>
          </w:tcPr>
          <w:p w14:paraId="16CDDCEB"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72A0DF3C"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20A10606" w14:textId="77777777" w:rsidR="00852466" w:rsidRPr="002826AC" w:rsidRDefault="00852466">
            <w:pPr>
              <w:pStyle w:val="TableText0"/>
            </w:pPr>
            <w:r w:rsidRPr="002826AC">
              <w:t>-</w:t>
            </w:r>
          </w:p>
        </w:tc>
        <w:tc>
          <w:tcPr>
            <w:tcW w:w="1680" w:type="dxa"/>
            <w:tcMar>
              <w:left w:w="40" w:type="dxa"/>
              <w:right w:w="40" w:type="dxa"/>
            </w:tcMar>
            <w:vAlign w:val="center"/>
          </w:tcPr>
          <w:p w14:paraId="5C70C628"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6D6ECC4A"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4EA011F7" w14:textId="77777777" w:rsidR="00852466" w:rsidRPr="002826AC" w:rsidRDefault="00852466">
            <w:pPr>
              <w:pStyle w:val="TableText0"/>
            </w:pPr>
          </w:p>
        </w:tc>
      </w:tr>
      <w:tr w:rsidR="00852466" w:rsidRPr="002826AC" w14:paraId="223D973B" w14:textId="77777777">
        <w:tc>
          <w:tcPr>
            <w:tcW w:w="1315" w:type="dxa"/>
            <w:tcMar>
              <w:left w:w="40" w:type="dxa"/>
              <w:right w:w="40" w:type="dxa"/>
            </w:tcMar>
            <w:vAlign w:val="center"/>
          </w:tcPr>
          <w:p w14:paraId="7D2DF357" w14:textId="77777777" w:rsidR="00852466" w:rsidRPr="002826AC" w:rsidRDefault="00852466">
            <w:pPr>
              <w:pStyle w:val="TableText0"/>
            </w:pPr>
            <w:r w:rsidRPr="002826AC">
              <w:t>Women’s and Children’s Hospital Adelaide</w:t>
            </w:r>
          </w:p>
        </w:tc>
        <w:tc>
          <w:tcPr>
            <w:tcW w:w="720" w:type="dxa"/>
            <w:tcMar>
              <w:left w:w="40" w:type="dxa"/>
              <w:right w:w="40" w:type="dxa"/>
            </w:tcMar>
            <w:vAlign w:val="center"/>
          </w:tcPr>
          <w:p w14:paraId="66DD5B4C" w14:textId="77777777" w:rsidR="00852466" w:rsidRPr="002826AC" w:rsidRDefault="00852466">
            <w:pPr>
              <w:pStyle w:val="TableText0"/>
            </w:pPr>
            <w:r w:rsidRPr="002826AC">
              <w:t>SA</w:t>
            </w:r>
          </w:p>
        </w:tc>
        <w:tc>
          <w:tcPr>
            <w:tcW w:w="960" w:type="dxa"/>
            <w:tcMar>
              <w:left w:w="40" w:type="dxa"/>
              <w:right w:w="40" w:type="dxa"/>
            </w:tcMar>
            <w:vAlign w:val="center"/>
          </w:tcPr>
          <w:p w14:paraId="550454D7" w14:textId="77777777" w:rsidR="00852466" w:rsidRPr="002826AC" w:rsidRDefault="00852466">
            <w:pPr>
              <w:pStyle w:val="TableText0"/>
            </w:pPr>
            <w:r w:rsidRPr="002826AC">
              <w:t>0.2</w:t>
            </w:r>
          </w:p>
        </w:tc>
        <w:tc>
          <w:tcPr>
            <w:tcW w:w="776" w:type="dxa"/>
            <w:tcMar>
              <w:left w:w="40" w:type="dxa"/>
              <w:right w:w="40" w:type="dxa"/>
            </w:tcMar>
            <w:vAlign w:val="center"/>
          </w:tcPr>
          <w:p w14:paraId="22379AF8"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4A40CDEC"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3328A88F" w14:textId="77777777" w:rsidR="00852466" w:rsidRPr="002826AC" w:rsidRDefault="00852466">
            <w:pPr>
              <w:pStyle w:val="TableText0"/>
            </w:pPr>
            <w:r w:rsidRPr="002826AC">
              <w:t>-</w:t>
            </w:r>
          </w:p>
        </w:tc>
        <w:tc>
          <w:tcPr>
            <w:tcW w:w="1680" w:type="dxa"/>
            <w:tcMar>
              <w:left w:w="40" w:type="dxa"/>
              <w:right w:w="40" w:type="dxa"/>
            </w:tcMar>
            <w:vAlign w:val="center"/>
          </w:tcPr>
          <w:p w14:paraId="39D736EA"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106274FE"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2C2F00C7" w14:textId="77777777" w:rsidR="00852466" w:rsidRPr="002826AC" w:rsidRDefault="00852466">
            <w:pPr>
              <w:pStyle w:val="TableText0"/>
            </w:pPr>
          </w:p>
        </w:tc>
      </w:tr>
      <w:tr w:rsidR="00852466" w:rsidRPr="002826AC" w14:paraId="45A079BC" w14:textId="77777777">
        <w:tc>
          <w:tcPr>
            <w:tcW w:w="1315" w:type="dxa"/>
            <w:tcMar>
              <w:left w:w="40" w:type="dxa"/>
              <w:right w:w="40" w:type="dxa"/>
            </w:tcMar>
            <w:vAlign w:val="center"/>
          </w:tcPr>
          <w:p w14:paraId="2FDF6A1B" w14:textId="77777777" w:rsidR="00852466" w:rsidRPr="002826AC" w:rsidRDefault="00852466">
            <w:pPr>
              <w:pStyle w:val="TableText0"/>
            </w:pPr>
            <w:r w:rsidRPr="002826AC">
              <w:t>Perth Children’s Hospital</w:t>
            </w:r>
          </w:p>
        </w:tc>
        <w:tc>
          <w:tcPr>
            <w:tcW w:w="720" w:type="dxa"/>
            <w:tcMar>
              <w:left w:w="40" w:type="dxa"/>
              <w:right w:w="40" w:type="dxa"/>
            </w:tcMar>
            <w:vAlign w:val="center"/>
          </w:tcPr>
          <w:p w14:paraId="28F66613" w14:textId="77777777" w:rsidR="00852466" w:rsidRPr="002826AC" w:rsidRDefault="00852466">
            <w:pPr>
              <w:pStyle w:val="TableText0"/>
            </w:pPr>
            <w:r w:rsidRPr="002826AC">
              <w:t>WA</w:t>
            </w:r>
          </w:p>
        </w:tc>
        <w:tc>
          <w:tcPr>
            <w:tcW w:w="960" w:type="dxa"/>
            <w:tcMar>
              <w:left w:w="40" w:type="dxa"/>
              <w:right w:w="40" w:type="dxa"/>
            </w:tcMar>
            <w:vAlign w:val="center"/>
          </w:tcPr>
          <w:p w14:paraId="0FB6BFB2" w14:textId="77777777" w:rsidR="00852466" w:rsidRPr="002826AC" w:rsidRDefault="00852466">
            <w:pPr>
              <w:pStyle w:val="TableText0"/>
            </w:pPr>
            <w:r w:rsidRPr="002826AC">
              <w:t>0.4</w:t>
            </w:r>
          </w:p>
        </w:tc>
        <w:tc>
          <w:tcPr>
            <w:tcW w:w="776" w:type="dxa"/>
            <w:tcMar>
              <w:left w:w="40" w:type="dxa"/>
              <w:right w:w="40" w:type="dxa"/>
            </w:tcMar>
            <w:vAlign w:val="center"/>
          </w:tcPr>
          <w:p w14:paraId="70E4CC81"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14865D96"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01C10C8D" w14:textId="77777777" w:rsidR="00852466" w:rsidRPr="002826AC" w:rsidRDefault="00852466">
            <w:pPr>
              <w:pStyle w:val="TableText0"/>
            </w:pPr>
            <w:r w:rsidRPr="002826AC">
              <w:t>-</w:t>
            </w:r>
          </w:p>
        </w:tc>
        <w:tc>
          <w:tcPr>
            <w:tcW w:w="1680" w:type="dxa"/>
            <w:tcMar>
              <w:left w:w="40" w:type="dxa"/>
              <w:right w:w="40" w:type="dxa"/>
            </w:tcMar>
            <w:vAlign w:val="center"/>
          </w:tcPr>
          <w:p w14:paraId="660B3485"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56EAAE1B"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04261FD9" w14:textId="77777777" w:rsidR="00852466" w:rsidRPr="002826AC" w:rsidRDefault="00852466">
            <w:pPr>
              <w:pStyle w:val="TableText0"/>
            </w:pPr>
          </w:p>
        </w:tc>
      </w:tr>
      <w:tr w:rsidR="00852466" w:rsidRPr="002826AC" w14:paraId="4189FD01" w14:textId="77777777">
        <w:tc>
          <w:tcPr>
            <w:tcW w:w="1315" w:type="dxa"/>
            <w:tcMar>
              <w:left w:w="40" w:type="dxa"/>
              <w:right w:w="40" w:type="dxa"/>
            </w:tcMar>
            <w:vAlign w:val="center"/>
          </w:tcPr>
          <w:p w14:paraId="386AFA16" w14:textId="77777777" w:rsidR="00852466" w:rsidRPr="002826AC" w:rsidRDefault="00852466">
            <w:pPr>
              <w:pStyle w:val="TableText0"/>
            </w:pPr>
            <w:r w:rsidRPr="002826AC">
              <w:t>n/a</w:t>
            </w:r>
          </w:p>
        </w:tc>
        <w:tc>
          <w:tcPr>
            <w:tcW w:w="720" w:type="dxa"/>
            <w:tcMar>
              <w:left w:w="40" w:type="dxa"/>
              <w:right w:w="40" w:type="dxa"/>
            </w:tcMar>
            <w:vAlign w:val="center"/>
          </w:tcPr>
          <w:p w14:paraId="7B090132" w14:textId="77777777" w:rsidR="00852466" w:rsidRPr="002826AC" w:rsidRDefault="00852466">
            <w:pPr>
              <w:pStyle w:val="TableText0"/>
            </w:pPr>
            <w:r w:rsidRPr="002826AC">
              <w:t>TAS</w:t>
            </w:r>
          </w:p>
        </w:tc>
        <w:tc>
          <w:tcPr>
            <w:tcW w:w="960" w:type="dxa"/>
            <w:tcMar>
              <w:left w:w="40" w:type="dxa"/>
              <w:right w:w="40" w:type="dxa"/>
            </w:tcMar>
            <w:vAlign w:val="center"/>
          </w:tcPr>
          <w:p w14:paraId="237FC7E3" w14:textId="77777777" w:rsidR="00852466" w:rsidRPr="002826AC" w:rsidRDefault="00852466">
            <w:pPr>
              <w:pStyle w:val="TableText0"/>
            </w:pPr>
            <w:r w:rsidRPr="002826AC">
              <w:t>0.1</w:t>
            </w:r>
          </w:p>
        </w:tc>
        <w:tc>
          <w:tcPr>
            <w:tcW w:w="776" w:type="dxa"/>
            <w:tcMar>
              <w:left w:w="40" w:type="dxa"/>
              <w:right w:w="40" w:type="dxa"/>
            </w:tcMar>
            <w:vAlign w:val="center"/>
          </w:tcPr>
          <w:p w14:paraId="78241884"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1BCD83FB"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364CE9C2" w14:textId="77777777" w:rsidR="00852466" w:rsidRPr="002826AC" w:rsidRDefault="00852466">
            <w:pPr>
              <w:pStyle w:val="TableText0"/>
            </w:pPr>
            <w:r w:rsidRPr="002826AC">
              <w:t>-</w:t>
            </w:r>
          </w:p>
        </w:tc>
        <w:tc>
          <w:tcPr>
            <w:tcW w:w="1680" w:type="dxa"/>
            <w:tcMar>
              <w:left w:w="40" w:type="dxa"/>
              <w:right w:w="40" w:type="dxa"/>
            </w:tcMar>
            <w:vAlign w:val="center"/>
          </w:tcPr>
          <w:p w14:paraId="3FB08C72"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7308CA80"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334D8F94" w14:textId="77777777" w:rsidR="00852466" w:rsidRPr="002826AC" w:rsidRDefault="00852466">
            <w:pPr>
              <w:pStyle w:val="TableText0"/>
            </w:pPr>
          </w:p>
        </w:tc>
      </w:tr>
      <w:tr w:rsidR="00852466" w:rsidRPr="002826AC" w14:paraId="368F559C" w14:textId="77777777">
        <w:tc>
          <w:tcPr>
            <w:tcW w:w="1315" w:type="dxa"/>
            <w:tcMar>
              <w:left w:w="40" w:type="dxa"/>
              <w:right w:w="40" w:type="dxa"/>
            </w:tcMar>
            <w:vAlign w:val="center"/>
          </w:tcPr>
          <w:p w14:paraId="65BBD9D7" w14:textId="77777777" w:rsidR="00852466" w:rsidRPr="002826AC" w:rsidRDefault="00852466">
            <w:pPr>
              <w:pStyle w:val="TableText0"/>
            </w:pPr>
            <w:r w:rsidRPr="002826AC">
              <w:t>n/a</w:t>
            </w:r>
          </w:p>
        </w:tc>
        <w:tc>
          <w:tcPr>
            <w:tcW w:w="720" w:type="dxa"/>
            <w:tcMar>
              <w:left w:w="40" w:type="dxa"/>
              <w:right w:w="40" w:type="dxa"/>
            </w:tcMar>
            <w:vAlign w:val="center"/>
          </w:tcPr>
          <w:p w14:paraId="72A0FC12" w14:textId="77777777" w:rsidR="00852466" w:rsidRPr="002826AC" w:rsidRDefault="00852466">
            <w:pPr>
              <w:pStyle w:val="TableText0"/>
            </w:pPr>
            <w:r w:rsidRPr="002826AC">
              <w:t>NT</w:t>
            </w:r>
          </w:p>
        </w:tc>
        <w:tc>
          <w:tcPr>
            <w:tcW w:w="960" w:type="dxa"/>
            <w:tcMar>
              <w:left w:w="40" w:type="dxa"/>
              <w:right w:w="40" w:type="dxa"/>
            </w:tcMar>
            <w:vAlign w:val="center"/>
          </w:tcPr>
          <w:p w14:paraId="24F33F1E" w14:textId="77777777" w:rsidR="00852466" w:rsidRPr="002826AC" w:rsidRDefault="00852466">
            <w:pPr>
              <w:pStyle w:val="TableText0"/>
            </w:pPr>
            <w:r w:rsidRPr="002826AC">
              <w:t>0.03</w:t>
            </w:r>
          </w:p>
        </w:tc>
        <w:tc>
          <w:tcPr>
            <w:tcW w:w="776" w:type="dxa"/>
            <w:tcMar>
              <w:left w:w="40" w:type="dxa"/>
              <w:right w:w="40" w:type="dxa"/>
            </w:tcMar>
            <w:vAlign w:val="center"/>
          </w:tcPr>
          <w:p w14:paraId="22C9300D"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1B452782"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47097653" w14:textId="77777777" w:rsidR="00852466" w:rsidRPr="002826AC" w:rsidRDefault="00852466">
            <w:pPr>
              <w:pStyle w:val="TableText0"/>
            </w:pPr>
            <w:r w:rsidRPr="002826AC">
              <w:t>-</w:t>
            </w:r>
          </w:p>
        </w:tc>
        <w:tc>
          <w:tcPr>
            <w:tcW w:w="1680" w:type="dxa"/>
            <w:tcMar>
              <w:left w:w="40" w:type="dxa"/>
              <w:right w:w="40" w:type="dxa"/>
            </w:tcMar>
            <w:vAlign w:val="center"/>
          </w:tcPr>
          <w:p w14:paraId="510D2EA9"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01C3E170"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52AC4992" w14:textId="77777777" w:rsidR="00852466" w:rsidRPr="002826AC" w:rsidRDefault="00852466">
            <w:pPr>
              <w:pStyle w:val="TableText0"/>
            </w:pPr>
          </w:p>
        </w:tc>
      </w:tr>
      <w:tr w:rsidR="00852466" w:rsidRPr="002826AC" w14:paraId="27DB1DEB" w14:textId="77777777">
        <w:tc>
          <w:tcPr>
            <w:tcW w:w="1315" w:type="dxa"/>
            <w:tcMar>
              <w:left w:w="40" w:type="dxa"/>
              <w:right w:w="40" w:type="dxa"/>
            </w:tcMar>
            <w:vAlign w:val="center"/>
          </w:tcPr>
          <w:p w14:paraId="33D41DE9" w14:textId="77777777" w:rsidR="00852466" w:rsidRPr="002826AC" w:rsidRDefault="00852466">
            <w:pPr>
              <w:pStyle w:val="TableText0"/>
            </w:pPr>
            <w:r w:rsidRPr="002826AC">
              <w:t>n/a</w:t>
            </w:r>
          </w:p>
        </w:tc>
        <w:tc>
          <w:tcPr>
            <w:tcW w:w="720" w:type="dxa"/>
            <w:tcMar>
              <w:left w:w="40" w:type="dxa"/>
              <w:right w:w="40" w:type="dxa"/>
            </w:tcMar>
            <w:vAlign w:val="center"/>
          </w:tcPr>
          <w:p w14:paraId="6B8C3E1F" w14:textId="77777777" w:rsidR="00852466" w:rsidRPr="002826AC" w:rsidRDefault="00852466">
            <w:pPr>
              <w:pStyle w:val="TableText0"/>
            </w:pPr>
            <w:r w:rsidRPr="002826AC">
              <w:t>ACT</w:t>
            </w:r>
          </w:p>
        </w:tc>
        <w:tc>
          <w:tcPr>
            <w:tcW w:w="960" w:type="dxa"/>
            <w:tcMar>
              <w:left w:w="40" w:type="dxa"/>
              <w:right w:w="40" w:type="dxa"/>
            </w:tcMar>
            <w:vAlign w:val="center"/>
          </w:tcPr>
          <w:p w14:paraId="7E381A3A" w14:textId="77777777" w:rsidR="00852466" w:rsidRPr="002826AC" w:rsidRDefault="00852466">
            <w:pPr>
              <w:pStyle w:val="TableText0"/>
            </w:pPr>
            <w:r w:rsidRPr="002826AC">
              <w:t>0.1</w:t>
            </w:r>
          </w:p>
        </w:tc>
        <w:tc>
          <w:tcPr>
            <w:tcW w:w="776" w:type="dxa"/>
            <w:tcMar>
              <w:left w:w="40" w:type="dxa"/>
              <w:right w:w="40" w:type="dxa"/>
            </w:tcMar>
            <w:vAlign w:val="center"/>
          </w:tcPr>
          <w:p w14:paraId="495323B9"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Pr="002B6DCA">
              <w:rPr>
                <w:color w:val="000000"/>
                <w:vertAlign w:val="superscript"/>
              </w:rPr>
              <w:t>1</w:t>
            </w:r>
          </w:p>
        </w:tc>
        <w:tc>
          <w:tcPr>
            <w:tcW w:w="807" w:type="dxa"/>
            <w:tcMar>
              <w:left w:w="40" w:type="dxa"/>
              <w:right w:w="40" w:type="dxa"/>
            </w:tcMar>
            <w:vAlign w:val="center"/>
          </w:tcPr>
          <w:p w14:paraId="158E4567"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937" w:type="dxa"/>
            <w:tcMar>
              <w:left w:w="40" w:type="dxa"/>
              <w:right w:w="40" w:type="dxa"/>
            </w:tcMar>
            <w:vAlign w:val="center"/>
          </w:tcPr>
          <w:p w14:paraId="0E09480E" w14:textId="77777777" w:rsidR="00852466" w:rsidRPr="002826AC" w:rsidRDefault="00852466">
            <w:pPr>
              <w:pStyle w:val="TableText0"/>
            </w:pPr>
            <w:r w:rsidRPr="002826AC">
              <w:t>-</w:t>
            </w:r>
          </w:p>
        </w:tc>
        <w:tc>
          <w:tcPr>
            <w:tcW w:w="1680" w:type="dxa"/>
            <w:tcMar>
              <w:left w:w="40" w:type="dxa"/>
              <w:right w:w="40" w:type="dxa"/>
            </w:tcMar>
            <w:vAlign w:val="center"/>
          </w:tcPr>
          <w:p w14:paraId="151DE714"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803" w:type="dxa"/>
            <w:tcMar>
              <w:left w:w="40" w:type="dxa"/>
              <w:right w:w="40" w:type="dxa"/>
            </w:tcMar>
            <w:vAlign w:val="center"/>
          </w:tcPr>
          <w:p w14:paraId="3736A144" w14:textId="77777777" w:rsidR="00852466" w:rsidRPr="00584653" w:rsidRDefault="0085246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Pr="002B6DCA">
              <w:rPr>
                <w:color w:val="000000"/>
                <w:vertAlign w:val="superscript"/>
              </w:rPr>
              <w:t>1</w:t>
            </w:r>
          </w:p>
        </w:tc>
        <w:tc>
          <w:tcPr>
            <w:tcW w:w="1019" w:type="dxa"/>
            <w:tcMar>
              <w:left w:w="40" w:type="dxa"/>
              <w:right w:w="40" w:type="dxa"/>
            </w:tcMar>
            <w:vAlign w:val="center"/>
          </w:tcPr>
          <w:p w14:paraId="45D56D9E" w14:textId="77777777" w:rsidR="00852466" w:rsidRPr="002826AC" w:rsidRDefault="00852466">
            <w:pPr>
              <w:pStyle w:val="TableText0"/>
            </w:pPr>
          </w:p>
        </w:tc>
      </w:tr>
      <w:tr w:rsidR="00852466" w:rsidRPr="002826AC" w14:paraId="351DA3AB" w14:textId="77777777">
        <w:tc>
          <w:tcPr>
            <w:tcW w:w="1315" w:type="dxa"/>
            <w:tcMar>
              <w:left w:w="40" w:type="dxa"/>
              <w:right w:w="40" w:type="dxa"/>
            </w:tcMar>
            <w:vAlign w:val="center"/>
          </w:tcPr>
          <w:p w14:paraId="1C1779D8" w14:textId="77777777" w:rsidR="00852466" w:rsidRPr="002826AC" w:rsidRDefault="00852466">
            <w:pPr>
              <w:pStyle w:val="TableText0"/>
            </w:pPr>
            <w:proofErr w:type="gramStart"/>
            <w:r w:rsidRPr="002826AC">
              <w:t>Sum total</w:t>
            </w:r>
            <w:proofErr w:type="gramEnd"/>
          </w:p>
        </w:tc>
        <w:tc>
          <w:tcPr>
            <w:tcW w:w="720" w:type="dxa"/>
            <w:tcMar>
              <w:left w:w="40" w:type="dxa"/>
              <w:right w:w="40" w:type="dxa"/>
            </w:tcMar>
            <w:vAlign w:val="center"/>
          </w:tcPr>
          <w:p w14:paraId="4BAA1328" w14:textId="77777777" w:rsidR="00852466" w:rsidRPr="002826AC" w:rsidRDefault="00852466">
            <w:pPr>
              <w:pStyle w:val="TableText0"/>
            </w:pPr>
          </w:p>
        </w:tc>
        <w:tc>
          <w:tcPr>
            <w:tcW w:w="960" w:type="dxa"/>
            <w:tcMar>
              <w:left w:w="40" w:type="dxa"/>
              <w:right w:w="40" w:type="dxa"/>
            </w:tcMar>
            <w:vAlign w:val="center"/>
          </w:tcPr>
          <w:p w14:paraId="56ADCE81" w14:textId="77777777" w:rsidR="00852466" w:rsidRPr="002826AC" w:rsidRDefault="00852466">
            <w:pPr>
              <w:pStyle w:val="TableText0"/>
            </w:pPr>
          </w:p>
        </w:tc>
        <w:tc>
          <w:tcPr>
            <w:tcW w:w="776" w:type="dxa"/>
            <w:tcMar>
              <w:left w:w="40" w:type="dxa"/>
              <w:right w:w="40" w:type="dxa"/>
            </w:tcMar>
            <w:vAlign w:val="center"/>
          </w:tcPr>
          <w:p w14:paraId="64D8170F" w14:textId="77777777" w:rsidR="00852466" w:rsidRPr="00584653" w:rsidRDefault="00852466">
            <w:pPr>
              <w:pStyle w:val="TableText0"/>
              <w:rPr>
                <w:highlight w:val="lightGray"/>
              </w:rPr>
            </w:pPr>
            <w:r w:rsidRPr="00B32F3B">
              <w:rPr>
                <w:spacing w:val="73"/>
                <w:w w:val="80"/>
                <w:shd w:val="solid" w:color="000000" w:fill="000000"/>
              </w:rPr>
              <w:t>|||</w:t>
            </w:r>
            <w:r w:rsidRPr="00B32F3B">
              <w:rPr>
                <w:spacing w:val="1"/>
                <w:w w:val="80"/>
                <w:shd w:val="solid" w:color="000000" w:fill="000000"/>
              </w:rPr>
              <w:t>|</w:t>
            </w:r>
            <w:r w:rsidRPr="002B6DCA">
              <w:rPr>
                <w:color w:val="000000"/>
                <w:vertAlign w:val="superscript"/>
              </w:rPr>
              <w:t>1</w:t>
            </w:r>
          </w:p>
        </w:tc>
        <w:tc>
          <w:tcPr>
            <w:tcW w:w="807" w:type="dxa"/>
            <w:tcMar>
              <w:left w:w="40" w:type="dxa"/>
              <w:right w:w="40" w:type="dxa"/>
            </w:tcMar>
            <w:vAlign w:val="center"/>
          </w:tcPr>
          <w:p w14:paraId="50F97F60" w14:textId="77777777" w:rsidR="00852466" w:rsidRPr="00584653" w:rsidRDefault="00852466">
            <w:pPr>
              <w:pStyle w:val="TableText0"/>
              <w:rPr>
                <w:highlight w:val="lightGray"/>
              </w:rPr>
            </w:pPr>
            <w:r w:rsidRPr="00B32F3B">
              <w:rPr>
                <w:spacing w:val="73"/>
                <w:w w:val="80"/>
                <w:shd w:val="solid" w:color="000000" w:fill="000000"/>
              </w:rPr>
              <w:t>|||</w:t>
            </w:r>
            <w:r w:rsidRPr="00B32F3B">
              <w:rPr>
                <w:spacing w:val="2"/>
                <w:w w:val="80"/>
                <w:shd w:val="solid" w:color="000000" w:fill="000000"/>
              </w:rPr>
              <w:t>|</w:t>
            </w:r>
            <w:r w:rsidRPr="002B6DCA">
              <w:rPr>
                <w:color w:val="000000"/>
                <w:vertAlign w:val="superscript"/>
              </w:rPr>
              <w:t>1</w:t>
            </w:r>
          </w:p>
        </w:tc>
        <w:tc>
          <w:tcPr>
            <w:tcW w:w="937" w:type="dxa"/>
            <w:tcMar>
              <w:left w:w="40" w:type="dxa"/>
              <w:right w:w="40" w:type="dxa"/>
            </w:tcMar>
            <w:vAlign w:val="center"/>
          </w:tcPr>
          <w:p w14:paraId="0E98796B" w14:textId="77777777" w:rsidR="00852466" w:rsidRPr="002826AC" w:rsidRDefault="00852466">
            <w:pPr>
              <w:pStyle w:val="TableText0"/>
            </w:pPr>
            <w:r w:rsidRPr="00B32F3B">
              <w:rPr>
                <w:spacing w:val="73"/>
                <w:w w:val="80"/>
                <w:shd w:val="solid" w:color="000000" w:fill="000000"/>
              </w:rPr>
              <w:t>|||</w:t>
            </w:r>
            <w:r w:rsidRPr="00B32F3B">
              <w:rPr>
                <w:spacing w:val="2"/>
                <w:w w:val="80"/>
                <w:shd w:val="solid" w:color="000000" w:fill="000000"/>
              </w:rPr>
              <w:t>|</w:t>
            </w:r>
            <w:r w:rsidRPr="002B6DCA">
              <w:rPr>
                <w:color w:val="000000"/>
                <w:vertAlign w:val="superscript"/>
              </w:rPr>
              <w:t>1</w:t>
            </w:r>
            <w:r w:rsidRPr="002826AC">
              <w:rPr>
                <w:color w:val="000000"/>
                <w:vertAlign w:val="superscript"/>
              </w:rPr>
              <w:t>a</w:t>
            </w:r>
          </w:p>
        </w:tc>
        <w:tc>
          <w:tcPr>
            <w:tcW w:w="1680" w:type="dxa"/>
            <w:tcMar>
              <w:left w:w="40" w:type="dxa"/>
              <w:right w:w="40" w:type="dxa"/>
            </w:tcMar>
            <w:vAlign w:val="center"/>
          </w:tcPr>
          <w:p w14:paraId="0A76B4CC" w14:textId="77777777" w:rsidR="00852466" w:rsidRPr="00584653" w:rsidRDefault="00852466">
            <w:pPr>
              <w:pStyle w:val="TableText0"/>
              <w:rPr>
                <w:highlight w:val="lightGray"/>
              </w:rPr>
            </w:pPr>
            <w:r w:rsidRPr="00B32F3B">
              <w:rPr>
                <w:spacing w:val="73"/>
                <w:w w:val="80"/>
                <w:shd w:val="solid" w:color="000000" w:fill="000000"/>
              </w:rPr>
              <w:t>|||</w:t>
            </w:r>
            <w:r w:rsidRPr="00B32F3B">
              <w:rPr>
                <w:spacing w:val="2"/>
                <w:w w:val="80"/>
                <w:shd w:val="solid" w:color="000000" w:fill="000000"/>
              </w:rPr>
              <w:t>|</w:t>
            </w:r>
            <w:r w:rsidRPr="002B6DCA">
              <w:rPr>
                <w:color w:val="000000"/>
                <w:vertAlign w:val="superscript"/>
              </w:rPr>
              <w:t>1</w:t>
            </w:r>
          </w:p>
        </w:tc>
        <w:tc>
          <w:tcPr>
            <w:tcW w:w="803" w:type="dxa"/>
            <w:tcMar>
              <w:left w:w="40" w:type="dxa"/>
              <w:right w:w="40" w:type="dxa"/>
            </w:tcMar>
            <w:vAlign w:val="center"/>
          </w:tcPr>
          <w:p w14:paraId="0702AF0F" w14:textId="77777777" w:rsidR="00852466" w:rsidRPr="00584653" w:rsidRDefault="00852466">
            <w:pPr>
              <w:pStyle w:val="TableText0"/>
              <w:rPr>
                <w:highlight w:val="lightGray"/>
              </w:rPr>
            </w:pPr>
            <w:r w:rsidRPr="00B32F3B">
              <w:rPr>
                <w:spacing w:val="73"/>
                <w:w w:val="80"/>
                <w:shd w:val="solid" w:color="000000" w:fill="000000"/>
              </w:rPr>
              <w:t>|||</w:t>
            </w:r>
            <w:r w:rsidRPr="00B32F3B">
              <w:rPr>
                <w:spacing w:val="1"/>
                <w:w w:val="80"/>
                <w:shd w:val="solid" w:color="000000" w:fill="000000"/>
              </w:rPr>
              <w:t>|</w:t>
            </w:r>
            <w:r w:rsidRPr="002B6DCA">
              <w:rPr>
                <w:color w:val="000000"/>
                <w:vertAlign w:val="superscript"/>
              </w:rPr>
              <w:t>1</w:t>
            </w:r>
          </w:p>
        </w:tc>
        <w:tc>
          <w:tcPr>
            <w:tcW w:w="1019" w:type="dxa"/>
            <w:tcMar>
              <w:left w:w="40" w:type="dxa"/>
              <w:right w:w="40" w:type="dxa"/>
            </w:tcMar>
            <w:vAlign w:val="center"/>
          </w:tcPr>
          <w:p w14:paraId="0D0287BA" w14:textId="77777777" w:rsidR="00852466" w:rsidRPr="002826AC" w:rsidRDefault="00852466">
            <w:pPr>
              <w:pStyle w:val="TableText0"/>
            </w:pPr>
            <w:r w:rsidRPr="00B32F3B">
              <w:rPr>
                <w:spacing w:val="73"/>
                <w:w w:val="80"/>
                <w:shd w:val="solid" w:color="000000" w:fill="000000"/>
              </w:rPr>
              <w:t>|||</w:t>
            </w:r>
            <w:r w:rsidRPr="00B32F3B">
              <w:rPr>
                <w:spacing w:val="1"/>
                <w:w w:val="80"/>
                <w:shd w:val="solid" w:color="000000" w:fill="000000"/>
              </w:rPr>
              <w:t>|</w:t>
            </w:r>
            <w:r w:rsidRPr="002B6DCA">
              <w:rPr>
                <w:color w:val="000000"/>
                <w:vertAlign w:val="superscript"/>
              </w:rPr>
              <w:t>1</w:t>
            </w:r>
            <w:r w:rsidRPr="002826AC">
              <w:rPr>
                <w:color w:val="000000"/>
                <w:vertAlign w:val="superscript"/>
              </w:rPr>
              <w:t>b</w:t>
            </w:r>
          </w:p>
        </w:tc>
      </w:tr>
      <w:tr w:rsidR="00852466" w:rsidRPr="002826AC" w14:paraId="29F99539" w14:textId="77777777">
        <w:tc>
          <w:tcPr>
            <w:tcW w:w="1315" w:type="dxa"/>
            <w:tcMar>
              <w:left w:w="40" w:type="dxa"/>
              <w:right w:w="40" w:type="dxa"/>
            </w:tcMar>
            <w:vAlign w:val="center"/>
          </w:tcPr>
          <w:p w14:paraId="4D1C9A55" w14:textId="77777777" w:rsidR="00852466" w:rsidRPr="002826AC" w:rsidRDefault="00852466">
            <w:pPr>
              <w:pStyle w:val="TableText0"/>
            </w:pPr>
            <w:r w:rsidRPr="002826AC">
              <w:t>Total</w:t>
            </w:r>
          </w:p>
        </w:tc>
        <w:tc>
          <w:tcPr>
            <w:tcW w:w="720" w:type="dxa"/>
            <w:tcMar>
              <w:left w:w="40" w:type="dxa"/>
              <w:right w:w="40" w:type="dxa"/>
            </w:tcMar>
            <w:vAlign w:val="center"/>
          </w:tcPr>
          <w:p w14:paraId="5D598618" w14:textId="77777777" w:rsidR="00852466" w:rsidRPr="002826AC" w:rsidRDefault="00852466">
            <w:pPr>
              <w:pStyle w:val="TableText0"/>
            </w:pPr>
          </w:p>
        </w:tc>
        <w:tc>
          <w:tcPr>
            <w:tcW w:w="960" w:type="dxa"/>
            <w:tcMar>
              <w:left w:w="40" w:type="dxa"/>
              <w:right w:w="40" w:type="dxa"/>
            </w:tcMar>
            <w:vAlign w:val="center"/>
          </w:tcPr>
          <w:p w14:paraId="4E7A310B" w14:textId="77777777" w:rsidR="00852466" w:rsidRPr="002826AC" w:rsidRDefault="00852466">
            <w:pPr>
              <w:pStyle w:val="TableText0"/>
            </w:pPr>
          </w:p>
        </w:tc>
        <w:tc>
          <w:tcPr>
            <w:tcW w:w="776" w:type="dxa"/>
            <w:tcMar>
              <w:left w:w="40" w:type="dxa"/>
              <w:right w:w="40" w:type="dxa"/>
            </w:tcMar>
            <w:vAlign w:val="center"/>
          </w:tcPr>
          <w:p w14:paraId="40B8432B" w14:textId="77777777" w:rsidR="00852466" w:rsidRPr="002826AC" w:rsidRDefault="00852466">
            <w:pPr>
              <w:pStyle w:val="TableText0"/>
            </w:pPr>
          </w:p>
        </w:tc>
        <w:tc>
          <w:tcPr>
            <w:tcW w:w="807" w:type="dxa"/>
            <w:tcMar>
              <w:left w:w="40" w:type="dxa"/>
              <w:right w:w="40" w:type="dxa"/>
            </w:tcMar>
            <w:vAlign w:val="center"/>
          </w:tcPr>
          <w:p w14:paraId="77F5B018" w14:textId="77777777" w:rsidR="00852466" w:rsidRPr="002826AC" w:rsidRDefault="00852466">
            <w:pPr>
              <w:pStyle w:val="TableText0"/>
            </w:pPr>
          </w:p>
        </w:tc>
        <w:tc>
          <w:tcPr>
            <w:tcW w:w="937" w:type="dxa"/>
            <w:tcMar>
              <w:left w:w="40" w:type="dxa"/>
              <w:right w:w="40" w:type="dxa"/>
            </w:tcMar>
            <w:vAlign w:val="center"/>
          </w:tcPr>
          <w:p w14:paraId="27718301" w14:textId="77777777" w:rsidR="00852466" w:rsidRPr="002826AC" w:rsidRDefault="00852466">
            <w:pPr>
              <w:pStyle w:val="TableText0"/>
            </w:pPr>
          </w:p>
        </w:tc>
        <w:tc>
          <w:tcPr>
            <w:tcW w:w="1680" w:type="dxa"/>
            <w:tcMar>
              <w:left w:w="40" w:type="dxa"/>
              <w:right w:w="40" w:type="dxa"/>
            </w:tcMar>
            <w:vAlign w:val="center"/>
          </w:tcPr>
          <w:p w14:paraId="48BB819F" w14:textId="77777777" w:rsidR="00852466" w:rsidRPr="002826AC" w:rsidRDefault="00852466">
            <w:pPr>
              <w:pStyle w:val="TableText0"/>
            </w:pPr>
          </w:p>
        </w:tc>
        <w:tc>
          <w:tcPr>
            <w:tcW w:w="803" w:type="dxa"/>
            <w:tcMar>
              <w:left w:w="40" w:type="dxa"/>
              <w:right w:w="40" w:type="dxa"/>
            </w:tcMar>
            <w:vAlign w:val="center"/>
          </w:tcPr>
          <w:p w14:paraId="5C689CCF" w14:textId="77777777" w:rsidR="00852466" w:rsidRPr="002826AC" w:rsidRDefault="00852466">
            <w:pPr>
              <w:pStyle w:val="TableText0"/>
            </w:pPr>
          </w:p>
        </w:tc>
        <w:tc>
          <w:tcPr>
            <w:tcW w:w="1019" w:type="dxa"/>
            <w:tcMar>
              <w:left w:w="40" w:type="dxa"/>
              <w:right w:w="40" w:type="dxa"/>
            </w:tcMar>
            <w:vAlign w:val="center"/>
          </w:tcPr>
          <w:p w14:paraId="34548831" w14:textId="77777777" w:rsidR="00852466" w:rsidRPr="002826AC" w:rsidRDefault="00852466">
            <w:pPr>
              <w:pStyle w:val="TableText0"/>
              <w:rPr>
                <w:vertAlign w:val="superscript"/>
              </w:rPr>
            </w:pPr>
            <w:r w:rsidRPr="00B32F3B">
              <w:rPr>
                <w:spacing w:val="73"/>
                <w:w w:val="80"/>
                <w:shd w:val="solid" w:color="000000" w:fill="000000"/>
              </w:rPr>
              <w:t>|||</w:t>
            </w:r>
            <w:r w:rsidRPr="00B32F3B">
              <w:rPr>
                <w:spacing w:val="1"/>
                <w:w w:val="80"/>
                <w:shd w:val="solid" w:color="000000" w:fill="000000"/>
              </w:rPr>
              <w:t>|</w:t>
            </w:r>
            <w:r w:rsidRPr="002B6DCA">
              <w:rPr>
                <w:rFonts w:cs="Calibri"/>
                <w:color w:val="000000"/>
                <w:vertAlign w:val="superscript"/>
              </w:rPr>
              <w:t>1</w:t>
            </w:r>
            <w:r w:rsidRPr="002826AC">
              <w:rPr>
                <w:vertAlign w:val="superscript"/>
              </w:rPr>
              <w:t>c</w:t>
            </w:r>
          </w:p>
        </w:tc>
      </w:tr>
    </w:tbl>
    <w:p w14:paraId="66DE61E1" w14:textId="77777777" w:rsidR="00852466" w:rsidRPr="002826AC" w:rsidRDefault="00852466" w:rsidP="00852466">
      <w:pPr>
        <w:pStyle w:val="TableFigureFooter"/>
      </w:pPr>
      <w:r w:rsidRPr="002826AC">
        <w:t xml:space="preserve">Source: Attachment 5 ADA </w:t>
      </w:r>
      <w:proofErr w:type="spellStart"/>
      <w:r w:rsidRPr="002826AC">
        <w:t>Paed</w:t>
      </w:r>
      <w:proofErr w:type="spellEnd"/>
      <w:r w:rsidRPr="002826AC">
        <w:t xml:space="preserve"> IMID patient estimates</w:t>
      </w:r>
    </w:p>
    <w:p w14:paraId="7C5DDB16" w14:textId="77777777" w:rsidR="00852466" w:rsidRPr="002826AC" w:rsidRDefault="00852466" w:rsidP="00852466">
      <w:pPr>
        <w:pStyle w:val="TableFigureFooter"/>
      </w:pPr>
      <w:r w:rsidRPr="002826AC">
        <w:t xml:space="preserve">ACT: Australian Capital Territory; CD: Crohn disease; Gastro: gastroenterology; IBD: inflammatory bowel disease; n/a: not applicable; NSW: New South Wales; NT: Northern Territory; </w:t>
      </w:r>
      <w:proofErr w:type="spellStart"/>
      <w:r w:rsidRPr="002826AC">
        <w:t>PsO</w:t>
      </w:r>
      <w:proofErr w:type="spellEnd"/>
      <w:r w:rsidRPr="002826AC">
        <w:t>: psoriasis; QLD: Queensland; RCH: The Royal Children’s Hospital; SA: South Australia; SCH: Sydney Children’s Hospital; TAS: Tasmania; TCH: The Children’s Hospital; UC: ulcerative colitis; VIC: Victoria; WA: Western Australia</w:t>
      </w:r>
    </w:p>
    <w:p w14:paraId="37AADFD7" w14:textId="77777777" w:rsidR="00852466" w:rsidRPr="002826AC" w:rsidRDefault="00852466" w:rsidP="00852466">
      <w:pPr>
        <w:pStyle w:val="TableFigureFooter"/>
        <w:rPr>
          <w:szCs w:val="18"/>
        </w:rPr>
      </w:pPr>
      <w:proofErr w:type="spellStart"/>
      <w:r w:rsidRPr="002826AC">
        <w:rPr>
          <w:szCs w:val="18"/>
          <w:vertAlign w:val="superscript"/>
        </w:rPr>
        <w:t>a</w:t>
      </w:r>
      <w:proofErr w:type="spellEnd"/>
      <w:r w:rsidRPr="002826AC">
        <w:rPr>
          <w:szCs w:val="18"/>
          <w:vertAlign w:val="superscript"/>
        </w:rPr>
        <w:t xml:space="preserve"> </w:t>
      </w:r>
      <w:r w:rsidRPr="002826AC">
        <w:rPr>
          <w:szCs w:val="18"/>
        </w:rPr>
        <w:t>For IBD patients, it is anticipated that the proposed restriction criteria will not expand the eligible population (aside from a small number of patients &lt; 6 years old), rather will be used to treat high-risk patients earlier in their disease course, without the need to fail systemic immunosuppressants first. Therefore, this estimate is based on approximately 10% of the existing utilisation in across both CD and UC, and will be essentially cost neutral as these patients will access treatment via the IMID restriction, rather than via the existing CD or UC restrictions.</w:t>
      </w:r>
    </w:p>
    <w:p w14:paraId="315A16E5" w14:textId="77777777" w:rsidR="00852466" w:rsidRPr="002826AC" w:rsidRDefault="00852466" w:rsidP="00852466">
      <w:pPr>
        <w:pStyle w:val="TableFigureFooter"/>
        <w:rPr>
          <w:szCs w:val="18"/>
        </w:rPr>
      </w:pPr>
      <w:r w:rsidRPr="002826AC">
        <w:rPr>
          <w:szCs w:val="18"/>
          <w:vertAlign w:val="superscript"/>
        </w:rPr>
        <w:t xml:space="preserve">b </w:t>
      </w:r>
      <w:r w:rsidRPr="002826AC">
        <w:rPr>
          <w:szCs w:val="18"/>
        </w:rPr>
        <w:t>Expert opinion has indicated that their estimates are inclusive of existing compassionate supply patients therefore this has been factored into overall estimates.</w:t>
      </w:r>
    </w:p>
    <w:p w14:paraId="682D1639" w14:textId="77777777" w:rsidR="00852466" w:rsidRDefault="00852466" w:rsidP="00852466">
      <w:pPr>
        <w:pStyle w:val="TableFigureFooter"/>
        <w:rPr>
          <w:szCs w:val="18"/>
        </w:rPr>
      </w:pPr>
      <w:r w:rsidRPr="002826AC">
        <w:rPr>
          <w:szCs w:val="18"/>
          <w:vertAlign w:val="superscript"/>
        </w:rPr>
        <w:t xml:space="preserve">c </w:t>
      </w:r>
      <w:r w:rsidRPr="002826AC">
        <w:rPr>
          <w:szCs w:val="18"/>
        </w:rPr>
        <w:t xml:space="preserve">The submission provided a total of </w:t>
      </w:r>
      <w:r>
        <w:rPr>
          <w:szCs w:val="18"/>
        </w:rPr>
        <w:t>&lt;500</w:t>
      </w:r>
      <w:r w:rsidRPr="002826AC">
        <w:rPr>
          <w:szCs w:val="18"/>
        </w:rPr>
        <w:t xml:space="preserve"> patients. This has been updated to </w:t>
      </w:r>
      <w:r>
        <w:rPr>
          <w:szCs w:val="18"/>
        </w:rPr>
        <w:t>&lt;500</w:t>
      </w:r>
      <w:r w:rsidRPr="002826AC">
        <w:rPr>
          <w:szCs w:val="18"/>
        </w:rPr>
        <w:t xml:space="preserve"> to reflect the patient numbers provided for the different conditions. Excludes estimated number of patients in the grandfather category</w:t>
      </w:r>
    </w:p>
    <w:p w14:paraId="24BA6A0A" w14:textId="77777777" w:rsidR="00852466" w:rsidRPr="00611B5D" w:rsidRDefault="00852466" w:rsidP="00852466">
      <w:pPr>
        <w:pStyle w:val="TableFigureFooter"/>
        <w:rPr>
          <w:i/>
          <w:szCs w:val="18"/>
        </w:rPr>
      </w:pPr>
      <w:r w:rsidRPr="00611B5D">
        <w:rPr>
          <w:i/>
          <w:szCs w:val="18"/>
        </w:rPr>
        <w:t>The redacted values correspond to the following ranges:</w:t>
      </w:r>
    </w:p>
    <w:p w14:paraId="1E82D99A" w14:textId="77777777" w:rsidR="00852466" w:rsidRPr="002826AC" w:rsidRDefault="00852466" w:rsidP="00852466">
      <w:pPr>
        <w:pStyle w:val="TableFigureFooter"/>
      </w:pPr>
      <w:r w:rsidRPr="00611B5D">
        <w:rPr>
          <w:i/>
          <w:szCs w:val="18"/>
          <w:vertAlign w:val="superscript"/>
        </w:rPr>
        <w:t>1</w:t>
      </w:r>
      <w:r>
        <w:rPr>
          <w:i/>
          <w:szCs w:val="18"/>
          <w:vertAlign w:val="superscript"/>
        </w:rPr>
        <w:t xml:space="preserve"> </w:t>
      </w:r>
      <w:r w:rsidRPr="00611B5D">
        <w:rPr>
          <w:i/>
          <w:szCs w:val="18"/>
        </w:rPr>
        <w:t>&lt;</w:t>
      </w:r>
      <w:r>
        <w:rPr>
          <w:i/>
          <w:szCs w:val="18"/>
        </w:rPr>
        <w:t>5</w:t>
      </w:r>
      <w:r w:rsidRPr="00611B5D">
        <w:rPr>
          <w:i/>
          <w:szCs w:val="18"/>
        </w:rPr>
        <w:t>00</w:t>
      </w:r>
    </w:p>
    <w:p w14:paraId="1CE2A5DD" w14:textId="77777777" w:rsidR="00852466" w:rsidRPr="002826AC" w:rsidRDefault="00852466" w:rsidP="00852466">
      <w:pPr>
        <w:pStyle w:val="3-BodyText"/>
        <w:numPr>
          <w:ilvl w:val="1"/>
          <w:numId w:val="2"/>
        </w:numPr>
        <w:spacing w:before="120"/>
      </w:pPr>
      <w:r w:rsidRPr="002826AC">
        <w:t>The submission stated that as the assessment of treatment eligibility is individualised and based on clinician judgement, the estimated number of patients who would be treated under the proposed restrictions was informed by expert opinion based on their current patient population.</w:t>
      </w:r>
      <w:r w:rsidRPr="002826AC">
        <w:rPr>
          <w:i/>
          <w:iCs/>
        </w:rPr>
        <w:t xml:space="preserve"> </w:t>
      </w:r>
      <w:r w:rsidRPr="002826AC">
        <w:t>The estimates are informed by expert clinical opinion and may not account for differences in individual prescribing practices. Furthermore, as the requested listing involves subjective assessment from individual prescribers. The number of patients accessing adalimumab through the requested listing could be higher than estimated.</w:t>
      </w:r>
    </w:p>
    <w:p w14:paraId="3E01DC9D" w14:textId="77777777" w:rsidR="00852466" w:rsidRPr="002826AC" w:rsidRDefault="00852466" w:rsidP="00852466">
      <w:pPr>
        <w:pStyle w:val="3-BodyText"/>
        <w:numPr>
          <w:ilvl w:val="1"/>
          <w:numId w:val="2"/>
        </w:numPr>
        <w:spacing w:before="120"/>
      </w:pPr>
      <w:r w:rsidRPr="002826AC">
        <w:t>The PSCR argued that the estimated patient numbers provided the best approximation given the lack of Australian epidemiological and registry data for paediatric patients. It stated that clinicians working in both public and private practice, and in metropolitan and regional services, were asked to provide estimates of patient numbers. It stated that the number of paediatric specialists and paediatric hospitals in Australia is small and variability in evidence-based prescribing was minimal.</w:t>
      </w:r>
    </w:p>
    <w:p w14:paraId="687937E4" w14:textId="77777777" w:rsidR="00852466" w:rsidRPr="002826AC" w:rsidRDefault="00852466" w:rsidP="00852466">
      <w:pPr>
        <w:pStyle w:val="3-BodyText"/>
        <w:numPr>
          <w:ilvl w:val="1"/>
          <w:numId w:val="2"/>
        </w:numPr>
        <w:spacing w:before="120"/>
      </w:pPr>
      <w:r w:rsidRPr="002826AC">
        <w:t>It was considered that for the rarer auto-inflammatory diseases the number of patients is low and as such the potential utilisation may be slightly overestimated due to the numerical rounding of estimates for less</w:t>
      </w:r>
      <w:r w:rsidRPr="002826AC">
        <w:noBreakHyphen/>
        <w:t>populated states and territories.</w:t>
      </w:r>
    </w:p>
    <w:p w14:paraId="0D622343" w14:textId="77777777" w:rsidR="00852466" w:rsidRDefault="00852466" w:rsidP="00852466">
      <w:pPr>
        <w:pStyle w:val="3-BodyText"/>
        <w:numPr>
          <w:ilvl w:val="1"/>
          <w:numId w:val="2"/>
        </w:numPr>
        <w:spacing w:before="120"/>
      </w:pPr>
      <w:r w:rsidRPr="002826AC">
        <w:t>The submission stated that following the initial period of higher uptake driven by the prevalent patient population, the number of incident patients could be reasonably expected to decrease over subsequent years before stabilising.</w:t>
      </w:r>
    </w:p>
    <w:p w14:paraId="08EF775E" w14:textId="77777777" w:rsidR="00852466" w:rsidRPr="002826AC" w:rsidRDefault="00852466" w:rsidP="00852466">
      <w:pPr>
        <w:pStyle w:val="3-BodyText"/>
        <w:numPr>
          <w:ilvl w:val="1"/>
          <w:numId w:val="2"/>
        </w:numPr>
        <w:spacing w:before="120"/>
      </w:pPr>
      <w:r w:rsidRPr="002826AC">
        <w:t>The estimated number of patients accessing Humira through the grandfather listing was based on the number of patients currently receiving compassionate access to Humira on a continuing basis across all indications. The submission stated they were not aware of any other programs supplying adalimumab to paediatric patients on compassionate access programs.</w:t>
      </w:r>
    </w:p>
    <w:p w14:paraId="65C30333" w14:textId="77777777" w:rsidR="00852466" w:rsidRPr="002826AC" w:rsidRDefault="00852466" w:rsidP="00852466">
      <w:pPr>
        <w:pStyle w:val="3-BodyText"/>
        <w:numPr>
          <w:ilvl w:val="1"/>
          <w:numId w:val="2"/>
        </w:numPr>
        <w:spacing w:before="120"/>
        <w:rPr>
          <w:b/>
          <w:bCs/>
          <w:color w:val="0066FF"/>
        </w:rPr>
      </w:pPr>
      <w:r w:rsidRPr="002826AC">
        <w:t>The submission estimated the number of patients treated for rarer inflammatory diseases (outlined in paragraph 4.4) is low, with fewer than 5 patients across all conditions reviewed each year at the major children’s hospitals.</w:t>
      </w:r>
    </w:p>
    <w:p w14:paraId="055EA242" w14:textId="77777777" w:rsidR="00852466" w:rsidRPr="002826AC" w:rsidRDefault="00852466" w:rsidP="00852466">
      <w:pPr>
        <w:pStyle w:val="3-BodyText"/>
        <w:numPr>
          <w:ilvl w:val="1"/>
          <w:numId w:val="2"/>
        </w:numPr>
        <w:spacing w:before="120"/>
        <w:rPr>
          <w:rFonts w:eastAsia="Calibri"/>
        </w:rPr>
      </w:pPr>
      <w:r w:rsidRPr="002826AC">
        <w:t>The ESC noted there was a lack of information on potential impact on use of adalimumab if paediatric patients currently accessing other PBS-listed bDMARDs do not meet the response or other criteria for these listings, and subsequently access adalimumab through the requested listing. The PSCR stated it was not the intent of the requested listing to allow patients who access and subsequently fail to respond to another PBS-subsidised biological treatment for an IMID to then access adalimumab through the requested listing (see paragraph 3.5).</w:t>
      </w:r>
    </w:p>
    <w:p w14:paraId="1A837294" w14:textId="77777777" w:rsidR="00852466" w:rsidRPr="002826AC" w:rsidRDefault="00852466" w:rsidP="00852466">
      <w:pPr>
        <w:pStyle w:val="3-BodyText"/>
        <w:numPr>
          <w:ilvl w:val="1"/>
          <w:numId w:val="2"/>
        </w:numPr>
        <w:spacing w:before="120"/>
      </w:pPr>
      <w:r w:rsidRPr="002826AC">
        <w:t>The submission claimed that any budget impact would be minimal due to the small number of patients relative to the current reimbursed populations in both paediatric and adult patients. However, regardless of the relative cost, the financial impact of the proposed change needs to be considered. The submission further claimed any costs would be outweighed by the potential benefits of treating these patients and alleviating the burden of disease for these patients and their families. This has not been modelled through an economic evaluation.</w:t>
      </w:r>
    </w:p>
    <w:p w14:paraId="3FCF5EDF" w14:textId="77777777" w:rsidR="00852466" w:rsidRDefault="00852466" w:rsidP="00852466">
      <w:pPr>
        <w:pStyle w:val="3-BodyText"/>
        <w:numPr>
          <w:ilvl w:val="1"/>
          <w:numId w:val="2"/>
        </w:numPr>
        <w:spacing w:before="120"/>
      </w:pPr>
      <w:r w:rsidRPr="002826AC">
        <w:t>The ESC considered the utilisation and financial estimates presented in this submission were complex and uncertain. For conditions where there is already a listed indication, the numbers are likely to be reasonable estimates. However, the proposed listing allows substantial clinician discretion which makes estimates of uptake difficult to predict. For conditions outside of these listed indications, there is a high level of uncertainty due to a limited and uncertain evidence base. However, in a paediatric population, deviation from the financial and utilisation estimates is likely to be relatively small.</w:t>
      </w:r>
    </w:p>
    <w:p w14:paraId="11777951" w14:textId="77777777" w:rsidR="00852466" w:rsidRDefault="00852466" w:rsidP="00852466">
      <w:pPr>
        <w:pStyle w:val="3-BodyText"/>
        <w:numPr>
          <w:ilvl w:val="1"/>
          <w:numId w:val="2"/>
        </w:numPr>
        <w:spacing w:before="120"/>
        <w:rPr>
          <w:i/>
          <w:iCs/>
        </w:rPr>
      </w:pPr>
      <w:r w:rsidRPr="002826AC">
        <w:t xml:space="preserve">The submission claimed that the Humira brand of adalimumab, at its current price, is more cost-effective than when it was first PBS-listed for patients with juvenile idiopathic arthritis, with a </w:t>
      </w:r>
      <w:r w:rsidRPr="00D62454">
        <w:t>48</w:t>
      </w:r>
      <w:r w:rsidRPr="002826AC">
        <w:t>% reduction in the effective approved ex-manufacturer price (AEMP) due to statutory price reductions. The submission stated that the reduction in price is expected to continue due to price disclosure, thereby increasing the cost-effectiveness of increased access, and that with the lower price adalimumab is likely to be cost-effective in the requested expanded populations.</w:t>
      </w:r>
    </w:p>
    <w:p w14:paraId="2F75C5E9" w14:textId="77777777" w:rsidR="00852466" w:rsidRDefault="00852466" w:rsidP="00852466">
      <w:pPr>
        <w:pStyle w:val="3-BodyText"/>
        <w:numPr>
          <w:ilvl w:val="1"/>
          <w:numId w:val="2"/>
        </w:numPr>
        <w:spacing w:before="120"/>
      </w:pPr>
      <w:r w:rsidRPr="002826AC">
        <w:t>The proposed listing may include a patient population with less severe disease, or who have received fewer prior treatments for their condition, compared to the current PBS-listed indications for adalimumab. While the likelihood of cost-effectiveness increases with decreasing prices, the cost-effective price of adalimumab  has not been established in these patient groups.</w:t>
      </w:r>
    </w:p>
    <w:p w14:paraId="543638EF" w14:textId="77777777" w:rsidR="00852466" w:rsidRPr="002826AC" w:rsidRDefault="00852466" w:rsidP="00852466">
      <w:pPr>
        <w:pStyle w:val="3-BodyText"/>
        <w:numPr>
          <w:ilvl w:val="1"/>
          <w:numId w:val="2"/>
        </w:numPr>
        <w:spacing w:before="120"/>
        <w:rPr>
          <w:rFonts w:eastAsia="Calibri"/>
        </w:rPr>
      </w:pPr>
      <w:bookmarkStart w:id="1" w:name="_Hlk103934877"/>
      <w:r w:rsidRPr="002826AC">
        <w:rPr>
          <w:rFonts w:eastAsia="Calibri"/>
        </w:rPr>
        <w:t xml:space="preserve">The PSCR argued that the requested listing would not include patients with less severe diseases, but would allow children with aggressive, severe disease to receive treatment with adalimumab earlier in their disease course to prevent disease progression and limit long term disability and psychological impact. It argued that </w:t>
      </w:r>
      <w:r w:rsidRPr="002826AC">
        <w:t>this is a small, but critical, group of patients that paediatric specialists can identify through an overall assessment of their current disease course, biomarkers, pathophysiological features and through the individual prescriber’s experience and judgement.</w:t>
      </w:r>
      <w:r w:rsidRPr="002826AC">
        <w:rPr>
          <w:rFonts w:eastAsia="Calibri"/>
        </w:rPr>
        <w:t xml:space="preserve"> The PSCR stated that </w:t>
      </w:r>
      <w:proofErr w:type="gramStart"/>
      <w:r w:rsidRPr="002826AC">
        <w:rPr>
          <w:rFonts w:eastAsia="Calibri"/>
        </w:rPr>
        <w:t>the majority of</w:t>
      </w:r>
      <w:proofErr w:type="gramEnd"/>
      <w:r w:rsidRPr="002826AC">
        <w:rPr>
          <w:rFonts w:eastAsia="Calibri"/>
        </w:rPr>
        <w:t xml:space="preserve"> clinicians who would prescribe adalimumab under the requested restriction would be experienced in the management of paediatric IMIDs. It argued that it would be unlikely that prescribers would choose to use adalimumab in patients whose disease severity and/or impact on quality of life was not severe enough to warrant the benefit-risk profile of adalimumab, nor would they be likely to continue treatment if the patient was not receiving benefit.</w:t>
      </w:r>
    </w:p>
    <w:p w14:paraId="3F3318FE" w14:textId="77777777" w:rsidR="00852466" w:rsidRPr="004116EF" w:rsidRDefault="00852466" w:rsidP="00852466">
      <w:pPr>
        <w:pStyle w:val="3-BodyText"/>
        <w:numPr>
          <w:ilvl w:val="1"/>
          <w:numId w:val="2"/>
        </w:numPr>
        <w:spacing w:before="120"/>
        <w:rPr>
          <w:rFonts w:eastAsia="Calibri"/>
        </w:rPr>
      </w:pPr>
      <w:r w:rsidRPr="002826AC">
        <w:rPr>
          <w:rFonts w:eastAsia="Calibri"/>
        </w:rPr>
        <w:t xml:space="preserve">The PSCR stated that while the cost-effective price of adalimumab had not been formally established in these patient groups, it requested the PBAC consider the </w:t>
      </w:r>
      <w:r w:rsidRPr="00D62454">
        <w:rPr>
          <w:rFonts w:eastAsia="Calibri"/>
        </w:rPr>
        <w:t>48</w:t>
      </w:r>
      <w:r w:rsidRPr="002826AC">
        <w:rPr>
          <w:rFonts w:eastAsia="Calibri"/>
        </w:rPr>
        <w:t xml:space="preserve">% reduction in AEMP for Humira and the further </w:t>
      </w:r>
      <w:r w:rsidRPr="00D62454">
        <w:rPr>
          <w:rFonts w:eastAsia="Calibri"/>
        </w:rPr>
        <w:t>18.25</w:t>
      </w:r>
      <w:r w:rsidRPr="002826AC">
        <w:rPr>
          <w:rFonts w:eastAsia="Calibri"/>
        </w:rPr>
        <w:t>% price reduction occurring in April 2024. It reiterated its claim that at the reduced price Humira is a cost-effective treatment.</w:t>
      </w:r>
    </w:p>
    <w:p w14:paraId="26529EE4" w14:textId="77777777" w:rsidR="00852466" w:rsidRPr="002826AC" w:rsidRDefault="00852466" w:rsidP="00852466">
      <w:pPr>
        <w:contextualSpacing/>
        <w:rPr>
          <w:rFonts w:eastAsia="Calibri"/>
          <w:szCs w:val="22"/>
        </w:rPr>
      </w:pPr>
      <w:r w:rsidRPr="002826AC">
        <w:rPr>
          <w:rFonts w:eastAsia="Calibri"/>
          <w:szCs w:val="22"/>
        </w:rPr>
        <w:tab/>
      </w:r>
      <w:r w:rsidRPr="002826AC">
        <w:rPr>
          <w:rFonts w:eastAsia="Calibri"/>
          <w:i/>
          <w:szCs w:val="22"/>
        </w:rPr>
        <w:t>For more detail on PBAC’s view, see section 7 PBAC outcome.</w:t>
      </w:r>
    </w:p>
    <w:p w14:paraId="4AA669C5" w14:textId="77777777" w:rsidR="00852466" w:rsidRPr="002826AC" w:rsidRDefault="00852466" w:rsidP="00852466">
      <w:pPr>
        <w:pStyle w:val="2-SectionHeading"/>
        <w:numPr>
          <w:ilvl w:val="0"/>
          <w:numId w:val="2"/>
        </w:numPr>
      </w:pPr>
      <w:bookmarkStart w:id="2" w:name="_Hlk76381249"/>
      <w:r w:rsidRPr="002826AC">
        <w:t>PBAC Outcome</w:t>
      </w:r>
    </w:p>
    <w:p w14:paraId="6D347558" w14:textId="77777777" w:rsidR="00852466" w:rsidRPr="00EE4E0D"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The PBAC deferred making a recommendation to list adalimumab (Humira) on the PBS as a General Schedule Authority Required (STREAMLINED) listing for the treatment of IMIDs in paediatric patients to allow further consultation with relevant clinical groups.</w:t>
      </w:r>
    </w:p>
    <w:p w14:paraId="10869573" w14:textId="77777777" w:rsidR="00852466" w:rsidRPr="00EE4E0D"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The PBAC noted the recommendations from the Inquiry into childhood rheumatic diseases: Interim report and consumer comments supporting increased access to adalimumab through the PBS for paediatric conditions. The PBAC acknowledged the importance of access to adalimumab through the PBS for conditions in which there is evidence for its use.</w:t>
      </w:r>
    </w:p>
    <w:p w14:paraId="16202696" w14:textId="77777777" w:rsidR="00852466"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The PBAC noted that the submission covered situations where there was no PBS listing for a particular IMID, and situations where adalimumab was listed on the PBS for a condition, but the clinical criteria may not be suitable for paediatric presentations of the disease.</w:t>
      </w:r>
    </w:p>
    <w:p w14:paraId="6A74F8BE" w14:textId="77777777" w:rsidR="00852466" w:rsidRPr="00EE4E0D"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 xml:space="preserve">The PBAC noted that IMID was not a condition on its own, and the requested listing </w:t>
      </w:r>
      <w:r>
        <w:rPr>
          <w:rFonts w:asciiTheme="minorHAnsi" w:hAnsiTheme="minorHAnsi"/>
          <w:snapToGrid w:val="0"/>
        </w:rPr>
        <w:t>encompassed some</w:t>
      </w:r>
      <w:r w:rsidRPr="00EE4E0D">
        <w:rPr>
          <w:rFonts w:asciiTheme="minorHAnsi" w:hAnsiTheme="minorHAnsi"/>
          <w:snapToGrid w:val="0"/>
        </w:rPr>
        <w:t xml:space="preserve"> conditions where adalimumab was TGA registered and there was evidence available for the efficacy of adalimumab, and </w:t>
      </w:r>
      <w:r>
        <w:rPr>
          <w:rFonts w:asciiTheme="minorHAnsi" w:hAnsiTheme="minorHAnsi"/>
          <w:snapToGrid w:val="0"/>
        </w:rPr>
        <w:t xml:space="preserve">some </w:t>
      </w:r>
      <w:r w:rsidRPr="00EE4E0D">
        <w:rPr>
          <w:rFonts w:asciiTheme="minorHAnsi" w:hAnsiTheme="minorHAnsi"/>
          <w:snapToGrid w:val="0"/>
        </w:rPr>
        <w:t>rarer conditions for which adalimumab was not TGA-registered. The PBAC noted the submission did not provide any evidence for the use of adalimumab in these rarer</w:t>
      </w:r>
      <w:r>
        <w:rPr>
          <w:rFonts w:asciiTheme="minorHAnsi" w:hAnsiTheme="minorHAnsi"/>
          <w:snapToGrid w:val="0"/>
        </w:rPr>
        <w:t xml:space="preserve"> non-registered</w:t>
      </w:r>
      <w:r w:rsidRPr="00EE4E0D">
        <w:rPr>
          <w:rFonts w:asciiTheme="minorHAnsi" w:hAnsiTheme="minorHAnsi"/>
          <w:snapToGrid w:val="0"/>
        </w:rPr>
        <w:t xml:space="preserve"> conditions. The PBAC considered that for these rarer conditions use would most commonly occur in hospitals as inpatient use. The PBAC therefore advised that it would not be appropriate to list adalimumab for the proposed broad IMID indication. However, the </w:t>
      </w:r>
      <w:r w:rsidRPr="002826AC">
        <w:t>PBAC advised that for those indications where there was evidence for the use of adalimumab in children, unnecessary barriers to accessing adalimumab on the PBS should be removed.</w:t>
      </w:r>
    </w:p>
    <w:p w14:paraId="24779054" w14:textId="77777777" w:rsidR="00852466" w:rsidRPr="00EE4E0D"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The PBAC noted the following conditions were TGA-registered indications for adalimumab, and adalimumab was currently PBS-listed for these indications to allow use in children: hidradenitis suppurativa, juvenile idiopathic arthritis, ulcerative colitis and Crohn disease. For some conditions there were also multiple alternatives available on the PBS. The PBAC recalled that at its March 2016 meeting it had recommended an age-agnostic listing for adalimumab for moderate to severe ulcerative colitis, where the sponsor had previously requested restricting the listing to adults only.</w:t>
      </w:r>
    </w:p>
    <w:p w14:paraId="19E8B14C" w14:textId="77777777" w:rsidR="00852466"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The PBAC noted that a separate request to list adalimumab for the treatment of patients with vision-threatening non-infectious uveitis was being considered at the same PBAC meeting.</w:t>
      </w:r>
    </w:p>
    <w:p w14:paraId="0EE66EBA" w14:textId="77777777" w:rsidR="00852466" w:rsidRPr="00EE4E0D"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 xml:space="preserve">The PBAC </w:t>
      </w:r>
      <w:r w:rsidRPr="00F55366">
        <w:rPr>
          <w:rFonts w:asciiTheme="minorHAnsi" w:hAnsiTheme="minorHAnsi"/>
          <w:snapToGrid w:val="0"/>
          <w:lang w:val="en-GB"/>
        </w:rPr>
        <w:t xml:space="preserve">therefore considered ankylosing </w:t>
      </w:r>
      <w:r w:rsidRPr="00EE4E0D">
        <w:rPr>
          <w:rFonts w:asciiTheme="minorHAnsi" w:hAnsiTheme="minorHAnsi"/>
          <w:snapToGrid w:val="0"/>
        </w:rPr>
        <w:t xml:space="preserve">spondylitis </w:t>
      </w:r>
      <w:r>
        <w:rPr>
          <w:rFonts w:asciiTheme="minorHAnsi" w:hAnsiTheme="minorHAnsi"/>
          <w:snapToGrid w:val="0"/>
        </w:rPr>
        <w:t>should be its focus as</w:t>
      </w:r>
      <w:r w:rsidRPr="00EE4E0D">
        <w:rPr>
          <w:rFonts w:asciiTheme="minorHAnsi" w:hAnsiTheme="minorHAnsi"/>
          <w:snapToGrid w:val="0"/>
        </w:rPr>
        <w:t xml:space="preserve"> the </w:t>
      </w:r>
      <w:r>
        <w:rPr>
          <w:rFonts w:asciiTheme="minorHAnsi" w:hAnsiTheme="minorHAnsi"/>
          <w:snapToGrid w:val="0"/>
        </w:rPr>
        <w:t>only</w:t>
      </w:r>
      <w:r w:rsidRPr="00EE4E0D">
        <w:rPr>
          <w:rFonts w:asciiTheme="minorHAnsi" w:hAnsiTheme="minorHAnsi"/>
          <w:snapToGrid w:val="0"/>
        </w:rPr>
        <w:t xml:space="preserve"> condition for which there was sufficient evidence for using adalimumab </w:t>
      </w:r>
      <w:r>
        <w:rPr>
          <w:rFonts w:asciiTheme="minorHAnsi" w:hAnsiTheme="minorHAnsi"/>
          <w:snapToGrid w:val="0"/>
        </w:rPr>
        <w:t xml:space="preserve">where the PBAC had not made a recommendation </w:t>
      </w:r>
      <w:r w:rsidRPr="00EE4E0D">
        <w:rPr>
          <w:rFonts w:asciiTheme="minorHAnsi" w:hAnsiTheme="minorHAnsi"/>
          <w:snapToGrid w:val="0"/>
        </w:rPr>
        <w:t>to allow use in children.</w:t>
      </w:r>
    </w:p>
    <w:p w14:paraId="39329F4D" w14:textId="77777777" w:rsidR="00852466" w:rsidRDefault="00852466" w:rsidP="00852466">
      <w:pPr>
        <w:widowControl w:val="0"/>
        <w:numPr>
          <w:ilvl w:val="1"/>
          <w:numId w:val="2"/>
        </w:numPr>
        <w:spacing w:after="120"/>
        <w:rPr>
          <w:rFonts w:asciiTheme="minorHAnsi" w:hAnsiTheme="minorHAnsi"/>
          <w:snapToGrid w:val="0"/>
        </w:rPr>
      </w:pPr>
      <w:r w:rsidRPr="00EE4E0D">
        <w:rPr>
          <w:rFonts w:asciiTheme="minorHAnsi" w:hAnsiTheme="minorHAnsi"/>
          <w:snapToGrid w:val="0"/>
        </w:rPr>
        <w:t xml:space="preserve">The PBAC acknowledged potential </w:t>
      </w:r>
      <w:r>
        <w:rPr>
          <w:rFonts w:asciiTheme="minorHAnsi" w:hAnsiTheme="minorHAnsi"/>
          <w:snapToGrid w:val="0"/>
        </w:rPr>
        <w:t>barriers with</w:t>
      </w:r>
      <w:r w:rsidRPr="00440CF7">
        <w:rPr>
          <w:rFonts w:asciiTheme="minorHAnsi" w:hAnsiTheme="minorHAnsi"/>
          <w:snapToGrid w:val="0"/>
        </w:rPr>
        <w:t xml:space="preserve"> the current PBS listings of adalimumab for paediatric patients. For example, the clinical criteria specified in the current adult listing for ankylosing spondylitis were not appropriate requirements for children with this condition, and the maximum doses allowed in the listings for Crohn disease and ulcerative colitis may not reflect current clinical practice.</w:t>
      </w:r>
      <w:r>
        <w:rPr>
          <w:rFonts w:asciiTheme="minorHAnsi" w:hAnsiTheme="minorHAnsi"/>
          <w:snapToGrid w:val="0"/>
        </w:rPr>
        <w:t xml:space="preserve"> As such, age-agnostic listings that do not consider the restriction criteria from a paediatric perspective are not sufficient.</w:t>
      </w:r>
    </w:p>
    <w:p w14:paraId="66161C9F" w14:textId="77777777" w:rsidR="00852466" w:rsidRPr="00440CF7" w:rsidRDefault="00852466" w:rsidP="00852466">
      <w:pPr>
        <w:widowControl w:val="0"/>
        <w:numPr>
          <w:ilvl w:val="1"/>
          <w:numId w:val="2"/>
        </w:numPr>
        <w:spacing w:after="120"/>
        <w:rPr>
          <w:rFonts w:asciiTheme="minorHAnsi" w:hAnsiTheme="minorHAnsi"/>
          <w:snapToGrid w:val="0"/>
        </w:rPr>
      </w:pPr>
      <w:r w:rsidRPr="00440CF7">
        <w:rPr>
          <w:rFonts w:asciiTheme="minorHAnsi" w:hAnsiTheme="minorHAnsi"/>
          <w:snapToGrid w:val="0"/>
        </w:rPr>
        <w:t>The PBAC was therefore of a mind to recommend changes to the current listings of adalimumab for ankylosing spondylitis, ulcerative colitis and Crohn disease to reflect available evidence and current clinical practice in paediatric patients.</w:t>
      </w:r>
      <w:r>
        <w:rPr>
          <w:rFonts w:asciiTheme="minorHAnsi" w:hAnsiTheme="minorHAnsi"/>
          <w:snapToGrid w:val="0"/>
        </w:rPr>
        <w:t xml:space="preserve"> However, the PBAC required further clinical input before making such recommendations.</w:t>
      </w:r>
      <w:r w:rsidRPr="00440CF7">
        <w:rPr>
          <w:rFonts w:asciiTheme="minorHAnsi" w:hAnsiTheme="minorHAnsi"/>
          <w:snapToGrid w:val="0"/>
        </w:rPr>
        <w:t xml:space="preserve"> The PBAC requested the Department engage with relevant clinical groups to review the current eligibility criteria for the PBS listings of adalimumab for </w:t>
      </w:r>
      <w:r>
        <w:rPr>
          <w:rFonts w:asciiTheme="minorHAnsi" w:hAnsiTheme="minorHAnsi"/>
          <w:snapToGrid w:val="0"/>
        </w:rPr>
        <w:t>ankylosing spondylitis, ulcerative colitis and Crohn disease</w:t>
      </w:r>
      <w:r w:rsidRPr="00440CF7">
        <w:rPr>
          <w:rFonts w:asciiTheme="minorHAnsi" w:hAnsiTheme="minorHAnsi"/>
          <w:snapToGrid w:val="0"/>
        </w:rPr>
        <w:t>, and revise these where necessary so that they reflect current evidence and clinical practice. The revised listings would be brought to the PBAC for further consideration.</w:t>
      </w:r>
    </w:p>
    <w:p w14:paraId="7954DCD2" w14:textId="77777777" w:rsidR="00852466" w:rsidRPr="00440CF7" w:rsidRDefault="00852466" w:rsidP="00852466">
      <w:pPr>
        <w:spacing w:before="240"/>
        <w:rPr>
          <w:rFonts w:asciiTheme="minorHAnsi" w:hAnsiTheme="minorHAnsi"/>
          <w:b/>
          <w:bCs/>
          <w:snapToGrid w:val="0"/>
        </w:rPr>
      </w:pPr>
      <w:r w:rsidRPr="00440CF7">
        <w:rPr>
          <w:rFonts w:asciiTheme="minorHAnsi" w:hAnsiTheme="minorHAnsi"/>
          <w:b/>
          <w:bCs/>
          <w:snapToGrid w:val="0"/>
        </w:rPr>
        <w:t>Outcome:</w:t>
      </w:r>
    </w:p>
    <w:p w14:paraId="47A8550E" w14:textId="77777777" w:rsidR="00852466" w:rsidRDefault="00852466" w:rsidP="00852466">
      <w:pPr>
        <w:jc w:val="left"/>
      </w:pPr>
      <w:r w:rsidRPr="00440CF7">
        <w:rPr>
          <w:rFonts w:asciiTheme="minorHAnsi" w:hAnsiTheme="minorHAnsi"/>
          <w:bCs/>
          <w:snapToGrid w:val="0"/>
        </w:rPr>
        <w:t>Deferred</w:t>
      </w:r>
      <w:bookmarkEnd w:id="1"/>
      <w:bookmarkEnd w:id="2"/>
    </w:p>
    <w:p w14:paraId="1FD3E22A" w14:textId="77777777" w:rsidR="00852466" w:rsidRDefault="00852466" w:rsidP="00852466">
      <w:pPr>
        <w:pStyle w:val="2-SectionHeading"/>
        <w:numPr>
          <w:ilvl w:val="0"/>
          <w:numId w:val="2"/>
        </w:numPr>
      </w:pPr>
      <w:r w:rsidRPr="002E5622">
        <w:t>Corrigendum</w:t>
      </w:r>
    </w:p>
    <w:p w14:paraId="1E982433" w14:textId="77777777" w:rsidR="00852466" w:rsidRPr="002E5622" w:rsidRDefault="00852466" w:rsidP="00852466">
      <w:pPr>
        <w:spacing w:after="240"/>
        <w:jc w:val="left"/>
      </w:pPr>
      <w:r w:rsidRPr="002E5622">
        <w:t>The following changes were made:</w:t>
      </w:r>
    </w:p>
    <w:tbl>
      <w:tblPr>
        <w:tblStyle w:val="TableGrid"/>
        <w:tblW w:w="5000" w:type="pct"/>
        <w:tblLook w:val="04A0" w:firstRow="1" w:lastRow="0" w:firstColumn="1" w:lastColumn="0" w:noHBand="0" w:noVBand="1"/>
        <w:tblCaption w:val="Corrigendum changes"/>
      </w:tblPr>
      <w:tblGrid>
        <w:gridCol w:w="6912"/>
        <w:gridCol w:w="2104"/>
      </w:tblGrid>
      <w:tr w:rsidR="00852466" w:rsidRPr="002E5622" w14:paraId="6E08864B" w14:textId="77777777">
        <w:trPr>
          <w:trHeight w:val="179"/>
        </w:trPr>
        <w:tc>
          <w:tcPr>
            <w:tcW w:w="3833" w:type="pct"/>
          </w:tcPr>
          <w:p w14:paraId="4DB1822E" w14:textId="77777777" w:rsidR="00852466" w:rsidRPr="004E4ACE" w:rsidRDefault="00852466">
            <w:pPr>
              <w:jc w:val="left"/>
              <w:rPr>
                <w:rFonts w:ascii="Arial Narrow" w:hAnsi="Arial Narrow"/>
                <w:b/>
                <w:sz w:val="20"/>
                <w:szCs w:val="20"/>
              </w:rPr>
            </w:pPr>
            <w:r w:rsidRPr="004E4ACE">
              <w:rPr>
                <w:rFonts w:ascii="Arial Narrow" w:hAnsi="Arial Narrow"/>
                <w:b/>
                <w:sz w:val="20"/>
                <w:szCs w:val="20"/>
              </w:rPr>
              <w:t>Change made</w:t>
            </w:r>
          </w:p>
        </w:tc>
        <w:tc>
          <w:tcPr>
            <w:tcW w:w="1167" w:type="pct"/>
          </w:tcPr>
          <w:p w14:paraId="2DDC0DC2" w14:textId="77777777" w:rsidR="00852466" w:rsidRPr="004E4ACE" w:rsidRDefault="00852466">
            <w:pPr>
              <w:jc w:val="left"/>
              <w:rPr>
                <w:rFonts w:ascii="Arial Narrow" w:hAnsi="Arial Narrow"/>
                <w:b/>
                <w:sz w:val="20"/>
                <w:szCs w:val="20"/>
              </w:rPr>
            </w:pPr>
            <w:r w:rsidRPr="004E4ACE">
              <w:rPr>
                <w:rFonts w:ascii="Arial Narrow" w:hAnsi="Arial Narrow"/>
                <w:b/>
                <w:sz w:val="20"/>
                <w:szCs w:val="20"/>
              </w:rPr>
              <w:t>Date of revision</w:t>
            </w:r>
          </w:p>
        </w:tc>
      </w:tr>
      <w:tr w:rsidR="00852466" w:rsidRPr="002E5622" w14:paraId="75D90A3C" w14:textId="77777777">
        <w:trPr>
          <w:trHeight w:val="406"/>
        </w:trPr>
        <w:tc>
          <w:tcPr>
            <w:tcW w:w="3833" w:type="pct"/>
          </w:tcPr>
          <w:p w14:paraId="5814DBA3" w14:textId="77777777" w:rsidR="00852466" w:rsidRPr="004E4ACE" w:rsidRDefault="00852466">
            <w:pPr>
              <w:jc w:val="left"/>
              <w:rPr>
                <w:rFonts w:ascii="Arial Narrow" w:hAnsi="Arial Narrow"/>
                <w:sz w:val="20"/>
                <w:szCs w:val="20"/>
              </w:rPr>
            </w:pPr>
            <w:r w:rsidRPr="004E4ACE">
              <w:rPr>
                <w:rFonts w:ascii="Arial Narrow" w:hAnsi="Arial Narrow"/>
                <w:sz w:val="20"/>
                <w:szCs w:val="20"/>
              </w:rPr>
              <w:t xml:space="preserve">Paragraph </w:t>
            </w:r>
            <w:r>
              <w:rPr>
                <w:rFonts w:ascii="Arial Narrow" w:hAnsi="Arial Narrow"/>
                <w:sz w:val="20"/>
                <w:szCs w:val="20"/>
              </w:rPr>
              <w:t>7.5</w:t>
            </w:r>
            <w:r w:rsidRPr="004E4ACE">
              <w:rPr>
                <w:rFonts w:ascii="Arial Narrow" w:hAnsi="Arial Narrow"/>
                <w:sz w:val="20"/>
                <w:szCs w:val="20"/>
              </w:rPr>
              <w:t xml:space="preserve">: </w:t>
            </w:r>
            <w:r>
              <w:rPr>
                <w:rFonts w:ascii="Arial Narrow" w:hAnsi="Arial Narrow"/>
                <w:sz w:val="20"/>
                <w:szCs w:val="20"/>
              </w:rPr>
              <w:t>conditions for which adalimumab is PBS-listed to allow use in children updated to remove the conditions ‘psoriatic arthritis’ and ‘plaque psoriasis’ (these conditions are not PBS-listed for paediatric patients)</w:t>
            </w:r>
          </w:p>
        </w:tc>
        <w:tc>
          <w:tcPr>
            <w:tcW w:w="1167" w:type="pct"/>
          </w:tcPr>
          <w:p w14:paraId="333AE7BD" w14:textId="77777777" w:rsidR="00852466" w:rsidRPr="004E4ACE" w:rsidRDefault="00852466">
            <w:pPr>
              <w:jc w:val="left"/>
              <w:rPr>
                <w:rFonts w:ascii="Arial Narrow" w:hAnsi="Arial Narrow"/>
                <w:sz w:val="20"/>
                <w:szCs w:val="20"/>
              </w:rPr>
            </w:pPr>
            <w:r>
              <w:rPr>
                <w:rFonts w:ascii="Arial Narrow" w:hAnsi="Arial Narrow"/>
                <w:sz w:val="20"/>
                <w:szCs w:val="20"/>
              </w:rPr>
              <w:t>11 December 2024</w:t>
            </w:r>
          </w:p>
        </w:tc>
      </w:tr>
    </w:tbl>
    <w:p w14:paraId="226A9211" w14:textId="77777777" w:rsidR="00852466" w:rsidRPr="00B85D68" w:rsidRDefault="00852466" w:rsidP="00852466">
      <w:pPr>
        <w:keepNext/>
        <w:keepLines/>
        <w:numPr>
          <w:ilvl w:val="0"/>
          <w:numId w:val="2"/>
        </w:numPr>
        <w:spacing w:before="240" w:after="120"/>
        <w:jc w:val="left"/>
        <w:outlineLvl w:val="0"/>
        <w:rPr>
          <w:b/>
          <w:snapToGrid w:val="0"/>
          <w:sz w:val="32"/>
          <w:szCs w:val="32"/>
        </w:rPr>
      </w:pPr>
      <w:bookmarkStart w:id="3" w:name="_Hlk165280286"/>
      <w:r w:rsidRPr="00B85D68">
        <w:rPr>
          <w:b/>
          <w:snapToGrid w:val="0"/>
          <w:sz w:val="32"/>
          <w:szCs w:val="32"/>
        </w:rPr>
        <w:t>Context for Decision</w:t>
      </w:r>
    </w:p>
    <w:p w14:paraId="6D7249CD" w14:textId="77777777" w:rsidR="00852466" w:rsidRPr="00B85D68" w:rsidRDefault="00852466" w:rsidP="00852466">
      <w:pPr>
        <w:widowControl w:val="0"/>
        <w:spacing w:after="120"/>
        <w:ind w:left="720"/>
        <w:rPr>
          <w:bCs/>
          <w:snapToGrid w:val="0"/>
        </w:rPr>
      </w:pPr>
      <w:r w:rsidRPr="00B85D68">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861D15" w14:textId="77777777" w:rsidR="00852466" w:rsidRPr="00B85D68" w:rsidRDefault="00852466" w:rsidP="00852466">
      <w:pPr>
        <w:keepNext/>
        <w:keepLines/>
        <w:numPr>
          <w:ilvl w:val="0"/>
          <w:numId w:val="2"/>
        </w:numPr>
        <w:spacing w:before="240" w:after="120"/>
        <w:jc w:val="left"/>
        <w:outlineLvl w:val="0"/>
        <w:rPr>
          <w:b/>
          <w:snapToGrid w:val="0"/>
          <w:sz w:val="32"/>
          <w:szCs w:val="32"/>
        </w:rPr>
      </w:pPr>
      <w:r w:rsidRPr="00B85D68">
        <w:rPr>
          <w:b/>
          <w:snapToGrid w:val="0"/>
          <w:sz w:val="32"/>
          <w:szCs w:val="32"/>
        </w:rPr>
        <w:t>Sponsor’s Comment</w:t>
      </w:r>
    </w:p>
    <w:p w14:paraId="38167FC7" w14:textId="77777777" w:rsidR="00852466" w:rsidRPr="00584653" w:rsidRDefault="00852466" w:rsidP="00852466">
      <w:pPr>
        <w:spacing w:after="160"/>
        <w:ind w:left="720"/>
        <w:rPr>
          <w:rFonts w:asciiTheme="minorHAnsi" w:hAnsiTheme="minorHAnsi" w:cstheme="minorHAnsi"/>
          <w:b/>
          <w:caps/>
        </w:rPr>
      </w:pPr>
      <w:r w:rsidRPr="00584653">
        <w:rPr>
          <w:rFonts w:asciiTheme="minorHAnsi" w:hAnsiTheme="minorHAnsi" w:cstheme="minorHAnsi"/>
          <w:bCs/>
          <w:snapToGrid w:val="0"/>
        </w:rPr>
        <w:t>Existing PBS listings for certain immune-mediated inflammatory diseases do not reflect paediatric disease presentations or current clinical practice. AbbVie is disappointed that the PBAC did not accept the request for a broad indication for IMIDs, however remains committed to continuing to work with all stakeholders to expedite removal of existing barriers to earlier, expanded access so that Australian children with certain IMIDs can realise better disease, quality of life, and life-course outcomes as soon as possible.</w:t>
      </w:r>
      <w:bookmarkEnd w:id="3"/>
    </w:p>
    <w:p w14:paraId="5230C444" w14:textId="77777777" w:rsidR="00852466" w:rsidRDefault="00852466" w:rsidP="00852466">
      <w:pPr>
        <w:jc w:val="left"/>
        <w:rPr>
          <w:rFonts w:asciiTheme="minorHAnsi" w:eastAsiaTheme="majorEastAsia" w:hAnsiTheme="minorHAnsi" w:cstheme="majorBidi"/>
          <w:b/>
          <w:spacing w:val="5"/>
          <w:kern w:val="28"/>
          <w:sz w:val="36"/>
          <w:szCs w:val="36"/>
        </w:rPr>
      </w:pPr>
      <w:r>
        <w:br w:type="page"/>
      </w:r>
    </w:p>
    <w:p w14:paraId="33E64FC7" w14:textId="77777777" w:rsidR="00852466" w:rsidRDefault="00852466" w:rsidP="00852466">
      <w:pPr>
        <w:pStyle w:val="1-MainHeading"/>
        <w:spacing w:before="0"/>
        <w:rPr>
          <w:color w:val="FF0000"/>
          <w:sz w:val="28"/>
          <w:szCs w:val="28"/>
        </w:rPr>
      </w:pPr>
      <w:r>
        <w:rPr>
          <w:color w:val="FF0000"/>
          <w:sz w:val="28"/>
          <w:szCs w:val="28"/>
        </w:rPr>
        <w:t>Addendum to the March 2024 PBAC PSD:</w:t>
      </w:r>
    </w:p>
    <w:p w14:paraId="258F4E6D" w14:textId="77777777" w:rsidR="00852466" w:rsidRPr="002F0440" w:rsidRDefault="00852466" w:rsidP="00852466">
      <w:pPr>
        <w:pStyle w:val="1-MainHeading"/>
      </w:pPr>
      <w:r>
        <w:t xml:space="preserve">4.02 </w:t>
      </w:r>
      <w:r w:rsidRPr="00A60C96">
        <w:t>ADALIMUMAB</w:t>
      </w:r>
      <w:r>
        <w:t>,</w:t>
      </w:r>
      <w:r>
        <w:br/>
        <w:t>Injection 20 mg in 0.2 mL pre-filled syringe,</w:t>
      </w:r>
      <w:r>
        <w:br/>
        <w:t>Injection 40 mg in 0.4 mL pre-filled syringe,</w:t>
      </w:r>
      <w:r>
        <w:br/>
        <w:t>Injection 40 mg in 0.4 mL pre-filled pen,</w:t>
      </w:r>
      <w:r>
        <w:br/>
        <w:t>Injection 80 mg in 0.8 mL pre-filled syringe,</w:t>
      </w:r>
      <w:r>
        <w:br/>
        <w:t>Injection 80 mg in 0.8 mL pre-filled pen,</w:t>
      </w:r>
      <w:r>
        <w:br/>
        <w:t>Humira®,</w:t>
      </w:r>
      <w:r>
        <w:br/>
        <w:t>AbbVie Pty Ltd.</w:t>
      </w:r>
    </w:p>
    <w:p w14:paraId="05C069DE" w14:textId="77777777" w:rsidR="00852466" w:rsidRDefault="00852466" w:rsidP="00852466">
      <w:pPr>
        <w:pStyle w:val="2-SectionHeading"/>
        <w:numPr>
          <w:ilvl w:val="0"/>
          <w:numId w:val="2"/>
        </w:numPr>
      </w:pPr>
      <w:r w:rsidRPr="00A6439B">
        <w:t>Purpose of Submission</w:t>
      </w:r>
    </w:p>
    <w:p w14:paraId="41AA1AF4" w14:textId="77777777" w:rsidR="00852466" w:rsidRDefault="00852466" w:rsidP="00852466">
      <w:pPr>
        <w:pStyle w:val="3-BodyText"/>
        <w:numPr>
          <w:ilvl w:val="1"/>
          <w:numId w:val="2"/>
        </w:numPr>
        <w:spacing w:before="120"/>
      </w:pPr>
      <w:r>
        <w:t>For the Pharmaceutical Benefits Advisory Committee (PBAC) to consider advice provided by clinical groups on the current PBS listings and eligibility criteria for adalimumab (Humira®) and whether they reflect current evidence and practice in the management of paediatric immune-mediated inflammatory disease (IMID).</w:t>
      </w:r>
    </w:p>
    <w:p w14:paraId="35D8CA0C" w14:textId="77777777" w:rsidR="00852466" w:rsidRDefault="00852466" w:rsidP="00852466">
      <w:pPr>
        <w:pStyle w:val="3-BodyText"/>
        <w:numPr>
          <w:ilvl w:val="1"/>
          <w:numId w:val="2"/>
        </w:numPr>
        <w:spacing w:before="120"/>
      </w:pPr>
      <w:r>
        <w:t>For the PBAC to consider proposed revised and new PBS listings for Humira for paediatric IMID conditions for which there is evidence for the use of adalimumab. This includes:</w:t>
      </w:r>
    </w:p>
    <w:p w14:paraId="58CC0C2B" w14:textId="77777777" w:rsidR="00852466" w:rsidRDefault="00852466" w:rsidP="00852466">
      <w:pPr>
        <w:pStyle w:val="3Bodytext"/>
        <w:numPr>
          <w:ilvl w:val="0"/>
          <w:numId w:val="126"/>
        </w:numPr>
        <w:spacing w:before="120"/>
        <w:jc w:val="both"/>
      </w:pPr>
      <w:r>
        <w:t>Proposed revised listings for adalimumab for the treatment of moderate to severe ulcerative colitis and severe Crohn disease.</w:t>
      </w:r>
    </w:p>
    <w:p w14:paraId="26FBB759" w14:textId="77777777" w:rsidR="00852466" w:rsidRDefault="00852466" w:rsidP="00852466">
      <w:pPr>
        <w:pStyle w:val="3Bodytext"/>
        <w:numPr>
          <w:ilvl w:val="0"/>
          <w:numId w:val="126"/>
        </w:numPr>
        <w:spacing w:before="120"/>
        <w:jc w:val="both"/>
      </w:pPr>
      <w:r>
        <w:t>Whether adalimumab should be listed on the PBS for the treatment of patients with enthesitis related juvenile idiopathic arthritis.</w:t>
      </w:r>
    </w:p>
    <w:p w14:paraId="21B59020" w14:textId="77777777" w:rsidR="00852466" w:rsidRDefault="00852466" w:rsidP="00852466">
      <w:pPr>
        <w:pStyle w:val="3Bodytext"/>
        <w:numPr>
          <w:ilvl w:val="0"/>
          <w:numId w:val="126"/>
        </w:numPr>
        <w:spacing w:before="120"/>
        <w:jc w:val="both"/>
      </w:pPr>
      <w:r>
        <w:t>Whether adalimumab should be listed on the PBS for the treatment of paediatric patients with severe chronic plaque psoriasis, and its place in therapy for this indication if recommended.</w:t>
      </w:r>
    </w:p>
    <w:p w14:paraId="4D66D758" w14:textId="77777777" w:rsidR="00852466" w:rsidRDefault="00852466" w:rsidP="00852466">
      <w:pPr>
        <w:pStyle w:val="3-BodyText"/>
        <w:numPr>
          <w:ilvl w:val="1"/>
          <w:numId w:val="2"/>
        </w:numPr>
        <w:spacing w:before="120"/>
      </w:pPr>
      <w:r>
        <w:t>For the PBAC to consider if adalimumab is cost-effective at the proposed revised and new listings.</w:t>
      </w:r>
    </w:p>
    <w:p w14:paraId="7D601BE3" w14:textId="77777777" w:rsidR="00852466" w:rsidRDefault="00852466" w:rsidP="00852466">
      <w:pPr>
        <w:pStyle w:val="2-SectionHeading"/>
        <w:numPr>
          <w:ilvl w:val="0"/>
          <w:numId w:val="2"/>
        </w:numPr>
      </w:pPr>
      <w:r w:rsidRPr="00A6439B">
        <w:t>Background</w:t>
      </w:r>
    </w:p>
    <w:p w14:paraId="6B1ADA42" w14:textId="77777777" w:rsidR="00852466" w:rsidRPr="002826AC" w:rsidRDefault="00852466" w:rsidP="00852466">
      <w:pPr>
        <w:pStyle w:val="3-BodyText"/>
        <w:numPr>
          <w:ilvl w:val="1"/>
          <w:numId w:val="2"/>
        </w:numPr>
        <w:spacing w:before="120"/>
      </w:pPr>
      <w:r>
        <w:t>At its March 2024 meeting, the PBAC considered a request from the sponsor of Humira, AbbVie Pty Ltd, to list Humira as a General Schedule Authority Required (STREAMLINED) listing for the treatment of IMID in paediatric patients.</w:t>
      </w:r>
      <w:r w:rsidRPr="00014C17">
        <w:t xml:space="preserve"> </w:t>
      </w:r>
      <w:r w:rsidRPr="002826AC">
        <w:t>The submission requested that adalimumab be PBS-listed as an indication-agnostic listing to allow patients with the greatest risk of permanent disability and/or psychological distress to receive treatment with adalimumab.</w:t>
      </w:r>
    </w:p>
    <w:p w14:paraId="00340D7E" w14:textId="77777777" w:rsidR="00852466" w:rsidRDefault="00852466" w:rsidP="00852466">
      <w:pPr>
        <w:pStyle w:val="3-BodyText"/>
        <w:numPr>
          <w:ilvl w:val="1"/>
          <w:numId w:val="2"/>
        </w:numPr>
        <w:spacing w:before="120"/>
      </w:pPr>
      <w:r>
        <w:t xml:space="preserve">The PBAC deferred making a recommendation to allow further consultation with relevant clinical groups. It noted that IMID is not a condition </w:t>
      </w:r>
      <w:proofErr w:type="gramStart"/>
      <w:r>
        <w:t>in itself and</w:t>
      </w:r>
      <w:proofErr w:type="gramEnd"/>
      <w:r>
        <w:t xml:space="preserve"> that it covers a broad range of conditions, including rarer conditions. The PBAC further noted that adalimumab is not TGA-registered for all these indications and that there is varying levels of evidence for the use of adalimumab in different IMIDs.</w:t>
      </w:r>
    </w:p>
    <w:p w14:paraId="67F64375" w14:textId="77777777" w:rsidR="00852466" w:rsidRDefault="00852466" w:rsidP="00852466">
      <w:pPr>
        <w:pStyle w:val="3-BodyText"/>
        <w:numPr>
          <w:ilvl w:val="1"/>
          <w:numId w:val="2"/>
        </w:numPr>
        <w:spacing w:before="120"/>
      </w:pPr>
      <w:r>
        <w:t>The PBAC advised that for those indications where there is evidence for the use of adalimumab in children, unnecessary barriers to accessing adalimumab on the PBS should be removed. The PBAC considered that ankylosing spondylitis was the main condition where there was evidence for the use of adalimumab in children, however it is not currently PBS-listed for this indication for use in children. The PBAC also noted that current PBS-listed maximum doses for adalimumab for Crohn disease and ulcerative colitis in children may not reflect current practice.</w:t>
      </w:r>
    </w:p>
    <w:p w14:paraId="6D86D18B" w14:textId="77777777" w:rsidR="00852466" w:rsidRPr="00EF27D0" w:rsidRDefault="00852466" w:rsidP="00852466">
      <w:pPr>
        <w:pStyle w:val="3-BodyText"/>
        <w:numPr>
          <w:ilvl w:val="1"/>
          <w:numId w:val="2"/>
        </w:numPr>
        <w:spacing w:before="120"/>
      </w:pPr>
      <w:r>
        <w:t>The PBAC requested the Department engage with relevant clinical groups to review the current eligibility criteria for the PBS listings for adalimumab for paediatric IMID indications and revise these listings where required to reflect current evidence and practice. The PBAC requested that these revised listings be brought to the PBAC for further consideration.</w:t>
      </w:r>
    </w:p>
    <w:p w14:paraId="6821BB41" w14:textId="77777777" w:rsidR="00852466" w:rsidRDefault="00852466" w:rsidP="00852466">
      <w:pPr>
        <w:pStyle w:val="3-BodyText"/>
        <w:numPr>
          <w:ilvl w:val="1"/>
          <w:numId w:val="2"/>
        </w:numPr>
        <w:spacing w:before="120"/>
      </w:pPr>
      <w:r>
        <w:t>The Department requested advice from the following clinical groups: Australian Rheumatology Association (ARA), Australian Paediatric Rheumatology Group (APRG), Crohn’s and Colitis Australia (CCA), Gastroenterological Society of Australia (GESA), Royal Australasian College of Physicians, and The Australasian College of Dermatologists (ACD).</w:t>
      </w:r>
    </w:p>
    <w:p w14:paraId="71198CE5" w14:textId="77777777" w:rsidR="00852466" w:rsidRDefault="00852466" w:rsidP="00852466">
      <w:pPr>
        <w:pStyle w:val="3-BodyText"/>
        <w:numPr>
          <w:ilvl w:val="1"/>
          <w:numId w:val="2"/>
        </w:numPr>
        <w:spacing w:before="120"/>
      </w:pPr>
      <w:r>
        <w:t>Advice was also sought from clinicians (5 gastroenterologists) who gave input for the sponsor’s submission and provided contact details.</w:t>
      </w:r>
    </w:p>
    <w:p w14:paraId="7C3F16B0" w14:textId="77777777" w:rsidR="00852466" w:rsidRPr="00D34207" w:rsidRDefault="00852466" w:rsidP="00852466">
      <w:pPr>
        <w:pStyle w:val="3Bodytext"/>
        <w:numPr>
          <w:ilvl w:val="0"/>
          <w:numId w:val="0"/>
        </w:numPr>
        <w:ind w:left="720"/>
        <w:rPr>
          <w:i/>
          <w:iCs/>
        </w:rPr>
      </w:pPr>
      <w:r w:rsidRPr="00D34207">
        <w:rPr>
          <w:i/>
          <w:iCs/>
        </w:rPr>
        <w:t>For more detail on PBAC’s view, see section 16 PBAC outcome.</w:t>
      </w:r>
    </w:p>
    <w:p w14:paraId="1B56548D" w14:textId="77777777" w:rsidR="00852466" w:rsidRDefault="00852466" w:rsidP="00852466">
      <w:pPr>
        <w:pStyle w:val="2-SectionHeading"/>
        <w:numPr>
          <w:ilvl w:val="0"/>
          <w:numId w:val="2"/>
        </w:numPr>
      </w:pPr>
      <w:r>
        <w:t>Clinical advice</w:t>
      </w:r>
    </w:p>
    <w:p w14:paraId="59F66D61" w14:textId="77777777" w:rsidR="00852466" w:rsidRDefault="00852466" w:rsidP="00852466">
      <w:pPr>
        <w:pStyle w:val="3-BodyText"/>
        <w:numPr>
          <w:ilvl w:val="1"/>
          <w:numId w:val="2"/>
        </w:numPr>
        <w:spacing w:before="120"/>
      </w:pPr>
      <w:r>
        <w:t>The Department received responses from four organisations (the ARA (in conjunction with the APRG), CCA, GESA and ACD) and two individuals (gastroenterologists).</w:t>
      </w:r>
    </w:p>
    <w:p w14:paraId="5DCEF901" w14:textId="77777777" w:rsidR="00852466" w:rsidRDefault="00852466" w:rsidP="00852466">
      <w:pPr>
        <w:pStyle w:val="3-BodyText"/>
        <w:numPr>
          <w:ilvl w:val="1"/>
          <w:numId w:val="2"/>
        </w:numPr>
        <w:spacing w:before="120"/>
      </w:pPr>
      <w:r>
        <w:t>Advice was also received from a rheumatologist, who noted that for some IMIDs, the disease may subside for some paediatric patients.</w:t>
      </w:r>
    </w:p>
    <w:p w14:paraId="6833823D" w14:textId="77777777" w:rsidR="00852466" w:rsidRDefault="00852466" w:rsidP="00852466">
      <w:pPr>
        <w:pStyle w:val="4-SubsectionHeading"/>
      </w:pPr>
      <w:r>
        <w:t>Ankylosing spondylitis</w:t>
      </w:r>
    </w:p>
    <w:p w14:paraId="1B184710" w14:textId="77777777" w:rsidR="00852466" w:rsidRDefault="00852466" w:rsidP="00852466">
      <w:pPr>
        <w:pStyle w:val="3-BodyText"/>
        <w:numPr>
          <w:ilvl w:val="1"/>
          <w:numId w:val="2"/>
        </w:numPr>
        <w:spacing w:before="120"/>
      </w:pPr>
      <w:r>
        <w:t>The ARA provided the following advice regarding the use of adalimumab for ankylosing spondylitis in paediatric patients:</w:t>
      </w:r>
    </w:p>
    <w:p w14:paraId="0D6AEFAE" w14:textId="77777777" w:rsidR="00852466" w:rsidRDefault="00852466" w:rsidP="00852466">
      <w:pPr>
        <w:pStyle w:val="ListParagraph"/>
        <w:ind w:hanging="360"/>
        <w:jc w:val="both"/>
      </w:pPr>
      <w:r>
        <w:t>There is a strong need to improve access to treatment for children with enthesitis/spondylitis related juvenile idiopathic arthritis (ERA). It is associated with a worse quality of life compared to other types of juvenile idiopathic arthritis, has lower response rates to conventional treatments, and a higher rate of permanent joint damage.</w:t>
      </w:r>
    </w:p>
    <w:p w14:paraId="5A79A8E5" w14:textId="77777777" w:rsidR="00852466" w:rsidRDefault="00852466" w:rsidP="00852466">
      <w:pPr>
        <w:pStyle w:val="ListParagraph"/>
        <w:ind w:hanging="360"/>
        <w:jc w:val="both"/>
      </w:pPr>
      <w:r>
        <w:t>Evidence demonstrates that adalimumab is a safe and effective treatment for ERA and is considered a standard treatment internationally.</w:t>
      </w:r>
    </w:p>
    <w:p w14:paraId="08514C5C" w14:textId="77777777" w:rsidR="00852466" w:rsidRDefault="00852466" w:rsidP="00852466">
      <w:pPr>
        <w:pStyle w:val="ListParagraph"/>
        <w:ind w:hanging="360"/>
        <w:jc w:val="both"/>
      </w:pPr>
      <w:r>
        <w:t>Non-steroidal anti-inflammatory drugs (NSAIDs) are recommended for initial treatment for ERA. Conventional DMARDs (</w:t>
      </w:r>
      <w:proofErr w:type="spellStart"/>
      <w:r>
        <w:t>csDMARDs</w:t>
      </w:r>
      <w:proofErr w:type="spellEnd"/>
      <w:r>
        <w:t>) (e.g. methotrexate) do not have a role in the management of axial disease but can be helpful for peripheral arthritis and enthesitis. Tumour necrosis factor inhibitors (e.g. adalimumab) are recommended for children and young people with active sacroiliitis disease despite NSAIDs.</w:t>
      </w:r>
    </w:p>
    <w:p w14:paraId="31EB1FDE" w14:textId="77777777" w:rsidR="00852466" w:rsidRDefault="00852466" w:rsidP="00852466">
      <w:pPr>
        <w:pStyle w:val="ListParagraph"/>
        <w:ind w:hanging="360"/>
        <w:jc w:val="both"/>
      </w:pPr>
      <w:proofErr w:type="spellStart"/>
      <w:r>
        <w:t>csDMARDs</w:t>
      </w:r>
      <w:proofErr w:type="spellEnd"/>
      <w:r>
        <w:t xml:space="preserve"> (e.g. methotrexate, sulfasalazine) are not effective for treating axial disease and corticosteroid injections generally only provide short term improvement for sacroiliitis. It is therefore proposed that active inflammatory axial disease (sacroiliitis and/or spondylitis) that is not responding to NSAIDs and physiotherapy is an indication for the use of adalimumab.</w:t>
      </w:r>
    </w:p>
    <w:p w14:paraId="24325534" w14:textId="77777777" w:rsidR="00852466" w:rsidRDefault="00852466" w:rsidP="00852466">
      <w:pPr>
        <w:pStyle w:val="ListParagraph"/>
        <w:ind w:hanging="360"/>
        <w:jc w:val="both"/>
      </w:pPr>
      <w:r>
        <w:t xml:space="preserve">While classification criteria and disease activity scores have been developed for ERA, there are no validated cut-off values to define active or inactive disease. The ARA proposed that a juvenile </w:t>
      </w:r>
      <w:proofErr w:type="spellStart"/>
      <w:r>
        <w:t>spondyloarthritis</w:t>
      </w:r>
      <w:proofErr w:type="spellEnd"/>
      <w:r>
        <w:t xml:space="preserve"> disease activity index score of &gt;2 despite appropriate treatment with NSAIDs (and/or </w:t>
      </w:r>
      <w:proofErr w:type="spellStart"/>
      <w:r>
        <w:t>csDMARDs</w:t>
      </w:r>
      <w:proofErr w:type="spellEnd"/>
      <w:r>
        <w:t xml:space="preserve"> for peripheral </w:t>
      </w:r>
      <w:proofErr w:type="spellStart"/>
      <w:r>
        <w:t>spondyloarthritis</w:t>
      </w:r>
      <w:proofErr w:type="spellEnd"/>
      <w:r>
        <w:t>) warrants treatment escalation to therapies such as adalimumab.</w:t>
      </w:r>
    </w:p>
    <w:p w14:paraId="39FB5F4B" w14:textId="77777777" w:rsidR="00852466" w:rsidRDefault="00852466" w:rsidP="00852466">
      <w:pPr>
        <w:pStyle w:val="ListParagraph"/>
        <w:ind w:hanging="360"/>
        <w:jc w:val="both"/>
      </w:pPr>
      <w:r>
        <w:t>While laboratory investigations can be used to support the diagnosis and assessment of disease activity in childhood ERA, there are significant limitations:</w:t>
      </w:r>
    </w:p>
    <w:p w14:paraId="7B838AF2" w14:textId="77777777" w:rsidR="00852466" w:rsidRDefault="00852466" w:rsidP="00852466">
      <w:pPr>
        <w:pStyle w:val="3Bodytext"/>
        <w:numPr>
          <w:ilvl w:val="0"/>
          <w:numId w:val="136"/>
        </w:numPr>
        <w:spacing w:before="120"/>
        <w:ind w:left="1560"/>
        <w:jc w:val="both"/>
      </w:pPr>
      <w:r>
        <w:t>HLA-B27 is associated with ERA, but is not present in up to 50% of patients.</w:t>
      </w:r>
    </w:p>
    <w:p w14:paraId="007669CB" w14:textId="77777777" w:rsidR="00852466" w:rsidRDefault="00852466" w:rsidP="00852466">
      <w:pPr>
        <w:pStyle w:val="3Bodytext"/>
        <w:numPr>
          <w:ilvl w:val="0"/>
          <w:numId w:val="136"/>
        </w:numPr>
        <w:spacing w:before="120"/>
        <w:ind w:left="1560"/>
        <w:jc w:val="both"/>
      </w:pPr>
      <w:r>
        <w:t>Inflammatory markers (e.g. erythrocyte sedimentation rate (ESR) and serum c-reactive protein (CRP)) may be elevated in ERA but are normal in many patients.</w:t>
      </w:r>
    </w:p>
    <w:p w14:paraId="59C5383B" w14:textId="77777777" w:rsidR="00852466" w:rsidRDefault="00852466" w:rsidP="00852466">
      <w:pPr>
        <w:pStyle w:val="ListParagraph"/>
        <w:ind w:hanging="360"/>
        <w:jc w:val="both"/>
      </w:pPr>
      <w:r>
        <w:t>It has therefore been suggested that these are not included as mandatory criteria to access adalimumab through the PBS for this indication.</w:t>
      </w:r>
    </w:p>
    <w:p w14:paraId="7E0B2512" w14:textId="77777777" w:rsidR="00852466" w:rsidRDefault="00852466" w:rsidP="00852466">
      <w:pPr>
        <w:pStyle w:val="ListParagraph"/>
        <w:ind w:hanging="360"/>
        <w:jc w:val="both"/>
      </w:pPr>
      <w:r>
        <w:t>While magnetic resonance imaging (MRI) is a key tool for diagnosing and assessing disease activity of ERA, imaging of children is challenging and normal paediatric bone marrow MRI signal and dynamic bone growth can be mistaken for pathological changes. While MRI should be a key criterion for accessing advanced therapies through the PBS, assessment and interpretation should be undertaken by practitioners with experience in juvenile spondyloarthropathy and ideally using validated measures.</w:t>
      </w:r>
    </w:p>
    <w:p w14:paraId="0C9A0F97" w14:textId="77777777" w:rsidR="00852466" w:rsidRDefault="00852466" w:rsidP="00852466">
      <w:pPr>
        <w:pStyle w:val="ListParagraph"/>
        <w:ind w:hanging="360"/>
        <w:jc w:val="both"/>
      </w:pPr>
      <w:r>
        <w:t>Intravenous contrast usually is not required to accurately diagnose inflammatory sacroiliitis.</w:t>
      </w:r>
    </w:p>
    <w:p w14:paraId="0D54C4A3" w14:textId="77777777" w:rsidR="00852466" w:rsidRDefault="00852466" w:rsidP="00852466">
      <w:pPr>
        <w:pStyle w:val="3-BodyText"/>
        <w:numPr>
          <w:ilvl w:val="1"/>
          <w:numId w:val="2"/>
        </w:numPr>
        <w:spacing w:before="120"/>
      </w:pPr>
      <w:r>
        <w:t>Humira is TGA registered for the treatment of enthesitis-related arthritis in children, who have had an inadequate response to, or who are intolerant to, conventional therapy. The recommended dose is the same as that for JIA. Humira has not been studied in patients with enthesitis-related arthritis aged &lt;6 years or any child &lt;10 kg (Humira Product Information).</w:t>
      </w:r>
    </w:p>
    <w:p w14:paraId="08085E36" w14:textId="77777777" w:rsidR="00852466" w:rsidRDefault="00852466" w:rsidP="00852466">
      <w:pPr>
        <w:pStyle w:val="3-BodyText"/>
        <w:numPr>
          <w:ilvl w:val="1"/>
          <w:numId w:val="2"/>
        </w:numPr>
        <w:spacing w:before="120"/>
      </w:pPr>
      <w:r>
        <w:t xml:space="preserve">Advice received from a rheumatologist stated that while ankylosing spondylitis </w:t>
      </w:r>
      <w:proofErr w:type="gramStart"/>
      <w:r>
        <w:t>in itself does</w:t>
      </w:r>
      <w:proofErr w:type="gramEnd"/>
      <w:r>
        <w:t xml:space="preserve"> not exist in individuals &lt;18 years, there is an equivalent disease in JIA (enthesitis-related JIA). Some of these patients eventually transition to a diagnosis of ankylosing spondylitis. Some patients may already be accessing adalimumab through the JIA listing. For ankylosing spondylitis, it was thought that most patients &lt;18 years with ankylosing spondylitis would be using a </w:t>
      </w:r>
      <w:proofErr w:type="spellStart"/>
      <w:r>
        <w:t>bDMARD</w:t>
      </w:r>
      <w:proofErr w:type="spellEnd"/>
      <w:r>
        <w:t xml:space="preserve"> (adalimumab or etanercept).</w:t>
      </w:r>
    </w:p>
    <w:p w14:paraId="4412EB8C" w14:textId="77777777" w:rsidR="00852466" w:rsidRDefault="00852466" w:rsidP="00852466">
      <w:pPr>
        <w:pStyle w:val="3-BodyText"/>
        <w:numPr>
          <w:ilvl w:val="1"/>
          <w:numId w:val="2"/>
        </w:numPr>
        <w:spacing w:before="120"/>
      </w:pPr>
      <w:r>
        <w:t>One clinician suggested that children with enthesitis-related JIA may require dose and frequency escalation when using adalimumab</w:t>
      </w:r>
      <w:r w:rsidRPr="00F42BF1">
        <w:t xml:space="preserve">. </w:t>
      </w:r>
      <w:r>
        <w:t xml:space="preserve">The Product Information for Humira provides the following recommended dose for enthesitis-related arthritis for children </w:t>
      </w:r>
      <w:r>
        <w:rPr>
          <w:rFonts w:cstheme="minorHAnsi"/>
        </w:rPr>
        <w:t>≥</w:t>
      </w:r>
      <w:r>
        <w:t>2 years:</w:t>
      </w:r>
    </w:p>
    <w:p w14:paraId="24E340F6" w14:textId="77777777" w:rsidR="00852466" w:rsidRDefault="00852466" w:rsidP="00852466">
      <w:pPr>
        <w:pStyle w:val="ListParagraph"/>
        <w:ind w:hanging="360"/>
        <w:jc w:val="both"/>
      </w:pPr>
      <w:r>
        <w:t>10 kg to &lt;30 kg: 20 mg fortnightly</w:t>
      </w:r>
    </w:p>
    <w:p w14:paraId="3D3FF4CF" w14:textId="77777777" w:rsidR="00852466" w:rsidRDefault="00852466" w:rsidP="00852466">
      <w:pPr>
        <w:pStyle w:val="ListParagraph"/>
        <w:ind w:hanging="360"/>
        <w:jc w:val="both"/>
      </w:pPr>
      <w:r>
        <w:rPr>
          <w:rFonts w:cstheme="minorHAnsi"/>
        </w:rPr>
        <w:t>≥</w:t>
      </w:r>
      <w:r>
        <w:t>30 kg: 40 mg fortnightly.</w:t>
      </w:r>
    </w:p>
    <w:p w14:paraId="599F8210" w14:textId="77777777" w:rsidR="00852466" w:rsidRDefault="00852466" w:rsidP="00852466">
      <w:pPr>
        <w:pStyle w:val="3Bodytext"/>
        <w:numPr>
          <w:ilvl w:val="0"/>
          <w:numId w:val="0"/>
        </w:numPr>
        <w:ind w:left="720"/>
      </w:pPr>
      <w:r>
        <w:t>There are no recommendations in the Product Information for increased dose or frequency for this indication.</w:t>
      </w:r>
    </w:p>
    <w:p w14:paraId="574D89FC" w14:textId="77777777" w:rsidR="00852466" w:rsidRDefault="00852466" w:rsidP="00852466">
      <w:pPr>
        <w:pStyle w:val="3-BodyText"/>
        <w:numPr>
          <w:ilvl w:val="1"/>
          <w:numId w:val="2"/>
        </w:numPr>
        <w:spacing w:before="120"/>
      </w:pPr>
      <w:r w:rsidRPr="004C201E">
        <w:t>When preparing proposed listing</w:t>
      </w:r>
      <w:r>
        <w:t xml:space="preserve"> criteria</w:t>
      </w:r>
      <w:r w:rsidRPr="004C201E">
        <w:t xml:space="preserve"> for this indication</w:t>
      </w:r>
      <w:r>
        <w:t xml:space="preserve"> for paediatric patients</w:t>
      </w:r>
      <w:r w:rsidRPr="004C201E">
        <w:t xml:space="preserve"> for</w:t>
      </w:r>
      <w:r>
        <w:t xml:space="preserve"> </w:t>
      </w:r>
      <w:r w:rsidRPr="004C201E">
        <w:t>consideration by the PBAC, further advice was requested from</w:t>
      </w:r>
      <w:r>
        <w:t xml:space="preserve"> paediatric rheumatologists. The advice requested and response is provided in the table below.</w:t>
      </w:r>
    </w:p>
    <w:p w14:paraId="54B37125" w14:textId="77777777" w:rsidR="00852466" w:rsidRPr="0038053B" w:rsidRDefault="00852466" w:rsidP="00852466">
      <w:pPr>
        <w:pStyle w:val="TableFigureHeading"/>
      </w:pPr>
      <w:r w:rsidRPr="0038053B">
        <w:t xml:space="preserve">Table </w:t>
      </w:r>
      <w:r>
        <w:t>7</w:t>
      </w:r>
      <w:r w:rsidRPr="0038053B">
        <w:t>: Advice requested from paediatric rheumatologists and response</w:t>
      </w:r>
    </w:p>
    <w:tbl>
      <w:tblPr>
        <w:tblStyle w:val="TableGrid"/>
        <w:tblW w:w="0" w:type="auto"/>
        <w:tblLook w:val="04A0" w:firstRow="1" w:lastRow="0" w:firstColumn="1" w:lastColumn="0" w:noHBand="0" w:noVBand="1"/>
        <w:tblCaption w:val="Advice requested from paediatric rheumatologists and response"/>
      </w:tblPr>
      <w:tblGrid>
        <w:gridCol w:w="4508"/>
        <w:gridCol w:w="4508"/>
      </w:tblGrid>
      <w:tr w:rsidR="00852466" w:rsidRPr="0055541B" w14:paraId="67DE377B" w14:textId="77777777">
        <w:trPr>
          <w:cantSplit/>
          <w:tblHeader/>
        </w:trPr>
        <w:tc>
          <w:tcPr>
            <w:tcW w:w="4508" w:type="dxa"/>
          </w:tcPr>
          <w:p w14:paraId="0308882A" w14:textId="77777777" w:rsidR="00852466" w:rsidRPr="0055541B" w:rsidRDefault="00852466">
            <w:pPr>
              <w:pStyle w:val="In-tableHeading"/>
            </w:pPr>
            <w:r w:rsidRPr="0055541B">
              <w:t>Advice requested</w:t>
            </w:r>
          </w:p>
        </w:tc>
        <w:tc>
          <w:tcPr>
            <w:tcW w:w="4508" w:type="dxa"/>
          </w:tcPr>
          <w:p w14:paraId="795C6010" w14:textId="77777777" w:rsidR="00852466" w:rsidRPr="0055541B" w:rsidRDefault="00852466">
            <w:pPr>
              <w:pStyle w:val="In-tableHeading"/>
            </w:pPr>
            <w:r w:rsidRPr="0055541B">
              <w:t>Response</w:t>
            </w:r>
          </w:p>
        </w:tc>
      </w:tr>
      <w:tr w:rsidR="00852466" w:rsidRPr="0055541B" w14:paraId="0667BD07" w14:textId="77777777">
        <w:tc>
          <w:tcPr>
            <w:tcW w:w="4508" w:type="dxa"/>
          </w:tcPr>
          <w:p w14:paraId="53034937" w14:textId="77777777" w:rsidR="00852466" w:rsidRPr="0055541B" w:rsidRDefault="00852466">
            <w:pPr>
              <w:pStyle w:val="TableText0"/>
            </w:pPr>
            <w:r w:rsidRPr="0055541B">
              <w:t>How is an adequate response defined for this patient group?</w:t>
            </w:r>
          </w:p>
        </w:tc>
        <w:tc>
          <w:tcPr>
            <w:tcW w:w="4508" w:type="dxa"/>
          </w:tcPr>
          <w:p w14:paraId="401CB386" w14:textId="77777777" w:rsidR="00852466" w:rsidRDefault="00852466" w:rsidP="00852466">
            <w:pPr>
              <w:pStyle w:val="TableText0"/>
              <w:numPr>
                <w:ilvl w:val="0"/>
                <w:numId w:val="138"/>
              </w:numPr>
              <w:ind w:left="344"/>
            </w:pPr>
            <w:r w:rsidRPr="0055541B">
              <w:t>There are no validated or proposed measures that define response or minimal clinically important differences in enthesitis/spondylitis related juvenile idiopathic arthritis.</w:t>
            </w:r>
          </w:p>
          <w:p w14:paraId="281FEEC7" w14:textId="77777777" w:rsidR="00852466" w:rsidRPr="0055541B" w:rsidRDefault="00852466" w:rsidP="00852466">
            <w:pPr>
              <w:pStyle w:val="TableText0"/>
              <w:numPr>
                <w:ilvl w:val="0"/>
                <w:numId w:val="138"/>
              </w:numPr>
              <w:ind w:left="344"/>
            </w:pPr>
            <w:r w:rsidRPr="0055541B">
              <w:t>Most contemporary trials in enthesitis related juvenile arthritis use the American College of Rheumatology (ACR) Pediatric 30 (Pedi 30) criteria to define improvement</w:t>
            </w:r>
            <w:r w:rsidRPr="0055541B">
              <w:rPr>
                <w:rStyle w:val="FootnoteReference"/>
                <w:szCs w:val="20"/>
              </w:rPr>
              <w:footnoteReference w:id="20"/>
            </w:r>
            <w:r w:rsidRPr="0055541B">
              <w:rPr>
                <w:vertAlign w:val="superscript"/>
              </w:rPr>
              <w:t>,</w:t>
            </w:r>
            <w:r w:rsidRPr="0055541B">
              <w:rPr>
                <w:rStyle w:val="FootnoteReference"/>
                <w:szCs w:val="20"/>
              </w:rPr>
              <w:footnoteReference w:id="21"/>
            </w:r>
            <w:r w:rsidRPr="0055541B">
              <w:rPr>
                <w:vertAlign w:val="superscript"/>
              </w:rPr>
              <w:t>,</w:t>
            </w:r>
            <w:r w:rsidRPr="0055541B">
              <w:rPr>
                <w:rStyle w:val="FootnoteReference"/>
                <w:szCs w:val="20"/>
              </w:rPr>
              <w:footnoteReference w:id="22"/>
            </w:r>
          </w:p>
          <w:p w14:paraId="6C180CA0" w14:textId="77777777" w:rsidR="00852466" w:rsidRDefault="00852466" w:rsidP="00852466">
            <w:pPr>
              <w:pStyle w:val="TableText0"/>
              <w:numPr>
                <w:ilvl w:val="0"/>
                <w:numId w:val="138"/>
              </w:numPr>
              <w:ind w:left="344"/>
            </w:pPr>
            <w:r w:rsidRPr="0055541B">
              <w:t>ACR Pedi 30 is a composite measure of disease response that equates to a 30% overall improvement. It is designed for use in patients with peripheral arthritis and is not a helpful tool to detect improvement in patients who predominantly have axial disease.</w:t>
            </w:r>
          </w:p>
          <w:p w14:paraId="71A94923" w14:textId="77777777" w:rsidR="00852466" w:rsidRPr="0055541B" w:rsidRDefault="00852466" w:rsidP="00852466">
            <w:pPr>
              <w:pStyle w:val="TableText0"/>
              <w:numPr>
                <w:ilvl w:val="0"/>
                <w:numId w:val="138"/>
              </w:numPr>
              <w:ind w:left="344"/>
            </w:pPr>
            <w:r w:rsidRPr="0055541B">
              <w:t xml:space="preserve">We would propose that a 30% improvement on baseline Juvenile </w:t>
            </w:r>
            <w:proofErr w:type="spellStart"/>
            <w:r w:rsidRPr="0055541B">
              <w:t>Spondyloarthritis</w:t>
            </w:r>
            <w:proofErr w:type="spellEnd"/>
            <w:r w:rsidRPr="0055541B">
              <w:t xml:space="preserve"> Disease Activity Index score would be a reasonable definition of improvement that would be applicable to a heterogenous group (i.e. those with peripheral and/or axial disease).</w:t>
            </w:r>
          </w:p>
        </w:tc>
      </w:tr>
      <w:tr w:rsidR="00852466" w:rsidRPr="0055541B" w14:paraId="44CE3E6D" w14:textId="77777777">
        <w:tc>
          <w:tcPr>
            <w:tcW w:w="4508" w:type="dxa"/>
          </w:tcPr>
          <w:p w14:paraId="54CB6C04" w14:textId="77777777" w:rsidR="00852466" w:rsidRPr="0055541B" w:rsidRDefault="00852466">
            <w:pPr>
              <w:pStyle w:val="TableText0"/>
            </w:pPr>
            <w:r w:rsidRPr="0055541B">
              <w:t>The treatment break for adalimumab in the proposed listing aligns with the break in treatment between cycles for the adult ankylosing spondylitis listing. Advice requested on how paediatric patients are currently managed and whether this treatment break period is appropriate for paediatric patients.</w:t>
            </w:r>
          </w:p>
        </w:tc>
        <w:tc>
          <w:tcPr>
            <w:tcW w:w="4508" w:type="dxa"/>
          </w:tcPr>
          <w:p w14:paraId="1AFBB151" w14:textId="77777777" w:rsidR="00852466" w:rsidRPr="0055541B" w:rsidRDefault="00852466">
            <w:pPr>
              <w:pStyle w:val="TableText0"/>
            </w:pPr>
            <w:r w:rsidRPr="0055541B">
              <w:t>Most patients with this subtype of arthritis are diagnosed in adolescence so would be over the age of 18 after a 5-year gap. It would be unusual to re-try adalimumab if it was not initially effective. The only reason to keep this would be if a patient failed to respond as they did not have a reassessment in the required time frame. Given the workforce constraints and challenges faced by priority groups (particularly rural) this could be an issue for some. It could potentially be excluded, or alternatively a shorter period such as two years could be considered to cater for this group.</w:t>
            </w:r>
          </w:p>
        </w:tc>
      </w:tr>
      <w:tr w:rsidR="00852466" w:rsidRPr="0055541B" w14:paraId="7FDB5FE9" w14:textId="77777777">
        <w:tc>
          <w:tcPr>
            <w:tcW w:w="4508" w:type="dxa"/>
          </w:tcPr>
          <w:p w14:paraId="373DB8CF" w14:textId="77777777" w:rsidR="00852466" w:rsidRPr="0055541B" w:rsidRDefault="00852466">
            <w:pPr>
              <w:pStyle w:val="TableText0"/>
            </w:pPr>
            <w:r w:rsidRPr="0055541B">
              <w:t>Advice requested on how patients are currently accessing treatment after they turn 18 years of age</w:t>
            </w:r>
            <w:proofErr w:type="gramStart"/>
            <w:r w:rsidRPr="0055541B">
              <w:t>, in particular, if</w:t>
            </w:r>
            <w:proofErr w:type="gramEnd"/>
            <w:r w:rsidRPr="0055541B">
              <w:t xml:space="preserve"> they fail to demonstrate an adequate response to adalimumab.</w:t>
            </w:r>
          </w:p>
        </w:tc>
        <w:tc>
          <w:tcPr>
            <w:tcW w:w="4508" w:type="dxa"/>
          </w:tcPr>
          <w:p w14:paraId="55E7B58A" w14:textId="77777777" w:rsidR="00852466" w:rsidRDefault="00852466" w:rsidP="00852466">
            <w:pPr>
              <w:pStyle w:val="TableText0"/>
              <w:numPr>
                <w:ilvl w:val="0"/>
                <w:numId w:val="139"/>
              </w:numPr>
              <w:ind w:left="344"/>
            </w:pPr>
            <w:r w:rsidRPr="0055541B">
              <w:t xml:space="preserve">As there is no current pathway for young people to access biologic therapies through the PBS for enthesitis/spondylitis related JIA, these patients generally access these medications through private funding, pharmaceutical company compassionate access programs or through public hospital pharmacy budgets. On turning 18, some of these patients will meet criteria for ankylosing spondylitis or non-radiographic axial </w:t>
            </w:r>
            <w:proofErr w:type="spellStart"/>
            <w:r w:rsidRPr="0055541B">
              <w:t>spondyloarthritis</w:t>
            </w:r>
            <w:proofErr w:type="spellEnd"/>
            <w:r w:rsidRPr="0055541B">
              <w:t xml:space="preserve"> and in some instances are able to access biological therapies through these corresponding PBS pathways. Alternatively, they will continue to access them through non-PBS means as listed above.</w:t>
            </w:r>
          </w:p>
          <w:p w14:paraId="352C4EE4" w14:textId="77777777" w:rsidR="00852466" w:rsidRPr="0055541B" w:rsidRDefault="00852466" w:rsidP="00852466">
            <w:pPr>
              <w:pStyle w:val="TableText0"/>
              <w:numPr>
                <w:ilvl w:val="0"/>
                <w:numId w:val="139"/>
              </w:numPr>
              <w:ind w:left="344"/>
            </w:pPr>
            <w:r w:rsidRPr="0055541B">
              <w:t>It would be unusual to persist with adalimumab or re-try adalimumab treatment in the event of non-response given that there are alternative agents available.</w:t>
            </w:r>
          </w:p>
        </w:tc>
      </w:tr>
    </w:tbl>
    <w:p w14:paraId="1DFB5ABE" w14:textId="77777777" w:rsidR="00852466" w:rsidRDefault="00852466" w:rsidP="00852466">
      <w:pPr>
        <w:pStyle w:val="3Bodytext"/>
        <w:spacing w:before="120"/>
        <w:jc w:val="both"/>
      </w:pPr>
      <w:r>
        <w:t>The paediatric rheumatologists also suggested the following for consideration:</w:t>
      </w:r>
    </w:p>
    <w:p w14:paraId="4ED4F07B" w14:textId="77777777" w:rsidR="00852466" w:rsidRDefault="00852466" w:rsidP="00852466">
      <w:pPr>
        <w:pStyle w:val="ListParagraph"/>
        <w:ind w:hanging="360"/>
        <w:jc w:val="both"/>
        <w:rPr>
          <w:rFonts w:ascii="Calibri" w:hAnsi="Calibri"/>
          <w:sz w:val="22"/>
        </w:rPr>
      </w:pPr>
      <w:r>
        <w:t>The terms synovitis and active arthritis are interchangeable however active arthritis may be best for consistency.</w:t>
      </w:r>
    </w:p>
    <w:p w14:paraId="5A1A8722" w14:textId="77777777" w:rsidR="00852466" w:rsidRDefault="00852466" w:rsidP="00852466">
      <w:pPr>
        <w:pStyle w:val="ListParagraph"/>
        <w:ind w:hanging="360"/>
        <w:jc w:val="both"/>
      </w:pPr>
      <w:r>
        <w:t>The term enthesitis / spondylitis related JIA was suggested to reflect contemporary classification criteria.</w:t>
      </w:r>
      <w:r>
        <w:rPr>
          <w:rStyle w:val="FootnoteReference"/>
        </w:rPr>
        <w:footnoteReference w:id="23"/>
      </w:r>
    </w:p>
    <w:p w14:paraId="46BF0522" w14:textId="77777777" w:rsidR="00852466" w:rsidRDefault="00852466" w:rsidP="00852466">
      <w:pPr>
        <w:pStyle w:val="ListParagraph"/>
        <w:ind w:hanging="360"/>
        <w:jc w:val="both"/>
      </w:pPr>
      <w:r>
        <w:t xml:space="preserve">The reference provided for the Juvenile </w:t>
      </w:r>
      <w:proofErr w:type="spellStart"/>
      <w:r>
        <w:t>Spondyloarthritis</w:t>
      </w:r>
      <w:proofErr w:type="spellEnd"/>
      <w:r>
        <w:t xml:space="preserve"> Disease Activity Index</w:t>
      </w:r>
      <w:r>
        <w:rPr>
          <w:b/>
          <w:bCs/>
        </w:rPr>
        <w:t xml:space="preserve"> </w:t>
      </w:r>
      <w:r>
        <w:t>is suitable.</w:t>
      </w:r>
      <w:r>
        <w:rPr>
          <w:rStyle w:val="FootnoteReference"/>
        </w:rPr>
        <w:footnoteReference w:id="24"/>
      </w:r>
    </w:p>
    <w:p w14:paraId="2934C4C4" w14:textId="77777777" w:rsidR="00852466" w:rsidRDefault="00852466" w:rsidP="00852466">
      <w:pPr>
        <w:pStyle w:val="ListParagraph"/>
        <w:ind w:hanging="360"/>
        <w:jc w:val="both"/>
      </w:pPr>
      <w:r>
        <w:t>A significant majority of patients accessing adalimumab for this indication would be over 30 kg and therefore suited to the 40 mg dose however there are likely to be some patients where the 20 mg dose is preferable. It was asked if a similar listing for the 20 mg dose had been considered.</w:t>
      </w:r>
    </w:p>
    <w:p w14:paraId="686D5DC1" w14:textId="77777777" w:rsidR="00852466" w:rsidRDefault="00852466" w:rsidP="00852466">
      <w:pPr>
        <w:pStyle w:val="ListParagraph"/>
        <w:ind w:hanging="360"/>
        <w:jc w:val="both"/>
      </w:pPr>
      <w:r>
        <w:t>For the enthesitis/spondylitis listing a cap on the prerequisite methotrexate dose (i.e. methotrexate 15 mg per metre square (maximum 20 mg)) in line with the severe JIA listing was proposed.</w:t>
      </w:r>
    </w:p>
    <w:p w14:paraId="46B2AB0D" w14:textId="77777777" w:rsidR="00852466" w:rsidRPr="00D65709" w:rsidRDefault="00852466" w:rsidP="00852466">
      <w:pPr>
        <w:pStyle w:val="ListParagraph"/>
        <w:ind w:hanging="360"/>
        <w:jc w:val="both"/>
      </w:pPr>
      <w:r>
        <w:t>Asked if it would be reasonable to include a ‘grandfathering’ PBS listing given that potentially eligible patients may currently be accessing adalimumab through non-PBS means.</w:t>
      </w:r>
    </w:p>
    <w:p w14:paraId="4F58E7D1" w14:textId="77777777" w:rsidR="00852466" w:rsidRDefault="00852466" w:rsidP="00852466">
      <w:pPr>
        <w:pStyle w:val="4-SubsectionHeading"/>
      </w:pPr>
      <w:r>
        <w:t>Chronic plaque psoriasis</w:t>
      </w:r>
    </w:p>
    <w:p w14:paraId="20C20B74" w14:textId="77777777" w:rsidR="00852466" w:rsidRDefault="00852466" w:rsidP="00852466">
      <w:pPr>
        <w:pStyle w:val="3-BodyText"/>
        <w:numPr>
          <w:ilvl w:val="1"/>
          <w:numId w:val="2"/>
        </w:numPr>
        <w:spacing w:before="120"/>
      </w:pPr>
      <w:r>
        <w:t>The ACD stated that as there is no current PBS listing for adalimumab for paediatric patients with psoriasis, this creates barriers for these patients in accessing timely, quality, appropriate and effective care and treatment.</w:t>
      </w:r>
    </w:p>
    <w:p w14:paraId="4F3E2267" w14:textId="77777777" w:rsidR="00852466" w:rsidRDefault="00852466" w:rsidP="00852466">
      <w:pPr>
        <w:pStyle w:val="3-BodyText"/>
        <w:numPr>
          <w:ilvl w:val="1"/>
          <w:numId w:val="2"/>
        </w:numPr>
        <w:spacing w:before="120"/>
      </w:pPr>
      <w:r>
        <w:t xml:space="preserve">The ACD was of the view that having a PBS listing for adalimumab 20 mg/0.2 mL solution for injection pre-filled syringe for the treatment of severe chronic plaque psoriasis in children </w:t>
      </w:r>
      <w:r>
        <w:rPr>
          <w:rFonts w:cstheme="minorHAnsi"/>
        </w:rPr>
        <w:t>≥</w:t>
      </w:r>
      <w:r>
        <w:t>4 years who have had inadequate response to or are inappropriate candidates for topical therapy and phototherapy would be beneficial and consistent with the TGA registered indications for adalimumab.</w:t>
      </w:r>
    </w:p>
    <w:p w14:paraId="1DBAAB47" w14:textId="77777777" w:rsidR="00852466" w:rsidRDefault="00852466" w:rsidP="00852466">
      <w:pPr>
        <w:pStyle w:val="3-BodyText"/>
        <w:numPr>
          <w:ilvl w:val="1"/>
          <w:numId w:val="2"/>
        </w:numPr>
        <w:spacing w:before="120"/>
      </w:pPr>
      <w:r>
        <w:t>The ACD also noted that pustular psoriasis is a severe, life-threatening condition where urgent medical treatment with a biologic is required and cannot wait, and therefore considered that the requirement to need to fail two previous therapies to access treatment with adalimumab through the PBS is not appropriate</w:t>
      </w:r>
      <w:r w:rsidRPr="00601B78">
        <w:t>.</w:t>
      </w:r>
      <w:r w:rsidRPr="00FE617B">
        <w:t xml:space="preserve"> Humira is not TGA-registered for the treatment of pustular psoriasis.</w:t>
      </w:r>
    </w:p>
    <w:p w14:paraId="1D497ED0" w14:textId="77777777" w:rsidR="00852466" w:rsidRDefault="00852466" w:rsidP="00852466">
      <w:pPr>
        <w:pStyle w:val="3-BodyText"/>
        <w:numPr>
          <w:ilvl w:val="1"/>
          <w:numId w:val="2"/>
        </w:numPr>
        <w:spacing w:before="120"/>
      </w:pPr>
      <w:r w:rsidRPr="00FE617B">
        <w:t>Further advice was requested from the ACD regarding what constituted topical therapy in this situation, and for what duration topical therapy would be used before the patient was deemed to have an inadequate response to this treatment and consideration would be given to using adalimumab.</w:t>
      </w:r>
      <w:r>
        <w:t xml:space="preserve"> The ACD advised a topical therapy referred to daily topical therapy of medium to high potency topical corticosteroids (+/- calcipotriol), or topical calcineurin inhibitor, for a duration of at least 28 days.</w:t>
      </w:r>
    </w:p>
    <w:p w14:paraId="2792B7FF" w14:textId="77777777" w:rsidR="00852466" w:rsidRPr="00FE617B" w:rsidRDefault="00852466" w:rsidP="00852466">
      <w:pPr>
        <w:pStyle w:val="3-BodyText"/>
        <w:numPr>
          <w:ilvl w:val="1"/>
          <w:numId w:val="2"/>
        </w:numPr>
        <w:spacing w:before="120"/>
      </w:pPr>
      <w:r w:rsidRPr="00FE617B">
        <w:t>When preparing the proposed revised listings for this indication for consideration by the PBAC, further advice was requested from the ACD. A summary of advice requested from the ACD, and its response, is below:</w:t>
      </w:r>
    </w:p>
    <w:p w14:paraId="42A98196" w14:textId="77777777" w:rsidR="00852466" w:rsidRPr="00F7420A" w:rsidRDefault="00852466" w:rsidP="00852466">
      <w:pPr>
        <w:pStyle w:val="TableFigureHeading"/>
      </w:pPr>
      <w:r w:rsidRPr="00F7420A">
        <w:t>Table 8: Advice requested from the ACD and response</w:t>
      </w:r>
    </w:p>
    <w:tbl>
      <w:tblPr>
        <w:tblStyle w:val="TableGrid"/>
        <w:tblW w:w="0" w:type="auto"/>
        <w:tblLook w:val="04A0" w:firstRow="1" w:lastRow="0" w:firstColumn="1" w:lastColumn="0" w:noHBand="0" w:noVBand="1"/>
        <w:tblCaption w:val="Advice requested from the ACD and response"/>
      </w:tblPr>
      <w:tblGrid>
        <w:gridCol w:w="4508"/>
        <w:gridCol w:w="4508"/>
      </w:tblGrid>
      <w:tr w:rsidR="00852466" w:rsidRPr="005A0D1A" w14:paraId="12A8EA4C" w14:textId="77777777">
        <w:trPr>
          <w:cantSplit/>
          <w:tblHeader/>
        </w:trPr>
        <w:tc>
          <w:tcPr>
            <w:tcW w:w="4508" w:type="dxa"/>
          </w:tcPr>
          <w:p w14:paraId="7BDD2A0F" w14:textId="77777777" w:rsidR="00852466" w:rsidRPr="0055541B" w:rsidRDefault="00852466">
            <w:pPr>
              <w:pStyle w:val="In-tableHeading"/>
            </w:pPr>
            <w:r w:rsidRPr="0055541B">
              <w:t>Advice requested</w:t>
            </w:r>
          </w:p>
        </w:tc>
        <w:tc>
          <w:tcPr>
            <w:tcW w:w="4508" w:type="dxa"/>
          </w:tcPr>
          <w:p w14:paraId="6EA38818" w14:textId="77777777" w:rsidR="00852466" w:rsidRPr="0055541B" w:rsidRDefault="00852466">
            <w:pPr>
              <w:pStyle w:val="In-tableHeading"/>
            </w:pPr>
            <w:r w:rsidRPr="0055541B">
              <w:t>ACD’s response</w:t>
            </w:r>
          </w:p>
        </w:tc>
      </w:tr>
      <w:tr w:rsidR="00852466" w:rsidRPr="005A0D1A" w14:paraId="6C1242EE" w14:textId="77777777">
        <w:tc>
          <w:tcPr>
            <w:tcW w:w="4508" w:type="dxa"/>
          </w:tcPr>
          <w:p w14:paraId="75311689" w14:textId="77777777" w:rsidR="00852466" w:rsidRPr="0055541B" w:rsidRDefault="00852466">
            <w:pPr>
              <w:pStyle w:val="TableText0"/>
            </w:pPr>
            <w:r w:rsidRPr="0055541B">
              <w:t>What proportion of paediatric patients diagnosed with chronic plaque psoriasis would likely be prescribed a 20 mg dose of adalimumab?</w:t>
            </w:r>
          </w:p>
        </w:tc>
        <w:tc>
          <w:tcPr>
            <w:tcW w:w="4508" w:type="dxa"/>
          </w:tcPr>
          <w:p w14:paraId="773A770F" w14:textId="77777777" w:rsidR="00852466" w:rsidRPr="0055541B" w:rsidRDefault="00852466">
            <w:pPr>
              <w:pStyle w:val="TableText0"/>
            </w:pPr>
            <w:r w:rsidRPr="0055541B">
              <w:t>Studies suggest 1-20% of patients with paediatric psoriasis required systemic treatment (not specific for adalimumab), although the ACD noted this was based on data from European trials</w:t>
            </w:r>
            <w:r w:rsidRPr="0055541B">
              <w:rPr>
                <w:rStyle w:val="FootnoteReference"/>
                <w:szCs w:val="20"/>
              </w:rPr>
              <w:footnoteReference w:id="25"/>
            </w:r>
            <w:r w:rsidRPr="0055541B">
              <w:t>, and suggested 10% may be a more appropriate estimate. The 20 mg dose depends on the severity of the chronic plaque psoriasis and the child’s weight.</w:t>
            </w:r>
            <w:r w:rsidRPr="0055541B">
              <w:rPr>
                <w:rStyle w:val="FootnoteReference"/>
                <w:szCs w:val="20"/>
              </w:rPr>
              <w:footnoteReference w:id="26"/>
            </w:r>
            <w:r w:rsidRPr="0055541B">
              <w:t xml:space="preserve"> Candidates for systemic therapy are patients who meet at least one of the following criteria</w:t>
            </w:r>
            <w:r w:rsidRPr="0055541B">
              <w:rPr>
                <w:vertAlign w:val="superscript"/>
              </w:rPr>
              <w:t>3</w:t>
            </w:r>
            <w:r w:rsidRPr="0055541B">
              <w:t>:</w:t>
            </w:r>
          </w:p>
          <w:p w14:paraId="18F66CDE" w14:textId="77777777" w:rsidR="00852466" w:rsidRDefault="00852466">
            <w:pPr>
              <w:pStyle w:val="TableText0"/>
              <w:rPr>
                <w:szCs w:val="20"/>
              </w:rPr>
            </w:pPr>
            <w:r w:rsidRPr="005A0D1A">
              <w:rPr>
                <w:szCs w:val="20"/>
              </w:rPr>
              <w:t>Body Surface Area (BSA) &gt;10%</w:t>
            </w:r>
          </w:p>
          <w:p w14:paraId="40BB4236" w14:textId="77777777" w:rsidR="00852466" w:rsidRPr="005A0D1A" w:rsidRDefault="00852466">
            <w:pPr>
              <w:pStyle w:val="TableText0"/>
              <w:rPr>
                <w:szCs w:val="20"/>
              </w:rPr>
            </w:pPr>
            <w:r w:rsidRPr="005A0D1A">
              <w:rPr>
                <w:szCs w:val="20"/>
              </w:rPr>
              <w:t>Psoriasis Area and Severity Index (PASI) score &gt;10</w:t>
            </w:r>
          </w:p>
          <w:p w14:paraId="6AE7E8FB" w14:textId="77777777" w:rsidR="00852466" w:rsidRDefault="00852466">
            <w:pPr>
              <w:pStyle w:val="TableText0"/>
              <w:rPr>
                <w:szCs w:val="20"/>
              </w:rPr>
            </w:pPr>
            <w:r w:rsidRPr="005A0D1A">
              <w:rPr>
                <w:szCs w:val="20"/>
              </w:rPr>
              <w:t>Physician’s Global Assessment (PGA) &gt;2 (scale 0-4)</w:t>
            </w:r>
          </w:p>
          <w:p w14:paraId="5DE1DD71" w14:textId="77777777" w:rsidR="00852466" w:rsidRDefault="00852466">
            <w:pPr>
              <w:pStyle w:val="TableText0"/>
              <w:rPr>
                <w:szCs w:val="20"/>
              </w:rPr>
            </w:pPr>
            <w:r w:rsidRPr="005A0D1A">
              <w:rPr>
                <w:szCs w:val="20"/>
              </w:rPr>
              <w:t>Disease involving specific high impact areas</w:t>
            </w:r>
          </w:p>
          <w:p w14:paraId="3CF9266C" w14:textId="77777777" w:rsidR="00852466" w:rsidRDefault="00852466">
            <w:pPr>
              <w:pStyle w:val="TableText0"/>
              <w:rPr>
                <w:szCs w:val="20"/>
              </w:rPr>
            </w:pPr>
            <w:r w:rsidRPr="005A0D1A">
              <w:rPr>
                <w:szCs w:val="20"/>
              </w:rPr>
              <w:t>Severe pruritus leading to excoriation</w:t>
            </w:r>
          </w:p>
          <w:p w14:paraId="3D43C611" w14:textId="77777777" w:rsidR="00852466" w:rsidRPr="005A0D1A" w:rsidRDefault="00852466">
            <w:pPr>
              <w:pStyle w:val="TableText0"/>
              <w:rPr>
                <w:szCs w:val="20"/>
              </w:rPr>
            </w:pPr>
            <w:r w:rsidRPr="005A0D1A">
              <w:rPr>
                <w:szCs w:val="20"/>
              </w:rPr>
              <w:t>Dermatology Life Quality Index (DLQI) &gt;10.</w:t>
            </w:r>
          </w:p>
        </w:tc>
      </w:tr>
      <w:tr w:rsidR="00852466" w:rsidRPr="005A0D1A" w14:paraId="7E7CF814" w14:textId="77777777">
        <w:tc>
          <w:tcPr>
            <w:tcW w:w="4508" w:type="dxa"/>
          </w:tcPr>
          <w:p w14:paraId="139E8C9D" w14:textId="77777777" w:rsidR="00852466" w:rsidRPr="0055541B" w:rsidRDefault="00852466">
            <w:pPr>
              <w:pStyle w:val="TableText0"/>
            </w:pPr>
            <w:r w:rsidRPr="0055541B">
              <w:t>What is the current treatment pathway for this patient group, including once they become adults (over 18 years of age)?</w:t>
            </w:r>
          </w:p>
        </w:tc>
        <w:tc>
          <w:tcPr>
            <w:tcW w:w="4508" w:type="dxa"/>
          </w:tcPr>
          <w:p w14:paraId="44852918" w14:textId="77777777" w:rsidR="00852466" w:rsidRPr="0055541B" w:rsidRDefault="00852466">
            <w:pPr>
              <w:pStyle w:val="TableText0"/>
            </w:pPr>
            <w:r w:rsidRPr="0055541B">
              <w:t>Topical therapy is first line, including corticosteroids, calcineurin inhibitors or vitamin D analogues. Phototherapy is commonly used in combination with topical agents.</w:t>
            </w:r>
          </w:p>
          <w:p w14:paraId="43865130" w14:textId="77777777" w:rsidR="00852466" w:rsidRDefault="00852466">
            <w:pPr>
              <w:pStyle w:val="TableText0"/>
            </w:pPr>
          </w:p>
          <w:p w14:paraId="12E5859E" w14:textId="77777777" w:rsidR="00852466" w:rsidRPr="0055541B" w:rsidRDefault="00852466">
            <w:pPr>
              <w:pStyle w:val="TableText0"/>
            </w:pPr>
            <w:r w:rsidRPr="0055541B">
              <w:t>Systemic therapy is decided on baseline disease severity, disease activity, response to topical and phototherapy, and presence of comorbidities. Includes biologics (adalimumab, methotrexate, etanercept, etc).</w:t>
            </w:r>
          </w:p>
          <w:p w14:paraId="0A43B673" w14:textId="77777777" w:rsidR="00852466" w:rsidRDefault="00852466">
            <w:pPr>
              <w:pStyle w:val="TableText0"/>
            </w:pPr>
          </w:p>
          <w:p w14:paraId="62BB0828" w14:textId="77777777" w:rsidR="00852466" w:rsidRPr="0055541B" w:rsidRDefault="00852466">
            <w:pPr>
              <w:pStyle w:val="TableText0"/>
            </w:pPr>
            <w:r w:rsidRPr="0055541B">
              <w:t>Psoriasis can be classified quantitatively using a combination of BSA, PASI, DLQI metrics. An age appropriate scale is needed when assessing paediatric patients. During treatment induction, the initial response should be assessed up to 16 weeks after therapy initiation or up to 24 weeks for therapies with a slower onset of action.</w:t>
            </w:r>
          </w:p>
          <w:p w14:paraId="3C34D114" w14:textId="77777777" w:rsidR="00852466" w:rsidRDefault="00852466">
            <w:pPr>
              <w:pStyle w:val="TableText0"/>
            </w:pPr>
          </w:p>
          <w:p w14:paraId="5145D158" w14:textId="77777777" w:rsidR="00852466" w:rsidRPr="0055541B" w:rsidRDefault="00852466">
            <w:pPr>
              <w:pStyle w:val="TableText0"/>
            </w:pPr>
            <w:r w:rsidRPr="0055541B">
              <w:t>Long term efficacy and safety of adalimumab in paediatric patients has been assessed in the literature for up to 52 weeks. As adults, the adalimumab dosage should be reviewed based on disease severity, comorbidities, patient conditions, previous response to therapy, and any adverse reactions. Once &gt;18 years, patients would be eligible for other biologic therapies, and may change to an alternate biologic if their response to adalimumab was suboptimal.</w:t>
            </w:r>
          </w:p>
        </w:tc>
      </w:tr>
      <w:tr w:rsidR="00852466" w:rsidRPr="005A0D1A" w14:paraId="4820F8F6" w14:textId="77777777">
        <w:tc>
          <w:tcPr>
            <w:tcW w:w="4508" w:type="dxa"/>
          </w:tcPr>
          <w:p w14:paraId="1B4612AD" w14:textId="77777777" w:rsidR="00852466" w:rsidRPr="008A416D" w:rsidRDefault="00852466">
            <w:pPr>
              <w:pStyle w:val="TableText0"/>
            </w:pPr>
            <w:r w:rsidRPr="008A416D">
              <w:t>Is the ACD able to provide any references (clinical papers, clinical/consensus guidelines) to support the request for the adalimumab 20 mg pre-filled syringe?</w:t>
            </w:r>
          </w:p>
        </w:tc>
        <w:tc>
          <w:tcPr>
            <w:tcW w:w="4508" w:type="dxa"/>
          </w:tcPr>
          <w:p w14:paraId="6A47309D" w14:textId="77777777" w:rsidR="00852466" w:rsidRPr="008A416D" w:rsidRDefault="00852466">
            <w:pPr>
              <w:pStyle w:val="TableText0"/>
            </w:pPr>
            <w:r w:rsidRPr="008A416D">
              <w:t>The response referred to the Consensus adaptation: Treatment goals for moderate-to-severe psoriasis in paediatric and adult Australian patients</w:t>
            </w:r>
            <w:r w:rsidRPr="0055541B">
              <w:rPr>
                <w:rStyle w:val="FootnoteReference"/>
                <w:szCs w:val="20"/>
              </w:rPr>
              <w:footnoteReference w:id="27"/>
            </w:r>
            <w:r w:rsidRPr="008A416D">
              <w:t>, and Australian consensus: Treatment goals for moderate to severe psoriasis in the era of targeted therapies – Considerations for paediatric patients</w:t>
            </w:r>
            <w:r w:rsidRPr="0055541B">
              <w:rPr>
                <w:rStyle w:val="FootnoteReference"/>
                <w:szCs w:val="20"/>
              </w:rPr>
              <w:footnoteReference w:id="28"/>
            </w:r>
            <w:r w:rsidRPr="008A416D">
              <w:t>, to supplement their advice.</w:t>
            </w:r>
          </w:p>
        </w:tc>
      </w:tr>
      <w:tr w:rsidR="00852466" w:rsidRPr="005A0D1A" w14:paraId="2987FF8B" w14:textId="77777777">
        <w:tc>
          <w:tcPr>
            <w:tcW w:w="4508" w:type="dxa"/>
          </w:tcPr>
          <w:p w14:paraId="33FBCDDC" w14:textId="77777777" w:rsidR="00852466" w:rsidRDefault="00852466">
            <w:pPr>
              <w:pStyle w:val="TableText0"/>
              <w:keepNext w:val="0"/>
            </w:pPr>
            <w:r w:rsidRPr="005A0D1A">
              <w:t>Would the following definition for a failure to achieve an adequate response to prior therapy remain appropriate for this patient group?</w:t>
            </w:r>
          </w:p>
          <w:p w14:paraId="5E153841" w14:textId="77777777" w:rsidR="00852466" w:rsidRPr="005A0D1A" w:rsidRDefault="00852466">
            <w:pPr>
              <w:pStyle w:val="TableText0"/>
              <w:keepNext w:val="0"/>
            </w:pPr>
          </w:p>
          <w:p w14:paraId="6F1BEC74" w14:textId="77777777" w:rsidR="00852466" w:rsidRPr="005A0D1A" w:rsidRDefault="00852466">
            <w:pPr>
              <w:pStyle w:val="TableText0"/>
              <w:keepNext w:val="0"/>
              <w:rPr>
                <w:szCs w:val="20"/>
              </w:rPr>
            </w:pPr>
            <w:r w:rsidRPr="005A0D1A">
              <w:rPr>
                <w:szCs w:val="20"/>
              </w:rPr>
              <w:t xml:space="preserve">(a) at least 2 of the 3 Psoriasis Area and Severity Index (PASI) symptom </w:t>
            </w:r>
            <w:proofErr w:type="spellStart"/>
            <w:r w:rsidRPr="005A0D1A">
              <w:rPr>
                <w:szCs w:val="20"/>
              </w:rPr>
              <w:t>subscores</w:t>
            </w:r>
            <w:proofErr w:type="spellEnd"/>
            <w:r w:rsidRPr="005A0D1A">
              <w:rPr>
                <w:szCs w:val="20"/>
              </w:rPr>
              <w:t xml:space="preserve"> for erythema, thickness and scaling being rated as severe or very severe, as assessed, preferably whilst still on treatment, but no longer than 1 month following cessation of the last pre-requisite therapy; or</w:t>
            </w:r>
          </w:p>
          <w:p w14:paraId="1D4B0BFD" w14:textId="77777777" w:rsidR="00852466" w:rsidRPr="005A0D1A" w:rsidRDefault="00852466">
            <w:pPr>
              <w:pStyle w:val="TableText0"/>
              <w:keepNext w:val="0"/>
              <w:rPr>
                <w:szCs w:val="20"/>
              </w:rPr>
            </w:pPr>
            <w:r w:rsidRPr="005A0D1A">
              <w:rPr>
                <w:szCs w:val="20"/>
              </w:rPr>
              <w:t>(b) the skin area affected is 30% or more of the face, palm of a hand or sole of a foot, as assessed, preferably whilst still on treatment, but no longer than 1 month following cessation of the last pre-requisite therapy.</w:t>
            </w:r>
          </w:p>
        </w:tc>
        <w:tc>
          <w:tcPr>
            <w:tcW w:w="4508" w:type="dxa"/>
          </w:tcPr>
          <w:p w14:paraId="6317A779" w14:textId="77777777" w:rsidR="00852466" w:rsidRDefault="00852466">
            <w:pPr>
              <w:pStyle w:val="TableText0"/>
              <w:keepNext w:val="0"/>
            </w:pPr>
            <w:r w:rsidRPr="005A0D1A">
              <w:t>This definition is appropriate for assessing inadequate response to prior therapy. However, there should be consideration for extending the 30% threshold to include genital area alongside, face, hands and feet, as paediatric psoriasis often affects this area and causes significant distress.</w:t>
            </w:r>
          </w:p>
          <w:p w14:paraId="1D80C080" w14:textId="77777777" w:rsidR="00852466" w:rsidRPr="005A0D1A" w:rsidRDefault="00852466">
            <w:pPr>
              <w:pStyle w:val="TableText0"/>
              <w:keepNext w:val="0"/>
            </w:pPr>
          </w:p>
          <w:p w14:paraId="6F65A56B" w14:textId="77777777" w:rsidR="00852466" w:rsidRPr="005A0D1A" w:rsidRDefault="00852466">
            <w:pPr>
              <w:pStyle w:val="TableText0"/>
              <w:keepNext w:val="0"/>
              <w:rPr>
                <w:szCs w:val="20"/>
              </w:rPr>
            </w:pPr>
            <w:r w:rsidRPr="005A0D1A">
              <w:rPr>
                <w:szCs w:val="20"/>
              </w:rPr>
              <w:t xml:space="preserve">(When drafting the PBS listing it was noted that the definition of failure to achieve an adequate response to therapy for whole of body chronic plaque psoriasis for existing bDMARDs for this indication was not accounted for. The definition of an inadequate response to prior therapy for adalimumab has been drafted to be consistent with the current PBS listings for other bDMARDs for this indication.) </w:t>
            </w:r>
          </w:p>
        </w:tc>
      </w:tr>
    </w:tbl>
    <w:p w14:paraId="61635322" w14:textId="77777777" w:rsidR="00852466" w:rsidRDefault="00852466" w:rsidP="00852466">
      <w:pPr>
        <w:pStyle w:val="3Bodytext"/>
        <w:spacing w:before="120"/>
        <w:jc w:val="both"/>
      </w:pPr>
      <w:r>
        <w:t>Humira is TGA registered for the treatment of severe chronic plaque psoriasis in children and adolescent patients from 4 years of age who have had an inadequate response to or are inappropriate candidates for topical therapy and phototherapy. Doses are administered subcutaneously weekly for the first two doses and fortnightly thereafter:</w:t>
      </w:r>
    </w:p>
    <w:p w14:paraId="3A791ED0" w14:textId="77777777" w:rsidR="00852466" w:rsidRDefault="00852466" w:rsidP="00852466">
      <w:pPr>
        <w:pStyle w:val="ListParagraph"/>
        <w:ind w:hanging="360"/>
        <w:jc w:val="both"/>
      </w:pPr>
      <w:r>
        <w:t>&lt;40 kg: 20 mg fortnightly (20 mg pre-filled syringe)</w:t>
      </w:r>
    </w:p>
    <w:p w14:paraId="539FD4C6" w14:textId="77777777" w:rsidR="00852466" w:rsidRDefault="00852466" w:rsidP="00852466">
      <w:pPr>
        <w:pStyle w:val="ListParagraph"/>
        <w:ind w:hanging="360"/>
        <w:jc w:val="both"/>
      </w:pPr>
      <w:r>
        <w:rPr>
          <w:rFonts w:cstheme="minorHAnsi"/>
        </w:rPr>
        <w:t>≥</w:t>
      </w:r>
      <w:r>
        <w:t>40 kg: 40 mg fortnightly (40 mg pen or 40 mg pre-filled syringe)</w:t>
      </w:r>
    </w:p>
    <w:p w14:paraId="35B28726" w14:textId="77777777" w:rsidR="00852466" w:rsidRDefault="00852466" w:rsidP="00852466">
      <w:pPr>
        <w:pStyle w:val="3-BodyText"/>
        <w:numPr>
          <w:ilvl w:val="1"/>
          <w:numId w:val="2"/>
        </w:numPr>
        <w:spacing w:before="120"/>
      </w:pPr>
      <w:r>
        <w:t>There is limited data on the efficacy or safety of the use of Humira for paediatric plaque psoriasis beyond 52 weeks.</w:t>
      </w:r>
    </w:p>
    <w:p w14:paraId="1CF780C4" w14:textId="77777777" w:rsidR="00852466" w:rsidRDefault="00852466" w:rsidP="00852466">
      <w:pPr>
        <w:pStyle w:val="4-SubsectionHeading"/>
      </w:pPr>
      <w:r>
        <w:t>Crohn disease and Moderate to severe ulcerative colitis</w:t>
      </w:r>
    </w:p>
    <w:p w14:paraId="5E13AF60" w14:textId="77777777" w:rsidR="00852466" w:rsidRDefault="00852466" w:rsidP="00852466">
      <w:pPr>
        <w:pStyle w:val="3-BodyText"/>
        <w:numPr>
          <w:ilvl w:val="1"/>
          <w:numId w:val="2"/>
        </w:numPr>
        <w:spacing w:before="120"/>
      </w:pPr>
      <w:r>
        <w:t>GESA noted that paediatric patients with inflammatory bowel disease have less access to advanced therapies through the PBS compared to adult patients, however, generally experience more severe disease and a higher inflammatory burden.</w:t>
      </w:r>
    </w:p>
    <w:p w14:paraId="343BDD5A" w14:textId="77777777" w:rsidR="00852466" w:rsidRDefault="00852466" w:rsidP="00852466">
      <w:pPr>
        <w:pStyle w:val="3-BodyText"/>
        <w:numPr>
          <w:ilvl w:val="1"/>
          <w:numId w:val="2"/>
        </w:numPr>
        <w:spacing w:before="120"/>
      </w:pPr>
      <w:r>
        <w:t>CCA and GESA were consistent with the following advice:</w:t>
      </w:r>
    </w:p>
    <w:p w14:paraId="77A7999D" w14:textId="77777777" w:rsidR="00852466" w:rsidRPr="00584248" w:rsidRDefault="00852466" w:rsidP="00852466">
      <w:pPr>
        <w:pStyle w:val="ListParagraph"/>
        <w:ind w:hanging="360"/>
        <w:jc w:val="both"/>
        <w:rPr>
          <w:rFonts w:eastAsiaTheme="minorHAnsi" w:cstheme="minorBidi"/>
          <w:snapToGrid/>
          <w:szCs w:val="22"/>
        </w:rPr>
      </w:pPr>
      <w:r>
        <w:t xml:space="preserve">Many paediatric patients with Crohn disease require dose escalation for adalimumab. However, this is not currently available on the PBS, meaning patients and clinicians are dependent on pharmaceutical companies to provide compassionate access to medications. </w:t>
      </w:r>
      <w:r w:rsidRPr="00584248">
        <w:rPr>
          <w:rFonts w:eastAsiaTheme="minorHAnsi" w:cstheme="minorBidi"/>
          <w:snapToGrid/>
          <w:szCs w:val="22"/>
        </w:rPr>
        <w:t>CCA cited an Israeli study finding that 87% of paediatric patients with Crohn disease required dose escalation to reach remission.</w:t>
      </w:r>
      <w:r>
        <w:rPr>
          <w:rStyle w:val="FootnoteReference"/>
          <w:rFonts w:eastAsiaTheme="minorHAnsi" w:cstheme="minorBidi"/>
          <w:snapToGrid/>
          <w:szCs w:val="22"/>
        </w:rPr>
        <w:footnoteReference w:id="29"/>
      </w:r>
      <w:r w:rsidRPr="00584248">
        <w:rPr>
          <w:rFonts w:eastAsiaTheme="minorHAnsi" w:cstheme="minorBidi"/>
          <w:snapToGrid/>
          <w:szCs w:val="22"/>
        </w:rPr>
        <w:t xml:space="preserve"> GESA also noted that with the use of adalimumab, evidence demonstrated that patients should receive earlier treatment with flexible dosing.</w:t>
      </w:r>
    </w:p>
    <w:p w14:paraId="73BD06A8" w14:textId="77777777" w:rsidR="00852466" w:rsidRDefault="00852466" w:rsidP="00852466">
      <w:pPr>
        <w:pStyle w:val="ListParagraph"/>
        <w:ind w:hanging="360"/>
        <w:jc w:val="both"/>
      </w:pPr>
      <w:r>
        <w:t>CCA and GESA stated that the current Authority requirements for Humira for paediatric inflammatory bowel disease requires significant time by clinicians to complete the administrative tasks, thereby reducing time spent providing patient care. Both organisations requested that the initial application process remain unchanged, however subsequent treatment be available as Streamline Authority listings with the ability to make subsequent adjustments to dosing. The pre-PBAC response stated there are workforce shortages in paediatric specialties, and claimed that changing the continuing treatment listings for adalimumab for paediatric conditions to be Authority Required (STREAMLINED) listings would help optimise efficiencies within the healthcare system and reduce pressures on the healthcare workforce.</w:t>
      </w:r>
    </w:p>
    <w:p w14:paraId="35B54727" w14:textId="77777777" w:rsidR="00852466" w:rsidRDefault="00852466" w:rsidP="00852466">
      <w:pPr>
        <w:pStyle w:val="3-BodyText"/>
        <w:numPr>
          <w:ilvl w:val="1"/>
          <w:numId w:val="2"/>
        </w:numPr>
        <w:spacing w:before="120"/>
      </w:pPr>
      <w:r>
        <w:t>CCA requested that the current dosing limits for adalimumab be removed and more flexible dosing options be included in the PBS restrictions.</w:t>
      </w:r>
    </w:p>
    <w:p w14:paraId="06778135" w14:textId="77777777" w:rsidR="00852466" w:rsidRDefault="00852466" w:rsidP="00852466">
      <w:pPr>
        <w:pStyle w:val="3-BodyText"/>
        <w:numPr>
          <w:ilvl w:val="1"/>
          <w:numId w:val="2"/>
        </w:numPr>
        <w:spacing w:before="120"/>
      </w:pPr>
      <w:r>
        <w:t>Advice received from one gastroenterologist stated that evidence suggests that paediatric patients with inflammatory bowel diseases should receive earlier treatment with adalimumab and have flexible dosing options. The gastroenterologist also raised concerns about the administrative burden currently associated with prescribing Humira for paediatric patients with inflammatory bowel disease.</w:t>
      </w:r>
    </w:p>
    <w:p w14:paraId="31A48028" w14:textId="77777777" w:rsidR="00852466" w:rsidRDefault="00852466" w:rsidP="00852466">
      <w:pPr>
        <w:pStyle w:val="3-BodyText"/>
        <w:numPr>
          <w:ilvl w:val="1"/>
          <w:numId w:val="2"/>
        </w:numPr>
        <w:spacing w:before="120"/>
      </w:pPr>
      <w:r>
        <w:t>One gastroenterologist noted that:</w:t>
      </w:r>
    </w:p>
    <w:p w14:paraId="0ED55753" w14:textId="77777777" w:rsidR="00852466" w:rsidRDefault="00852466" w:rsidP="00852466">
      <w:pPr>
        <w:pStyle w:val="ListParagraph"/>
        <w:ind w:hanging="360"/>
        <w:jc w:val="both"/>
      </w:pPr>
      <w:r>
        <w:t>paediatric patients with Crohn disease often have small intestinal disease, however there is no criteria on the PBS to account for this (unlike the listings for adult patients), which makes it difficult for children with severe small intestinal disease to meet the current criteria.</w:t>
      </w:r>
    </w:p>
    <w:p w14:paraId="2983C7FF" w14:textId="77777777" w:rsidR="00852466" w:rsidRDefault="00852466" w:rsidP="00852466">
      <w:pPr>
        <w:pStyle w:val="ListParagraph"/>
        <w:ind w:hanging="360"/>
        <w:jc w:val="both"/>
      </w:pPr>
      <w:r>
        <w:t>the dose and frequency of adalimumab for paediatric inflammatory bowel disease are capped by the current PBS listings to fortnightly dosing at a maximum maintenance dose of 40 mg. Evidence shows that drug escalation and maintenance of response with therapeutic drug monitoring supports better remission.</w:t>
      </w:r>
    </w:p>
    <w:p w14:paraId="3F9C47FF" w14:textId="77777777" w:rsidR="00852466" w:rsidRDefault="00852466" w:rsidP="00852466">
      <w:pPr>
        <w:pStyle w:val="3Bodytext"/>
        <w:numPr>
          <w:ilvl w:val="0"/>
          <w:numId w:val="0"/>
        </w:numPr>
        <w:ind w:left="720"/>
        <w:rPr>
          <w:i/>
          <w:iCs/>
        </w:rPr>
      </w:pPr>
      <w:r>
        <w:t>It was also requested that age restrictions be removed.</w:t>
      </w:r>
      <w:r>
        <w:rPr>
          <w:i/>
          <w:iCs/>
        </w:rPr>
        <w:t xml:space="preserve"> </w:t>
      </w:r>
      <w:r w:rsidRPr="002F0440">
        <w:t xml:space="preserve">Humira is only indicated for Crohn disease in children </w:t>
      </w:r>
      <w:r w:rsidRPr="002F0440">
        <w:rPr>
          <w:rFonts w:cstheme="minorHAnsi"/>
        </w:rPr>
        <w:t>≥</w:t>
      </w:r>
      <w:r w:rsidRPr="002F0440">
        <w:t>6 years.</w:t>
      </w:r>
    </w:p>
    <w:p w14:paraId="6982CA9D" w14:textId="77777777" w:rsidR="00852466" w:rsidRDefault="00852466" w:rsidP="00852466">
      <w:pPr>
        <w:pStyle w:val="3-BodyText"/>
        <w:numPr>
          <w:ilvl w:val="1"/>
          <w:numId w:val="2"/>
        </w:numPr>
        <w:spacing w:before="120"/>
      </w:pPr>
      <w:r w:rsidRPr="009C4D0D">
        <w:t>When preparing</w:t>
      </w:r>
      <w:r w:rsidRPr="004C201E">
        <w:t xml:space="preserve"> the proposed revised listings for </w:t>
      </w:r>
      <w:r>
        <w:t>these indications</w:t>
      </w:r>
      <w:r w:rsidRPr="004C201E">
        <w:t xml:space="preserve"> for consideration by the PBAC, further advice was requested from </w:t>
      </w:r>
      <w:r>
        <w:t xml:space="preserve"> CCA and GESA:</w:t>
      </w:r>
    </w:p>
    <w:p w14:paraId="59A3E617" w14:textId="77777777" w:rsidR="00852466" w:rsidRDefault="00852466" w:rsidP="00852466">
      <w:pPr>
        <w:pStyle w:val="ListParagraph"/>
        <w:ind w:hanging="360"/>
        <w:jc w:val="both"/>
        <w:rPr>
          <w:rFonts w:ascii="Calibri" w:hAnsi="Calibri"/>
          <w:sz w:val="22"/>
          <w:szCs w:val="22"/>
          <w:lang w:eastAsia="en-US"/>
        </w:rPr>
      </w:pPr>
      <w:r>
        <w:rPr>
          <w:lang w:eastAsia="en-US"/>
        </w:rPr>
        <w:t xml:space="preserve">For the management of ulcerative colitis and Crohn disease, what is the </w:t>
      </w:r>
      <w:proofErr w:type="gramStart"/>
      <w:r>
        <w:rPr>
          <w:lang w:eastAsia="en-US"/>
        </w:rPr>
        <w:t>most commonly prescribed</w:t>
      </w:r>
      <w:proofErr w:type="gramEnd"/>
      <w:r>
        <w:rPr>
          <w:lang w:eastAsia="en-US"/>
        </w:rPr>
        <w:t xml:space="preserve"> dose escalations regimens recommended in paediatric guidelines, and what proportion of paediatric patients would require dose escalations above what is currently included in the PBS listings for adalimumab for these indications?</w:t>
      </w:r>
    </w:p>
    <w:p w14:paraId="7FBEE043" w14:textId="77777777" w:rsidR="00852466" w:rsidRDefault="00852466" w:rsidP="00852466">
      <w:pPr>
        <w:pStyle w:val="ListParagraph"/>
        <w:ind w:hanging="360"/>
        <w:jc w:val="both"/>
        <w:rPr>
          <w:lang w:eastAsia="en-US"/>
        </w:rPr>
      </w:pPr>
      <w:r>
        <w:rPr>
          <w:lang w:eastAsia="en-US"/>
        </w:rPr>
        <w:t>Advice on the clinical criteria for Crohn disease to accommodate children with small intestinal disease.</w:t>
      </w:r>
    </w:p>
    <w:p w14:paraId="58AE575C" w14:textId="77777777" w:rsidR="00852466" w:rsidRDefault="00852466" w:rsidP="00852466">
      <w:pPr>
        <w:pStyle w:val="3-BodyText"/>
        <w:numPr>
          <w:ilvl w:val="1"/>
          <w:numId w:val="2"/>
        </w:numPr>
        <w:spacing w:before="120"/>
      </w:pPr>
      <w:r>
        <w:t xml:space="preserve"> </w:t>
      </w:r>
      <w:r w:rsidRPr="000E7A05">
        <w:t xml:space="preserve">CCA </w:t>
      </w:r>
      <w:r>
        <w:t>sta</w:t>
      </w:r>
      <w:r w:rsidRPr="000E7A05">
        <w:t xml:space="preserve">ted that weekly dosing is the most common </w:t>
      </w:r>
      <w:r>
        <w:t xml:space="preserve">dose </w:t>
      </w:r>
      <w:r w:rsidRPr="000E7A05">
        <w:t>escalation</w:t>
      </w:r>
      <w:r>
        <w:t xml:space="preserve"> regimen</w:t>
      </w:r>
      <w:r w:rsidRPr="000E7A05">
        <w:t xml:space="preserve"> </w:t>
      </w:r>
      <w:r>
        <w:t>used</w:t>
      </w:r>
      <w:r w:rsidRPr="000E7A05">
        <w:t xml:space="preserve"> for </w:t>
      </w:r>
      <w:r>
        <w:t>both</w:t>
      </w:r>
      <w:r w:rsidRPr="000E7A05">
        <w:t xml:space="preserve"> </w:t>
      </w:r>
      <w:r>
        <w:t>ulcerative colitis</w:t>
      </w:r>
      <w:r w:rsidRPr="000E7A05">
        <w:t xml:space="preserve"> and C</w:t>
      </w:r>
      <w:r>
        <w:t>rohn disease, using</w:t>
      </w:r>
      <w:r w:rsidRPr="000E7A05">
        <w:t xml:space="preserve"> international </w:t>
      </w:r>
      <w:r>
        <w:t xml:space="preserve">treat to target </w:t>
      </w:r>
      <w:r w:rsidRPr="000E7A05">
        <w:t>guidelines</w:t>
      </w:r>
      <w:r>
        <w:t>.</w:t>
      </w:r>
      <w:r w:rsidRPr="009B16AC">
        <w:rPr>
          <w:rStyle w:val="FootnoteReference"/>
        </w:rPr>
        <w:t xml:space="preserve"> </w:t>
      </w:r>
      <w:r>
        <w:rPr>
          <w:rStyle w:val="FootnoteReference"/>
        </w:rPr>
        <w:footnoteReference w:id="30"/>
      </w:r>
      <w:r>
        <w:rPr>
          <w:rStyle w:val="FootnoteReference"/>
        </w:rPr>
        <w:t>,</w:t>
      </w:r>
      <w:r>
        <w:rPr>
          <w:rStyle w:val="FootnoteReference"/>
        </w:rPr>
        <w:footnoteReference w:id="31"/>
      </w:r>
      <w:r w:rsidRPr="002F0440">
        <w:rPr>
          <w:vertAlign w:val="superscript"/>
        </w:rPr>
        <w:t>,</w:t>
      </w:r>
      <w:r>
        <w:rPr>
          <w:rStyle w:val="FootnoteReference"/>
        </w:rPr>
        <w:footnoteReference w:id="32"/>
      </w:r>
      <w:r>
        <w:t xml:space="preserve"> GESA stated that almost one quarter of patients will not respond to medication (primary non-response). GESA and the CCA stated that approximately half of patients will require weekly dose escalation, although acknowledged there are no published Australian studies on the proportion of patients requiring escalated dosing.</w:t>
      </w:r>
      <w:r>
        <w:rPr>
          <w:rStyle w:val="FootnoteReference"/>
        </w:rPr>
        <w:footnoteReference w:id="33"/>
      </w:r>
      <w:r>
        <w:t xml:space="preserve"> CCA commented that at a tertiary inflammatory bowel disease service (which therefore had a ‘sicker’ group of patients), 9 out of 19 patients on adalimumab for inflammatory bowel disease had weekly dosing. It also provided an international reference investigating a treat-to-target approach, which found with the strictest criteria 60-80% of patients had dose escalation in the trial.</w:t>
      </w:r>
      <w:r>
        <w:rPr>
          <w:vertAlign w:val="superscript"/>
        </w:rPr>
        <w:t>5</w:t>
      </w:r>
    </w:p>
    <w:p w14:paraId="335A495A" w14:textId="77777777" w:rsidR="00852466" w:rsidRDefault="00852466" w:rsidP="00852466">
      <w:pPr>
        <w:pStyle w:val="3-BodyText"/>
        <w:numPr>
          <w:ilvl w:val="1"/>
          <w:numId w:val="2"/>
        </w:numPr>
        <w:spacing w:before="120"/>
      </w:pPr>
      <w:r>
        <w:t>GESA and CCA agreed the following criterion was appropriate:</w:t>
      </w:r>
    </w:p>
    <w:p w14:paraId="29BCCEE0" w14:textId="77777777" w:rsidR="00852466" w:rsidRPr="002F0440" w:rsidRDefault="00852466" w:rsidP="00852466">
      <w:pPr>
        <w:pStyle w:val="3Bodytext"/>
        <w:numPr>
          <w:ilvl w:val="0"/>
          <w:numId w:val="0"/>
        </w:numPr>
        <w:ind w:left="720"/>
      </w:pPr>
      <w:r w:rsidRPr="002F0440">
        <w:t>Patient must have, at the time of application, disease severity considered to be severe as demonstrated by a Paediatric Crohn Disease Activity Index (PCDAI) Score greater than or equal to 40 preferably whilst still on treatment, but no longer than 4</w:t>
      </w:r>
      <w:r>
        <w:t> </w:t>
      </w:r>
      <w:r w:rsidRPr="002F0440">
        <w:t>weeks following cessation of the most recent prior conventional treatment and which is no more than 4 weeks old at the time of application; or</w:t>
      </w:r>
    </w:p>
    <w:p w14:paraId="4B591E4C" w14:textId="77777777" w:rsidR="00852466" w:rsidRDefault="00852466" w:rsidP="00852466">
      <w:pPr>
        <w:pStyle w:val="3Bodytext"/>
        <w:numPr>
          <w:ilvl w:val="0"/>
          <w:numId w:val="0"/>
        </w:numPr>
        <w:ind w:left="720"/>
      </w:pPr>
      <w:r>
        <w:t>CCA commented it would prefer objective markers are used (such as in the Prescribing instructions below).</w:t>
      </w:r>
    </w:p>
    <w:p w14:paraId="34EC28EB" w14:textId="77777777" w:rsidR="00852466" w:rsidRDefault="00852466" w:rsidP="00852466">
      <w:pPr>
        <w:pStyle w:val="3-BodyText"/>
        <w:numPr>
          <w:ilvl w:val="1"/>
          <w:numId w:val="2"/>
        </w:numPr>
        <w:spacing w:before="120"/>
      </w:pPr>
      <w:r>
        <w:t>The below criteria is based on the current adult listing for adalimumab for severe Crohn disease:</w:t>
      </w:r>
    </w:p>
    <w:p w14:paraId="62EA9B02" w14:textId="77777777" w:rsidR="00852466" w:rsidRPr="007C53D0" w:rsidRDefault="00852466" w:rsidP="00852466">
      <w:pPr>
        <w:pStyle w:val="3Bodytext"/>
        <w:numPr>
          <w:ilvl w:val="0"/>
          <w:numId w:val="0"/>
        </w:numPr>
        <w:ind w:left="720"/>
      </w:pPr>
      <w:r w:rsidRPr="002F0440">
        <w:t>Patient must have extensive intestinal inflammation affecting more than 50 cm of the small intestine as evidenced by radiological imaging; and must have a Crohn</w:t>
      </w:r>
      <w:r w:rsidRPr="00D148F4">
        <w:rPr>
          <w:i/>
          <w:iCs/>
        </w:rPr>
        <w:t xml:space="preserve"> </w:t>
      </w:r>
      <w:r w:rsidRPr="007C53D0">
        <w:t>Disease Activity Index (CDAI) Score greater than or equal to 220; and must have evidence of failure to achieve an adequate response to prior systemic therapy as specified below.</w:t>
      </w:r>
    </w:p>
    <w:p w14:paraId="5D497B2F" w14:textId="77777777" w:rsidR="00852466" w:rsidRPr="007C53D0" w:rsidRDefault="00852466" w:rsidP="00852466">
      <w:pPr>
        <w:ind w:left="720"/>
        <w:rPr>
          <w:b/>
          <w:bCs/>
          <w:sz w:val="22"/>
          <w:szCs w:val="22"/>
        </w:rPr>
      </w:pPr>
      <w:r w:rsidRPr="007C53D0">
        <w:rPr>
          <w:b/>
          <w:bCs/>
        </w:rPr>
        <w:t>Prescribing Instruction</w:t>
      </w:r>
    </w:p>
    <w:p w14:paraId="6707A3A5" w14:textId="77777777" w:rsidR="00852466" w:rsidRPr="007C53D0" w:rsidRDefault="00852466" w:rsidP="00852466">
      <w:pPr>
        <w:ind w:left="720"/>
      </w:pPr>
      <w:r w:rsidRPr="007C53D0">
        <w:t>For patients assessed as having extensive intestinal inflammation, such evidence of intestinal inflammation includes:</w:t>
      </w:r>
    </w:p>
    <w:p w14:paraId="2B1DEE86" w14:textId="77777777" w:rsidR="00852466" w:rsidRPr="007C53D0" w:rsidRDefault="00852466" w:rsidP="00852466"/>
    <w:p w14:paraId="36544EA4" w14:textId="77777777" w:rsidR="00852466" w:rsidRPr="007C53D0" w:rsidRDefault="00852466" w:rsidP="00852466">
      <w:pPr>
        <w:ind w:left="720"/>
      </w:pPr>
      <w:r w:rsidRPr="007C53D0">
        <w:t xml:space="preserve">(i) blood: higher than normal platelet count, </w:t>
      </w:r>
      <w:proofErr w:type="gramStart"/>
      <w:r w:rsidRPr="007C53D0">
        <w:t>or,</w:t>
      </w:r>
      <w:proofErr w:type="gramEnd"/>
      <w:r w:rsidRPr="007C53D0">
        <w:t xml:space="preserve"> an elevated erythrocyte sedimentation rate (ESR) greater than 25 mm per hour, </w:t>
      </w:r>
      <w:proofErr w:type="gramStart"/>
      <w:r w:rsidRPr="007C53D0">
        <w:t>or,</w:t>
      </w:r>
      <w:proofErr w:type="gramEnd"/>
      <w:r w:rsidRPr="007C53D0">
        <w:t xml:space="preserve"> a C-reactive protein (CRP) level greater than 15 mg per L; or</w:t>
      </w:r>
    </w:p>
    <w:p w14:paraId="5B59B9C0" w14:textId="77777777" w:rsidR="00852466" w:rsidRPr="007C53D0" w:rsidRDefault="00852466" w:rsidP="00852466"/>
    <w:p w14:paraId="1C37E23A" w14:textId="77777777" w:rsidR="00852466" w:rsidRPr="007C53D0" w:rsidRDefault="00852466" w:rsidP="00852466">
      <w:pPr>
        <w:ind w:firstLine="720"/>
      </w:pPr>
      <w:r w:rsidRPr="007C53D0">
        <w:t>(ii) faeces: higher than normal lactoferrin or calprotectin level; or</w:t>
      </w:r>
    </w:p>
    <w:p w14:paraId="26EE9EFE" w14:textId="77777777" w:rsidR="00852466" w:rsidRPr="007C53D0" w:rsidRDefault="00852466" w:rsidP="00852466"/>
    <w:p w14:paraId="2B563A89" w14:textId="77777777" w:rsidR="00852466" w:rsidRPr="007C53D0" w:rsidRDefault="00852466" w:rsidP="00852466">
      <w:pPr>
        <w:pStyle w:val="3Bodytext"/>
        <w:numPr>
          <w:ilvl w:val="0"/>
          <w:numId w:val="0"/>
        </w:numPr>
        <w:ind w:left="720"/>
      </w:pPr>
      <w:r w:rsidRPr="007C53D0">
        <w:t>(iii) diagnostic imaging: demonstration of increased uptake of intravenous contrast with thickening of the bowel wall or mesenteric lymphadenopathy or fat streaking in the mesentery</w:t>
      </w:r>
      <w:r w:rsidRPr="007C53D0">
        <w:rPr>
          <w:b/>
          <w:bCs/>
        </w:rPr>
        <w:t>.</w:t>
      </w:r>
    </w:p>
    <w:p w14:paraId="26105F74" w14:textId="77777777" w:rsidR="00852466" w:rsidRDefault="00852466" w:rsidP="00852466">
      <w:pPr>
        <w:pStyle w:val="3Bodytext"/>
        <w:numPr>
          <w:ilvl w:val="0"/>
          <w:numId w:val="0"/>
        </w:numPr>
        <w:ind w:left="720"/>
      </w:pPr>
      <w:r>
        <w:t xml:space="preserve">GESA and CCA stated that this criterion was not relevant. GESA noted that a patient can have 50 cm of small intestine inflammation </w:t>
      </w:r>
      <w:r w:rsidRPr="00FD2BF9">
        <w:t>with no growth consequence</w:t>
      </w:r>
      <w:r>
        <w:t>,</w:t>
      </w:r>
      <w:r w:rsidRPr="00FD2BF9">
        <w:t xml:space="preserve"> or have 10 cm of distal small intestine inflammation (ileal stricture) in children, which may impair linear growth</w:t>
      </w:r>
      <w:r>
        <w:t>. CCA suggested the 50 cm was not an appropriate measure for children who are growing. GESA and the CCA advised</w:t>
      </w:r>
      <w:r w:rsidRPr="00FD2BF9">
        <w:t xml:space="preserve"> it </w:t>
      </w:r>
      <w:r>
        <w:t>would be more appropriate</w:t>
      </w:r>
      <w:r w:rsidRPr="00FD2BF9">
        <w:t xml:space="preserve"> to use objective signs of inflammation as indicated</w:t>
      </w:r>
      <w:r>
        <w:t xml:space="preserve"> in the Prescribing instructions,</w:t>
      </w:r>
      <w:r w:rsidRPr="00FD2BF9">
        <w:t xml:space="preserve"> such as higher CRP 15, </w:t>
      </w:r>
      <w:r>
        <w:t>c</w:t>
      </w:r>
      <w:r w:rsidRPr="00FD2BF9">
        <w:t xml:space="preserve">alprotectin, </w:t>
      </w:r>
      <w:r>
        <w:t>e</w:t>
      </w:r>
      <w:r w:rsidRPr="00FD2BF9">
        <w:t>ndoscopic disease activity and</w:t>
      </w:r>
      <w:r>
        <w:t>/</w:t>
      </w:r>
      <w:r w:rsidRPr="00FD2BF9">
        <w:t xml:space="preserve">or radiological evidence of </w:t>
      </w:r>
      <w:r>
        <w:t>i</w:t>
      </w:r>
      <w:r w:rsidRPr="00FD2BF9">
        <w:t>nflammation in those not meeting PCDAI criteria as supporting evidence of inflammation. A</w:t>
      </w:r>
      <w:r>
        <w:t>s</w:t>
      </w:r>
      <w:r w:rsidRPr="00FD2BF9">
        <w:t xml:space="preserve"> CDAI is an adult score</w:t>
      </w:r>
      <w:r>
        <w:t xml:space="preserve"> this should not be included for paediatric patients, and the </w:t>
      </w:r>
      <w:r w:rsidRPr="00B15CB4">
        <w:t>P</w:t>
      </w:r>
      <w:r>
        <w:t>a</w:t>
      </w:r>
      <w:r w:rsidRPr="00B15CB4">
        <w:t>ediatric Crohn's Disease Activity Index (PCDAI)</w:t>
      </w:r>
      <w:r>
        <w:t xml:space="preserve"> should be used instead.</w:t>
      </w:r>
    </w:p>
    <w:p w14:paraId="5D2ABC22" w14:textId="77777777" w:rsidR="00852466" w:rsidRPr="00F96CFA" w:rsidRDefault="00852466" w:rsidP="00852466">
      <w:pPr>
        <w:pStyle w:val="3Bodytext"/>
        <w:numPr>
          <w:ilvl w:val="0"/>
          <w:numId w:val="0"/>
        </w:numPr>
        <w:ind w:left="720"/>
      </w:pPr>
      <w:r>
        <w:t>CCA suggested this criterion could refer to ‘extensive intestinal inflammation’ only.</w:t>
      </w:r>
    </w:p>
    <w:p w14:paraId="4B8039C5" w14:textId="77777777" w:rsidR="00852466" w:rsidRDefault="00852466" w:rsidP="00852466">
      <w:pPr>
        <w:pStyle w:val="3-BodyText"/>
        <w:numPr>
          <w:ilvl w:val="1"/>
          <w:numId w:val="2"/>
        </w:numPr>
        <w:spacing w:before="120"/>
      </w:pPr>
      <w:r>
        <w:t>GESA and CCA were also asked w</w:t>
      </w:r>
      <w:r w:rsidRPr="0037788F">
        <w:t>hat proportion of children diagnosed with Crohn disease would have extensive small intestinal disease and clinicians would consider treatment with adalimumab</w:t>
      </w:r>
      <w:r>
        <w:t>. CCA stated that extensive small bowel disease is an unusual phenotype of Crohn disease overall (including in paediatric patients), and the patient numbers are smaller. This form of Crohn disease is broadly defined as the L4b phenotype according to the Paris classification of paediatric Crohn disease.</w:t>
      </w:r>
      <w:r>
        <w:rPr>
          <w:rStyle w:val="FootnoteReference"/>
        </w:rPr>
        <w:footnoteReference w:id="34"/>
      </w:r>
      <w:r>
        <w:t xml:space="preserve"> CCA noted that the number of patients is difficult to specify, but based on six separate cohorts 0-3% of patients have isolated extensive bowel disease. Up to 20% of patients have a degree of proximal small bowel inflammation associated with their other Crohn disease locations.</w:t>
      </w:r>
      <w:r>
        <w:rPr>
          <w:rStyle w:val="FootnoteReference"/>
        </w:rPr>
        <w:footnoteReference w:id="35"/>
      </w:r>
      <w:r w:rsidRPr="002F29E2">
        <w:rPr>
          <w:vertAlign w:val="superscript"/>
        </w:rPr>
        <w:t>,</w:t>
      </w:r>
      <w:r>
        <w:rPr>
          <w:rStyle w:val="FootnoteReference"/>
        </w:rPr>
        <w:footnoteReference w:id="36"/>
      </w:r>
    </w:p>
    <w:p w14:paraId="1135171B" w14:textId="77777777" w:rsidR="00852466" w:rsidRPr="00DF5E75" w:rsidRDefault="00852466" w:rsidP="00852466">
      <w:pPr>
        <w:pStyle w:val="3-BodyText"/>
        <w:numPr>
          <w:ilvl w:val="1"/>
          <w:numId w:val="2"/>
        </w:numPr>
        <w:spacing w:before="120"/>
      </w:pPr>
      <w:r>
        <w:t>CCA estimated that all paediatric patients who would qualify for advanced therapies due to the extensive small bowel disease rule currently would also qualify under the PCDAI rule. These paediatric patients are particularly high risk and are usually commenced on infliximab. It estimated the number of paediatric patients with extensive bowel disease who would require adalimumab would be in the single digits per annum across Australia.</w:t>
      </w:r>
    </w:p>
    <w:p w14:paraId="3CC426CC" w14:textId="77777777" w:rsidR="00852466" w:rsidRDefault="00852466" w:rsidP="00852466">
      <w:pPr>
        <w:pStyle w:val="4-SubsectionHeading"/>
      </w:pPr>
      <w:r>
        <w:t>Moderate to severe hidradenitis suppurativa</w:t>
      </w:r>
    </w:p>
    <w:p w14:paraId="4C113E98" w14:textId="77777777" w:rsidR="00852466" w:rsidRPr="00850023" w:rsidRDefault="00852466" w:rsidP="00852466">
      <w:pPr>
        <w:pStyle w:val="3-BodyText"/>
        <w:numPr>
          <w:ilvl w:val="1"/>
          <w:numId w:val="2"/>
        </w:numPr>
        <w:spacing w:before="120"/>
      </w:pPr>
      <w:r>
        <w:t xml:space="preserve">The ACD considered there was no need to amend the listings for adalimumab for moderate to severe hidradenitis suppurativa. Currently there are PBS listings for adalimumab 80 mg (in both the pre-filled pen and pre-filled syringe) for patients </w:t>
      </w:r>
      <w:r>
        <w:rPr>
          <w:rFonts w:cstheme="minorHAnsi"/>
        </w:rPr>
        <w:t>≥</w:t>
      </w:r>
      <w:r>
        <w:t>12 years who have had an inadequate response to conventional systemic therapy.</w:t>
      </w:r>
    </w:p>
    <w:p w14:paraId="4C9B28EE" w14:textId="77777777" w:rsidR="00852466" w:rsidRDefault="00852466" w:rsidP="00852466">
      <w:pPr>
        <w:pStyle w:val="4-SubsectionHeading"/>
      </w:pPr>
      <w:r>
        <w:t>Severe active juvenile idiopathic arthritis</w:t>
      </w:r>
    </w:p>
    <w:p w14:paraId="777E18E3" w14:textId="77777777" w:rsidR="00852466" w:rsidRDefault="00852466" w:rsidP="00852466">
      <w:pPr>
        <w:pStyle w:val="3-BodyText"/>
        <w:numPr>
          <w:ilvl w:val="1"/>
          <w:numId w:val="2"/>
        </w:numPr>
        <w:spacing w:before="120"/>
      </w:pPr>
      <w:r>
        <w:t>The ARA provided the following advice regarding the use of adalimumab for severe active JIA:</w:t>
      </w:r>
    </w:p>
    <w:p w14:paraId="3B8DA1EB" w14:textId="77777777" w:rsidR="00852466" w:rsidRPr="00E7225A" w:rsidRDefault="00852466" w:rsidP="00852466">
      <w:pPr>
        <w:pStyle w:val="ListParagraph"/>
        <w:ind w:hanging="360"/>
        <w:jc w:val="both"/>
      </w:pPr>
      <w:r w:rsidRPr="00E7225A">
        <w:t>The PBS criteria for adalimumab for JIA have not been updated to reflect the major advances in the management of this condition.</w:t>
      </w:r>
    </w:p>
    <w:p w14:paraId="43898C1D" w14:textId="77777777" w:rsidR="00852466" w:rsidRDefault="00852466" w:rsidP="00852466">
      <w:pPr>
        <w:pStyle w:val="ListParagraph"/>
        <w:ind w:hanging="360"/>
        <w:jc w:val="both"/>
      </w:pPr>
      <w:r w:rsidRPr="00E7225A">
        <w:t>Contemporary treatment protocols recommend a treat to target strategy, with the goal of clinically inactive disease, and aims to control signs and symptoms; prevent structural damage; avoid comorbid conditions and drug toxicities; and optimise function, growth and development, quality of life and social participation.</w:t>
      </w:r>
    </w:p>
    <w:p w14:paraId="0ED102EA" w14:textId="77777777" w:rsidR="00852466" w:rsidRPr="00E7225A" w:rsidRDefault="00852466" w:rsidP="00852466">
      <w:pPr>
        <w:pStyle w:val="ListParagraph"/>
        <w:ind w:hanging="360"/>
        <w:jc w:val="both"/>
      </w:pPr>
      <w:r w:rsidRPr="00E7225A">
        <w:t>Using DMARDs earlier and a treat to target strategy improves outcomes, including better response to therapy and improved functional status and wellbeing, reduces the risk of permanent joint damage and arthroplasty, and improves the likelihood of long-term drug-free remission.</w:t>
      </w:r>
    </w:p>
    <w:p w14:paraId="03697E56" w14:textId="77777777" w:rsidR="00852466" w:rsidRDefault="00852466" w:rsidP="00852466">
      <w:pPr>
        <w:pStyle w:val="3-BodyText"/>
        <w:numPr>
          <w:ilvl w:val="1"/>
          <w:numId w:val="2"/>
        </w:numPr>
        <w:spacing w:before="120"/>
      </w:pPr>
      <w:r>
        <w:t>The ARA proposed the following changes to the PBS criteria for adalimumab for JIA to align with use in other countries such as the United Kingdom:</w:t>
      </w:r>
    </w:p>
    <w:p w14:paraId="01206CFB" w14:textId="77777777" w:rsidR="00852466" w:rsidRDefault="00852466" w:rsidP="00852466">
      <w:pPr>
        <w:pStyle w:val="ListParagraph"/>
        <w:ind w:hanging="360"/>
        <w:jc w:val="both"/>
      </w:pPr>
      <w:r>
        <w:t>Reduce the required oral or parenteral methotrexate dose from 20 mg/m</w:t>
      </w:r>
      <w:r>
        <w:rPr>
          <w:vertAlign w:val="superscript"/>
        </w:rPr>
        <w:t>2</w:t>
      </w:r>
      <w:r>
        <w:t xml:space="preserve"> to 15 mg/m</w:t>
      </w:r>
      <w:r>
        <w:rPr>
          <w:vertAlign w:val="superscript"/>
        </w:rPr>
        <w:t>2</w:t>
      </w:r>
      <w:r>
        <w:t>.</w:t>
      </w:r>
    </w:p>
    <w:p w14:paraId="54019473" w14:textId="77777777" w:rsidR="00852466" w:rsidRDefault="00852466" w:rsidP="00852466">
      <w:pPr>
        <w:pStyle w:val="ListParagraph"/>
        <w:ind w:hanging="360"/>
        <w:jc w:val="both"/>
      </w:pPr>
      <w:r>
        <w:t>Revise the definition of treatment failure to:</w:t>
      </w:r>
    </w:p>
    <w:p w14:paraId="5BA8F39E" w14:textId="77777777" w:rsidR="00852466" w:rsidRDefault="00852466" w:rsidP="00852466">
      <w:pPr>
        <w:pStyle w:val="ListParagraph"/>
        <w:numPr>
          <w:ilvl w:val="1"/>
          <w:numId w:val="3"/>
        </w:numPr>
        <w:tabs>
          <w:tab w:val="clear" w:pos="360"/>
        </w:tabs>
        <w:ind w:left="1560"/>
        <w:jc w:val="both"/>
      </w:pPr>
      <w:r>
        <w:t>An active joint count of at least 10 active joints; OR</w:t>
      </w:r>
    </w:p>
    <w:p w14:paraId="7B96D2A8" w14:textId="77777777" w:rsidR="00852466" w:rsidRDefault="00852466" w:rsidP="00852466">
      <w:pPr>
        <w:pStyle w:val="ListParagraph"/>
        <w:numPr>
          <w:ilvl w:val="1"/>
          <w:numId w:val="3"/>
        </w:numPr>
        <w:tabs>
          <w:tab w:val="clear" w:pos="360"/>
        </w:tabs>
        <w:ind w:left="1560"/>
        <w:jc w:val="both"/>
      </w:pPr>
      <w:r>
        <w:t>An active joint count of at least 2 affecting the following joints: elbow, wrist, knee, ankle, shoulder, and hip; OR</w:t>
      </w:r>
    </w:p>
    <w:p w14:paraId="641C6433" w14:textId="77777777" w:rsidR="00852466" w:rsidRDefault="00852466" w:rsidP="00852466">
      <w:pPr>
        <w:pStyle w:val="ListParagraph"/>
        <w:numPr>
          <w:ilvl w:val="1"/>
          <w:numId w:val="3"/>
        </w:numPr>
        <w:tabs>
          <w:tab w:val="clear" w:pos="360"/>
        </w:tabs>
        <w:ind w:left="1560"/>
        <w:jc w:val="both"/>
      </w:pPr>
      <w:r>
        <w:t>Active synovitis affecting the cervical spine or a temporomandibular joint; OR</w:t>
      </w:r>
    </w:p>
    <w:p w14:paraId="303CEB65" w14:textId="77777777" w:rsidR="00852466" w:rsidRDefault="00852466" w:rsidP="00852466">
      <w:pPr>
        <w:pStyle w:val="ListParagraph"/>
        <w:numPr>
          <w:ilvl w:val="1"/>
          <w:numId w:val="3"/>
        </w:numPr>
        <w:tabs>
          <w:tab w:val="clear" w:pos="360"/>
        </w:tabs>
        <w:ind w:left="1560"/>
        <w:jc w:val="both"/>
      </w:pPr>
      <w:r>
        <w:t>2 or more separate episodes of oral or intra-articular corticosteroids use within 12 months to control flares of disease; OR</w:t>
      </w:r>
    </w:p>
    <w:p w14:paraId="2C1F46A1" w14:textId="77777777" w:rsidR="00852466" w:rsidRDefault="00852466" w:rsidP="00852466">
      <w:pPr>
        <w:pStyle w:val="ListParagraph"/>
        <w:numPr>
          <w:ilvl w:val="1"/>
          <w:numId w:val="3"/>
        </w:numPr>
        <w:tabs>
          <w:tab w:val="clear" w:pos="360"/>
        </w:tabs>
        <w:ind w:left="1560"/>
        <w:jc w:val="both"/>
      </w:pPr>
      <w:r>
        <w:t>Development or worsening of erosive disease due to ongoing synovitis.</w:t>
      </w:r>
    </w:p>
    <w:p w14:paraId="46E54629" w14:textId="77777777" w:rsidR="00852466" w:rsidRDefault="00852466" w:rsidP="00852466">
      <w:pPr>
        <w:pStyle w:val="3-BodyText"/>
        <w:numPr>
          <w:ilvl w:val="1"/>
          <w:numId w:val="2"/>
        </w:numPr>
        <w:spacing w:before="120"/>
      </w:pPr>
      <w:r w:rsidRPr="004C201E">
        <w:t xml:space="preserve">When preparing the proposed revised listings for this indication for consideration by the PBAC, further advice was requested from </w:t>
      </w:r>
      <w:r>
        <w:t xml:space="preserve">paediatric rheumatologists </w:t>
      </w:r>
      <w:r w:rsidRPr="001255E0">
        <w:t xml:space="preserve">on how an adequate response to adalimumab should be defined, taking into consideration the </w:t>
      </w:r>
      <w:r>
        <w:t xml:space="preserve">proposed </w:t>
      </w:r>
      <w:r w:rsidRPr="001255E0">
        <w:t>revised criteria below for a failure to achieve an adequate response to prior treatment (that patients must demonstrate at the time of the initial application for adalimumab)</w:t>
      </w:r>
      <w:r>
        <w:t>.</w:t>
      </w:r>
      <w:r w:rsidRPr="001255E0">
        <w:t xml:space="preserve"> </w:t>
      </w:r>
      <w:r>
        <w:t xml:space="preserve">Clinicians advised that, </w:t>
      </w:r>
      <w:proofErr w:type="gramStart"/>
      <w:r>
        <w:t>similar to</w:t>
      </w:r>
      <w:proofErr w:type="gramEnd"/>
      <w:r>
        <w:t xml:space="preserve"> advice for enthesitis or spondylitis related to JIA above, most clinical trials in JIA use ACR 30 Pedi criteria (equating to 30% global improvement) as the primary definition of response and this determination is usually assessed following 3-4 months of treatment. Treat to target recommendations suggest aiming for 50% improvement by 3 months of treatment.</w:t>
      </w:r>
      <w:r>
        <w:rPr>
          <w:rStyle w:val="FootnoteReference"/>
        </w:rPr>
        <w:footnoteReference w:id="37"/>
      </w:r>
      <w:r>
        <w:t xml:space="preserve"> Given the varied criteria for entry and difficulties with defining response for some of these, a 50% improvement was proposed as a good response (a reduction in joint count or the signs and symptoms attributable to active arthritis by 50% from the baseline measure used).</w:t>
      </w:r>
    </w:p>
    <w:p w14:paraId="64C16B28" w14:textId="77777777" w:rsidR="00852466" w:rsidRPr="008D2B51" w:rsidRDefault="00852466" w:rsidP="00852466">
      <w:pPr>
        <w:pStyle w:val="3Bodytext"/>
        <w:numPr>
          <w:ilvl w:val="0"/>
          <w:numId w:val="0"/>
        </w:numPr>
        <w:ind w:left="720"/>
      </w:pPr>
      <w:r w:rsidRPr="008D2B51">
        <w:t>Proposed revised criteria for a failure to achieve adequate response to prior treatment</w:t>
      </w:r>
    </w:p>
    <w:tbl>
      <w:tblPr>
        <w:tblStyle w:val="TableGrid"/>
        <w:tblW w:w="0" w:type="auto"/>
        <w:tblInd w:w="720" w:type="dxa"/>
        <w:tblLook w:val="04A0" w:firstRow="1" w:lastRow="0" w:firstColumn="1" w:lastColumn="0" w:noHBand="0" w:noVBand="1"/>
      </w:tblPr>
      <w:tblGrid>
        <w:gridCol w:w="8296"/>
      </w:tblGrid>
      <w:tr w:rsidR="00852466" w:rsidRPr="001255E0" w14:paraId="4E4E0D40" w14:textId="77777777">
        <w:tc>
          <w:tcPr>
            <w:tcW w:w="9016" w:type="dxa"/>
          </w:tcPr>
          <w:p w14:paraId="6B38DCAF" w14:textId="77777777" w:rsidR="00852466" w:rsidRPr="008D2B51" w:rsidRDefault="00852466">
            <w:pPr>
              <w:pStyle w:val="3Bodytext"/>
              <w:numPr>
                <w:ilvl w:val="0"/>
                <w:numId w:val="0"/>
              </w:numPr>
            </w:pPr>
            <w:r w:rsidRPr="008D2B51">
              <w:t>(a) an active joint count of at least 10 active (swollen and tender) joints; OR</w:t>
            </w:r>
          </w:p>
          <w:p w14:paraId="7F7708C7" w14:textId="77777777" w:rsidR="00852466" w:rsidRPr="008D2B51" w:rsidRDefault="00852466">
            <w:pPr>
              <w:pStyle w:val="3Bodytext"/>
              <w:numPr>
                <w:ilvl w:val="0"/>
                <w:numId w:val="0"/>
              </w:numPr>
            </w:pPr>
            <w:r w:rsidRPr="008D2B51">
              <w:t>(b) an active joint count of at least 2 affecting the following joints: elbow, wrist, knee, ankle, shoulder, and hip; OR</w:t>
            </w:r>
          </w:p>
          <w:p w14:paraId="1498A704" w14:textId="77777777" w:rsidR="00852466" w:rsidRPr="008D2B51" w:rsidRDefault="00852466">
            <w:pPr>
              <w:pStyle w:val="3Bodytext"/>
              <w:numPr>
                <w:ilvl w:val="0"/>
                <w:numId w:val="0"/>
              </w:numPr>
            </w:pPr>
            <w:r w:rsidRPr="008D2B51">
              <w:t>(c) active synovitis affecting the cervical spine or temporomandibular joint; OR</w:t>
            </w:r>
          </w:p>
          <w:p w14:paraId="3F4C0D82" w14:textId="77777777" w:rsidR="00852466" w:rsidRPr="008D2B51" w:rsidRDefault="00852466">
            <w:pPr>
              <w:pStyle w:val="3Bodytext"/>
              <w:numPr>
                <w:ilvl w:val="0"/>
                <w:numId w:val="0"/>
              </w:numPr>
            </w:pPr>
            <w:r w:rsidRPr="008D2B51">
              <w:t>(d) 2 or more separate episodes of oral or intra-articular corticosteroids use within 12 months to control flares of disease; OR</w:t>
            </w:r>
          </w:p>
          <w:p w14:paraId="63AF11E3" w14:textId="77777777" w:rsidR="00852466" w:rsidRPr="008D2B51" w:rsidRDefault="00852466">
            <w:pPr>
              <w:pStyle w:val="3Bodytext"/>
              <w:numPr>
                <w:ilvl w:val="0"/>
                <w:numId w:val="0"/>
              </w:numPr>
            </w:pPr>
            <w:r w:rsidRPr="008D2B51">
              <w:t>(e) development/worsening of erosive disease due to ongoing synovitis.</w:t>
            </w:r>
          </w:p>
        </w:tc>
      </w:tr>
    </w:tbl>
    <w:p w14:paraId="235F3DA6" w14:textId="77777777" w:rsidR="00852466" w:rsidRDefault="00852466" w:rsidP="00852466">
      <w:pPr>
        <w:pStyle w:val="3-BodyText"/>
        <w:numPr>
          <w:ilvl w:val="1"/>
          <w:numId w:val="2"/>
        </w:numPr>
        <w:spacing w:before="120"/>
      </w:pPr>
      <w:r>
        <w:t>Further advice was also requested from the paediatric rheumatologists on suggested wording to define an adequate response in the proposed revised listings. The clinician advised that there is poor consensus on the best tool to use to determine response in juvenile arthritis.</w:t>
      </w:r>
      <w:r>
        <w:rPr>
          <w:rStyle w:val="FootnoteReference"/>
        </w:rPr>
        <w:footnoteReference w:id="38"/>
      </w:r>
      <w:r>
        <w:t xml:space="preserve"> A more </w:t>
      </w:r>
      <w:r w:rsidRPr="00BF5411">
        <w:t>global assessment of 50% improvement (either by active joint count OR signs/symptoms attributed to active arthritis)</w:t>
      </w:r>
      <w:r>
        <w:t xml:space="preserve"> was suggested by the ARA for the response criteria,</w:t>
      </w:r>
      <w:r w:rsidRPr="00BF5411">
        <w:t xml:space="preserve"> given the challenges with assessing and defining binary outcomes (improved vs not-improved) for some scenarios</w:t>
      </w:r>
      <w:r>
        <w:t xml:space="preserve"> of individual ‘inadequate response’ definitions</w:t>
      </w:r>
      <w:r w:rsidRPr="00BF5411">
        <w:t xml:space="preserve">. </w:t>
      </w:r>
      <w:r>
        <w:t>The ARA were of the view that this</w:t>
      </w:r>
      <w:r w:rsidRPr="00BF5411">
        <w:t xml:space="preserve"> provided an appropriate threshold for improvement that allows a relatively global assessment of the clinical situation while also maintaining a high bar for defining improvement in difficult to treat joints.</w:t>
      </w:r>
    </w:p>
    <w:p w14:paraId="17CCC447" w14:textId="77777777" w:rsidR="00852466" w:rsidRDefault="00852466" w:rsidP="00852466">
      <w:pPr>
        <w:pStyle w:val="3-BodyText"/>
        <w:numPr>
          <w:ilvl w:val="1"/>
          <w:numId w:val="2"/>
        </w:numPr>
        <w:spacing w:before="120"/>
      </w:pPr>
      <w:r>
        <w:t>Advice was requested on how a change in certain Prescribing instructions</w:t>
      </w:r>
      <w:r w:rsidRPr="00BF5411">
        <w:t xml:space="preserve"> </w:t>
      </w:r>
      <w:r>
        <w:t>criteria would be assessed in practice. A summary of the advice is provided below.</w:t>
      </w:r>
    </w:p>
    <w:p w14:paraId="25928966" w14:textId="77777777" w:rsidR="00852466" w:rsidRPr="0038053B" w:rsidRDefault="00852466" w:rsidP="00852466">
      <w:pPr>
        <w:pStyle w:val="TableFigureHeading"/>
      </w:pPr>
      <w:r w:rsidRPr="0038053B">
        <w:t xml:space="preserve">Table </w:t>
      </w:r>
      <w:r>
        <w:t>9</w:t>
      </w:r>
      <w:r w:rsidRPr="0038053B">
        <w:t>: Advice requested on assessing a change in criteria and advice provided</w:t>
      </w:r>
    </w:p>
    <w:tbl>
      <w:tblPr>
        <w:tblStyle w:val="TableGrid"/>
        <w:tblW w:w="0" w:type="auto"/>
        <w:tblLook w:val="04A0" w:firstRow="1" w:lastRow="0" w:firstColumn="1" w:lastColumn="0" w:noHBand="0" w:noVBand="1"/>
        <w:tblCaption w:val="Advice requested on assessing a change in criteria and advice provided"/>
      </w:tblPr>
      <w:tblGrid>
        <w:gridCol w:w="2405"/>
        <w:gridCol w:w="6611"/>
      </w:tblGrid>
      <w:tr w:rsidR="00852466" w:rsidRPr="007D6AD7" w14:paraId="424306E2" w14:textId="77777777">
        <w:tc>
          <w:tcPr>
            <w:tcW w:w="2405" w:type="dxa"/>
          </w:tcPr>
          <w:p w14:paraId="01ADCAFA" w14:textId="77777777" w:rsidR="00852466" w:rsidRPr="0038053B" w:rsidRDefault="00852466">
            <w:pPr>
              <w:pStyle w:val="In-tableHeading"/>
            </w:pPr>
            <w:r w:rsidRPr="0038053B">
              <w:t>Criteria to assess a change</w:t>
            </w:r>
          </w:p>
        </w:tc>
        <w:tc>
          <w:tcPr>
            <w:tcW w:w="6611" w:type="dxa"/>
          </w:tcPr>
          <w:p w14:paraId="03507FC9" w14:textId="77777777" w:rsidR="00852466" w:rsidRPr="0038053B" w:rsidRDefault="00852466">
            <w:pPr>
              <w:pStyle w:val="In-tableHeading"/>
            </w:pPr>
            <w:r w:rsidRPr="0038053B">
              <w:t xml:space="preserve">Advice provided on how a change is assessed for </w:t>
            </w:r>
            <w:proofErr w:type="gramStart"/>
            <w:r w:rsidRPr="0038053B">
              <w:t>this criteria</w:t>
            </w:r>
            <w:proofErr w:type="gramEnd"/>
          </w:p>
        </w:tc>
      </w:tr>
      <w:tr w:rsidR="00852466" w:rsidRPr="007D6AD7" w14:paraId="237B0BA9" w14:textId="77777777">
        <w:tc>
          <w:tcPr>
            <w:tcW w:w="2405" w:type="dxa"/>
          </w:tcPr>
          <w:p w14:paraId="206BD3CE" w14:textId="77777777" w:rsidR="00852466" w:rsidRPr="0038053B" w:rsidRDefault="00852466">
            <w:pPr>
              <w:pStyle w:val="TableText0"/>
            </w:pPr>
            <w:r w:rsidRPr="0038053B">
              <w:t>Active arthritis affecting the cervical spine or temporomandibular joint</w:t>
            </w:r>
          </w:p>
        </w:tc>
        <w:tc>
          <w:tcPr>
            <w:tcW w:w="6611" w:type="dxa"/>
          </w:tcPr>
          <w:p w14:paraId="63A95183" w14:textId="77777777" w:rsidR="00852466" w:rsidRDefault="00852466">
            <w:pPr>
              <w:pStyle w:val="TableText0"/>
            </w:pPr>
            <w:r w:rsidRPr="0038053B">
              <w:t xml:space="preserve">Some patients will have a very clear improvement with complete resolution of joint pain and joint restriction. In these </w:t>
            </w:r>
            <w:proofErr w:type="gramStart"/>
            <w:r w:rsidRPr="0038053B">
              <w:t>cases</w:t>
            </w:r>
            <w:proofErr w:type="gramEnd"/>
            <w:r w:rsidRPr="0038053B">
              <w:t xml:space="preserve"> response can be confidently determined. Other patients will have no clinical improvement at all (also easy to determine).</w:t>
            </w:r>
          </w:p>
          <w:p w14:paraId="71A8F9F6" w14:textId="77777777" w:rsidR="00852466" w:rsidRPr="0038053B" w:rsidRDefault="00852466">
            <w:pPr>
              <w:pStyle w:val="TableText0"/>
            </w:pPr>
            <w:r w:rsidRPr="0038053B">
              <w:t>In some cases, the response may not be as clear, as we are unable to assess for the presence of swelling in these joints and they are prone to damage (temporomandibular condylar flattening/hypoplasia, cervical spine ankylosis, cervical disc hypoplasia) which can affect assessment of other parameters such as pain and range of motion. In such scenarios, serial imaging, generally with MRI, can be helpful to understand response to treatment.</w:t>
            </w:r>
            <w:r w:rsidRPr="0038053B">
              <w:rPr>
                <w:rStyle w:val="FootnoteReference"/>
                <w:szCs w:val="20"/>
              </w:rPr>
              <w:footnoteReference w:id="39"/>
            </w:r>
          </w:p>
          <w:p w14:paraId="7A8A375E" w14:textId="77777777" w:rsidR="00852466" w:rsidRPr="0038053B" w:rsidRDefault="00852466">
            <w:pPr>
              <w:pStyle w:val="TableText0"/>
            </w:pPr>
            <w:r w:rsidRPr="0038053B">
              <w:t>The following definition for adequate response was proposed: an improvement from baseline by at least 50% in the signs and symptoms attributable to active arthritis affecting the cervical spine or temporomandibular joint.</w:t>
            </w:r>
          </w:p>
        </w:tc>
      </w:tr>
      <w:tr w:rsidR="00852466" w:rsidRPr="007D6AD7" w14:paraId="6F950F55" w14:textId="77777777">
        <w:tc>
          <w:tcPr>
            <w:tcW w:w="2405" w:type="dxa"/>
          </w:tcPr>
          <w:p w14:paraId="427B0545" w14:textId="77777777" w:rsidR="00852466" w:rsidRPr="0038053B" w:rsidRDefault="00852466">
            <w:pPr>
              <w:pStyle w:val="TableText0"/>
            </w:pPr>
            <w:r w:rsidRPr="0038053B">
              <w:t>Development/worsening of erosive disease due to active arthritis</w:t>
            </w:r>
          </w:p>
        </w:tc>
        <w:tc>
          <w:tcPr>
            <w:tcW w:w="6611" w:type="dxa"/>
          </w:tcPr>
          <w:p w14:paraId="04860EB9" w14:textId="77777777" w:rsidR="00852466" w:rsidRPr="0038053B" w:rsidRDefault="00852466">
            <w:pPr>
              <w:pStyle w:val="TableText0"/>
            </w:pPr>
            <w:r w:rsidRPr="0038053B">
              <w:t>This would first involve careful longitudinal clinical assessment to ensure that active arthritis is managed adequately. As per the cervical spine and temporomandibular joint, this may be very evident clinically, however, we would have a low threshold to image joint with erosive change to ensure there is adequate disease control to mitigate the risk of progressive damage.</w:t>
            </w:r>
          </w:p>
          <w:p w14:paraId="25EF7CD7" w14:textId="77777777" w:rsidR="00852466" w:rsidRPr="0038053B" w:rsidRDefault="00852466">
            <w:pPr>
              <w:pStyle w:val="TableText0"/>
            </w:pPr>
            <w:r w:rsidRPr="0038053B">
              <w:t>The following definition for adequate response was proposed: an improvement from baseline by at least 50% in the signs and symptoms attributable to active arthritis affecting a joint with existing erosive disease.</w:t>
            </w:r>
          </w:p>
        </w:tc>
      </w:tr>
    </w:tbl>
    <w:p w14:paraId="447A17CE" w14:textId="77777777" w:rsidR="00852466" w:rsidRDefault="00852466" w:rsidP="00852466">
      <w:pPr>
        <w:pStyle w:val="3Bodytext"/>
        <w:spacing w:before="120"/>
        <w:jc w:val="both"/>
      </w:pPr>
      <w:r w:rsidRPr="002D512B">
        <w:t>The</w:t>
      </w:r>
      <w:r>
        <w:t xml:space="preserve"> clinician suggested the use of </w:t>
      </w:r>
      <w:r w:rsidRPr="00B04F42">
        <w:t>clinical juvenile arthritis disease activity score (</w:t>
      </w:r>
      <w:proofErr w:type="spellStart"/>
      <w:r w:rsidRPr="00B04F42">
        <w:t>cJADAS</w:t>
      </w:r>
      <w:proofErr w:type="spellEnd"/>
      <w:r w:rsidRPr="00B04F42">
        <w:t xml:space="preserve">) </w:t>
      </w:r>
      <w:r>
        <w:t>could be considered if a</w:t>
      </w:r>
      <w:r w:rsidRPr="00B04F42">
        <w:t xml:space="preserve"> more specific measure of change</w:t>
      </w:r>
      <w:r>
        <w:t xml:space="preserve"> is required. It was noted that while this </w:t>
      </w:r>
      <w:r w:rsidRPr="00B04F42">
        <w:t xml:space="preserve">is not routinely used in clinical practice, it could be used for the purposes of assessing and documenting response for PBS prescriptions. </w:t>
      </w:r>
      <w:r>
        <w:t>The clinician stated i</w:t>
      </w:r>
      <w:r w:rsidRPr="00B04F42">
        <w:t>t is a composite measure that considers physician global assessment of overall disease activity, patient global assessment of wellbeing and active joint count</w:t>
      </w:r>
      <w:r>
        <w:t>.</w:t>
      </w:r>
      <w:r>
        <w:rPr>
          <w:rStyle w:val="FootnoteReference"/>
        </w:rPr>
        <w:footnoteReference w:id="40"/>
      </w:r>
      <w:r w:rsidRPr="00B04F42">
        <w:t xml:space="preserve"> </w:t>
      </w:r>
      <w:r>
        <w:t xml:space="preserve">However, the clinician recommended against </w:t>
      </w:r>
      <w:r w:rsidRPr="00B04F42">
        <w:t>using as it has not been evaluated in this context and may not accurately determine clinically important response.</w:t>
      </w:r>
    </w:p>
    <w:p w14:paraId="1AF01148" w14:textId="77777777" w:rsidR="00852466" w:rsidRDefault="00852466" w:rsidP="00852466">
      <w:pPr>
        <w:pStyle w:val="3-BodyText"/>
        <w:numPr>
          <w:ilvl w:val="1"/>
          <w:numId w:val="2"/>
        </w:numPr>
        <w:spacing w:before="120"/>
      </w:pPr>
      <w:r w:rsidRPr="000F5B13">
        <w:t xml:space="preserve">The </w:t>
      </w:r>
      <w:r>
        <w:t>clinician believed that, with the scenarios in Table 9, the</w:t>
      </w:r>
      <w:r w:rsidRPr="00703B03">
        <w:t xml:space="preserve"> likelihood of misuse</w:t>
      </w:r>
      <w:r>
        <w:t xml:space="preserve"> by using an ineffective therapy</w:t>
      </w:r>
      <w:r w:rsidRPr="00703B03">
        <w:t xml:space="preserve"> is low </w:t>
      </w:r>
      <w:r w:rsidRPr="000F5B13">
        <w:t>as</w:t>
      </w:r>
      <w:r>
        <w:t xml:space="preserve"> the</w:t>
      </w:r>
      <w:r w:rsidRPr="000F5B13">
        <w:t xml:space="preserve"> </w:t>
      </w:r>
      <w:r w:rsidRPr="00703B03">
        <w:t>cervical spine, temporomandibular joints</w:t>
      </w:r>
      <w:r>
        <w:t xml:space="preserve"> and</w:t>
      </w:r>
      <w:r w:rsidRPr="00703B03">
        <w:t xml:space="preserve"> joints with erosive disease</w:t>
      </w:r>
      <w:r>
        <w:t xml:space="preserve"> are </w:t>
      </w:r>
      <w:r w:rsidRPr="000F5B13">
        <w:t xml:space="preserve">critical joints </w:t>
      </w:r>
      <w:r>
        <w:t xml:space="preserve">that will be </w:t>
      </w:r>
      <w:r w:rsidRPr="00703B03">
        <w:t xml:space="preserve">treated comprehensively. The </w:t>
      </w:r>
      <w:r>
        <w:t>clinician also considered</w:t>
      </w:r>
      <w:r w:rsidRPr="00703B03">
        <w:t xml:space="preserve"> that complete resolution of active arthritis in a joint with erosive changes after 16 weeks of treatment is </w:t>
      </w:r>
      <w:r>
        <w:t>too aspirational</w:t>
      </w:r>
      <w:r w:rsidRPr="00703B03">
        <w:t xml:space="preserve"> as they are difficult to treat</w:t>
      </w:r>
      <w:r>
        <w:t xml:space="preserve"> joints</w:t>
      </w:r>
      <w:r w:rsidRPr="00703B03">
        <w:t xml:space="preserve"> and may take longer to respond</w:t>
      </w:r>
      <w:r>
        <w:t>.</w:t>
      </w:r>
    </w:p>
    <w:p w14:paraId="06D3A9A9" w14:textId="77777777" w:rsidR="00852466" w:rsidRPr="00B75A96" w:rsidRDefault="00852466" w:rsidP="00852466">
      <w:pPr>
        <w:pStyle w:val="3Bodytext"/>
        <w:numPr>
          <w:ilvl w:val="0"/>
          <w:numId w:val="0"/>
        </w:numPr>
        <w:ind w:left="720"/>
        <w:rPr>
          <w:i/>
          <w:iCs/>
        </w:rPr>
      </w:pPr>
      <w:r w:rsidRPr="00B75A96">
        <w:rPr>
          <w:i/>
          <w:iCs/>
        </w:rPr>
        <w:t>For more detail on PBAC’s view, see section 16 PBAC outcome.</w:t>
      </w:r>
    </w:p>
    <w:p w14:paraId="01207C35" w14:textId="77777777" w:rsidR="00852466" w:rsidRDefault="00852466" w:rsidP="00852466">
      <w:pPr>
        <w:pStyle w:val="2-SectionHeading"/>
        <w:numPr>
          <w:ilvl w:val="0"/>
          <w:numId w:val="2"/>
        </w:numPr>
      </w:pPr>
      <w:r>
        <w:t>Proposed</w:t>
      </w:r>
      <w:r w:rsidRPr="00A6439B">
        <w:t xml:space="preserve"> listing</w:t>
      </w:r>
      <w:r>
        <w:t>s</w:t>
      </w:r>
    </w:p>
    <w:p w14:paraId="5649BF7D" w14:textId="77777777" w:rsidR="00852466" w:rsidRDefault="00852466" w:rsidP="00852466">
      <w:pPr>
        <w:pStyle w:val="3-BodyText"/>
        <w:numPr>
          <w:ilvl w:val="1"/>
          <w:numId w:val="2"/>
        </w:numPr>
        <w:spacing w:before="120"/>
      </w:pPr>
      <w:r>
        <w:t xml:space="preserve">The pre-PBAC response stated that the proposed listings included the requirement to </w:t>
      </w:r>
      <w:r w:rsidRPr="00B7628A">
        <w:t>demonstrate an inadequate response or intolerance to conventional systemic therapy,</w:t>
      </w:r>
      <w:r>
        <w:t xml:space="preserve"> and claimed that patients with the most severe disease will have delayed access to a potentially beneficial </w:t>
      </w:r>
      <w:proofErr w:type="spellStart"/>
      <w:r>
        <w:t>bDMARD</w:t>
      </w:r>
      <w:proofErr w:type="spellEnd"/>
      <w:r>
        <w:t xml:space="preserve"> for their condition. It claimed there were</w:t>
      </w:r>
      <w:r w:rsidRPr="009E7AE0">
        <w:t xml:space="preserve"> potential benefits of early, aggressive treat-to-target approaches in particularly severe patients, and </w:t>
      </w:r>
      <w:r>
        <w:t xml:space="preserve">delaying treatment </w:t>
      </w:r>
      <w:r w:rsidRPr="009E7AE0">
        <w:t>risks irreversible joint, bowel, and psychological impact</w:t>
      </w:r>
    </w:p>
    <w:p w14:paraId="66440E21" w14:textId="77777777" w:rsidR="00852466" w:rsidRDefault="00852466" w:rsidP="00852466">
      <w:pPr>
        <w:pStyle w:val="3-BodyText"/>
        <w:numPr>
          <w:ilvl w:val="1"/>
          <w:numId w:val="2"/>
        </w:numPr>
        <w:spacing w:before="120"/>
      </w:pPr>
      <w:r>
        <w:t xml:space="preserve">Based on clinical advice received, the following new and revised listings for Humira for paediatric IMIDs were proposed (suggestions and additions proposed by the Secretariat are added in </w:t>
      </w:r>
      <w:r w:rsidRPr="00233C42">
        <w:rPr>
          <w:color w:val="00B0F0"/>
        </w:rPr>
        <w:t>italics</w:t>
      </w:r>
      <w:r>
        <w:t xml:space="preserve"> and suggested deletions are crossed out with </w:t>
      </w:r>
      <w:r w:rsidRPr="00AC2245">
        <w:rPr>
          <w:color w:val="FF0000"/>
        </w:rPr>
        <w:t>strikethrough</w:t>
      </w:r>
      <w:r>
        <w:rPr>
          <w:color w:val="FF0000"/>
        </w:rPr>
        <w:t>)</w:t>
      </w:r>
      <w:r>
        <w:t>:</w:t>
      </w:r>
    </w:p>
    <w:p w14:paraId="5BDEE69F" w14:textId="77777777" w:rsidR="00852466" w:rsidRDefault="00852466" w:rsidP="00852466">
      <w:pPr>
        <w:pStyle w:val="3Bodytext"/>
        <w:numPr>
          <w:ilvl w:val="0"/>
          <w:numId w:val="0"/>
        </w:numPr>
      </w:pPr>
      <w:r w:rsidRPr="00EE5B2E">
        <w:t xml:space="preserve">Add new indications to </w:t>
      </w:r>
      <w:r>
        <w:t>adalimumab</w:t>
      </w:r>
      <w:r w:rsidRPr="00EE5B2E">
        <w:t xml:space="preserve"> as follows:</w:t>
      </w:r>
    </w:p>
    <w:p w14:paraId="11424B6A" w14:textId="77777777" w:rsidR="00852466" w:rsidRDefault="00852466" w:rsidP="00852466">
      <w:pPr>
        <w:pStyle w:val="3Bodytext"/>
        <w:numPr>
          <w:ilvl w:val="0"/>
          <w:numId w:val="0"/>
        </w:numPr>
      </w:pPr>
      <w:r w:rsidRPr="002F29E2">
        <w:t>Amend existing listings/add new restrictions as follows:</w:t>
      </w:r>
    </w:p>
    <w:p w14:paraId="3753D955" w14:textId="77777777" w:rsidR="00852466" w:rsidRPr="000125D1" w:rsidRDefault="00852466" w:rsidP="00852466">
      <w:pPr>
        <w:pStyle w:val="4-SubsectionHeading"/>
      </w:pPr>
      <w:r w:rsidRPr="000125D1">
        <w:t>New listing - Chronic plaque psoriasis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ew listing - Chronic plaque psoriasis"/>
      </w:tblPr>
      <w:tblGrid>
        <w:gridCol w:w="3938"/>
        <w:gridCol w:w="876"/>
        <w:gridCol w:w="747"/>
        <w:gridCol w:w="811"/>
        <w:gridCol w:w="812"/>
        <w:gridCol w:w="1830"/>
      </w:tblGrid>
      <w:tr w:rsidR="000125D1" w:rsidRPr="000125D1" w14:paraId="28EFCD1C" w14:textId="77777777" w:rsidTr="000125D1">
        <w:trPr>
          <w:trHeight w:val="20"/>
        </w:trPr>
        <w:tc>
          <w:tcPr>
            <w:tcW w:w="3939" w:type="dxa"/>
            <w:vAlign w:val="center"/>
          </w:tcPr>
          <w:p w14:paraId="26C551B8" w14:textId="77777777" w:rsidR="00852466" w:rsidRPr="000125D1" w:rsidRDefault="00852466">
            <w:pPr>
              <w:keepLines/>
              <w:rPr>
                <w:rFonts w:ascii="Arial Narrow" w:hAnsi="Arial Narrow"/>
                <w:b/>
                <w:bCs/>
                <w:i/>
                <w:iCs/>
                <w:sz w:val="20"/>
                <w:szCs w:val="20"/>
              </w:rPr>
            </w:pPr>
            <w:r w:rsidRPr="000125D1">
              <w:rPr>
                <w:rFonts w:ascii="Arial Narrow" w:hAnsi="Arial Narrow"/>
                <w:b/>
                <w:bCs/>
                <w:i/>
                <w:iCs/>
                <w:sz w:val="20"/>
                <w:szCs w:val="20"/>
              </w:rPr>
              <w:t>MEDICINAL PRODUCT</w:t>
            </w:r>
          </w:p>
          <w:p w14:paraId="7ADCD063" w14:textId="77777777" w:rsidR="00852466" w:rsidRPr="000125D1" w:rsidRDefault="00852466">
            <w:pPr>
              <w:keepLines/>
              <w:rPr>
                <w:rFonts w:ascii="Arial Narrow" w:hAnsi="Arial Narrow"/>
                <w:b/>
                <w:i/>
                <w:iCs/>
                <w:sz w:val="20"/>
                <w:szCs w:val="20"/>
              </w:rPr>
            </w:pPr>
            <w:r w:rsidRPr="000125D1">
              <w:rPr>
                <w:rFonts w:ascii="Arial Narrow" w:hAnsi="Arial Narrow"/>
                <w:b/>
                <w:bCs/>
                <w:i/>
                <w:iCs/>
                <w:sz w:val="20"/>
                <w:szCs w:val="20"/>
              </w:rPr>
              <w:t>medicinal product pack</w:t>
            </w:r>
          </w:p>
        </w:tc>
        <w:tc>
          <w:tcPr>
            <w:tcW w:w="876" w:type="dxa"/>
            <w:vAlign w:val="center"/>
          </w:tcPr>
          <w:p w14:paraId="04337049"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PBS item code</w:t>
            </w:r>
          </w:p>
        </w:tc>
        <w:tc>
          <w:tcPr>
            <w:tcW w:w="747" w:type="dxa"/>
            <w:vAlign w:val="center"/>
          </w:tcPr>
          <w:p w14:paraId="44675FFC"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Max. qty packs</w:t>
            </w:r>
          </w:p>
        </w:tc>
        <w:tc>
          <w:tcPr>
            <w:tcW w:w="811" w:type="dxa"/>
            <w:vAlign w:val="center"/>
          </w:tcPr>
          <w:p w14:paraId="4CDA1A9E"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Max. qty units</w:t>
            </w:r>
          </w:p>
        </w:tc>
        <w:tc>
          <w:tcPr>
            <w:tcW w:w="812" w:type="dxa"/>
            <w:vAlign w:val="center"/>
          </w:tcPr>
          <w:p w14:paraId="663BF198"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№.of</w:t>
            </w:r>
          </w:p>
          <w:p w14:paraId="24B03806"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Rpts</w:t>
            </w:r>
          </w:p>
        </w:tc>
        <w:tc>
          <w:tcPr>
            <w:tcW w:w="1830" w:type="dxa"/>
            <w:vAlign w:val="center"/>
          </w:tcPr>
          <w:p w14:paraId="176215EC" w14:textId="77777777" w:rsidR="00852466" w:rsidRPr="000125D1" w:rsidRDefault="00852466">
            <w:pPr>
              <w:keepLines/>
              <w:jc w:val="center"/>
              <w:rPr>
                <w:rFonts w:ascii="Arial Narrow" w:hAnsi="Arial Narrow"/>
                <w:b/>
                <w:i/>
                <w:iCs/>
                <w:sz w:val="20"/>
                <w:szCs w:val="20"/>
                <w:lang w:val="fr-FR"/>
              </w:rPr>
            </w:pPr>
            <w:r w:rsidRPr="000125D1">
              <w:rPr>
                <w:rFonts w:ascii="Arial Narrow" w:hAnsi="Arial Narrow"/>
                <w:b/>
                <w:i/>
                <w:iCs/>
                <w:sz w:val="20"/>
                <w:szCs w:val="20"/>
              </w:rPr>
              <w:t>Available brands</w:t>
            </w:r>
          </w:p>
        </w:tc>
      </w:tr>
      <w:tr w:rsidR="000125D1" w:rsidRPr="000125D1" w14:paraId="19A1D606" w14:textId="77777777" w:rsidTr="000125D1">
        <w:trPr>
          <w:trHeight w:val="20"/>
        </w:trPr>
        <w:tc>
          <w:tcPr>
            <w:tcW w:w="9015" w:type="dxa"/>
            <w:gridSpan w:val="6"/>
            <w:vAlign w:val="center"/>
          </w:tcPr>
          <w:p w14:paraId="129C84DD"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ADALIMUMAB</w:t>
            </w:r>
          </w:p>
        </w:tc>
      </w:tr>
      <w:tr w:rsidR="000125D1" w:rsidRPr="000125D1" w14:paraId="2A47D674" w14:textId="77777777" w:rsidTr="000125D1">
        <w:trPr>
          <w:trHeight w:val="20"/>
        </w:trPr>
        <w:tc>
          <w:tcPr>
            <w:tcW w:w="3939" w:type="dxa"/>
            <w:vAlign w:val="center"/>
          </w:tcPr>
          <w:p w14:paraId="709C5F72"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20 mg/0.2 mL injection, 2 x 0.2 mL syringes </w:t>
            </w:r>
          </w:p>
        </w:tc>
        <w:tc>
          <w:tcPr>
            <w:tcW w:w="876" w:type="dxa"/>
            <w:vAlign w:val="center"/>
          </w:tcPr>
          <w:p w14:paraId="3A068C41"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283F6C90"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243486B6"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0E20C904"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4</w:t>
            </w:r>
          </w:p>
        </w:tc>
        <w:tc>
          <w:tcPr>
            <w:tcW w:w="1830" w:type="dxa"/>
            <w:vAlign w:val="center"/>
          </w:tcPr>
          <w:p w14:paraId="1ACC4A37"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3C264995" w14:textId="77777777" w:rsidTr="000125D1">
        <w:trPr>
          <w:trHeight w:val="20"/>
        </w:trPr>
        <w:tc>
          <w:tcPr>
            <w:tcW w:w="3939" w:type="dxa"/>
            <w:vAlign w:val="center"/>
          </w:tcPr>
          <w:p w14:paraId="20FAFC01"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mg/0.4 mL injection, 2 x 0.4 mL pen devices</w:t>
            </w:r>
          </w:p>
        </w:tc>
        <w:tc>
          <w:tcPr>
            <w:tcW w:w="876" w:type="dxa"/>
            <w:vAlign w:val="center"/>
          </w:tcPr>
          <w:p w14:paraId="57A2805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10234D00"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354DAAFA"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7FA51893"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4</w:t>
            </w:r>
          </w:p>
        </w:tc>
        <w:tc>
          <w:tcPr>
            <w:tcW w:w="1830" w:type="dxa"/>
            <w:vAlign w:val="center"/>
          </w:tcPr>
          <w:p w14:paraId="7BACC4D9" w14:textId="77777777" w:rsidR="00852466" w:rsidRPr="000125D1" w:rsidRDefault="00852466">
            <w:pPr>
              <w:keepLines/>
              <w:rPr>
                <w:rFonts w:ascii="Arial Narrow" w:hAnsi="Arial Narrow"/>
                <w:i/>
                <w:iCs/>
                <w:sz w:val="20"/>
                <w:szCs w:val="20"/>
              </w:rPr>
            </w:pPr>
          </w:p>
          <w:p w14:paraId="2E08A601"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p w14:paraId="1CD540DE" w14:textId="77777777" w:rsidR="00852466" w:rsidRPr="000125D1" w:rsidRDefault="00852466">
            <w:pPr>
              <w:keepLines/>
              <w:rPr>
                <w:rFonts w:ascii="Arial Narrow" w:hAnsi="Arial Narrow"/>
                <w:i/>
                <w:iCs/>
                <w:sz w:val="20"/>
                <w:szCs w:val="20"/>
              </w:rPr>
            </w:pPr>
          </w:p>
        </w:tc>
      </w:tr>
      <w:tr w:rsidR="000125D1" w:rsidRPr="000125D1" w14:paraId="111C3772" w14:textId="77777777" w:rsidTr="000125D1">
        <w:trPr>
          <w:trHeight w:val="20"/>
        </w:trPr>
        <w:tc>
          <w:tcPr>
            <w:tcW w:w="3939" w:type="dxa"/>
            <w:vAlign w:val="center"/>
          </w:tcPr>
          <w:p w14:paraId="23E1B72A"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mg/0.4 mL injection, 2 x 0.4 mL syringes</w:t>
            </w:r>
          </w:p>
        </w:tc>
        <w:tc>
          <w:tcPr>
            <w:tcW w:w="876" w:type="dxa"/>
            <w:vAlign w:val="center"/>
          </w:tcPr>
          <w:p w14:paraId="253C9E86"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219A5379"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388105C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48C84FD5"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4</w:t>
            </w:r>
          </w:p>
        </w:tc>
        <w:tc>
          <w:tcPr>
            <w:tcW w:w="1830" w:type="dxa"/>
            <w:vAlign w:val="center"/>
          </w:tcPr>
          <w:p w14:paraId="47AB675C"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p w14:paraId="15A90B1E" w14:textId="77777777" w:rsidR="00852466" w:rsidRPr="000125D1" w:rsidRDefault="00852466">
            <w:pPr>
              <w:keepLines/>
              <w:rPr>
                <w:rFonts w:ascii="Arial Narrow" w:hAnsi="Arial Narrow"/>
                <w:i/>
                <w:iCs/>
                <w:sz w:val="20"/>
                <w:szCs w:val="20"/>
              </w:rPr>
            </w:pPr>
          </w:p>
        </w:tc>
      </w:tr>
      <w:tr w:rsidR="000125D1" w:rsidRPr="000125D1" w14:paraId="3052B265"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right w:val="single" w:sz="4" w:space="0" w:color="auto"/>
            </w:tcBorders>
            <w:vAlign w:val="center"/>
          </w:tcPr>
          <w:p w14:paraId="0287D713" w14:textId="77777777" w:rsidR="00852466" w:rsidRPr="000125D1" w:rsidRDefault="00852466">
            <w:pPr>
              <w:rPr>
                <w:rFonts w:ascii="Arial Narrow" w:hAnsi="Arial Narrow"/>
                <w:i/>
                <w:iCs/>
                <w:sz w:val="20"/>
                <w:szCs w:val="20"/>
              </w:rPr>
            </w:pPr>
          </w:p>
        </w:tc>
      </w:tr>
      <w:tr w:rsidR="000125D1" w:rsidRPr="000125D1" w14:paraId="651A79F6"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6F9292E6" w14:textId="77777777" w:rsidR="00852466" w:rsidRPr="000125D1" w:rsidRDefault="00852466">
            <w:pPr>
              <w:keepLines/>
              <w:rPr>
                <w:rFonts w:ascii="Arial Narrow" w:hAnsi="Arial Narrow"/>
                <w:i/>
                <w:iCs/>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1696837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43C5CEAC" w14:textId="77777777" w:rsidR="00852466" w:rsidRPr="000125D1" w:rsidRDefault="00852466">
            <w:pPr>
              <w:keepLines/>
              <w:rPr>
                <w:rFonts w:ascii="Arial Narrow" w:hAnsi="Arial Narrow"/>
                <w:b/>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70621DE8"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273D2932" w14:textId="77777777" w:rsidR="00852466" w:rsidRPr="000125D1" w:rsidRDefault="00852466">
            <w:pPr>
              <w:keepLines/>
              <w:rPr>
                <w:rFonts w:ascii="Arial Narrow" w:eastAsia="Calibri" w:hAnsi="Arial Narrow"/>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5E99871B"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F2236B4"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 xml:space="preserve">Administrative Advice: </w:t>
            </w:r>
            <w:r w:rsidRPr="000125D1">
              <w:rPr>
                <w:rFonts w:ascii="Arial Narrow" w:hAnsi="Arial Narrow"/>
                <w:i/>
                <w:iCs/>
                <w:sz w:val="20"/>
                <w:szCs w:val="20"/>
              </w:rPr>
              <w:t xml:space="preserve">Special Pricing Arrangements apply. </w:t>
            </w:r>
          </w:p>
        </w:tc>
      </w:tr>
      <w:tr w:rsidR="000125D1" w:rsidRPr="000125D1" w14:paraId="4F3FAB24"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42E1106B"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r w:rsidRPr="000125D1">
              <w:rPr>
                <w:rFonts w:ascii="Arial Narrow" w:hAnsi="Arial Narrow"/>
                <w:i/>
                <w:iCs/>
                <w:sz w:val="20"/>
                <w:szCs w:val="20"/>
              </w:rPr>
              <w:t xml:space="preserve"> No increase in the maximum number of repeats may be authorised.</w:t>
            </w:r>
          </w:p>
        </w:tc>
      </w:tr>
      <w:tr w:rsidR="000125D1" w:rsidRPr="000125D1" w14:paraId="77CA74D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58956EDA"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r w:rsidRPr="000125D1">
              <w:rPr>
                <w:rFonts w:ascii="Arial Narrow" w:hAnsi="Arial Narrow"/>
                <w:i/>
                <w:iCs/>
                <w:sz w:val="20"/>
                <w:szCs w:val="20"/>
              </w:rPr>
              <w:t xml:space="preserve"> No increase in the maximum quantity or number of units may be authorised.</w:t>
            </w:r>
          </w:p>
        </w:tc>
      </w:tr>
      <w:tr w:rsidR="000125D1" w:rsidRPr="000125D1" w14:paraId="1FF089D2"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CF044AD"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p>
          <w:p w14:paraId="1887771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Where the term a ‘biological medicine’ appears in this restriction, it refers to (i) adalimumab, (ii) etanercept, and (iii) ustekinumab.</w:t>
            </w:r>
          </w:p>
        </w:tc>
      </w:tr>
      <w:tr w:rsidR="000125D1" w:rsidRPr="000125D1" w14:paraId="0CA0F56B"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69E3F64F"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p>
          <w:p w14:paraId="696D174D"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Any queries concerning the arrangements to prescribe may be directed to Services Australia on 1800 700 270 (hours of operation 8 a.m. to 5 p.m. Monday to Friday).</w:t>
            </w:r>
          </w:p>
          <w:p w14:paraId="1923E6AD" w14:textId="77777777" w:rsidR="00852466" w:rsidRPr="000125D1" w:rsidRDefault="00852466">
            <w:pPr>
              <w:rPr>
                <w:rFonts w:ascii="Arial Narrow" w:hAnsi="Arial Narrow"/>
                <w:i/>
                <w:iCs/>
                <w:sz w:val="20"/>
                <w:szCs w:val="20"/>
              </w:rPr>
            </w:pPr>
          </w:p>
          <w:p w14:paraId="11553E70"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0E48FC06" w14:textId="77777777" w:rsidR="00852466" w:rsidRPr="000125D1" w:rsidRDefault="00852466">
            <w:pPr>
              <w:rPr>
                <w:rFonts w:ascii="Arial Narrow" w:hAnsi="Arial Narrow"/>
                <w:i/>
                <w:iCs/>
                <w:sz w:val="20"/>
                <w:szCs w:val="20"/>
              </w:rPr>
            </w:pPr>
          </w:p>
          <w:p w14:paraId="20F92189"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108856D2" w14:textId="77777777" w:rsidR="00852466" w:rsidRPr="000125D1" w:rsidRDefault="00852466">
            <w:pPr>
              <w:rPr>
                <w:rFonts w:ascii="Arial Narrow" w:hAnsi="Arial Narrow"/>
                <w:i/>
                <w:iCs/>
                <w:sz w:val="20"/>
                <w:szCs w:val="20"/>
              </w:rPr>
            </w:pPr>
          </w:p>
          <w:p w14:paraId="597765C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Or mailed to:</w:t>
            </w:r>
          </w:p>
          <w:p w14:paraId="5488FCB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Services Australia</w:t>
            </w:r>
          </w:p>
          <w:p w14:paraId="26545F90"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Complex Drugs</w:t>
            </w:r>
          </w:p>
          <w:p w14:paraId="0DE2D1A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Reply Paid 9826</w:t>
            </w:r>
          </w:p>
          <w:p w14:paraId="5192ED28"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HOBART TAS 7001</w:t>
            </w:r>
          </w:p>
        </w:tc>
      </w:tr>
      <w:tr w:rsidR="000125D1" w:rsidRPr="000125D1" w14:paraId="4620898F"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15F3D434" w14:textId="77777777" w:rsidR="00852466" w:rsidRPr="000125D1" w:rsidRDefault="00852466">
            <w:pPr>
              <w:keepLines/>
              <w:rPr>
                <w:rFonts w:ascii="Arial Narrow" w:hAnsi="Arial Narrow"/>
                <w:i/>
                <w:iCs/>
                <w:sz w:val="20"/>
                <w:szCs w:val="20"/>
              </w:rPr>
            </w:pPr>
            <w:r w:rsidRPr="000125D1">
              <w:rPr>
                <w:rFonts w:ascii="Arial Narrow" w:hAnsi="Arial Narrow"/>
                <w:b/>
                <w:bCs/>
                <w:i/>
                <w:iCs/>
                <w:sz w:val="20"/>
                <w:szCs w:val="20"/>
              </w:rPr>
              <w:t>Indication:</w:t>
            </w:r>
            <w:r w:rsidRPr="000125D1">
              <w:rPr>
                <w:rFonts w:ascii="Arial Narrow" w:hAnsi="Arial Narrow"/>
                <w:i/>
                <w:iCs/>
                <w:sz w:val="20"/>
                <w:szCs w:val="20"/>
              </w:rPr>
              <w:t xml:space="preserve"> Severe chronic plaque psoriasis </w:t>
            </w:r>
          </w:p>
        </w:tc>
      </w:tr>
      <w:tr w:rsidR="000125D1" w:rsidRPr="000125D1" w14:paraId="5A24042E"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694A1567"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Initial treatment (Whole body)</w:t>
            </w:r>
          </w:p>
        </w:tc>
      </w:tr>
      <w:tr w:rsidR="000125D1" w:rsidRPr="000125D1" w14:paraId="3C6352DD"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32C14AE7"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398A3241"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496EC50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Must be treated by a dermatologist </w:t>
            </w:r>
          </w:p>
        </w:tc>
      </w:tr>
      <w:tr w:rsidR="000125D1" w:rsidRPr="000125D1" w14:paraId="4E003E22"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05B6B9BD"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 xml:space="preserve">Clinical criteria: </w:t>
            </w:r>
          </w:p>
        </w:tc>
      </w:tr>
      <w:tr w:rsidR="000125D1" w:rsidRPr="000125D1" w14:paraId="48C95DFB"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7A5C7A36"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Patient must have severe chronic plaque psoriasis where lesions have been present for at least 6 months from the time of initial diagnosis</w:t>
            </w:r>
          </w:p>
        </w:tc>
      </w:tr>
      <w:tr w:rsidR="000125D1" w:rsidRPr="000125D1" w14:paraId="2D5431E7"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70274377"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AND</w:t>
            </w:r>
          </w:p>
        </w:tc>
      </w:tr>
      <w:tr w:rsidR="000125D1" w:rsidRPr="000125D1" w14:paraId="559E950B"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120B468F"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Clinical criteria:</w:t>
            </w:r>
          </w:p>
        </w:tc>
      </w:tr>
      <w:tr w:rsidR="000125D1" w:rsidRPr="000125D1" w14:paraId="112AA842"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3FC8B092"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not have received PBS-subsidised treatment with a biological medicine for this condition</w:t>
            </w:r>
          </w:p>
        </w:tc>
      </w:tr>
      <w:tr w:rsidR="000125D1" w:rsidRPr="000125D1" w14:paraId="1FBB5A5D"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C85AFF0"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AND </w:t>
            </w:r>
          </w:p>
        </w:tc>
      </w:tr>
      <w:tr w:rsidR="000125D1" w:rsidRPr="000125D1" w14:paraId="4B8CE579"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18662E5"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42E342D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74C3D94"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Patient must have failed to achieve an adequate response following both: (i) phototherapy (UVB or PUVA) for 3 treatments per week for at least 6 weeks; (ii) daily topical therapy for at least 4 weeks; or </w:t>
            </w:r>
          </w:p>
        </w:tc>
      </w:tr>
      <w:tr w:rsidR="000125D1" w:rsidRPr="000125D1" w14:paraId="0C9968C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386FCB5"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be an inappropriate candidate for both: (i) phototherapy, (ii) topical therapy</w:t>
            </w:r>
          </w:p>
        </w:tc>
      </w:tr>
      <w:tr w:rsidR="000125D1" w:rsidRPr="000125D1" w14:paraId="5E82695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74543BAE"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AND</w:t>
            </w:r>
          </w:p>
        </w:tc>
      </w:tr>
      <w:tr w:rsidR="000125D1" w:rsidRPr="000125D1" w14:paraId="7586A2BA"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4C0EF98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111F98B4"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491DA3BE"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not receive more than 17 weeks of treatment under this restriction</w:t>
            </w:r>
          </w:p>
        </w:tc>
      </w:tr>
      <w:tr w:rsidR="000125D1" w:rsidRPr="000125D1" w14:paraId="07B8DAC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0431DB5B"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Population criteria:</w:t>
            </w:r>
          </w:p>
        </w:tc>
      </w:tr>
      <w:tr w:rsidR="000125D1" w:rsidRPr="000125D1" w14:paraId="4E125A2F"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59AC9D10"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 xml:space="preserve">Patient must be 4-17 years inclusive </w:t>
            </w:r>
          </w:p>
        </w:tc>
      </w:tr>
      <w:tr w:rsidR="000125D1" w:rsidRPr="000125D1" w14:paraId="079F03B9"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hideMark/>
          </w:tcPr>
          <w:p w14:paraId="311AA21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5C8AD6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following criterion indicates failure to achieve an adequate response to prior treatment and must be demonstrated in the patient at the time of the application:</w:t>
            </w:r>
          </w:p>
          <w:p w14:paraId="5EB16E4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A current Psoriasis Area and Severity Index (PASI) score of greater than 15, as assessed, preferably whilst still on treatment, but no longer than 1 month following cessation of the most recent prior treatment.</w:t>
            </w:r>
          </w:p>
          <w:p w14:paraId="57E1AC62"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The most recent PASI assessment must be no more than 1 month old at the time of application.</w:t>
            </w:r>
          </w:p>
        </w:tc>
      </w:tr>
      <w:tr w:rsidR="000125D1" w:rsidRPr="000125D1" w14:paraId="2D02A42F"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A5E74B2"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14AFBC1D"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34D06A4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3A8A9D35"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following:</w:t>
            </w:r>
          </w:p>
          <w:p w14:paraId="72BDCB8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(i) the completed current and previous Psoriasis Area and Severity Index (PASI) calculation sheets including the dates of assessment of the patient's condition; and</w:t>
            </w:r>
          </w:p>
          <w:p w14:paraId="7636BD21"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(ii) details of previous phototherapy and topical drug therapy [dosage (where applicable), date of commencement and duration of therapy], or details of why the patient was inappropriate candidate for those treatments.</w:t>
            </w:r>
          </w:p>
        </w:tc>
      </w:tr>
      <w:tr w:rsidR="000125D1" w:rsidRPr="000125D1" w14:paraId="6FE78DC7"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59616907" w14:textId="77777777" w:rsidR="00852466" w:rsidRPr="000125D1" w:rsidRDefault="00852466">
            <w:pPr>
              <w:rPr>
                <w:rFonts w:ascii="Arial Narrow" w:hAnsi="Arial Narrow"/>
                <w:bCs/>
                <w:i/>
                <w:iCs/>
                <w:sz w:val="20"/>
                <w:szCs w:val="20"/>
              </w:rPr>
            </w:pPr>
          </w:p>
          <w:p w14:paraId="0907161A" w14:textId="77777777" w:rsidR="00852466" w:rsidRPr="000125D1" w:rsidRDefault="00852466">
            <w:pPr>
              <w:rPr>
                <w:rFonts w:ascii="Arial Narrow" w:hAnsi="Arial Narrow"/>
                <w:bCs/>
                <w:i/>
                <w:iCs/>
                <w:sz w:val="20"/>
                <w:szCs w:val="20"/>
              </w:rPr>
            </w:pPr>
          </w:p>
        </w:tc>
      </w:tr>
      <w:tr w:rsidR="000125D1" w:rsidRPr="000125D1" w14:paraId="559BD182"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136FD30" w14:textId="77777777" w:rsidR="00852466" w:rsidRPr="000125D1" w:rsidRDefault="00852466">
            <w:pPr>
              <w:rPr>
                <w:rFonts w:ascii="Arial Narrow" w:hAnsi="Arial Narrow"/>
                <w:b/>
                <w:bCs/>
                <w:i/>
                <w:iCs/>
                <w:strike/>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74F8D659"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55C15579"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14C8F274"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9441AE8"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25CE4B83"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C09FA25"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Indication: </w:t>
            </w:r>
            <w:r w:rsidRPr="000125D1">
              <w:rPr>
                <w:rFonts w:ascii="Arial Narrow" w:hAnsi="Arial Narrow"/>
                <w:i/>
                <w:iCs/>
                <w:sz w:val="20"/>
                <w:szCs w:val="20"/>
              </w:rPr>
              <w:t>Severe chronic plaque psoriasis</w:t>
            </w:r>
          </w:p>
        </w:tc>
      </w:tr>
      <w:tr w:rsidR="000125D1" w:rsidRPr="000125D1" w14:paraId="388CAAC1"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633B3FB"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Initial treatment (Face, hand, foot)</w:t>
            </w:r>
          </w:p>
        </w:tc>
      </w:tr>
      <w:tr w:rsidR="000125D1" w:rsidRPr="000125D1" w14:paraId="43DCDE5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77F90A6"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1A91DAE4"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B496AC6"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 xml:space="preserve">Must be treated by a dermatologist </w:t>
            </w:r>
          </w:p>
        </w:tc>
      </w:tr>
      <w:tr w:rsidR="000125D1" w:rsidRPr="000125D1" w14:paraId="2072530B"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68870FB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6374FB8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5CE8A0FD"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severe chronic plaque psoriasis of the face, or palm of a hand, or sole of a foot where the plaque or plaques have been present for at least 6 months from the time of initial diagnosis</w:t>
            </w:r>
          </w:p>
        </w:tc>
      </w:tr>
      <w:tr w:rsidR="000125D1" w:rsidRPr="000125D1" w14:paraId="72313DF6"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19E1456E"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678F2E7E"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6622FEA0"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Clinical criteria:</w:t>
            </w:r>
          </w:p>
        </w:tc>
      </w:tr>
      <w:tr w:rsidR="000125D1" w:rsidRPr="000125D1" w14:paraId="0501A0DA"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7AF786F7"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not have received PBS-subsidised treatment with a biological medicine for this condition</w:t>
            </w:r>
          </w:p>
        </w:tc>
      </w:tr>
      <w:tr w:rsidR="000125D1" w:rsidRPr="000125D1" w14:paraId="3A244554"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A848D0F"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1EBA3BE5"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1C8468EE"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Clinical criteria:</w:t>
            </w:r>
          </w:p>
        </w:tc>
      </w:tr>
      <w:tr w:rsidR="000125D1" w:rsidRPr="000125D1" w14:paraId="18A5B847"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699873F7"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failed to achieve an adequate response following both: (i) phototherapy (UVB or PUVA) for 3 treatments per week for at least 6 weeks; (ii) daily topical therapy for at least 4 weeks</w:t>
            </w:r>
          </w:p>
        </w:tc>
      </w:tr>
      <w:tr w:rsidR="000125D1" w:rsidRPr="000125D1" w14:paraId="67A756C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89B44B3"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be an inappropriate candidate for both: (i) phototherapy, (ii) topical therapy;</w:t>
            </w:r>
          </w:p>
        </w:tc>
      </w:tr>
      <w:tr w:rsidR="000125D1" w:rsidRPr="000125D1" w14:paraId="3F43A9F0"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19B7E7C8"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73E2231F"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1DB449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1D448927"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456A6229"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not receive more than 17 weeks of treatment under this restriction</w:t>
            </w:r>
          </w:p>
        </w:tc>
      </w:tr>
      <w:tr w:rsidR="000125D1" w:rsidRPr="000125D1" w14:paraId="7C813B39"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694E50DE"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Population criteria:</w:t>
            </w:r>
          </w:p>
        </w:tc>
      </w:tr>
      <w:tr w:rsidR="000125D1" w:rsidRPr="000125D1" w14:paraId="5199A76E"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4C9ED1A"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be 4-17 years inclusive</w:t>
            </w:r>
          </w:p>
        </w:tc>
      </w:tr>
      <w:tr w:rsidR="000125D1" w:rsidRPr="000125D1" w14:paraId="2EE10888"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EB90E8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C6E927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following criterion indicates failure to achieve an adequate response to prior treatment and must be demonstrated in the patient at the time of the application:</w:t>
            </w:r>
          </w:p>
          <w:p w14:paraId="68F638D2"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Chronic plaque psoriasis classified as severe due to a plaque or plaques on the face, palm of a hand, or sole of a foot where:</w:t>
            </w:r>
          </w:p>
          <w:p w14:paraId="48EEBCB6"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(i) at least 2 of the 3 Psoriasis Area and Severity Index (PASI) symptom </w:t>
            </w:r>
            <w:proofErr w:type="spellStart"/>
            <w:r w:rsidRPr="000125D1">
              <w:rPr>
                <w:rFonts w:ascii="Arial Narrow" w:hAnsi="Arial Narrow"/>
                <w:i/>
                <w:iCs/>
                <w:sz w:val="20"/>
                <w:szCs w:val="20"/>
              </w:rPr>
              <w:t>subscores</w:t>
            </w:r>
            <w:proofErr w:type="spellEnd"/>
            <w:r w:rsidRPr="000125D1">
              <w:rPr>
                <w:rFonts w:ascii="Arial Narrow" w:hAnsi="Arial Narrow"/>
                <w:i/>
                <w:iCs/>
                <w:sz w:val="20"/>
                <w:szCs w:val="20"/>
              </w:rPr>
              <w:t xml:space="preserve"> for erythema, thickness and scaling are rated as severe or very severe, as assessed, preferably whilst still on treatment, but no longer than 1 month following cessation of the most recent prior treatment; or</w:t>
            </w:r>
          </w:p>
          <w:p w14:paraId="09CA6597" w14:textId="77777777" w:rsidR="00852466" w:rsidRPr="000125D1" w:rsidRDefault="00852466">
            <w:r w:rsidRPr="000125D1">
              <w:rPr>
                <w:rFonts w:ascii="Arial Narrow" w:hAnsi="Arial Narrow"/>
                <w:i/>
                <w:iCs/>
                <w:sz w:val="20"/>
                <w:szCs w:val="20"/>
              </w:rPr>
              <w:t>(ii) the skin area affected is 30% or more of the face, palm of a hand, or sole of a foot, as assessed, preferably whilst still on treatment, but no longer than 1 month following cessation of the most recent prior treatment;</w:t>
            </w:r>
          </w:p>
          <w:p w14:paraId="34A812AB"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(b) The most recent PASI assessment must be no more than 1 month old at the time of application.</w:t>
            </w:r>
          </w:p>
        </w:tc>
      </w:tr>
      <w:tr w:rsidR="000125D1" w:rsidRPr="000125D1" w14:paraId="665A9EE5"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A111E27"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4DBE825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209B9BC7"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0CB3D60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following:</w:t>
            </w:r>
          </w:p>
          <w:p w14:paraId="6A27390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(i) the completed current and previous Psoriasis Area and Severity Index (PASI) calculation sheets and face, hand, foot diagrams including the dates of assessment of the patient's condition; and</w:t>
            </w:r>
          </w:p>
          <w:p w14:paraId="7DC414B0"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(ii) details of previous phototherapy and topical drug therapy [dosage (where applicable), date of commencement and duration of therapy] or details of why the patient was inappropriate candidate for those treatments.</w:t>
            </w:r>
          </w:p>
        </w:tc>
      </w:tr>
      <w:tr w:rsidR="000125D1" w:rsidRPr="000125D1" w14:paraId="27430C01" w14:textId="77777777" w:rsidTr="000125D1">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3D8E93E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21CBECA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PASI assessment for continuing treatment must be performed on the same affected area as assessed at baseline.</w:t>
            </w:r>
          </w:p>
        </w:tc>
      </w:tr>
    </w:tbl>
    <w:p w14:paraId="52303876" w14:textId="77777777" w:rsidR="00852466" w:rsidRPr="000125D1" w:rsidRDefault="00852466" w:rsidP="00852466"/>
    <w:p w14:paraId="1EF2E641" w14:textId="77777777" w:rsidR="00852466" w:rsidRPr="000125D1" w:rsidRDefault="00852466" w:rsidP="00852466"/>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ew listing - Chronic plaque psoriasis"/>
      </w:tblPr>
      <w:tblGrid>
        <w:gridCol w:w="3939"/>
        <w:gridCol w:w="876"/>
        <w:gridCol w:w="747"/>
        <w:gridCol w:w="811"/>
        <w:gridCol w:w="812"/>
        <w:gridCol w:w="1837"/>
        <w:gridCol w:w="7"/>
      </w:tblGrid>
      <w:tr w:rsidR="000125D1" w:rsidRPr="000125D1" w14:paraId="3EA6A09C" w14:textId="77777777" w:rsidTr="000125D1">
        <w:trPr>
          <w:gridAfter w:val="1"/>
          <w:wAfter w:w="7" w:type="dxa"/>
          <w:trHeight w:val="20"/>
        </w:trPr>
        <w:tc>
          <w:tcPr>
            <w:tcW w:w="3939" w:type="dxa"/>
            <w:vAlign w:val="center"/>
          </w:tcPr>
          <w:p w14:paraId="677807DB" w14:textId="77777777" w:rsidR="00852466" w:rsidRPr="000125D1" w:rsidRDefault="00852466">
            <w:pPr>
              <w:keepLines/>
              <w:rPr>
                <w:rFonts w:ascii="Arial Narrow" w:hAnsi="Arial Narrow"/>
                <w:b/>
                <w:bCs/>
                <w:i/>
                <w:iCs/>
                <w:sz w:val="20"/>
                <w:szCs w:val="20"/>
              </w:rPr>
            </w:pPr>
            <w:r w:rsidRPr="000125D1">
              <w:rPr>
                <w:rFonts w:ascii="Arial Narrow" w:hAnsi="Arial Narrow"/>
                <w:b/>
                <w:bCs/>
                <w:i/>
                <w:iCs/>
                <w:sz w:val="20"/>
                <w:szCs w:val="20"/>
              </w:rPr>
              <w:t>MEDICINAL PRODUCT</w:t>
            </w:r>
          </w:p>
          <w:p w14:paraId="02D237E6" w14:textId="77777777" w:rsidR="00852466" w:rsidRPr="000125D1" w:rsidRDefault="00852466">
            <w:pPr>
              <w:keepLines/>
              <w:rPr>
                <w:rFonts w:ascii="Arial Narrow" w:hAnsi="Arial Narrow"/>
                <w:b/>
                <w:i/>
                <w:iCs/>
                <w:sz w:val="20"/>
                <w:szCs w:val="20"/>
              </w:rPr>
            </w:pPr>
            <w:r w:rsidRPr="000125D1">
              <w:rPr>
                <w:rFonts w:ascii="Arial Narrow" w:hAnsi="Arial Narrow"/>
                <w:b/>
                <w:bCs/>
                <w:i/>
                <w:iCs/>
                <w:sz w:val="20"/>
                <w:szCs w:val="20"/>
              </w:rPr>
              <w:t>medicinal product pack</w:t>
            </w:r>
          </w:p>
        </w:tc>
        <w:tc>
          <w:tcPr>
            <w:tcW w:w="876" w:type="dxa"/>
            <w:vAlign w:val="center"/>
          </w:tcPr>
          <w:p w14:paraId="55B73624"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PBS item code</w:t>
            </w:r>
          </w:p>
        </w:tc>
        <w:tc>
          <w:tcPr>
            <w:tcW w:w="747" w:type="dxa"/>
            <w:vAlign w:val="center"/>
          </w:tcPr>
          <w:p w14:paraId="70A4D6C6"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Max. qty packs</w:t>
            </w:r>
          </w:p>
        </w:tc>
        <w:tc>
          <w:tcPr>
            <w:tcW w:w="811" w:type="dxa"/>
            <w:vAlign w:val="center"/>
          </w:tcPr>
          <w:p w14:paraId="7ED056A6"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Max. qty units</w:t>
            </w:r>
          </w:p>
        </w:tc>
        <w:tc>
          <w:tcPr>
            <w:tcW w:w="812" w:type="dxa"/>
            <w:vAlign w:val="center"/>
          </w:tcPr>
          <w:p w14:paraId="19990DBA"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№.of</w:t>
            </w:r>
          </w:p>
          <w:p w14:paraId="1FB04FF2" w14:textId="77777777" w:rsidR="00852466" w:rsidRPr="000125D1" w:rsidRDefault="00852466">
            <w:pPr>
              <w:keepLines/>
              <w:jc w:val="center"/>
              <w:rPr>
                <w:rFonts w:ascii="Arial Narrow" w:hAnsi="Arial Narrow"/>
                <w:b/>
                <w:i/>
                <w:iCs/>
                <w:sz w:val="20"/>
                <w:szCs w:val="20"/>
              </w:rPr>
            </w:pPr>
            <w:r w:rsidRPr="000125D1">
              <w:rPr>
                <w:rFonts w:ascii="Arial Narrow" w:hAnsi="Arial Narrow"/>
                <w:b/>
                <w:i/>
                <w:iCs/>
                <w:sz w:val="20"/>
                <w:szCs w:val="20"/>
              </w:rPr>
              <w:t>Rpts</w:t>
            </w:r>
          </w:p>
        </w:tc>
        <w:tc>
          <w:tcPr>
            <w:tcW w:w="1837" w:type="dxa"/>
            <w:vAlign w:val="center"/>
          </w:tcPr>
          <w:p w14:paraId="49F7B34E" w14:textId="77777777" w:rsidR="00852466" w:rsidRPr="000125D1" w:rsidRDefault="00852466">
            <w:pPr>
              <w:keepLines/>
              <w:rPr>
                <w:rFonts w:ascii="Arial Narrow" w:hAnsi="Arial Narrow"/>
                <w:b/>
                <w:i/>
                <w:iCs/>
                <w:sz w:val="20"/>
                <w:szCs w:val="20"/>
                <w:lang w:val="fr-FR"/>
              </w:rPr>
            </w:pPr>
            <w:r w:rsidRPr="000125D1">
              <w:rPr>
                <w:rFonts w:ascii="Arial Narrow" w:hAnsi="Arial Narrow"/>
                <w:b/>
                <w:i/>
                <w:iCs/>
                <w:sz w:val="20"/>
                <w:szCs w:val="20"/>
              </w:rPr>
              <w:t>Available brands</w:t>
            </w:r>
          </w:p>
        </w:tc>
      </w:tr>
      <w:tr w:rsidR="000125D1" w:rsidRPr="000125D1" w14:paraId="6E06F7AE" w14:textId="77777777" w:rsidTr="000125D1">
        <w:trPr>
          <w:gridAfter w:val="1"/>
          <w:wAfter w:w="7" w:type="dxa"/>
          <w:trHeight w:val="20"/>
        </w:trPr>
        <w:tc>
          <w:tcPr>
            <w:tcW w:w="9022" w:type="dxa"/>
            <w:gridSpan w:val="6"/>
            <w:vAlign w:val="center"/>
          </w:tcPr>
          <w:p w14:paraId="196C6262"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ADALIMUMAB</w:t>
            </w:r>
          </w:p>
        </w:tc>
      </w:tr>
      <w:tr w:rsidR="000125D1" w:rsidRPr="000125D1" w14:paraId="3AFFFF66" w14:textId="77777777" w:rsidTr="000125D1">
        <w:trPr>
          <w:gridAfter w:val="1"/>
          <w:wAfter w:w="7" w:type="dxa"/>
          <w:trHeight w:val="20"/>
        </w:trPr>
        <w:tc>
          <w:tcPr>
            <w:tcW w:w="3939" w:type="dxa"/>
            <w:vAlign w:val="center"/>
          </w:tcPr>
          <w:p w14:paraId="1C58C340"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20 mg/0.2 mL injection, 2 x 0.2 mL syringes </w:t>
            </w:r>
          </w:p>
        </w:tc>
        <w:tc>
          <w:tcPr>
            <w:tcW w:w="876" w:type="dxa"/>
            <w:vAlign w:val="center"/>
          </w:tcPr>
          <w:p w14:paraId="14473D9A"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0C12FE23"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4FAC393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1D1CBFAA"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72F1A2D0"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02AD3855" w14:textId="77777777" w:rsidTr="000125D1">
        <w:trPr>
          <w:gridAfter w:val="1"/>
          <w:wAfter w:w="7" w:type="dxa"/>
          <w:trHeight w:val="20"/>
        </w:trPr>
        <w:tc>
          <w:tcPr>
            <w:tcW w:w="3939" w:type="dxa"/>
            <w:vAlign w:val="center"/>
          </w:tcPr>
          <w:p w14:paraId="09F5AD05"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20 mg/0.4 mL injection, 0.4 mL syringe </w:t>
            </w:r>
          </w:p>
        </w:tc>
        <w:tc>
          <w:tcPr>
            <w:tcW w:w="876" w:type="dxa"/>
            <w:vAlign w:val="center"/>
          </w:tcPr>
          <w:p w14:paraId="30FB5EC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3670AAFA"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1" w:type="dxa"/>
            <w:vAlign w:val="center"/>
          </w:tcPr>
          <w:p w14:paraId="1B5BFDC2"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3322B326"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553F9112"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1BADF300" w14:textId="77777777" w:rsidTr="000125D1">
        <w:trPr>
          <w:gridAfter w:val="1"/>
          <w:wAfter w:w="7" w:type="dxa"/>
          <w:trHeight w:val="20"/>
        </w:trPr>
        <w:tc>
          <w:tcPr>
            <w:tcW w:w="3939" w:type="dxa"/>
            <w:vAlign w:val="center"/>
          </w:tcPr>
          <w:p w14:paraId="4A56D1B8"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20 mg/0.4 mL injection, 2 x 0.4 mL syringes</w:t>
            </w:r>
          </w:p>
        </w:tc>
        <w:tc>
          <w:tcPr>
            <w:tcW w:w="876" w:type="dxa"/>
            <w:vAlign w:val="center"/>
          </w:tcPr>
          <w:p w14:paraId="7FB86C90"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6129D6A8"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1D1CDF19"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77A7836B"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706988B1"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216EF3EC" w14:textId="77777777" w:rsidTr="000125D1">
        <w:trPr>
          <w:gridAfter w:val="1"/>
          <w:wAfter w:w="7" w:type="dxa"/>
          <w:trHeight w:val="20"/>
        </w:trPr>
        <w:tc>
          <w:tcPr>
            <w:tcW w:w="3939" w:type="dxa"/>
            <w:vAlign w:val="center"/>
          </w:tcPr>
          <w:p w14:paraId="7B5014D9"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mg/0.4 mL injection, 2 x 0.4 mL pen devices</w:t>
            </w:r>
          </w:p>
        </w:tc>
        <w:tc>
          <w:tcPr>
            <w:tcW w:w="876" w:type="dxa"/>
            <w:vAlign w:val="center"/>
          </w:tcPr>
          <w:p w14:paraId="4A3CBE78"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1763E254"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6DEE7718"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705BD7F7"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0E790F80"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p w14:paraId="55546336" w14:textId="77777777" w:rsidR="00852466" w:rsidRPr="000125D1" w:rsidRDefault="00852466">
            <w:pPr>
              <w:keepLines/>
              <w:rPr>
                <w:rFonts w:ascii="Arial Narrow" w:hAnsi="Arial Narrow"/>
                <w:i/>
                <w:iCs/>
                <w:sz w:val="20"/>
                <w:szCs w:val="20"/>
              </w:rPr>
            </w:pPr>
          </w:p>
        </w:tc>
      </w:tr>
      <w:tr w:rsidR="000125D1" w:rsidRPr="000125D1" w14:paraId="14200514" w14:textId="77777777" w:rsidTr="000125D1">
        <w:trPr>
          <w:gridAfter w:val="1"/>
          <w:wAfter w:w="7" w:type="dxa"/>
          <w:trHeight w:val="20"/>
        </w:trPr>
        <w:tc>
          <w:tcPr>
            <w:tcW w:w="3939" w:type="dxa"/>
            <w:vAlign w:val="center"/>
          </w:tcPr>
          <w:p w14:paraId="38906E64"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mg/0.4 mL injection, 2 x 0.4 mL syringes</w:t>
            </w:r>
          </w:p>
        </w:tc>
        <w:tc>
          <w:tcPr>
            <w:tcW w:w="876" w:type="dxa"/>
            <w:vAlign w:val="center"/>
          </w:tcPr>
          <w:p w14:paraId="17E7BB03"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2FFE1CE9"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42A7E0A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3D631202"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1CB6A34E"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p w14:paraId="25A3B33D" w14:textId="77777777" w:rsidR="00852466" w:rsidRPr="000125D1" w:rsidRDefault="00852466">
            <w:pPr>
              <w:keepLines/>
              <w:rPr>
                <w:rFonts w:ascii="Arial Narrow" w:hAnsi="Arial Narrow"/>
                <w:i/>
                <w:iCs/>
                <w:sz w:val="20"/>
                <w:szCs w:val="20"/>
              </w:rPr>
            </w:pPr>
          </w:p>
        </w:tc>
      </w:tr>
      <w:tr w:rsidR="000125D1" w:rsidRPr="000125D1" w14:paraId="30779388" w14:textId="77777777" w:rsidTr="000125D1">
        <w:trPr>
          <w:gridAfter w:val="1"/>
          <w:wAfter w:w="7" w:type="dxa"/>
          <w:trHeight w:val="20"/>
        </w:trPr>
        <w:tc>
          <w:tcPr>
            <w:tcW w:w="3939" w:type="dxa"/>
            <w:vAlign w:val="center"/>
          </w:tcPr>
          <w:p w14:paraId="2B6F828B"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mg/0.8 mL injection, 2 x 0.8 mL syringes</w:t>
            </w:r>
          </w:p>
        </w:tc>
        <w:tc>
          <w:tcPr>
            <w:tcW w:w="876" w:type="dxa"/>
            <w:vAlign w:val="center"/>
          </w:tcPr>
          <w:p w14:paraId="6FEFE3C3"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6101A4CD"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171C3B25"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3115B8C8"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295EAF4B"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10CF995C" w14:textId="77777777" w:rsidTr="000125D1">
        <w:trPr>
          <w:gridAfter w:val="1"/>
          <w:wAfter w:w="7" w:type="dxa"/>
          <w:trHeight w:val="20"/>
        </w:trPr>
        <w:tc>
          <w:tcPr>
            <w:tcW w:w="3939" w:type="dxa"/>
            <w:vAlign w:val="center"/>
          </w:tcPr>
          <w:p w14:paraId="7663A697" w14:textId="77777777" w:rsidR="00852466" w:rsidRPr="000125D1" w:rsidRDefault="00852466">
            <w:pPr>
              <w:keepLines/>
              <w:jc w:val="left"/>
              <w:rPr>
                <w:rFonts w:ascii="Arial Narrow" w:hAnsi="Arial Narrow"/>
                <w:i/>
                <w:iCs/>
                <w:sz w:val="20"/>
                <w:szCs w:val="20"/>
              </w:rPr>
            </w:pPr>
            <w:r w:rsidRPr="000125D1">
              <w:rPr>
                <w:rFonts w:ascii="Arial Narrow" w:hAnsi="Arial Narrow"/>
                <w:i/>
                <w:iCs/>
                <w:sz w:val="20"/>
                <w:szCs w:val="20"/>
              </w:rPr>
              <w:t>adalimumab 40 mg/0.8 mL injection, 2 x 0.8 mL pen devices </w:t>
            </w:r>
          </w:p>
        </w:tc>
        <w:tc>
          <w:tcPr>
            <w:tcW w:w="876" w:type="dxa"/>
            <w:vAlign w:val="center"/>
          </w:tcPr>
          <w:p w14:paraId="67FAD50E"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NEW</w:t>
            </w:r>
          </w:p>
        </w:tc>
        <w:tc>
          <w:tcPr>
            <w:tcW w:w="747" w:type="dxa"/>
            <w:vAlign w:val="center"/>
          </w:tcPr>
          <w:p w14:paraId="1CCC7100"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1</w:t>
            </w:r>
          </w:p>
        </w:tc>
        <w:tc>
          <w:tcPr>
            <w:tcW w:w="811" w:type="dxa"/>
            <w:vAlign w:val="center"/>
          </w:tcPr>
          <w:p w14:paraId="6A17CA97"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2</w:t>
            </w:r>
          </w:p>
        </w:tc>
        <w:tc>
          <w:tcPr>
            <w:tcW w:w="812" w:type="dxa"/>
            <w:vAlign w:val="center"/>
          </w:tcPr>
          <w:p w14:paraId="2DC3E889" w14:textId="77777777" w:rsidR="00852466" w:rsidRPr="000125D1" w:rsidRDefault="00852466">
            <w:pPr>
              <w:keepLines/>
              <w:jc w:val="center"/>
              <w:rPr>
                <w:rFonts w:ascii="Arial Narrow" w:hAnsi="Arial Narrow"/>
                <w:i/>
                <w:iCs/>
                <w:sz w:val="20"/>
                <w:szCs w:val="20"/>
              </w:rPr>
            </w:pPr>
            <w:r w:rsidRPr="000125D1">
              <w:rPr>
                <w:rFonts w:ascii="Arial Narrow" w:hAnsi="Arial Narrow"/>
                <w:i/>
                <w:iCs/>
                <w:sz w:val="20"/>
                <w:szCs w:val="20"/>
              </w:rPr>
              <w:t>5</w:t>
            </w:r>
          </w:p>
        </w:tc>
        <w:tc>
          <w:tcPr>
            <w:tcW w:w="1837" w:type="dxa"/>
            <w:vAlign w:val="center"/>
          </w:tcPr>
          <w:p w14:paraId="4FBC95E7" w14:textId="77777777" w:rsidR="00852466" w:rsidRPr="000125D1" w:rsidRDefault="00852466">
            <w:pPr>
              <w:keepLines/>
              <w:rPr>
                <w:rFonts w:ascii="Arial Narrow" w:hAnsi="Arial Narrow"/>
                <w:i/>
                <w:iCs/>
                <w:sz w:val="20"/>
                <w:szCs w:val="20"/>
              </w:rPr>
            </w:pPr>
            <w:r w:rsidRPr="000125D1">
              <w:rPr>
                <w:rFonts w:ascii="Arial Narrow" w:hAnsi="Arial Narrow"/>
                <w:i/>
                <w:iCs/>
                <w:sz w:val="20"/>
                <w:szCs w:val="20"/>
              </w:rPr>
              <w:t>Humira</w:t>
            </w:r>
          </w:p>
        </w:tc>
      </w:tr>
      <w:tr w:rsidR="000125D1" w:rsidRPr="000125D1" w14:paraId="73DB4902" w14:textId="77777777" w:rsidTr="000125D1">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073B1B1E" w14:textId="77777777" w:rsidR="00852466" w:rsidRPr="000125D1" w:rsidRDefault="00852466">
            <w:pPr>
              <w:rPr>
                <w:rFonts w:ascii="Arial Narrow" w:hAnsi="Arial Narrow"/>
                <w:i/>
                <w:iCs/>
                <w:sz w:val="20"/>
                <w:szCs w:val="20"/>
              </w:rPr>
            </w:pPr>
          </w:p>
          <w:p w14:paraId="018C0653" w14:textId="77777777" w:rsidR="00852466" w:rsidRPr="000125D1" w:rsidRDefault="00852466">
            <w:pPr>
              <w:rPr>
                <w:rFonts w:ascii="Arial Narrow" w:hAnsi="Arial Narrow"/>
                <w:i/>
                <w:iCs/>
                <w:sz w:val="20"/>
                <w:szCs w:val="20"/>
              </w:rPr>
            </w:pPr>
          </w:p>
        </w:tc>
      </w:tr>
      <w:tr w:rsidR="000125D1" w:rsidRPr="000125D1" w14:paraId="3AC8FB7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E8CCE09" w14:textId="77777777" w:rsidR="00852466" w:rsidRPr="000125D1" w:rsidRDefault="00852466">
            <w:pPr>
              <w:keepLines/>
              <w:rPr>
                <w:rFonts w:ascii="Arial Narrow" w:hAnsi="Arial Narrow"/>
                <w:i/>
                <w:iCs/>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5B3B17C2"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B642061" w14:textId="77777777" w:rsidR="00852466" w:rsidRPr="000125D1" w:rsidRDefault="00852466">
            <w:pPr>
              <w:keepLines/>
              <w:rPr>
                <w:rFonts w:ascii="Arial Narrow" w:hAnsi="Arial Narrow"/>
                <w:b/>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1C45E56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50B443F" w14:textId="77777777" w:rsidR="00852466" w:rsidRPr="000125D1" w:rsidRDefault="00852466">
            <w:pPr>
              <w:keepLines/>
              <w:rPr>
                <w:rFonts w:ascii="Arial Narrow" w:eastAsia="Calibri" w:hAnsi="Arial Narrow"/>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6318A0B2"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07E62F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p>
          <w:p w14:paraId="4BA70FDE"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Special Pricing Arrangements apply. </w:t>
            </w:r>
          </w:p>
        </w:tc>
      </w:tr>
      <w:tr w:rsidR="000125D1" w:rsidRPr="000125D1" w14:paraId="36A108D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2D9BFD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r w:rsidRPr="000125D1">
              <w:rPr>
                <w:rFonts w:ascii="Arial Narrow" w:hAnsi="Arial Narrow"/>
                <w:i/>
                <w:iCs/>
                <w:sz w:val="20"/>
                <w:szCs w:val="20"/>
              </w:rPr>
              <w:t xml:space="preserve"> No increase in the maximum number of repeats may be authorised.</w:t>
            </w:r>
          </w:p>
        </w:tc>
      </w:tr>
      <w:tr w:rsidR="000125D1" w:rsidRPr="000125D1" w14:paraId="519728A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ADC543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r w:rsidRPr="000125D1">
              <w:rPr>
                <w:rFonts w:ascii="Arial Narrow" w:hAnsi="Arial Narrow"/>
                <w:i/>
                <w:iCs/>
                <w:sz w:val="20"/>
                <w:szCs w:val="20"/>
              </w:rPr>
              <w:t xml:space="preserve"> No increase in the maximum quantity or number of units may be authorised.</w:t>
            </w:r>
          </w:p>
        </w:tc>
      </w:tr>
      <w:tr w:rsidR="000125D1" w:rsidRPr="000125D1" w14:paraId="32AB4F2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EFF7FBC"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Administrative Advice:</w:t>
            </w:r>
          </w:p>
          <w:p w14:paraId="1AD42CC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Any queries concerning the arrangements to prescribe may be directed to Services Australia on 1800 700 270 (hours of operation 8 a.m. to 5 p.m. Monday to Friday).</w:t>
            </w:r>
          </w:p>
          <w:p w14:paraId="58C7CF0C" w14:textId="77777777" w:rsidR="00852466" w:rsidRPr="000125D1" w:rsidRDefault="00852466">
            <w:pPr>
              <w:rPr>
                <w:rFonts w:ascii="Arial Narrow" w:hAnsi="Arial Narrow"/>
                <w:i/>
                <w:iCs/>
                <w:sz w:val="20"/>
                <w:szCs w:val="20"/>
              </w:rPr>
            </w:pPr>
          </w:p>
          <w:p w14:paraId="045EF500"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49E9BB38" w14:textId="77777777" w:rsidR="00852466" w:rsidRPr="000125D1" w:rsidRDefault="00852466">
            <w:pPr>
              <w:rPr>
                <w:rFonts w:ascii="Arial Narrow" w:hAnsi="Arial Narrow"/>
                <w:i/>
                <w:iCs/>
                <w:sz w:val="20"/>
                <w:szCs w:val="20"/>
              </w:rPr>
            </w:pPr>
          </w:p>
          <w:p w14:paraId="26C0325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36588CD3" w14:textId="77777777" w:rsidR="00852466" w:rsidRPr="000125D1" w:rsidRDefault="00852466">
            <w:pPr>
              <w:rPr>
                <w:rFonts w:ascii="Arial Narrow" w:hAnsi="Arial Narrow"/>
                <w:i/>
                <w:iCs/>
                <w:sz w:val="20"/>
                <w:szCs w:val="20"/>
              </w:rPr>
            </w:pPr>
          </w:p>
          <w:p w14:paraId="7E1F443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Or mailed to:</w:t>
            </w:r>
          </w:p>
          <w:p w14:paraId="10897383"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Services Australia</w:t>
            </w:r>
          </w:p>
          <w:p w14:paraId="0421279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Complex Drugs</w:t>
            </w:r>
          </w:p>
          <w:p w14:paraId="06F935E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Reply Paid 9826</w:t>
            </w:r>
          </w:p>
          <w:p w14:paraId="2196D663"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HOBART TAS 7001</w:t>
            </w:r>
          </w:p>
        </w:tc>
      </w:tr>
      <w:tr w:rsidR="000125D1" w:rsidRPr="000125D1" w14:paraId="72B1AC55"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71089E66" w14:textId="77777777" w:rsidR="00852466" w:rsidRPr="000125D1" w:rsidRDefault="00852466">
            <w:pPr>
              <w:keepLines/>
              <w:rPr>
                <w:rFonts w:ascii="Arial Narrow" w:hAnsi="Arial Narrow"/>
                <w:i/>
                <w:iCs/>
                <w:sz w:val="20"/>
                <w:szCs w:val="20"/>
              </w:rPr>
            </w:pPr>
            <w:r w:rsidRPr="000125D1">
              <w:rPr>
                <w:rFonts w:ascii="Arial Narrow" w:hAnsi="Arial Narrow"/>
                <w:b/>
                <w:bCs/>
                <w:i/>
                <w:iCs/>
                <w:sz w:val="20"/>
                <w:szCs w:val="20"/>
              </w:rPr>
              <w:t>Indication:</w:t>
            </w:r>
            <w:r w:rsidRPr="000125D1">
              <w:rPr>
                <w:rFonts w:ascii="Arial Narrow" w:hAnsi="Arial Narrow"/>
                <w:i/>
                <w:iCs/>
                <w:sz w:val="20"/>
                <w:szCs w:val="20"/>
              </w:rPr>
              <w:t xml:space="preserve"> Severe chronic plaque psoriasis </w:t>
            </w:r>
          </w:p>
        </w:tc>
      </w:tr>
      <w:tr w:rsidR="000125D1" w:rsidRPr="000125D1" w14:paraId="513EC008"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252D2DB2"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First continuing treatment, Whole body</w:t>
            </w:r>
          </w:p>
        </w:tc>
      </w:tr>
      <w:tr w:rsidR="000125D1" w:rsidRPr="000125D1" w14:paraId="65ED8C14"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F59DFD9"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295736E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523CC0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Must be treated by a dermatologist </w:t>
            </w:r>
          </w:p>
        </w:tc>
      </w:tr>
      <w:tr w:rsidR="000125D1" w:rsidRPr="000125D1" w14:paraId="2FD5BB2D"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11E2409E"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 xml:space="preserve">Clinical criteria: </w:t>
            </w:r>
          </w:p>
        </w:tc>
      </w:tr>
      <w:tr w:rsidR="000125D1" w:rsidRPr="000125D1" w14:paraId="36006C5F"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357A75A8"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Patient must have received PBS-subsidised treatment with this drug for this condition</w:t>
            </w:r>
          </w:p>
        </w:tc>
      </w:tr>
      <w:tr w:rsidR="000125D1" w:rsidRPr="000125D1" w14:paraId="43FE101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494A5725"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AND</w:t>
            </w:r>
          </w:p>
        </w:tc>
      </w:tr>
      <w:tr w:rsidR="000125D1" w:rsidRPr="000125D1" w14:paraId="40393456"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04BC208B"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Clinical criteria:</w:t>
            </w:r>
          </w:p>
        </w:tc>
      </w:tr>
      <w:tr w:rsidR="000125D1" w:rsidRPr="000125D1" w14:paraId="3861045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6D9997C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demonstrated an adequate response to treatment with this drug</w:t>
            </w:r>
          </w:p>
        </w:tc>
      </w:tr>
      <w:tr w:rsidR="000125D1" w:rsidRPr="000125D1" w14:paraId="2763AF9C"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CF03D1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AND </w:t>
            </w:r>
          </w:p>
        </w:tc>
      </w:tr>
      <w:tr w:rsidR="000125D1" w:rsidRPr="000125D1" w14:paraId="6D3D793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654C605"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638D42F5"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A5F42A9"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not receive more than 24 weeks of treatment under this restriction</w:t>
            </w:r>
          </w:p>
        </w:tc>
      </w:tr>
      <w:tr w:rsidR="000125D1" w:rsidRPr="000125D1" w14:paraId="6B51C135"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3D4E8A9E"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0928B28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An adequate response to treatment is defined as:</w:t>
            </w:r>
          </w:p>
          <w:p w14:paraId="7955CAC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A Psoriasis Area and Severity Index (PASI) </w:t>
            </w:r>
            <w:proofErr w:type="gramStart"/>
            <w:r w:rsidRPr="000125D1">
              <w:rPr>
                <w:rFonts w:ascii="Arial Narrow" w:hAnsi="Arial Narrow"/>
                <w:i/>
                <w:iCs/>
                <w:sz w:val="20"/>
                <w:szCs w:val="20"/>
              </w:rPr>
              <w:t>score</w:t>
            </w:r>
            <w:proofErr w:type="gramEnd"/>
            <w:r w:rsidRPr="000125D1">
              <w:rPr>
                <w:rFonts w:ascii="Arial Narrow" w:hAnsi="Arial Narrow"/>
                <w:i/>
                <w:iCs/>
                <w:sz w:val="20"/>
                <w:szCs w:val="20"/>
              </w:rPr>
              <w:t xml:space="preserve"> which is reduced by 75% or more, or is sustained at this level, when compared with the baseline value. </w:t>
            </w:r>
          </w:p>
        </w:tc>
      </w:tr>
      <w:tr w:rsidR="000125D1" w:rsidRPr="000125D1" w14:paraId="389120A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A6E0B03"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2AA93634"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125D1" w:rsidRPr="000125D1" w14:paraId="3C6253F0"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29DEC73"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F84CC72"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54A414FE"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35C63D8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p w14:paraId="11340592"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most recent PASI assessment must be no more than 1 month old at the time of application.</w:t>
            </w:r>
          </w:p>
          <w:p w14:paraId="13C6601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Approval will be based on the PASI assessment of response to the most recent course of treatment with this drug.</w:t>
            </w:r>
          </w:p>
        </w:tc>
      </w:tr>
      <w:tr w:rsidR="000125D1" w:rsidRPr="000125D1" w14:paraId="0D68B8E6" w14:textId="77777777" w:rsidTr="000125D1">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vAlign w:val="center"/>
          </w:tcPr>
          <w:p w14:paraId="233AED64" w14:textId="77777777" w:rsidR="00852466" w:rsidRPr="000125D1" w:rsidRDefault="00852466">
            <w:pPr>
              <w:rPr>
                <w:rFonts w:ascii="Arial Narrow" w:hAnsi="Arial Narrow"/>
                <w:bCs/>
                <w:i/>
                <w:iCs/>
                <w:sz w:val="20"/>
                <w:szCs w:val="20"/>
              </w:rPr>
            </w:pPr>
          </w:p>
          <w:p w14:paraId="26B1C895" w14:textId="77777777" w:rsidR="00852466" w:rsidRPr="000125D1" w:rsidRDefault="00852466">
            <w:pPr>
              <w:rPr>
                <w:rFonts w:ascii="Arial Narrow" w:hAnsi="Arial Narrow"/>
                <w:bCs/>
                <w:i/>
                <w:iCs/>
                <w:sz w:val="20"/>
                <w:szCs w:val="20"/>
              </w:rPr>
            </w:pPr>
          </w:p>
        </w:tc>
      </w:tr>
      <w:tr w:rsidR="000125D1" w:rsidRPr="000125D1" w14:paraId="1C6C2705"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58A0EF3" w14:textId="77777777" w:rsidR="00852466" w:rsidRPr="000125D1" w:rsidRDefault="00852466">
            <w:pPr>
              <w:rPr>
                <w:rFonts w:ascii="Arial Narrow" w:hAnsi="Arial Narrow"/>
                <w:b/>
                <w:bCs/>
                <w:i/>
                <w:iCs/>
                <w:strike/>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303B5AFF"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C219AC4"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6751116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01EC3F9"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53405BC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C1596A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Indication: </w:t>
            </w:r>
            <w:r w:rsidRPr="000125D1">
              <w:rPr>
                <w:rFonts w:ascii="Arial Narrow" w:hAnsi="Arial Narrow"/>
                <w:i/>
                <w:iCs/>
                <w:sz w:val="20"/>
                <w:szCs w:val="20"/>
              </w:rPr>
              <w:t>Severe chronic plaque psoriasis</w:t>
            </w:r>
          </w:p>
        </w:tc>
      </w:tr>
      <w:tr w:rsidR="000125D1" w:rsidRPr="000125D1" w14:paraId="1829727D"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70DD175"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First continuing treatment (Face, hand, foot)</w:t>
            </w:r>
          </w:p>
        </w:tc>
      </w:tr>
      <w:tr w:rsidR="000125D1" w:rsidRPr="000125D1" w14:paraId="3F7FCFB0"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919D7FE"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74A50D9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54F776B"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 xml:space="preserve">Must be treated by a dermatologist </w:t>
            </w:r>
          </w:p>
        </w:tc>
      </w:tr>
      <w:tr w:rsidR="000125D1" w:rsidRPr="000125D1" w14:paraId="6E0F505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B079C97"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490A33C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C8A8481"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received PBS-subsidised treatment with this drug for this condition</w:t>
            </w:r>
          </w:p>
        </w:tc>
      </w:tr>
      <w:tr w:rsidR="000125D1" w:rsidRPr="000125D1" w14:paraId="496AFF46"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771879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4D50DFC8"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8CFF759"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Clinical criteria:</w:t>
            </w:r>
          </w:p>
        </w:tc>
      </w:tr>
      <w:tr w:rsidR="000125D1" w:rsidRPr="000125D1" w14:paraId="2001CF0B"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2A5DC51"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have demonstrated an adequate response to treatment with this drug</w:t>
            </w:r>
          </w:p>
        </w:tc>
      </w:tr>
      <w:tr w:rsidR="000125D1" w:rsidRPr="000125D1" w14:paraId="7A03218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07094A5"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2157B39B"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52A42F6"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49DB0CFD"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C920BCA"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not receive more than 24 weeks of treatment under this restriction</w:t>
            </w:r>
          </w:p>
        </w:tc>
      </w:tr>
      <w:tr w:rsidR="000125D1" w:rsidRPr="000125D1" w14:paraId="0D8D1930"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38E201F"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2E7339C7"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An adequate response to treatment is defined as the plaque or plaques assessed prior to biological treatment showing:</w:t>
            </w:r>
          </w:p>
          <w:p w14:paraId="157C4C2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(i) a reduction in the Psoriasis Area and Severity Index (PASI) symptom </w:t>
            </w:r>
            <w:proofErr w:type="spellStart"/>
            <w:r w:rsidRPr="000125D1">
              <w:rPr>
                <w:rFonts w:ascii="Arial Narrow" w:hAnsi="Arial Narrow"/>
                <w:i/>
                <w:iCs/>
                <w:sz w:val="20"/>
                <w:szCs w:val="20"/>
              </w:rPr>
              <w:t>subscores</w:t>
            </w:r>
            <w:proofErr w:type="spellEnd"/>
            <w:r w:rsidRPr="000125D1">
              <w:rPr>
                <w:rFonts w:ascii="Arial Narrow" w:hAnsi="Arial Narrow"/>
                <w:i/>
                <w:iCs/>
                <w:sz w:val="20"/>
                <w:szCs w:val="20"/>
              </w:rPr>
              <w:t xml:space="preserve"> for all 3 of erythema, thickness and scaling, to slight or better, or sustained at this level, as compared to the baseline values; or</w:t>
            </w:r>
          </w:p>
          <w:p w14:paraId="5C824B3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(ii) a reduction by 75% or more in the skin area affected, or sustained at this level, as compared to the baseline value.</w:t>
            </w:r>
          </w:p>
        </w:tc>
      </w:tr>
      <w:tr w:rsidR="000125D1" w:rsidRPr="000125D1" w14:paraId="1019ABC2"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90BF87D"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5B48BA23"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125D1" w:rsidRPr="000125D1" w14:paraId="15D0084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3DED930"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573EEA9E"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23BB839F"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6BB52487"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1F4750F9"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most recent PASI assessment must be no more than 1 month old at the time of application.</w:t>
            </w:r>
          </w:p>
          <w:p w14:paraId="0DFA12BD"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Approval will be based on the PASI assessment of response to the most recent course of treatment with this drug.</w:t>
            </w:r>
          </w:p>
          <w:p w14:paraId="4DAD8B91"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PASI assessment for continuing treatment must be performed on the same affected area assessed at baseline.</w:t>
            </w:r>
          </w:p>
        </w:tc>
      </w:tr>
      <w:tr w:rsidR="000125D1" w:rsidRPr="000125D1" w14:paraId="2991BEC4" w14:textId="77777777" w:rsidTr="000125D1">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68DA5406" w14:textId="77777777" w:rsidR="00852466" w:rsidRPr="000125D1" w:rsidRDefault="00852466">
            <w:pPr>
              <w:rPr>
                <w:rFonts w:ascii="Arial Narrow" w:hAnsi="Arial Narrow"/>
                <w:i/>
                <w:iCs/>
                <w:sz w:val="20"/>
                <w:szCs w:val="20"/>
              </w:rPr>
            </w:pPr>
          </w:p>
          <w:p w14:paraId="1AD647EB" w14:textId="77777777" w:rsidR="00852466" w:rsidRPr="000125D1" w:rsidRDefault="00852466">
            <w:pPr>
              <w:rPr>
                <w:rFonts w:ascii="Arial Narrow" w:hAnsi="Arial Narrow"/>
                <w:i/>
                <w:iCs/>
                <w:sz w:val="20"/>
                <w:szCs w:val="20"/>
              </w:rPr>
            </w:pPr>
          </w:p>
        </w:tc>
      </w:tr>
      <w:tr w:rsidR="000125D1" w:rsidRPr="000125D1" w14:paraId="391FC23E"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750281D" w14:textId="77777777" w:rsidR="00852466" w:rsidRPr="000125D1" w:rsidRDefault="00852466">
            <w:pPr>
              <w:keepLines/>
              <w:rPr>
                <w:rFonts w:ascii="Arial Narrow" w:hAnsi="Arial Narrow"/>
                <w:i/>
                <w:iCs/>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44D830C5"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26B98F9" w14:textId="77777777" w:rsidR="00852466" w:rsidRPr="000125D1" w:rsidRDefault="00852466">
            <w:pPr>
              <w:keepLines/>
              <w:rPr>
                <w:rFonts w:ascii="Arial Narrow" w:hAnsi="Arial Narrow"/>
                <w:b/>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3B306CD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4D3C4C4" w14:textId="77777777" w:rsidR="00852466" w:rsidRPr="000125D1" w:rsidRDefault="00852466">
            <w:pPr>
              <w:keepLines/>
              <w:rPr>
                <w:rFonts w:ascii="Arial Narrow" w:eastAsia="Calibri" w:hAnsi="Arial Narrow"/>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56BD0BD6"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4BCB710E" w14:textId="77777777" w:rsidR="00852466" w:rsidRPr="000125D1" w:rsidRDefault="00852466">
            <w:pPr>
              <w:keepLines/>
              <w:rPr>
                <w:rFonts w:ascii="Arial Narrow" w:hAnsi="Arial Narrow"/>
                <w:i/>
                <w:iCs/>
                <w:sz w:val="20"/>
                <w:szCs w:val="20"/>
              </w:rPr>
            </w:pPr>
            <w:r w:rsidRPr="000125D1">
              <w:rPr>
                <w:rFonts w:ascii="Arial Narrow" w:hAnsi="Arial Narrow"/>
                <w:b/>
                <w:bCs/>
                <w:i/>
                <w:iCs/>
                <w:sz w:val="20"/>
                <w:szCs w:val="20"/>
              </w:rPr>
              <w:t>Indication:</w:t>
            </w:r>
            <w:r w:rsidRPr="000125D1">
              <w:rPr>
                <w:rFonts w:ascii="Arial Narrow" w:hAnsi="Arial Narrow"/>
                <w:i/>
                <w:iCs/>
                <w:sz w:val="20"/>
                <w:szCs w:val="20"/>
              </w:rPr>
              <w:t xml:space="preserve"> Severe chronic plaque psoriasis </w:t>
            </w:r>
          </w:p>
        </w:tc>
      </w:tr>
      <w:tr w:rsidR="000125D1" w:rsidRPr="000125D1" w14:paraId="09BA3B9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2D7C0435"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Subsequent continuing treatment (Whole body)</w:t>
            </w:r>
          </w:p>
        </w:tc>
      </w:tr>
      <w:tr w:rsidR="000125D1" w:rsidRPr="000125D1" w14:paraId="459F5DDB"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88C3378"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783CEEF2"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DE07D8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Must be treated by a dermatologist </w:t>
            </w:r>
          </w:p>
        </w:tc>
      </w:tr>
      <w:tr w:rsidR="000125D1" w:rsidRPr="000125D1" w14:paraId="40EF6A68"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54A7B59F" w14:textId="77777777" w:rsidR="00852466" w:rsidRPr="000125D1" w:rsidRDefault="00852466">
            <w:pPr>
              <w:rPr>
                <w:rFonts w:ascii="Arial Narrow" w:hAnsi="Arial Narrow"/>
                <w:i/>
                <w:iCs/>
                <w:sz w:val="20"/>
                <w:szCs w:val="20"/>
              </w:rPr>
            </w:pPr>
            <w:r w:rsidRPr="000125D1">
              <w:rPr>
                <w:rFonts w:ascii="Arial Narrow" w:hAnsi="Arial Narrow"/>
                <w:b/>
                <w:bCs/>
                <w:i/>
                <w:iCs/>
                <w:sz w:val="20"/>
                <w:szCs w:val="20"/>
              </w:rPr>
              <w:t xml:space="preserve">Clinical criteria: </w:t>
            </w:r>
          </w:p>
        </w:tc>
      </w:tr>
      <w:tr w:rsidR="000125D1" w:rsidRPr="000125D1" w14:paraId="7DF8EBE8"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3BD1E2DC"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Patient must have previously received PBS-subsidised treatment with this drug for this condition under the First continuing treatment restriction</w:t>
            </w:r>
          </w:p>
        </w:tc>
      </w:tr>
      <w:tr w:rsidR="000125D1" w:rsidRPr="000125D1" w14:paraId="165E73C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517F2941"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AND</w:t>
            </w:r>
          </w:p>
        </w:tc>
      </w:tr>
      <w:tr w:rsidR="000125D1" w:rsidRPr="000125D1" w14:paraId="4E89ECA2"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408BCED1"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Clinical criteria:</w:t>
            </w:r>
          </w:p>
        </w:tc>
      </w:tr>
      <w:tr w:rsidR="000125D1" w:rsidRPr="000125D1" w14:paraId="0F28FE9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1C47F259"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demonstrated an adequate response to treatment with this drug</w:t>
            </w:r>
          </w:p>
        </w:tc>
      </w:tr>
      <w:tr w:rsidR="000125D1" w:rsidRPr="000125D1" w14:paraId="73085DA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2BC0B40"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AND </w:t>
            </w:r>
          </w:p>
        </w:tc>
      </w:tr>
      <w:tr w:rsidR="000125D1" w:rsidRPr="000125D1" w14:paraId="7EB4C8D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2FDD3D8"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47221DD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889522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not receive more than 24 weeks of treatment under this restriction</w:t>
            </w:r>
          </w:p>
        </w:tc>
      </w:tr>
      <w:tr w:rsidR="000125D1" w:rsidRPr="000125D1" w14:paraId="4D34EE9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02E01322"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94AB825"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An adequate response to treatment is defined as:</w:t>
            </w:r>
          </w:p>
          <w:p w14:paraId="72875781"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 xml:space="preserve">A Psoriasis Area and Severity Index (PASI) </w:t>
            </w:r>
            <w:proofErr w:type="gramStart"/>
            <w:r w:rsidRPr="000125D1">
              <w:rPr>
                <w:rFonts w:ascii="Arial Narrow" w:hAnsi="Arial Narrow"/>
                <w:i/>
                <w:iCs/>
                <w:sz w:val="20"/>
                <w:szCs w:val="20"/>
              </w:rPr>
              <w:t>score</w:t>
            </w:r>
            <w:proofErr w:type="gramEnd"/>
            <w:r w:rsidRPr="000125D1">
              <w:rPr>
                <w:rFonts w:ascii="Arial Narrow" w:hAnsi="Arial Narrow"/>
                <w:i/>
                <w:iCs/>
                <w:sz w:val="20"/>
                <w:szCs w:val="20"/>
              </w:rPr>
              <w:t xml:space="preserve"> which is reduced by 75% or more, or is sustained at this level, when compared with the baseline value. </w:t>
            </w:r>
          </w:p>
        </w:tc>
      </w:tr>
      <w:tr w:rsidR="000125D1" w:rsidRPr="000125D1" w14:paraId="0A1659C6"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2B11083"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5DD33147"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125D1" w:rsidRPr="000125D1" w14:paraId="027D165E"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67EB768"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164EC64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67198628"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593C89BE"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tc>
      </w:tr>
      <w:tr w:rsidR="000125D1" w:rsidRPr="000125D1" w14:paraId="62742DDD" w14:textId="77777777" w:rsidTr="000125D1">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vAlign w:val="center"/>
          </w:tcPr>
          <w:p w14:paraId="13CFCD8C" w14:textId="77777777" w:rsidR="00852466" w:rsidRPr="000125D1" w:rsidRDefault="00852466">
            <w:pPr>
              <w:rPr>
                <w:rFonts w:ascii="Arial Narrow" w:hAnsi="Arial Narrow"/>
                <w:bCs/>
                <w:i/>
                <w:iCs/>
                <w:sz w:val="20"/>
                <w:szCs w:val="20"/>
              </w:rPr>
            </w:pPr>
          </w:p>
          <w:p w14:paraId="260D2C96" w14:textId="77777777" w:rsidR="00852466" w:rsidRPr="000125D1" w:rsidRDefault="00852466">
            <w:pPr>
              <w:rPr>
                <w:rFonts w:ascii="Arial Narrow" w:hAnsi="Arial Narrow"/>
                <w:bCs/>
                <w:i/>
                <w:iCs/>
                <w:sz w:val="20"/>
                <w:szCs w:val="20"/>
              </w:rPr>
            </w:pPr>
          </w:p>
        </w:tc>
      </w:tr>
      <w:tr w:rsidR="000125D1" w:rsidRPr="000125D1" w14:paraId="745B1AE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E105A0B" w14:textId="77777777" w:rsidR="00852466" w:rsidRPr="000125D1" w:rsidRDefault="00852466">
            <w:pPr>
              <w:rPr>
                <w:rFonts w:ascii="Arial Narrow" w:hAnsi="Arial Narrow"/>
                <w:b/>
                <w:bCs/>
                <w:i/>
                <w:iCs/>
                <w:strike/>
                <w:sz w:val="20"/>
                <w:szCs w:val="20"/>
              </w:rPr>
            </w:pPr>
            <w:r w:rsidRPr="000125D1">
              <w:rPr>
                <w:rFonts w:ascii="Arial Narrow" w:hAnsi="Arial Narrow"/>
                <w:b/>
                <w:i/>
                <w:iCs/>
                <w:sz w:val="20"/>
                <w:szCs w:val="20"/>
              </w:rPr>
              <w:t>Category / Program:</w:t>
            </w:r>
            <w:r w:rsidRPr="000125D1">
              <w:rPr>
                <w:rFonts w:ascii="Arial Narrow" w:hAnsi="Arial Narrow"/>
                <w:i/>
                <w:iCs/>
                <w:sz w:val="20"/>
                <w:szCs w:val="20"/>
              </w:rPr>
              <w:t xml:space="preserv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 GENERAL - General Schedule (Code GE) </w:t>
            </w:r>
          </w:p>
        </w:tc>
      </w:tr>
      <w:tr w:rsidR="000125D1" w:rsidRPr="000125D1" w14:paraId="11B9195C"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62417FC"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Prescriber type: </w:t>
            </w:r>
            <w:r w:rsidRPr="000125D1">
              <w:rPr>
                <w:rFonts w:ascii="Arial Narrow" w:hAnsi="Arial Narrow"/>
                <w:i/>
                <w:iCs/>
                <w:sz w:val="20"/>
                <w:szCs w:val="20"/>
              </w:rPr>
              <w:fldChar w:fldCharType="begin" w:fldLock="1">
                <w:ffData>
                  <w:name w:val=""/>
                  <w:enabled/>
                  <w:calcOnExit w:val="0"/>
                  <w:checkBox>
                    <w:sizeAuto/>
                    <w:default w:val="1"/>
                  </w:checkBox>
                </w:ffData>
              </w:fldChar>
            </w:r>
            <w:r w:rsidRPr="000125D1">
              <w:rPr>
                <w:rFonts w:ascii="Arial Narrow" w:hAnsi="Arial Narrow"/>
                <w:i/>
                <w:iCs/>
                <w:sz w:val="20"/>
                <w:szCs w:val="20"/>
              </w:rPr>
              <w:instrText xml:space="preserve"> FORMCHECKBOX </w:instrText>
            </w:r>
            <w:r w:rsidRPr="000125D1">
              <w:rPr>
                <w:rFonts w:ascii="Arial Narrow" w:hAnsi="Arial Narrow"/>
                <w:i/>
                <w:iCs/>
                <w:sz w:val="20"/>
                <w:szCs w:val="20"/>
              </w:rPr>
            </w:r>
            <w:r w:rsidRPr="000125D1">
              <w:rPr>
                <w:rFonts w:ascii="Arial Narrow" w:hAnsi="Arial Narrow"/>
                <w:i/>
                <w:iCs/>
                <w:sz w:val="20"/>
                <w:szCs w:val="20"/>
              </w:rPr>
              <w:fldChar w:fldCharType="separate"/>
            </w:r>
            <w:r w:rsidRPr="000125D1">
              <w:rPr>
                <w:rFonts w:ascii="Arial Narrow" w:hAnsi="Arial Narrow"/>
                <w:i/>
                <w:iCs/>
                <w:sz w:val="20"/>
                <w:szCs w:val="20"/>
              </w:rPr>
              <w:fldChar w:fldCharType="end"/>
            </w:r>
            <w:r w:rsidRPr="000125D1">
              <w:rPr>
                <w:rFonts w:ascii="Arial Narrow" w:hAnsi="Arial Narrow"/>
                <w:i/>
                <w:iCs/>
                <w:sz w:val="20"/>
                <w:szCs w:val="20"/>
              </w:rPr>
              <w:t xml:space="preserve">Medical Practitioners </w:t>
            </w:r>
          </w:p>
        </w:tc>
      </w:tr>
      <w:tr w:rsidR="000125D1" w:rsidRPr="000125D1" w14:paraId="1953A980"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50E86BD" w14:textId="77777777" w:rsidR="00852466" w:rsidRPr="000125D1" w:rsidRDefault="00852466">
            <w:pPr>
              <w:rPr>
                <w:rFonts w:ascii="Arial Narrow" w:hAnsi="Arial Narrow"/>
                <w:b/>
                <w:bCs/>
                <w:i/>
                <w:iCs/>
                <w:sz w:val="20"/>
                <w:szCs w:val="20"/>
              </w:rPr>
            </w:pPr>
            <w:r w:rsidRPr="000125D1">
              <w:rPr>
                <w:rFonts w:ascii="Arial Narrow" w:hAnsi="Arial Narrow"/>
                <w:b/>
                <w:i/>
                <w:iCs/>
                <w:sz w:val="20"/>
                <w:szCs w:val="20"/>
              </w:rPr>
              <w:t xml:space="preserve">Restriction type: </w:t>
            </w:r>
            <w:r w:rsidRPr="000125D1">
              <w:rPr>
                <w:rFonts w:ascii="Arial Narrow" w:eastAsia="Calibri" w:hAnsi="Arial Narrow"/>
                <w:i/>
                <w:iCs/>
                <w:sz w:val="20"/>
                <w:szCs w:val="20"/>
              </w:rPr>
              <w:fldChar w:fldCharType="begin" w:fldLock="1">
                <w:ffData>
                  <w:name w:val=""/>
                  <w:enabled/>
                  <w:calcOnExit w:val="0"/>
                  <w:checkBox>
                    <w:sizeAuto/>
                    <w:default w:val="1"/>
                  </w:checkBox>
                </w:ffData>
              </w:fldChar>
            </w:r>
            <w:r w:rsidRPr="000125D1">
              <w:rPr>
                <w:rFonts w:ascii="Arial Narrow" w:eastAsia="Calibri" w:hAnsi="Arial Narrow"/>
                <w:i/>
                <w:iCs/>
                <w:sz w:val="20"/>
                <w:szCs w:val="20"/>
              </w:rPr>
              <w:instrText xml:space="preserve"> FORMCHECKBOX </w:instrText>
            </w:r>
            <w:r w:rsidRPr="000125D1">
              <w:rPr>
                <w:rFonts w:ascii="Arial Narrow" w:eastAsia="Calibri" w:hAnsi="Arial Narrow"/>
                <w:i/>
                <w:iCs/>
                <w:sz w:val="20"/>
                <w:szCs w:val="20"/>
              </w:rPr>
            </w:r>
            <w:r w:rsidRPr="000125D1">
              <w:rPr>
                <w:rFonts w:ascii="Arial Narrow" w:eastAsia="Calibri" w:hAnsi="Arial Narrow"/>
                <w:i/>
                <w:iCs/>
                <w:sz w:val="20"/>
                <w:szCs w:val="20"/>
              </w:rPr>
              <w:fldChar w:fldCharType="separate"/>
            </w:r>
            <w:r w:rsidRPr="000125D1">
              <w:rPr>
                <w:rFonts w:ascii="Arial Narrow" w:eastAsia="Calibri" w:hAnsi="Arial Narrow"/>
                <w:i/>
                <w:iCs/>
                <w:sz w:val="20"/>
                <w:szCs w:val="20"/>
              </w:rPr>
              <w:fldChar w:fldCharType="end"/>
            </w:r>
            <w:r w:rsidRPr="000125D1">
              <w:rPr>
                <w:rFonts w:ascii="Arial Narrow" w:eastAsia="Calibri" w:hAnsi="Arial Narrow"/>
                <w:i/>
                <w:iCs/>
                <w:sz w:val="20"/>
                <w:szCs w:val="20"/>
              </w:rPr>
              <w:t xml:space="preserve">Authority Required (in writing only via post/HPOS upload) </w:t>
            </w:r>
          </w:p>
        </w:tc>
      </w:tr>
      <w:tr w:rsidR="000125D1" w:rsidRPr="000125D1" w14:paraId="6E9916E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99A46C0"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Indication: </w:t>
            </w:r>
            <w:r w:rsidRPr="000125D1">
              <w:rPr>
                <w:rFonts w:ascii="Arial Narrow" w:hAnsi="Arial Narrow"/>
                <w:i/>
                <w:iCs/>
                <w:sz w:val="20"/>
                <w:szCs w:val="20"/>
              </w:rPr>
              <w:t>Severe chronic plaque psoriasis</w:t>
            </w:r>
          </w:p>
        </w:tc>
      </w:tr>
      <w:tr w:rsidR="000125D1" w:rsidRPr="000125D1" w14:paraId="2BCCFE0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20F9B7F"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Phase:</w:t>
            </w:r>
            <w:r w:rsidRPr="000125D1">
              <w:rPr>
                <w:rFonts w:ascii="Arial Narrow" w:hAnsi="Arial Narrow"/>
                <w:i/>
                <w:iCs/>
                <w:sz w:val="20"/>
                <w:szCs w:val="20"/>
              </w:rPr>
              <w:t xml:space="preserve"> Subsequent continuing treatment (Face, hand, foot)</w:t>
            </w:r>
          </w:p>
        </w:tc>
      </w:tr>
      <w:tr w:rsidR="000125D1" w:rsidRPr="000125D1" w14:paraId="38956484"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23A106F"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Treatment criteria:</w:t>
            </w:r>
          </w:p>
        </w:tc>
      </w:tr>
      <w:tr w:rsidR="000125D1" w:rsidRPr="000125D1" w14:paraId="2102CA5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63DEEE6"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 xml:space="preserve">Must be treated by a dermatologist </w:t>
            </w:r>
          </w:p>
        </w:tc>
      </w:tr>
      <w:tr w:rsidR="000125D1" w:rsidRPr="000125D1" w14:paraId="584DCDE9"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3185A53"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4B73A18C"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BE1407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Patient must have previously received PBS-subsidised treatment with this drug for this condition under the First continuing treatment restriction</w:t>
            </w:r>
          </w:p>
        </w:tc>
      </w:tr>
      <w:tr w:rsidR="000125D1" w:rsidRPr="000125D1" w14:paraId="392DD39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E096328"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3F2DAB5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E1A39F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Clinical criteria:</w:t>
            </w:r>
          </w:p>
        </w:tc>
      </w:tr>
      <w:tr w:rsidR="000125D1" w:rsidRPr="000125D1" w14:paraId="33B8F0EC"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6130BCF"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have demonstrated an adequate response to treatment with this drug</w:t>
            </w:r>
          </w:p>
        </w:tc>
      </w:tr>
      <w:tr w:rsidR="000125D1" w:rsidRPr="000125D1" w14:paraId="56AE812C"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8FF56B7"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AND</w:t>
            </w:r>
          </w:p>
        </w:tc>
      </w:tr>
      <w:tr w:rsidR="000125D1" w:rsidRPr="000125D1" w14:paraId="782B9BD8"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F9E54E4"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 xml:space="preserve">Clinical criteria: </w:t>
            </w:r>
          </w:p>
        </w:tc>
      </w:tr>
      <w:tr w:rsidR="000125D1" w:rsidRPr="000125D1" w14:paraId="68EADE1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C06B8C3"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Patient must not receive more than 24 weeks of treatment per subsequent continuing treatment course authorised under this restriction</w:t>
            </w:r>
          </w:p>
        </w:tc>
      </w:tr>
      <w:tr w:rsidR="000125D1" w:rsidRPr="000125D1" w14:paraId="305717CF"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556FC9D" w14:textId="77777777" w:rsidR="00852466" w:rsidRPr="000125D1" w:rsidRDefault="00852466">
            <w:pPr>
              <w:jc w:val="left"/>
              <w:rPr>
                <w:rFonts w:ascii="Arial Narrow" w:hAnsi="Arial Narrow"/>
                <w:i/>
                <w:iCs/>
                <w:sz w:val="20"/>
                <w:szCs w:val="20"/>
              </w:rPr>
            </w:pPr>
            <w:r w:rsidRPr="000125D1">
              <w:rPr>
                <w:rFonts w:ascii="Arial Narrow" w:hAnsi="Arial Narrow"/>
                <w:b/>
                <w:bCs/>
                <w:i/>
                <w:iCs/>
                <w:sz w:val="20"/>
                <w:szCs w:val="20"/>
              </w:rPr>
              <w:t>Prescribing Instructions:</w:t>
            </w:r>
          </w:p>
          <w:p w14:paraId="4525C7DC"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An adequate response to treatment is defined as the plaque or plaques assessed prior to biological treatment showing:</w:t>
            </w:r>
          </w:p>
          <w:p w14:paraId="55711EEF"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 xml:space="preserve">(i) a reduction in the Psoriasis Area and Severity Index (PASI) symptom </w:t>
            </w:r>
            <w:proofErr w:type="spellStart"/>
            <w:r w:rsidRPr="000125D1">
              <w:rPr>
                <w:rFonts w:ascii="Arial Narrow" w:hAnsi="Arial Narrow"/>
                <w:i/>
                <w:iCs/>
                <w:sz w:val="20"/>
                <w:szCs w:val="20"/>
              </w:rPr>
              <w:t>subscores</w:t>
            </w:r>
            <w:proofErr w:type="spellEnd"/>
            <w:r w:rsidRPr="000125D1">
              <w:rPr>
                <w:rFonts w:ascii="Arial Narrow" w:hAnsi="Arial Narrow"/>
                <w:i/>
                <w:iCs/>
                <w:sz w:val="20"/>
                <w:szCs w:val="20"/>
              </w:rPr>
              <w:t xml:space="preserve"> for all 3 of erythema, thickness and scaling, to slight or better, or sustained at this level, as compared to the baseline values; or</w:t>
            </w:r>
          </w:p>
          <w:p w14:paraId="6FBC92C2" w14:textId="77777777" w:rsidR="00852466" w:rsidRPr="000125D1" w:rsidRDefault="00852466">
            <w:pPr>
              <w:jc w:val="left"/>
              <w:rPr>
                <w:rFonts w:ascii="Arial Narrow" w:hAnsi="Arial Narrow"/>
                <w:i/>
                <w:iCs/>
                <w:sz w:val="20"/>
                <w:szCs w:val="20"/>
              </w:rPr>
            </w:pPr>
            <w:r w:rsidRPr="000125D1">
              <w:rPr>
                <w:rFonts w:ascii="Arial Narrow" w:hAnsi="Arial Narrow"/>
                <w:i/>
                <w:iCs/>
                <w:sz w:val="20"/>
                <w:szCs w:val="20"/>
              </w:rPr>
              <w:t>(ii) a reduction by 75% or more in the skin area affected, or sustained at this level, as compared to the baseline value.</w:t>
            </w:r>
          </w:p>
        </w:tc>
      </w:tr>
      <w:tr w:rsidR="000125D1" w:rsidRPr="000125D1" w14:paraId="27DF319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8393971"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65D6456"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PASI assessment for continuing treatment must be performed on the same affected area as assessed at baseline.</w:t>
            </w:r>
          </w:p>
        </w:tc>
      </w:tr>
      <w:tr w:rsidR="000125D1" w:rsidRPr="000125D1" w14:paraId="0A8FF104"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87EAC2D"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6E9FFBE8" w14:textId="77777777" w:rsidR="00852466" w:rsidRPr="000125D1" w:rsidRDefault="00852466">
            <w:pPr>
              <w:rPr>
                <w:rFonts w:ascii="Arial Narrow" w:hAnsi="Arial Narrow"/>
                <w:b/>
                <w:bCs/>
                <w:i/>
                <w:iCs/>
                <w:sz w:val="20"/>
                <w:szCs w:val="20"/>
              </w:rPr>
            </w:pPr>
            <w:r w:rsidRPr="000125D1">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125D1" w:rsidRPr="000125D1" w14:paraId="0DCA7DA1"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F1DD223" w14:textId="77777777" w:rsidR="00852466" w:rsidRPr="000125D1" w:rsidRDefault="00852466">
            <w:pPr>
              <w:rPr>
                <w:rFonts w:ascii="Arial Narrow" w:hAnsi="Arial Narrow"/>
                <w:b/>
                <w:bCs/>
                <w:i/>
                <w:iCs/>
                <w:sz w:val="20"/>
                <w:szCs w:val="20"/>
              </w:rPr>
            </w:pPr>
            <w:r w:rsidRPr="000125D1">
              <w:rPr>
                <w:rFonts w:ascii="Arial Narrow" w:hAnsi="Arial Narrow"/>
                <w:b/>
                <w:bCs/>
                <w:i/>
                <w:iCs/>
                <w:sz w:val="20"/>
                <w:szCs w:val="20"/>
              </w:rPr>
              <w:t>Prescribing Instructions:</w:t>
            </w:r>
          </w:p>
          <w:p w14:paraId="46135E95"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The authority application must be made in writing and must include:</w:t>
            </w:r>
          </w:p>
          <w:p w14:paraId="70205A1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 details of the proposed prescription(s); and</w:t>
            </w:r>
          </w:p>
          <w:p w14:paraId="242DD82A"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tc>
      </w:tr>
    </w:tbl>
    <w:p w14:paraId="2C425012" w14:textId="77777777" w:rsidR="00852466" w:rsidRPr="000125D1" w:rsidRDefault="00852466" w:rsidP="00852466">
      <w:pPr>
        <w:pStyle w:val="5-SubsectionSubheading"/>
        <w:spacing w:before="120"/>
        <w:rPr>
          <w:color w:val="auto"/>
        </w:rPr>
      </w:pPr>
      <w:r w:rsidRPr="000125D1">
        <w:rPr>
          <w:color w:val="auto"/>
        </w:rPr>
        <w:t>Summary of matters for the PBAC</w:t>
      </w:r>
    </w:p>
    <w:p w14:paraId="0706A06E" w14:textId="77777777" w:rsidR="00852466" w:rsidRDefault="00852466" w:rsidP="00852466">
      <w:pPr>
        <w:pStyle w:val="3-BodyText"/>
        <w:numPr>
          <w:ilvl w:val="1"/>
          <w:numId w:val="2"/>
        </w:numPr>
        <w:spacing w:before="120"/>
      </w:pPr>
      <w:r>
        <w:t>The proposed restrictions were adapted based on suggestions from the ACD and the existing listings of bDMARDs for the treatment of paediatric chronic plaque psoriasis. T</w:t>
      </w:r>
      <w:r w:rsidRPr="00F87ADC">
        <w:t>he definition of an in</w:t>
      </w:r>
      <w:r>
        <w:t>a</w:t>
      </w:r>
      <w:r w:rsidRPr="00F87ADC">
        <w:t>dequ</w:t>
      </w:r>
      <w:r>
        <w:t>a</w:t>
      </w:r>
      <w:r w:rsidRPr="00F87ADC">
        <w:t xml:space="preserve">te response to prior therapy for adalimumab </w:t>
      </w:r>
      <w:r>
        <w:t>was dr</w:t>
      </w:r>
      <w:r w:rsidRPr="00F87ADC">
        <w:t>afted to be consistent with current PBS listing for other bDMARD</w:t>
      </w:r>
      <w:r>
        <w:t>s</w:t>
      </w:r>
      <w:r w:rsidRPr="00F87ADC">
        <w:t xml:space="preserve"> for this indication</w:t>
      </w:r>
      <w:r>
        <w:t>. This differs from the advice received from the ACD, as outlined in Table 8.</w:t>
      </w:r>
    </w:p>
    <w:p w14:paraId="24453FEE" w14:textId="77777777" w:rsidR="00852466" w:rsidRDefault="00852466" w:rsidP="00852466">
      <w:pPr>
        <w:pStyle w:val="4-SubsectionHeading"/>
      </w:pPr>
      <w:r>
        <w:t>Change to existing listing - Moderate to severe ulcerative colitis</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Moderate to severe ulcerative colitis"/>
      </w:tblPr>
      <w:tblGrid>
        <w:gridCol w:w="3939"/>
        <w:gridCol w:w="876"/>
        <w:gridCol w:w="747"/>
        <w:gridCol w:w="811"/>
        <w:gridCol w:w="812"/>
        <w:gridCol w:w="1837"/>
        <w:gridCol w:w="7"/>
      </w:tblGrid>
      <w:tr w:rsidR="00852466" w:rsidRPr="00144D2D" w14:paraId="7A3647F3" w14:textId="77777777">
        <w:trPr>
          <w:gridAfter w:val="1"/>
          <w:wAfter w:w="7" w:type="dxa"/>
          <w:cantSplit/>
          <w:trHeight w:val="20"/>
        </w:trPr>
        <w:tc>
          <w:tcPr>
            <w:tcW w:w="3939" w:type="dxa"/>
            <w:vAlign w:val="center"/>
          </w:tcPr>
          <w:p w14:paraId="0FB24822"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MEDICINAL PRODUCT</w:t>
            </w:r>
          </w:p>
          <w:p w14:paraId="4585FC72"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medicinal product pack</w:t>
            </w:r>
          </w:p>
        </w:tc>
        <w:tc>
          <w:tcPr>
            <w:tcW w:w="876" w:type="dxa"/>
            <w:vAlign w:val="center"/>
          </w:tcPr>
          <w:p w14:paraId="40326ED1"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69D213C0"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3B4CA60F"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068B6A37"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2D766E83"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337A69B6"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52251E03" w14:textId="77777777">
        <w:trPr>
          <w:gridAfter w:val="1"/>
          <w:wAfter w:w="7" w:type="dxa"/>
          <w:cantSplit/>
          <w:trHeight w:val="20"/>
        </w:trPr>
        <w:tc>
          <w:tcPr>
            <w:tcW w:w="9022" w:type="dxa"/>
            <w:gridSpan w:val="6"/>
            <w:vAlign w:val="center"/>
          </w:tcPr>
          <w:p w14:paraId="0F733782"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w:t>
            </w:r>
          </w:p>
        </w:tc>
      </w:tr>
      <w:tr w:rsidR="00852466" w:rsidRPr="00144D2D" w14:paraId="2DF81913" w14:textId="77777777">
        <w:trPr>
          <w:gridAfter w:val="1"/>
          <w:wAfter w:w="7" w:type="dxa"/>
          <w:cantSplit/>
          <w:trHeight w:val="20"/>
        </w:trPr>
        <w:tc>
          <w:tcPr>
            <w:tcW w:w="3939" w:type="dxa"/>
            <w:vAlign w:val="center"/>
          </w:tcPr>
          <w:p w14:paraId="74FD443C"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332FA84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4656CC8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AF268F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10B1652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008192EF"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05EE9C8A" w14:textId="77777777" w:rsidR="00852466" w:rsidRPr="00144D2D" w:rsidRDefault="00852466">
            <w:pPr>
              <w:keepLines/>
              <w:rPr>
                <w:rFonts w:ascii="Arial Narrow" w:hAnsi="Arial Narrow"/>
                <w:sz w:val="20"/>
                <w:szCs w:val="20"/>
              </w:rPr>
            </w:pPr>
          </w:p>
        </w:tc>
      </w:tr>
      <w:tr w:rsidR="00852466" w:rsidRPr="00144D2D" w14:paraId="168CD069" w14:textId="77777777">
        <w:trPr>
          <w:gridAfter w:val="1"/>
          <w:wAfter w:w="7" w:type="dxa"/>
          <w:cantSplit/>
          <w:trHeight w:val="20"/>
        </w:trPr>
        <w:tc>
          <w:tcPr>
            <w:tcW w:w="3939" w:type="dxa"/>
            <w:vAlign w:val="center"/>
          </w:tcPr>
          <w:p w14:paraId="21E6C30E"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2CD5BFC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1F2ADC4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4A5204C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478DE1C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291A85BA"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7988F786" w14:textId="77777777" w:rsidR="00852466" w:rsidRPr="00144D2D" w:rsidRDefault="00852466">
            <w:pPr>
              <w:keepLines/>
              <w:rPr>
                <w:rFonts w:ascii="Arial Narrow" w:hAnsi="Arial Narrow"/>
                <w:sz w:val="20"/>
                <w:szCs w:val="20"/>
              </w:rPr>
            </w:pPr>
          </w:p>
        </w:tc>
      </w:tr>
      <w:tr w:rsidR="00852466" w:rsidRPr="00144D2D" w14:paraId="53AE4C49" w14:textId="77777777">
        <w:trPr>
          <w:gridAfter w:val="1"/>
          <w:wAfter w:w="7" w:type="dxa"/>
          <w:cantSplit/>
          <w:trHeight w:val="20"/>
        </w:trPr>
        <w:tc>
          <w:tcPr>
            <w:tcW w:w="3939" w:type="dxa"/>
            <w:vAlign w:val="center"/>
          </w:tcPr>
          <w:p w14:paraId="33240205"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076E444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2C3EE03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32C783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5C0BE45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F42BC36"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4E3B4AB8" w14:textId="77777777" w:rsidR="00852466" w:rsidRPr="00144D2D" w:rsidRDefault="00852466">
            <w:pPr>
              <w:keepLines/>
              <w:rPr>
                <w:rFonts w:ascii="Arial Narrow" w:hAnsi="Arial Narrow"/>
                <w:sz w:val="20"/>
                <w:szCs w:val="20"/>
              </w:rPr>
            </w:pPr>
          </w:p>
        </w:tc>
      </w:tr>
      <w:tr w:rsidR="00852466" w:rsidRPr="00144D2D" w14:paraId="21482EF4" w14:textId="77777777">
        <w:trPr>
          <w:gridAfter w:val="1"/>
          <w:wAfter w:w="7" w:type="dxa"/>
          <w:cantSplit/>
          <w:trHeight w:val="20"/>
        </w:trPr>
        <w:tc>
          <w:tcPr>
            <w:tcW w:w="3939" w:type="dxa"/>
            <w:vAlign w:val="center"/>
          </w:tcPr>
          <w:p w14:paraId="60B16562"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80 mg/0.8 mL injection, 0.8 mL pen device</w:t>
            </w:r>
          </w:p>
        </w:tc>
        <w:tc>
          <w:tcPr>
            <w:tcW w:w="876" w:type="dxa"/>
            <w:vAlign w:val="center"/>
          </w:tcPr>
          <w:p w14:paraId="108B4AC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12374G</w:t>
            </w:r>
          </w:p>
        </w:tc>
        <w:tc>
          <w:tcPr>
            <w:tcW w:w="747" w:type="dxa"/>
            <w:vAlign w:val="center"/>
          </w:tcPr>
          <w:p w14:paraId="4AC0768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549008C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34ACF40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6A19E264"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7E0F0538" w14:textId="77777777" w:rsidR="00852466" w:rsidRPr="00144D2D" w:rsidRDefault="00852466">
            <w:pPr>
              <w:keepLines/>
              <w:rPr>
                <w:rFonts w:ascii="Arial Narrow" w:hAnsi="Arial Narrow"/>
                <w:sz w:val="20"/>
                <w:szCs w:val="20"/>
              </w:rPr>
            </w:pPr>
          </w:p>
        </w:tc>
      </w:tr>
      <w:tr w:rsidR="00852466" w:rsidRPr="00144D2D" w14:paraId="466F4043" w14:textId="77777777">
        <w:trPr>
          <w:gridAfter w:val="1"/>
          <w:wAfter w:w="7" w:type="dxa"/>
          <w:cantSplit/>
          <w:trHeight w:val="20"/>
        </w:trPr>
        <w:tc>
          <w:tcPr>
            <w:tcW w:w="3939" w:type="dxa"/>
            <w:vAlign w:val="center"/>
          </w:tcPr>
          <w:p w14:paraId="693E18FC"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80 mg/0.8 mL injection, 0.8 mL syringe</w:t>
            </w:r>
          </w:p>
        </w:tc>
        <w:tc>
          <w:tcPr>
            <w:tcW w:w="876" w:type="dxa"/>
            <w:vAlign w:val="center"/>
          </w:tcPr>
          <w:p w14:paraId="0E516D4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12339K</w:t>
            </w:r>
          </w:p>
        </w:tc>
        <w:tc>
          <w:tcPr>
            <w:tcW w:w="747" w:type="dxa"/>
            <w:vAlign w:val="center"/>
          </w:tcPr>
          <w:p w14:paraId="64DA7F6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2D55A1BA"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492A2F3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7262383B"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3D1414D0" w14:textId="77777777" w:rsidR="00852466" w:rsidRPr="00144D2D" w:rsidRDefault="00852466">
            <w:pPr>
              <w:keepLines/>
              <w:rPr>
                <w:rFonts w:ascii="Arial Narrow" w:hAnsi="Arial Narrow"/>
                <w:sz w:val="20"/>
                <w:szCs w:val="20"/>
              </w:rPr>
            </w:pPr>
          </w:p>
        </w:tc>
      </w:tr>
      <w:tr w:rsidR="00852466" w:rsidRPr="00144D2D" w14:paraId="65BF933C" w14:textId="77777777">
        <w:trPr>
          <w:gridAfter w:val="1"/>
          <w:wAfter w:w="7" w:type="dxa"/>
          <w:cantSplit/>
          <w:trHeight w:val="20"/>
        </w:trPr>
        <w:tc>
          <w:tcPr>
            <w:tcW w:w="3939" w:type="dxa"/>
            <w:vAlign w:val="center"/>
          </w:tcPr>
          <w:p w14:paraId="350115DE"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05B0C31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6938E9D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477109C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5690AAC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06F45077"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32F7E1F8"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018052DF" w14:textId="77777777" w:rsidR="00852466" w:rsidRPr="00144D2D" w:rsidRDefault="00852466">
            <w:pPr>
              <w:rPr>
                <w:rFonts w:ascii="Arial Narrow" w:hAnsi="Arial Narrow"/>
                <w:sz w:val="20"/>
                <w:szCs w:val="20"/>
              </w:rPr>
            </w:pPr>
          </w:p>
        </w:tc>
      </w:tr>
      <w:tr w:rsidR="00852466" w:rsidRPr="00144D2D" w14:paraId="4D736F08"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6AA4C055" w14:textId="77777777" w:rsidR="00852466" w:rsidRPr="00144D2D" w:rsidRDefault="00852466">
            <w:pPr>
              <w:keepLines/>
              <w:rPr>
                <w:rFonts w:ascii="Arial Narrow" w:hAnsi="Arial Narrow"/>
                <w:b/>
                <w:sz w:val="20"/>
                <w:szCs w:val="20"/>
              </w:rPr>
            </w:pPr>
          </w:p>
        </w:tc>
      </w:tr>
      <w:tr w:rsidR="00852466" w:rsidRPr="00144D2D" w14:paraId="5FF144ED"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0776883"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5B9CFA0E"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5EE220C"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7FBE70E1"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031C0CE"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2AD3A3F0"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7FD63F8" w14:textId="77777777" w:rsidR="00852466" w:rsidRPr="00144D2D" w:rsidRDefault="00852466">
            <w:pPr>
              <w:rPr>
                <w:rFonts w:ascii="Arial Narrow" w:hAnsi="Arial Narrow"/>
                <w:sz w:val="20"/>
                <w:szCs w:val="20"/>
              </w:rPr>
            </w:pPr>
            <w:r w:rsidRPr="00144D2D">
              <w:rPr>
                <w:rFonts w:ascii="Arial Narrow" w:hAnsi="Arial Narrow"/>
                <w:b/>
                <w:bCs/>
                <w:sz w:val="20"/>
                <w:szCs w:val="20"/>
              </w:rPr>
              <w:t>Administrative Advice:</w:t>
            </w:r>
          </w:p>
          <w:p w14:paraId="5EF1013A"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OF ADULT PATIENTS WITH MODERATE TO SEVERE ULCERATIVE COLITIS</w:t>
            </w:r>
          </w:p>
          <w:p w14:paraId="5EC8E9A2" w14:textId="77777777" w:rsidR="00852466" w:rsidRPr="00144D2D" w:rsidRDefault="00852466">
            <w:pPr>
              <w:rPr>
                <w:rFonts w:ascii="Arial Narrow" w:hAnsi="Arial Narrow"/>
                <w:sz w:val="20"/>
                <w:szCs w:val="20"/>
              </w:rPr>
            </w:pPr>
          </w:p>
          <w:p w14:paraId="5CB7C457" w14:textId="77777777" w:rsidR="00852466" w:rsidRPr="00144D2D" w:rsidRDefault="00852466">
            <w:pPr>
              <w:rPr>
                <w:rFonts w:ascii="Arial Narrow" w:hAnsi="Arial Narrow"/>
                <w:sz w:val="20"/>
                <w:szCs w:val="20"/>
              </w:rPr>
            </w:pPr>
            <w:r w:rsidRPr="00144D2D">
              <w:rPr>
                <w:rFonts w:ascii="Arial Narrow" w:hAnsi="Arial Narrow"/>
                <w:sz w:val="20"/>
                <w:szCs w:val="20"/>
              </w:rPr>
              <w:t>The following information applies to Pharmaceutical Benefits Scheme (PBS) benefits for the indication of moderate to severe ulcerative colitis (MSUC). Patients are eligible for one PBS-subsidised drug treatment indicated for MSUC at any one time.</w:t>
            </w:r>
          </w:p>
          <w:p w14:paraId="10F42B4E" w14:textId="77777777" w:rsidR="00852466" w:rsidRPr="00144D2D" w:rsidRDefault="00852466">
            <w:pPr>
              <w:rPr>
                <w:rFonts w:ascii="Arial Narrow" w:hAnsi="Arial Narrow"/>
                <w:sz w:val="20"/>
                <w:szCs w:val="20"/>
              </w:rPr>
            </w:pPr>
          </w:p>
          <w:p w14:paraId="022DFFD2" w14:textId="77777777" w:rsidR="00852466" w:rsidRPr="00144D2D" w:rsidRDefault="00852466">
            <w:pPr>
              <w:rPr>
                <w:rFonts w:ascii="Arial Narrow" w:hAnsi="Arial Narrow"/>
                <w:sz w:val="20"/>
                <w:szCs w:val="20"/>
              </w:rPr>
            </w:pPr>
            <w:r w:rsidRPr="00144D2D">
              <w:rPr>
                <w:rFonts w:ascii="Arial Narrow" w:hAnsi="Arial Narrow"/>
                <w:sz w:val="20"/>
                <w:szCs w:val="20"/>
              </w:rPr>
              <w:t>Where the term 'biological medicine' appears in this note and restrictions, it refers to any PBS benefit indicated for MSUC.</w:t>
            </w:r>
          </w:p>
          <w:p w14:paraId="39BBBC68" w14:textId="77777777" w:rsidR="00852466" w:rsidRPr="00144D2D" w:rsidRDefault="00852466">
            <w:pPr>
              <w:rPr>
                <w:rFonts w:ascii="Arial Narrow" w:hAnsi="Arial Narrow"/>
                <w:sz w:val="20"/>
                <w:szCs w:val="20"/>
              </w:rPr>
            </w:pPr>
          </w:p>
          <w:p w14:paraId="7237C68F" w14:textId="77777777" w:rsidR="00852466" w:rsidRPr="00144D2D" w:rsidRDefault="00852466">
            <w:pPr>
              <w:rPr>
                <w:rFonts w:ascii="Arial Narrow" w:hAnsi="Arial Narrow"/>
                <w:sz w:val="20"/>
                <w:szCs w:val="20"/>
              </w:rPr>
            </w:pPr>
            <w:r w:rsidRPr="00144D2D">
              <w:rPr>
                <w:rFonts w:ascii="Arial Narrow" w:hAnsi="Arial Narrow"/>
                <w:sz w:val="20"/>
                <w:szCs w:val="20"/>
              </w:rPr>
              <w:t>Some benefits are not biological medicines, but are small molecules. However, for practical purposes, these benefits are included within the term 'biological medicine'.</w:t>
            </w:r>
          </w:p>
          <w:p w14:paraId="60C9588E" w14:textId="77777777" w:rsidR="00852466" w:rsidRPr="00144D2D" w:rsidRDefault="00852466">
            <w:pPr>
              <w:rPr>
                <w:rFonts w:ascii="Arial Narrow" w:hAnsi="Arial Narrow"/>
                <w:sz w:val="20"/>
                <w:szCs w:val="20"/>
              </w:rPr>
            </w:pPr>
          </w:p>
          <w:p w14:paraId="27571C20" w14:textId="77777777" w:rsidR="00852466" w:rsidRPr="00144D2D" w:rsidRDefault="00852466">
            <w:pPr>
              <w:rPr>
                <w:rFonts w:ascii="Arial Narrow" w:hAnsi="Arial Narrow"/>
                <w:sz w:val="20"/>
                <w:szCs w:val="20"/>
              </w:rPr>
            </w:pPr>
            <w:r w:rsidRPr="00144D2D">
              <w:rPr>
                <w:rFonts w:ascii="Arial Narrow" w:hAnsi="Arial Narrow"/>
                <w:sz w:val="20"/>
                <w:szCs w:val="20"/>
              </w:rPr>
              <w:t>From 1 July 2021, under the PBS, all adult patients will be able to commence a treatment cycle where they may trial PBS-subsidised biological medicine without having to experience a disease flare when swapping to one of the alternate agents. Under these arrangements, within a single treatment cycle, a patient may continue to receive long-term treatment with a PBS-subsidised biological medicine while they continue to show a response to therapy.</w:t>
            </w:r>
          </w:p>
          <w:p w14:paraId="53DEB79D" w14:textId="77777777" w:rsidR="00852466" w:rsidRPr="00144D2D" w:rsidRDefault="00852466">
            <w:pPr>
              <w:rPr>
                <w:rFonts w:ascii="Arial Narrow" w:hAnsi="Arial Narrow"/>
                <w:sz w:val="20"/>
                <w:szCs w:val="20"/>
              </w:rPr>
            </w:pPr>
          </w:p>
          <w:p w14:paraId="2236E086" w14:textId="77777777" w:rsidR="00852466" w:rsidRPr="00144D2D" w:rsidRDefault="00852466">
            <w:pPr>
              <w:rPr>
                <w:rFonts w:ascii="Arial Narrow" w:hAnsi="Arial Narrow"/>
                <w:sz w:val="20"/>
                <w:szCs w:val="20"/>
              </w:rPr>
            </w:pPr>
            <w:r w:rsidRPr="00144D2D">
              <w:rPr>
                <w:rFonts w:ascii="Arial Narrow" w:hAnsi="Arial Narrow"/>
                <w:sz w:val="20"/>
                <w:szCs w:val="20"/>
              </w:rPr>
              <w:t>A patient who received PBS-subsidised biological medicine treatment prior to 1 July 2021 is considered to have started their first cycle as of 1 July 2021. Within the same treatment cycle, the same biological medicine cannot be trialled twice. Where 3 biological medicines have failed to provide the patient with an adequate response a treatment cycle is considered complete. There must be a 5-year break in PBS-subsidised therapy before starting the next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2E502A08" w14:textId="77777777" w:rsidR="00852466" w:rsidRPr="00144D2D" w:rsidRDefault="00852466">
            <w:pPr>
              <w:rPr>
                <w:rFonts w:ascii="Arial Narrow" w:hAnsi="Arial Narrow"/>
                <w:sz w:val="20"/>
                <w:szCs w:val="20"/>
              </w:rPr>
            </w:pPr>
          </w:p>
          <w:p w14:paraId="546934F8" w14:textId="77777777" w:rsidR="00852466" w:rsidRPr="00144D2D" w:rsidRDefault="00852466">
            <w:pPr>
              <w:rPr>
                <w:rFonts w:ascii="Arial Narrow" w:hAnsi="Arial Narrow"/>
                <w:sz w:val="20"/>
                <w:szCs w:val="20"/>
              </w:rPr>
            </w:pPr>
            <w:r w:rsidRPr="00144D2D">
              <w:rPr>
                <w:rFonts w:ascii="Arial Narrow" w:hAnsi="Arial Narrow"/>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6321F38B" w14:textId="77777777" w:rsidR="00852466" w:rsidRPr="00144D2D" w:rsidRDefault="00852466">
            <w:pPr>
              <w:rPr>
                <w:rFonts w:ascii="Arial Narrow" w:hAnsi="Arial Narrow"/>
                <w:sz w:val="20"/>
                <w:szCs w:val="20"/>
              </w:rPr>
            </w:pPr>
          </w:p>
          <w:p w14:paraId="28891974" w14:textId="77777777" w:rsidR="00852466" w:rsidRPr="00144D2D" w:rsidRDefault="00852466">
            <w:pPr>
              <w:rPr>
                <w:rFonts w:ascii="Arial Narrow" w:hAnsi="Arial Narrow"/>
                <w:sz w:val="20"/>
                <w:szCs w:val="20"/>
              </w:rPr>
            </w:pPr>
            <w:r w:rsidRPr="00144D2D">
              <w:rPr>
                <w:rFonts w:ascii="Arial Narrow" w:hAnsi="Arial Narrow"/>
                <w:sz w:val="20"/>
                <w:szCs w:val="20"/>
              </w:rPr>
              <w:t>Selecting the correct treatment phase listing when applying for authority approval:</w:t>
            </w:r>
          </w:p>
          <w:p w14:paraId="2EA23795" w14:textId="77777777" w:rsidR="00852466" w:rsidRPr="00144D2D" w:rsidRDefault="00852466">
            <w:pPr>
              <w:rPr>
                <w:rFonts w:ascii="Arial Narrow" w:hAnsi="Arial Narrow"/>
                <w:sz w:val="20"/>
                <w:szCs w:val="20"/>
              </w:rPr>
            </w:pPr>
          </w:p>
          <w:p w14:paraId="203B0AB3" w14:textId="77777777" w:rsidR="00852466" w:rsidRPr="00144D2D" w:rsidRDefault="00852466">
            <w:pPr>
              <w:rPr>
                <w:rFonts w:ascii="Arial Narrow" w:hAnsi="Arial Narrow"/>
                <w:sz w:val="20"/>
                <w:szCs w:val="20"/>
              </w:rPr>
            </w:pPr>
            <w:r w:rsidRPr="00144D2D">
              <w:rPr>
                <w:rFonts w:ascii="Arial Narrow" w:hAnsi="Arial Narrow"/>
                <w:sz w:val="20"/>
                <w:szCs w:val="20"/>
              </w:rPr>
              <w:t>(1) Initial treatment.</w:t>
            </w:r>
          </w:p>
          <w:p w14:paraId="14163804" w14:textId="77777777" w:rsidR="00852466" w:rsidRPr="00144D2D" w:rsidRDefault="00852466">
            <w:pPr>
              <w:rPr>
                <w:rFonts w:ascii="Arial Narrow" w:hAnsi="Arial Narrow"/>
                <w:sz w:val="20"/>
                <w:szCs w:val="20"/>
              </w:rPr>
            </w:pPr>
          </w:p>
          <w:p w14:paraId="336FB3C4" w14:textId="77777777" w:rsidR="00852466" w:rsidRPr="00144D2D" w:rsidRDefault="00852466">
            <w:pPr>
              <w:rPr>
                <w:rFonts w:ascii="Arial Narrow" w:hAnsi="Arial Narrow"/>
                <w:sz w:val="20"/>
                <w:szCs w:val="20"/>
              </w:rPr>
            </w:pPr>
            <w:r w:rsidRPr="00144D2D">
              <w:rPr>
                <w:rFonts w:ascii="Arial Narrow" w:hAnsi="Arial Narrow"/>
                <w:sz w:val="20"/>
                <w:szCs w:val="20"/>
              </w:rPr>
              <w:t>Apply under an Initial 1 treatment listing where the patient has never received a biological medicine.</w:t>
            </w:r>
          </w:p>
          <w:p w14:paraId="5F503686" w14:textId="77777777" w:rsidR="00852466" w:rsidRPr="00144D2D" w:rsidRDefault="00852466">
            <w:pPr>
              <w:rPr>
                <w:rFonts w:ascii="Arial Narrow" w:hAnsi="Arial Narrow"/>
                <w:sz w:val="20"/>
                <w:szCs w:val="20"/>
              </w:rPr>
            </w:pPr>
          </w:p>
          <w:p w14:paraId="2348A818" w14:textId="77777777" w:rsidR="00852466" w:rsidRPr="00144D2D" w:rsidRDefault="00852466">
            <w:pPr>
              <w:rPr>
                <w:rFonts w:ascii="Arial Narrow" w:hAnsi="Arial Narrow"/>
                <w:sz w:val="20"/>
                <w:szCs w:val="20"/>
              </w:rPr>
            </w:pPr>
            <w:r w:rsidRPr="00144D2D">
              <w:rPr>
                <w:rFonts w:ascii="Arial Narrow" w:hAnsi="Arial Narrow"/>
                <w:sz w:val="20"/>
                <w:szCs w:val="20"/>
              </w:rPr>
              <w:t>(2) Continuing treatment.</w:t>
            </w:r>
          </w:p>
          <w:p w14:paraId="35656C66" w14:textId="77777777" w:rsidR="00852466" w:rsidRPr="00144D2D" w:rsidRDefault="00852466">
            <w:pPr>
              <w:rPr>
                <w:rFonts w:ascii="Arial Narrow" w:hAnsi="Arial Narrow"/>
                <w:sz w:val="20"/>
                <w:szCs w:val="20"/>
              </w:rPr>
            </w:pPr>
          </w:p>
          <w:p w14:paraId="0EFC4A11" w14:textId="77777777" w:rsidR="00852466" w:rsidRPr="00144D2D" w:rsidRDefault="00852466">
            <w:pPr>
              <w:rPr>
                <w:rFonts w:ascii="Arial Narrow" w:hAnsi="Arial Narrow"/>
                <w:sz w:val="20"/>
                <w:szCs w:val="20"/>
              </w:rPr>
            </w:pPr>
            <w:r w:rsidRPr="00144D2D">
              <w:rPr>
                <w:rFonts w:ascii="Arial Narrow" w:hAnsi="Arial Narrow"/>
                <w:sz w:val="20"/>
                <w:szCs w:val="20"/>
              </w:rPr>
              <w:t>Under no circumstance is Continuing treatment to precede Initial treatment. An authority application for Continuing treatment is not to be made on the same day as Initial treatment.</w:t>
            </w:r>
          </w:p>
          <w:p w14:paraId="7FB22CD0" w14:textId="77777777" w:rsidR="00852466" w:rsidRPr="00144D2D" w:rsidRDefault="00852466">
            <w:pPr>
              <w:rPr>
                <w:rFonts w:ascii="Arial Narrow" w:hAnsi="Arial Narrow"/>
                <w:sz w:val="20"/>
                <w:szCs w:val="20"/>
              </w:rPr>
            </w:pPr>
          </w:p>
          <w:p w14:paraId="716E2211" w14:textId="77777777" w:rsidR="00852466" w:rsidRPr="00144D2D" w:rsidRDefault="00852466">
            <w:pPr>
              <w:rPr>
                <w:rFonts w:ascii="Arial Narrow" w:hAnsi="Arial Narrow"/>
                <w:sz w:val="20"/>
                <w:szCs w:val="20"/>
              </w:rPr>
            </w:pPr>
            <w:r w:rsidRPr="00144D2D">
              <w:rPr>
                <w:rFonts w:ascii="Arial Narrow" w:hAnsi="Arial Narrow"/>
                <w:sz w:val="20"/>
                <w:szCs w:val="20"/>
              </w:rPr>
              <w:t>(3) Changing therapy.</w:t>
            </w:r>
          </w:p>
          <w:p w14:paraId="291DE5C8" w14:textId="77777777" w:rsidR="00852466" w:rsidRPr="00144D2D" w:rsidRDefault="00852466">
            <w:pPr>
              <w:rPr>
                <w:rFonts w:ascii="Arial Narrow" w:hAnsi="Arial Narrow"/>
                <w:sz w:val="20"/>
                <w:szCs w:val="20"/>
              </w:rPr>
            </w:pPr>
          </w:p>
          <w:p w14:paraId="7B04EA04" w14:textId="77777777" w:rsidR="00852466" w:rsidRPr="00144D2D" w:rsidRDefault="00852466">
            <w:pPr>
              <w:rPr>
                <w:rFonts w:ascii="Arial Narrow" w:hAnsi="Arial Narrow"/>
                <w:sz w:val="20"/>
                <w:szCs w:val="20"/>
              </w:rPr>
            </w:pPr>
            <w:r w:rsidRPr="00144D2D">
              <w:rPr>
                <w:rFonts w:ascii="Arial Narrow" w:hAnsi="Arial Narrow"/>
                <w:sz w:val="20"/>
                <w:szCs w:val="20"/>
              </w:rPr>
              <w:t>Apply under an Initial 2 treatment listing. The indices of disease severity (i.e. Mayo clinic score or partial Mayo clinic score), or the prior corticosteroid therapy and immunosuppressive therapy will not need to be restated. A patient may trial an alternate biological medicine treatment at any time, regardless of whether they are receiving therapy (initial or continuing) at the time of the application. However, they cannot change to a particular biological medicine if they have failed to respond to prior treatment with that drug once within the same treatment cycle. A response assessment to the preceding supply of biological medicine must accompany this Initial 2 treatment authority application.</w:t>
            </w:r>
          </w:p>
          <w:p w14:paraId="06929CC8" w14:textId="77777777" w:rsidR="00852466" w:rsidRPr="00144D2D" w:rsidRDefault="00852466">
            <w:pPr>
              <w:rPr>
                <w:rFonts w:ascii="Arial Narrow" w:hAnsi="Arial Narrow"/>
                <w:sz w:val="20"/>
                <w:szCs w:val="20"/>
              </w:rPr>
            </w:pPr>
          </w:p>
          <w:p w14:paraId="41956BEA" w14:textId="77777777" w:rsidR="00852466" w:rsidRPr="00144D2D" w:rsidRDefault="00852466">
            <w:pPr>
              <w:rPr>
                <w:rFonts w:ascii="Arial Narrow" w:hAnsi="Arial Narrow"/>
                <w:sz w:val="20"/>
                <w:szCs w:val="20"/>
              </w:rPr>
            </w:pPr>
            <w:r w:rsidRPr="00144D2D">
              <w:rPr>
                <w:rFonts w:ascii="Arial Narrow" w:hAnsi="Arial Narrow"/>
                <w:sz w:val="20"/>
                <w:szCs w:val="20"/>
              </w:rPr>
              <w:t>(4) Recommencement of treatment after a 5-year break in PBS-subsidised therapy.</w:t>
            </w:r>
          </w:p>
          <w:p w14:paraId="1C59BFE2" w14:textId="77777777" w:rsidR="00852466" w:rsidRPr="00144D2D" w:rsidRDefault="00852466">
            <w:pPr>
              <w:rPr>
                <w:rFonts w:ascii="Arial Narrow" w:hAnsi="Arial Narrow"/>
                <w:sz w:val="20"/>
                <w:szCs w:val="20"/>
              </w:rPr>
            </w:pPr>
          </w:p>
          <w:p w14:paraId="3A230CB4" w14:textId="77777777" w:rsidR="00852466" w:rsidRPr="00144D2D" w:rsidRDefault="00852466">
            <w:pPr>
              <w:rPr>
                <w:rFonts w:ascii="Arial Narrow" w:hAnsi="Arial Narrow"/>
                <w:sz w:val="20"/>
                <w:szCs w:val="20"/>
              </w:rPr>
            </w:pPr>
            <w:r w:rsidRPr="00144D2D">
              <w:rPr>
                <w:rFonts w:ascii="Arial Narrow" w:hAnsi="Arial Narrow"/>
                <w:sz w:val="20"/>
                <w:szCs w:val="20"/>
              </w:rPr>
              <w:t>Apply under an Initial 3 treatment listing. Prior corticosteroid and immunosuppressive therapies need not be re-trialled.</w:t>
            </w:r>
          </w:p>
          <w:p w14:paraId="6DAB39CB" w14:textId="77777777" w:rsidR="00852466" w:rsidRPr="00144D2D" w:rsidRDefault="00852466">
            <w:pPr>
              <w:rPr>
                <w:rFonts w:ascii="Arial Narrow" w:hAnsi="Arial Narrow"/>
                <w:sz w:val="20"/>
                <w:szCs w:val="20"/>
              </w:rPr>
            </w:pPr>
          </w:p>
          <w:p w14:paraId="5CD509DE" w14:textId="77777777" w:rsidR="00852466" w:rsidRPr="00144D2D" w:rsidRDefault="00852466">
            <w:pPr>
              <w:rPr>
                <w:rFonts w:ascii="Arial Narrow" w:hAnsi="Arial Narrow"/>
                <w:sz w:val="20"/>
                <w:szCs w:val="20"/>
              </w:rPr>
            </w:pPr>
            <w:r w:rsidRPr="00144D2D">
              <w:rPr>
                <w:rFonts w:ascii="Arial Narrow" w:hAnsi="Arial Narrow"/>
                <w:sz w:val="20"/>
                <w:szCs w:val="20"/>
              </w:rPr>
              <w:t>(5) Balance of supply.</w:t>
            </w:r>
          </w:p>
          <w:p w14:paraId="73E883DB" w14:textId="77777777" w:rsidR="00852466" w:rsidRPr="00144D2D" w:rsidRDefault="00852466">
            <w:pPr>
              <w:rPr>
                <w:rFonts w:ascii="Arial Narrow" w:hAnsi="Arial Narrow"/>
                <w:sz w:val="20"/>
                <w:szCs w:val="20"/>
              </w:rPr>
            </w:pPr>
          </w:p>
          <w:p w14:paraId="3A174C37" w14:textId="77777777" w:rsidR="00852466" w:rsidRPr="00144D2D" w:rsidRDefault="00852466">
            <w:pPr>
              <w:rPr>
                <w:rFonts w:ascii="Arial Narrow" w:hAnsi="Arial Narrow"/>
                <w:sz w:val="20"/>
                <w:szCs w:val="20"/>
              </w:rPr>
            </w:pPr>
            <w:r w:rsidRPr="00144D2D">
              <w:rPr>
                <w:rFonts w:ascii="Arial Narrow" w:hAnsi="Arial Narrow"/>
                <w:sz w:val="20"/>
                <w:szCs w:val="20"/>
              </w:rPr>
              <w:t>Where the full number of repeat prescriptions have not been requested under any initial or continuing listing, apply for the balance of the supply of the repeats under any treatment phase listing containing the words "balance of supply".</w:t>
            </w:r>
          </w:p>
        </w:tc>
      </w:tr>
      <w:tr w:rsidR="00852466" w:rsidRPr="00144D2D" w14:paraId="7BB72E01"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444EC62" w14:textId="77777777" w:rsidR="00852466" w:rsidRDefault="00852466">
            <w:pPr>
              <w:rPr>
                <w:b/>
                <w:bCs/>
              </w:rPr>
            </w:pPr>
            <w:r w:rsidRPr="00144D2D">
              <w:rPr>
                <w:rFonts w:ascii="Arial Narrow" w:hAnsi="Arial Narrow"/>
                <w:b/>
                <w:bCs/>
                <w:sz w:val="20"/>
                <w:szCs w:val="20"/>
              </w:rPr>
              <w:t>Administrative Advice:</w:t>
            </w:r>
          </w:p>
          <w:p w14:paraId="332D15F0"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OF PAEDIATRIC PATIENTS WITH MODERATE TO SEVERE ULCERATIVE COLITIS</w:t>
            </w:r>
          </w:p>
          <w:p w14:paraId="63AF63B7" w14:textId="77777777" w:rsidR="00852466" w:rsidRPr="00144D2D" w:rsidRDefault="00852466">
            <w:pPr>
              <w:rPr>
                <w:rFonts w:ascii="Arial Narrow" w:hAnsi="Arial Narrow"/>
                <w:sz w:val="20"/>
                <w:szCs w:val="20"/>
              </w:rPr>
            </w:pPr>
          </w:p>
          <w:p w14:paraId="5A9140EA" w14:textId="77777777" w:rsidR="00852466" w:rsidRPr="00144D2D" w:rsidRDefault="00852466">
            <w:pPr>
              <w:rPr>
                <w:rFonts w:ascii="Arial Narrow" w:hAnsi="Arial Narrow"/>
                <w:sz w:val="20"/>
                <w:szCs w:val="20"/>
              </w:rPr>
            </w:pPr>
            <w:r w:rsidRPr="00144D2D">
              <w:rPr>
                <w:rFonts w:ascii="Arial Narrow" w:hAnsi="Arial Narrow"/>
                <w:sz w:val="20"/>
                <w:szCs w:val="20"/>
              </w:rPr>
              <w:t>The following information applies to the prescribing under the Pharmaceutical Benefits Scheme (PBS) for paediatric patients with infliximab or adalimumab for moderate to severe ulcerative colitis; and infliximab for acute severe ulcerative colitis. Where the term 'biological medicine' appears in the following notes and restrictions, it refers to infliximab and adalimumab only.</w:t>
            </w:r>
          </w:p>
          <w:p w14:paraId="11743E42" w14:textId="77777777" w:rsidR="00852466" w:rsidRPr="00144D2D" w:rsidRDefault="00852466">
            <w:pPr>
              <w:rPr>
                <w:rFonts w:ascii="Arial Narrow" w:hAnsi="Arial Narrow"/>
                <w:sz w:val="20"/>
                <w:szCs w:val="20"/>
              </w:rPr>
            </w:pPr>
          </w:p>
          <w:p w14:paraId="33851702" w14:textId="77777777" w:rsidR="00852466" w:rsidRPr="00144D2D" w:rsidRDefault="00852466">
            <w:pPr>
              <w:rPr>
                <w:rFonts w:ascii="Arial Narrow" w:hAnsi="Arial Narrow"/>
                <w:sz w:val="20"/>
                <w:szCs w:val="20"/>
              </w:rPr>
            </w:pPr>
            <w:r w:rsidRPr="00144D2D">
              <w:rPr>
                <w:rFonts w:ascii="Arial Narrow" w:hAnsi="Arial Narrow"/>
                <w:sz w:val="20"/>
                <w:szCs w:val="20"/>
              </w:rPr>
              <w:t>A patient is eligible for PBS-subsidised treatment with only 1 of the 2 biological medicines at any one time.</w:t>
            </w:r>
          </w:p>
          <w:p w14:paraId="13D087F0" w14:textId="77777777" w:rsidR="00852466" w:rsidRPr="00144D2D" w:rsidRDefault="00852466">
            <w:pPr>
              <w:rPr>
                <w:rFonts w:ascii="Arial Narrow" w:hAnsi="Arial Narrow"/>
                <w:sz w:val="20"/>
                <w:szCs w:val="20"/>
              </w:rPr>
            </w:pPr>
          </w:p>
          <w:p w14:paraId="41FBBE5B"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From 1 June 2017, under the PBS, all paediatric patients will be able to commence a treatment cycle where they may trial each PBS-subsidised biological medicine without having to experience a disease flare when swapping to the alternate agent. Under these arrangements, within a single treatment cycle and depending on the disease severity, a patient may continue to receive long-term treatment with a biological medicine while they continue to show a response to therapy. A patient who received PBS-subsidised biological medicine treatment prior to 1 June 2017 is considered to have started their treatment cycle as of 1 June 2017. Within the same treatment cycle, a patient cannot trial and fail, or cease to respond to, the same PBS-subsidised biological medicine more than twice. Once a patient has either failed or ceased to respond to treatment 3 times, they are deemed to have completed a treatment cycle and they </w:t>
            </w:r>
            <w:proofErr w:type="gramStart"/>
            <w:r w:rsidRPr="00144D2D">
              <w:rPr>
                <w:rFonts w:ascii="Arial Narrow" w:hAnsi="Arial Narrow"/>
                <w:sz w:val="20"/>
                <w:szCs w:val="20"/>
              </w:rPr>
              <w:t>must have,</w:t>
            </w:r>
            <w:proofErr w:type="gramEnd"/>
            <w:r w:rsidRPr="00144D2D">
              <w:rPr>
                <w:rFonts w:ascii="Arial Narrow" w:hAnsi="Arial Narrow"/>
                <w:sz w:val="20"/>
                <w:szCs w:val="20"/>
              </w:rPr>
              <w:t xml:space="preserve"> at a minimum, a 5-year break in PBS-subsidised biological medicine therapy before they are eligible to commence the next cycle. The 5-year break is measured from the date of the last approval for PBS-subsidised biological medicine treatment in the most recent cycle to the date of the first application for initial treatment with a biological medicine under the new treatment cycle.</w:t>
            </w:r>
          </w:p>
          <w:p w14:paraId="71C27D6D" w14:textId="77777777" w:rsidR="00852466" w:rsidRPr="00144D2D" w:rsidRDefault="00852466">
            <w:pPr>
              <w:rPr>
                <w:rFonts w:ascii="Arial Narrow" w:hAnsi="Arial Narrow"/>
                <w:sz w:val="20"/>
                <w:szCs w:val="20"/>
              </w:rPr>
            </w:pPr>
          </w:p>
          <w:p w14:paraId="4D52ACAB" w14:textId="77777777" w:rsidR="00852466" w:rsidRPr="00144D2D" w:rsidRDefault="00852466">
            <w:pPr>
              <w:rPr>
                <w:rFonts w:ascii="Arial Narrow" w:hAnsi="Arial Narrow"/>
                <w:sz w:val="20"/>
                <w:szCs w:val="20"/>
              </w:rPr>
            </w:pPr>
            <w:r w:rsidRPr="00144D2D">
              <w:rPr>
                <w:rFonts w:ascii="Arial Narrow" w:hAnsi="Arial Narrow"/>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77B6EF83" w14:textId="77777777" w:rsidR="00852466" w:rsidRPr="00144D2D" w:rsidRDefault="00852466">
            <w:pPr>
              <w:rPr>
                <w:rFonts w:ascii="Arial Narrow" w:hAnsi="Arial Narrow"/>
                <w:sz w:val="20"/>
                <w:szCs w:val="20"/>
              </w:rPr>
            </w:pPr>
          </w:p>
          <w:p w14:paraId="400F7B29" w14:textId="77777777" w:rsidR="00852466" w:rsidRPr="00144D2D" w:rsidRDefault="00852466">
            <w:pPr>
              <w:rPr>
                <w:rFonts w:ascii="Arial Narrow" w:hAnsi="Arial Narrow"/>
                <w:sz w:val="20"/>
                <w:szCs w:val="20"/>
              </w:rPr>
            </w:pPr>
            <w:r w:rsidRPr="00144D2D">
              <w:rPr>
                <w:rFonts w:ascii="Arial Narrow" w:hAnsi="Arial Narrow"/>
                <w:sz w:val="20"/>
                <w:szCs w:val="20"/>
              </w:rPr>
              <w:t>A patient who has failed fewer than 3 trials of a biological medicine in a treatment cycle and who has a break in therapy of less than 5 years may commence a further course of treatment within the same treatment cycle under the Initial 2 treatment restriction.</w:t>
            </w:r>
          </w:p>
          <w:p w14:paraId="2CF4B66D" w14:textId="77777777" w:rsidR="00852466" w:rsidRPr="00144D2D" w:rsidRDefault="00852466">
            <w:pPr>
              <w:rPr>
                <w:rFonts w:ascii="Arial Narrow" w:hAnsi="Arial Narrow"/>
                <w:sz w:val="20"/>
                <w:szCs w:val="20"/>
              </w:rPr>
            </w:pPr>
          </w:p>
          <w:p w14:paraId="430747F8" w14:textId="77777777" w:rsidR="00852466" w:rsidRPr="00144D2D" w:rsidRDefault="00852466">
            <w:pPr>
              <w:rPr>
                <w:rFonts w:ascii="Arial Narrow" w:hAnsi="Arial Narrow"/>
                <w:sz w:val="20"/>
                <w:szCs w:val="20"/>
              </w:rPr>
            </w:pPr>
            <w:r w:rsidRPr="00144D2D">
              <w:rPr>
                <w:rFonts w:ascii="Arial Narrow" w:hAnsi="Arial Narrow"/>
                <w:sz w:val="20"/>
                <w:szCs w:val="20"/>
              </w:rPr>
              <w:t>A patient who has failed fewer than 3 trials of a biological medicine in a treatment cycle and who has a break in therapy of more than 5 years may commence a new treatment cycle under the Initial 3 treatment restriction.</w:t>
            </w:r>
          </w:p>
          <w:p w14:paraId="0960BCCE" w14:textId="77777777" w:rsidR="00852466" w:rsidRPr="00144D2D" w:rsidRDefault="00852466">
            <w:pPr>
              <w:rPr>
                <w:rFonts w:ascii="Arial Narrow" w:hAnsi="Arial Narrow"/>
                <w:sz w:val="20"/>
                <w:szCs w:val="20"/>
              </w:rPr>
            </w:pPr>
          </w:p>
          <w:p w14:paraId="5F37D7CB" w14:textId="77777777" w:rsidR="00852466" w:rsidRPr="00144D2D" w:rsidRDefault="00852466">
            <w:pPr>
              <w:rPr>
                <w:rFonts w:ascii="Arial Narrow" w:hAnsi="Arial Narrow"/>
                <w:sz w:val="20"/>
                <w:szCs w:val="20"/>
              </w:rPr>
            </w:pPr>
            <w:r w:rsidRPr="00144D2D">
              <w:rPr>
                <w:rFonts w:ascii="Arial Narrow" w:hAnsi="Arial Narrow"/>
                <w:sz w:val="20"/>
                <w:szCs w:val="20"/>
              </w:rPr>
              <w:t>There is no limit to the number of treatment cycles a patient may undertake in their lifetime.</w:t>
            </w:r>
          </w:p>
          <w:p w14:paraId="7C5E5FFB" w14:textId="77777777" w:rsidR="00852466" w:rsidRPr="00144D2D" w:rsidRDefault="00852466">
            <w:pPr>
              <w:rPr>
                <w:rFonts w:ascii="Arial Narrow" w:hAnsi="Arial Narrow"/>
                <w:sz w:val="20"/>
                <w:szCs w:val="20"/>
              </w:rPr>
            </w:pPr>
          </w:p>
          <w:p w14:paraId="4B952D33" w14:textId="77777777" w:rsidR="00852466" w:rsidRPr="00144D2D" w:rsidRDefault="00852466">
            <w:pPr>
              <w:rPr>
                <w:rFonts w:ascii="Arial Narrow" w:hAnsi="Arial Narrow"/>
                <w:sz w:val="20"/>
                <w:szCs w:val="20"/>
              </w:rPr>
            </w:pPr>
            <w:r w:rsidRPr="00144D2D">
              <w:rPr>
                <w:rFonts w:ascii="Arial Narrow" w:hAnsi="Arial Narrow"/>
                <w:sz w:val="20"/>
                <w:szCs w:val="20"/>
              </w:rPr>
              <w:t>How to prescribe PBS-subsidised biological medicine therapy after 1 June 2017.</w:t>
            </w:r>
          </w:p>
          <w:p w14:paraId="34F3D1AC" w14:textId="77777777" w:rsidR="00852466" w:rsidRPr="00144D2D" w:rsidRDefault="00852466">
            <w:pPr>
              <w:rPr>
                <w:rFonts w:ascii="Arial Narrow" w:hAnsi="Arial Narrow"/>
                <w:sz w:val="20"/>
                <w:szCs w:val="20"/>
              </w:rPr>
            </w:pPr>
          </w:p>
          <w:p w14:paraId="08BF8CA7" w14:textId="77777777" w:rsidR="00852466" w:rsidRPr="00144D2D" w:rsidRDefault="00852466">
            <w:pPr>
              <w:rPr>
                <w:rFonts w:ascii="Arial Narrow" w:hAnsi="Arial Narrow"/>
                <w:sz w:val="20"/>
                <w:szCs w:val="20"/>
              </w:rPr>
            </w:pPr>
            <w:r w:rsidRPr="00144D2D">
              <w:rPr>
                <w:rFonts w:ascii="Arial Narrow" w:hAnsi="Arial Narrow"/>
                <w:sz w:val="20"/>
                <w:szCs w:val="20"/>
              </w:rPr>
              <w:t>(1) Initial treatment.</w:t>
            </w:r>
          </w:p>
          <w:p w14:paraId="37839BFD" w14:textId="77777777" w:rsidR="00852466" w:rsidRPr="00144D2D" w:rsidRDefault="00852466">
            <w:pPr>
              <w:rPr>
                <w:rFonts w:ascii="Arial Narrow" w:hAnsi="Arial Narrow"/>
                <w:sz w:val="20"/>
                <w:szCs w:val="20"/>
              </w:rPr>
            </w:pPr>
          </w:p>
          <w:p w14:paraId="4F041106" w14:textId="77777777" w:rsidR="00852466" w:rsidRPr="00144D2D" w:rsidRDefault="00852466">
            <w:pPr>
              <w:rPr>
                <w:rFonts w:ascii="Arial Narrow" w:hAnsi="Arial Narrow"/>
                <w:sz w:val="20"/>
                <w:szCs w:val="20"/>
              </w:rPr>
            </w:pPr>
            <w:r w:rsidRPr="00144D2D">
              <w:rPr>
                <w:rFonts w:ascii="Arial Narrow" w:hAnsi="Arial Narrow"/>
                <w:sz w:val="20"/>
                <w:szCs w:val="20"/>
              </w:rPr>
              <w:t>Applications for initial treatment should be made where:</w:t>
            </w:r>
          </w:p>
          <w:p w14:paraId="6A0E0465" w14:textId="77777777" w:rsidR="00852466" w:rsidRPr="00144D2D" w:rsidRDefault="00852466">
            <w:pPr>
              <w:rPr>
                <w:rFonts w:ascii="Arial Narrow" w:hAnsi="Arial Narrow"/>
                <w:sz w:val="20"/>
                <w:szCs w:val="20"/>
              </w:rPr>
            </w:pPr>
          </w:p>
          <w:p w14:paraId="36CB8224" w14:textId="77777777" w:rsidR="00852466" w:rsidRPr="00144D2D" w:rsidRDefault="00852466">
            <w:pPr>
              <w:rPr>
                <w:rFonts w:ascii="Arial Narrow" w:hAnsi="Arial Narrow"/>
                <w:sz w:val="20"/>
                <w:szCs w:val="20"/>
              </w:rPr>
            </w:pPr>
            <w:r w:rsidRPr="00144D2D">
              <w:rPr>
                <w:rFonts w:ascii="Arial Narrow" w:hAnsi="Arial Narrow"/>
                <w:sz w:val="20"/>
                <w:szCs w:val="20"/>
              </w:rPr>
              <w:t>(i) a patient has not received prior PBS-subsidised biological medicine treatment and wishes to commence such therapy - Initial 1 treatment (new patient); or,</w:t>
            </w:r>
          </w:p>
          <w:p w14:paraId="384C64B0" w14:textId="77777777" w:rsidR="00852466" w:rsidRPr="00144D2D" w:rsidRDefault="00852466">
            <w:pPr>
              <w:rPr>
                <w:rFonts w:ascii="Arial Narrow" w:hAnsi="Arial Narrow"/>
                <w:sz w:val="20"/>
                <w:szCs w:val="20"/>
              </w:rPr>
            </w:pPr>
          </w:p>
          <w:p w14:paraId="65BF83F5" w14:textId="77777777" w:rsidR="00852466" w:rsidRPr="00144D2D" w:rsidRDefault="00852466">
            <w:pPr>
              <w:rPr>
                <w:rFonts w:ascii="Arial Narrow" w:hAnsi="Arial Narrow"/>
                <w:sz w:val="20"/>
                <w:szCs w:val="20"/>
              </w:rPr>
            </w:pPr>
            <w:r w:rsidRPr="00144D2D">
              <w:rPr>
                <w:rFonts w:ascii="Arial Narrow" w:hAnsi="Arial Narrow"/>
                <w:sz w:val="20"/>
                <w:szCs w:val="20"/>
              </w:rPr>
              <w:t>(ii) a patient has received prior PBS-subsidised biological medicine therapy (initial or continuing) and wishes to trial an alternate agent - Initial 2 treatment (Change or Recommencement of treatment after a break in biological medicine therapy of less than 5 years ) [further details are under 'Swapping treatment' below]; or</w:t>
            </w:r>
          </w:p>
          <w:p w14:paraId="7F364DE7" w14:textId="77777777" w:rsidR="00852466" w:rsidRPr="00144D2D" w:rsidRDefault="00852466">
            <w:pPr>
              <w:rPr>
                <w:rFonts w:ascii="Arial Narrow" w:hAnsi="Arial Narrow"/>
                <w:sz w:val="20"/>
                <w:szCs w:val="20"/>
              </w:rPr>
            </w:pPr>
          </w:p>
          <w:p w14:paraId="61579971" w14:textId="77777777" w:rsidR="00852466" w:rsidRPr="00144D2D" w:rsidRDefault="00852466">
            <w:pPr>
              <w:rPr>
                <w:rFonts w:ascii="Arial Narrow" w:hAnsi="Arial Narrow"/>
                <w:sz w:val="20"/>
                <w:szCs w:val="20"/>
              </w:rPr>
            </w:pPr>
            <w:r w:rsidRPr="00144D2D">
              <w:rPr>
                <w:rFonts w:ascii="Arial Narrow" w:hAnsi="Arial Narrow"/>
                <w:sz w:val="20"/>
                <w:szCs w:val="20"/>
              </w:rPr>
              <w:t>(iii) a patient wishes to recommence treatment with a specific biological medicine following a break in PBS-subsidised therapy with the same agent - Initial 2 treatment (Change or Recommencement of treatment after a break in therapy of less than 5 years ); or</w:t>
            </w:r>
          </w:p>
          <w:p w14:paraId="78A66E12" w14:textId="77777777" w:rsidR="00852466" w:rsidRPr="00144D2D" w:rsidRDefault="00852466">
            <w:pPr>
              <w:rPr>
                <w:rFonts w:ascii="Arial Narrow" w:hAnsi="Arial Narrow"/>
                <w:sz w:val="20"/>
                <w:szCs w:val="20"/>
              </w:rPr>
            </w:pPr>
          </w:p>
          <w:p w14:paraId="23D9A991" w14:textId="77777777" w:rsidR="00852466" w:rsidRPr="00144D2D" w:rsidRDefault="00852466">
            <w:pPr>
              <w:rPr>
                <w:rFonts w:ascii="Arial Narrow" w:hAnsi="Arial Narrow"/>
                <w:sz w:val="20"/>
                <w:szCs w:val="20"/>
              </w:rPr>
            </w:pPr>
            <w:r w:rsidRPr="00144D2D">
              <w:rPr>
                <w:rFonts w:ascii="Arial Narrow" w:hAnsi="Arial Narrow"/>
                <w:sz w:val="20"/>
                <w:szCs w:val="20"/>
              </w:rPr>
              <w:t>(iv) a patient wishes to recommence treatment with a biological medicine following a break in PBS-subsidised therapy of more than 5 years (Initial 3 - recommencement of treatment after a break in biological medicine of more than 5 years).</w:t>
            </w:r>
          </w:p>
          <w:p w14:paraId="704AF16C" w14:textId="77777777" w:rsidR="00852466" w:rsidRPr="00144D2D" w:rsidRDefault="00852466">
            <w:pPr>
              <w:rPr>
                <w:rFonts w:ascii="Arial Narrow" w:hAnsi="Arial Narrow"/>
                <w:sz w:val="20"/>
                <w:szCs w:val="20"/>
              </w:rPr>
            </w:pPr>
          </w:p>
          <w:p w14:paraId="061C9C99" w14:textId="77777777" w:rsidR="00852466" w:rsidRPr="00144D2D" w:rsidRDefault="00852466">
            <w:pPr>
              <w:rPr>
                <w:rFonts w:ascii="Arial Narrow" w:hAnsi="Arial Narrow"/>
                <w:sz w:val="20"/>
                <w:szCs w:val="20"/>
              </w:rPr>
            </w:pPr>
            <w:r w:rsidRPr="00144D2D">
              <w:rPr>
                <w:rFonts w:ascii="Arial Narrow" w:hAnsi="Arial Narrow"/>
                <w:sz w:val="20"/>
                <w:szCs w:val="20"/>
              </w:rPr>
              <w:t>Treatment authorisations under Initial 1, Initial 2 and Initial 3 will be limited to provide for a maximum of 16 weeks of treatment for adalimumab and 14 weeks of treatment for infliximab. From 1 June 2017, a patient must be assessed for response to a course of initial PBS-subsidised treatment following a minimum of 12 weeks of treatment for adalimumab and up to 12 weeks after the first dose (6 weeks following the third dose) for infliximab, and this assessment must be conducted no later than 4 weeks from the date that course was ceased.</w:t>
            </w:r>
          </w:p>
          <w:p w14:paraId="12B03D7A" w14:textId="77777777" w:rsidR="00852466" w:rsidRPr="00144D2D" w:rsidRDefault="00852466">
            <w:pPr>
              <w:rPr>
                <w:rFonts w:ascii="Arial Narrow" w:hAnsi="Arial Narrow"/>
                <w:sz w:val="20"/>
                <w:szCs w:val="20"/>
              </w:rPr>
            </w:pPr>
          </w:p>
          <w:p w14:paraId="0E332506" w14:textId="77777777" w:rsidR="00852466" w:rsidRPr="00144D2D" w:rsidRDefault="00852466">
            <w:pPr>
              <w:rPr>
                <w:rFonts w:ascii="Arial Narrow" w:hAnsi="Arial Narrow"/>
                <w:sz w:val="20"/>
                <w:szCs w:val="20"/>
              </w:rPr>
            </w:pPr>
            <w:r w:rsidRPr="00144D2D">
              <w:rPr>
                <w:rFonts w:ascii="Arial Narrow" w:hAnsi="Arial Narrow"/>
                <w:sz w:val="20"/>
                <w:szCs w:val="20"/>
              </w:rPr>
              <w:t>(2) Continuing treatment.</w:t>
            </w:r>
          </w:p>
          <w:p w14:paraId="5B201764" w14:textId="77777777" w:rsidR="00852466" w:rsidRPr="00144D2D" w:rsidRDefault="00852466">
            <w:pPr>
              <w:rPr>
                <w:rFonts w:ascii="Arial Narrow" w:hAnsi="Arial Narrow"/>
                <w:sz w:val="20"/>
                <w:szCs w:val="20"/>
              </w:rPr>
            </w:pPr>
          </w:p>
          <w:p w14:paraId="792E4AB7" w14:textId="77777777" w:rsidR="00852466" w:rsidRPr="00144D2D" w:rsidRDefault="00852466">
            <w:pPr>
              <w:rPr>
                <w:rFonts w:ascii="Arial Narrow" w:hAnsi="Arial Narrow"/>
                <w:sz w:val="20"/>
                <w:szCs w:val="20"/>
              </w:rPr>
            </w:pPr>
            <w:r w:rsidRPr="00144D2D">
              <w:rPr>
                <w:rFonts w:ascii="Arial Narrow" w:hAnsi="Arial Narrow"/>
                <w:sz w:val="20"/>
                <w:szCs w:val="20"/>
              </w:rPr>
              <w:t>Following the completion of an initial treatment course with a specific biological medicine, a patient remains eligible to receive up to 24 weeks per course of continuing treatment with that drug under the First continuing treatment and Subsequent continuing treatment restrictions providing they continue to sustain the response.</w:t>
            </w:r>
          </w:p>
          <w:p w14:paraId="7FF54430" w14:textId="77777777" w:rsidR="00852466" w:rsidRPr="00144D2D" w:rsidRDefault="00852466">
            <w:pPr>
              <w:rPr>
                <w:rFonts w:ascii="Arial Narrow" w:hAnsi="Arial Narrow"/>
                <w:sz w:val="20"/>
                <w:szCs w:val="20"/>
              </w:rPr>
            </w:pPr>
          </w:p>
          <w:p w14:paraId="7F45F36C" w14:textId="77777777" w:rsidR="00852466" w:rsidRPr="00144D2D" w:rsidRDefault="00852466">
            <w:pPr>
              <w:rPr>
                <w:rFonts w:ascii="Arial Narrow" w:hAnsi="Arial Narrow"/>
                <w:sz w:val="20"/>
                <w:szCs w:val="20"/>
              </w:rPr>
            </w:pPr>
            <w:r w:rsidRPr="00144D2D">
              <w:rPr>
                <w:rFonts w:ascii="Arial Narrow" w:hAnsi="Arial Narrow"/>
                <w:sz w:val="20"/>
                <w:szCs w:val="20"/>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Initial 2 or Initial 3 treatment restrictions.</w:t>
            </w:r>
          </w:p>
          <w:p w14:paraId="39987E88" w14:textId="77777777" w:rsidR="00852466" w:rsidRPr="00144D2D" w:rsidRDefault="00852466">
            <w:pPr>
              <w:rPr>
                <w:rFonts w:ascii="Arial Narrow" w:hAnsi="Arial Narrow"/>
                <w:sz w:val="20"/>
                <w:szCs w:val="20"/>
              </w:rPr>
            </w:pPr>
          </w:p>
          <w:p w14:paraId="2A3AEA78" w14:textId="77777777" w:rsidR="00852466" w:rsidRPr="00144D2D" w:rsidRDefault="00852466">
            <w:pPr>
              <w:rPr>
                <w:rFonts w:ascii="Arial Narrow" w:hAnsi="Arial Narrow"/>
                <w:sz w:val="20"/>
                <w:szCs w:val="20"/>
              </w:rPr>
            </w:pPr>
            <w:r w:rsidRPr="00144D2D">
              <w:rPr>
                <w:rFonts w:ascii="Arial Narrow" w:hAnsi="Arial Narrow"/>
                <w:sz w:val="20"/>
                <w:szCs w:val="20"/>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3141C6E0" w14:textId="77777777" w:rsidR="00852466" w:rsidRPr="00144D2D" w:rsidRDefault="00852466">
            <w:pPr>
              <w:rPr>
                <w:rFonts w:ascii="Arial Narrow" w:hAnsi="Arial Narrow"/>
                <w:sz w:val="20"/>
                <w:szCs w:val="20"/>
              </w:rPr>
            </w:pPr>
          </w:p>
          <w:p w14:paraId="43774B94" w14:textId="77777777" w:rsidR="00852466" w:rsidRPr="00144D2D" w:rsidRDefault="00852466">
            <w:pPr>
              <w:rPr>
                <w:rFonts w:ascii="Arial Narrow" w:hAnsi="Arial Narrow"/>
                <w:sz w:val="20"/>
                <w:szCs w:val="20"/>
              </w:rPr>
            </w:pPr>
            <w:r w:rsidRPr="00144D2D">
              <w:rPr>
                <w:rFonts w:ascii="Arial Narrow" w:hAnsi="Arial Narrow"/>
                <w:sz w:val="20"/>
                <w:szCs w:val="20"/>
              </w:rPr>
              <w:t>(3) Swapping therapy.</w:t>
            </w:r>
          </w:p>
          <w:p w14:paraId="529B3C30" w14:textId="77777777" w:rsidR="00852466" w:rsidRPr="00144D2D" w:rsidRDefault="00852466">
            <w:pPr>
              <w:rPr>
                <w:rFonts w:ascii="Arial Narrow" w:hAnsi="Arial Narrow"/>
                <w:sz w:val="20"/>
                <w:szCs w:val="20"/>
              </w:rPr>
            </w:pPr>
          </w:p>
          <w:p w14:paraId="2860EBF5" w14:textId="77777777" w:rsidR="00852466" w:rsidRPr="00144D2D" w:rsidRDefault="00852466">
            <w:pPr>
              <w:rPr>
                <w:rFonts w:ascii="Arial Narrow" w:hAnsi="Arial Narrow"/>
                <w:sz w:val="20"/>
                <w:szCs w:val="20"/>
              </w:rPr>
            </w:pPr>
            <w:r w:rsidRPr="00144D2D">
              <w:rPr>
                <w:rFonts w:ascii="Arial Narrow" w:hAnsi="Arial Narrow"/>
                <w:sz w:val="20"/>
                <w:szCs w:val="20"/>
              </w:rPr>
              <w:t>Once initial treatment with the first PBS-subsidised biological medicine is approved, a patient may swap to an alternate biological medicine within the same treatment cycle without having to requalify with respect to the indices of disease severity (i.e. Paediatric Ulcerative Colitis Activity Index (PUCAI) Score, confirmation of ulcerative colitis disease), or the prior conventional therapies of corticosteroids or immunosuppressives.</w:t>
            </w:r>
          </w:p>
          <w:p w14:paraId="2948ECC6" w14:textId="77777777" w:rsidR="00852466" w:rsidRPr="00144D2D" w:rsidRDefault="00852466">
            <w:pPr>
              <w:rPr>
                <w:rFonts w:ascii="Arial Narrow" w:hAnsi="Arial Narrow"/>
                <w:sz w:val="20"/>
                <w:szCs w:val="20"/>
              </w:rPr>
            </w:pPr>
          </w:p>
          <w:p w14:paraId="6DB02871" w14:textId="77777777" w:rsidR="00852466" w:rsidRPr="00144D2D" w:rsidRDefault="00852466">
            <w:pPr>
              <w:rPr>
                <w:rFonts w:ascii="Arial Narrow" w:hAnsi="Arial Narrow"/>
                <w:sz w:val="20"/>
                <w:szCs w:val="20"/>
              </w:rPr>
            </w:pPr>
            <w:r w:rsidRPr="00144D2D">
              <w:rPr>
                <w:rFonts w:ascii="Arial Narrow" w:hAnsi="Arial Narrow"/>
                <w:sz w:val="20"/>
                <w:szCs w:val="20"/>
              </w:rPr>
              <w:t>A patient may trial an alternate biological medicine at any time, regardless of whether they are receiving treatment (initial or continuing) at the time of the application. However, a patient cannot swap to a particular biological medicine if they have failed to respond to prior treatment with that drug twice within the same treatment cycle. To ensure a patient receives the maximum treatment opportunities allowed under these swapping arrangements, it is important that they are assessed for response to every course of treatment.</w:t>
            </w:r>
          </w:p>
          <w:p w14:paraId="1A0C5FF4" w14:textId="77777777" w:rsidR="00852466" w:rsidRPr="00144D2D" w:rsidRDefault="00852466">
            <w:pPr>
              <w:rPr>
                <w:rFonts w:ascii="Arial Narrow" w:hAnsi="Arial Narrow"/>
                <w:sz w:val="20"/>
                <w:szCs w:val="20"/>
              </w:rPr>
            </w:pPr>
          </w:p>
          <w:p w14:paraId="67C9D281" w14:textId="77777777" w:rsidR="00852466" w:rsidRPr="00144D2D" w:rsidRDefault="00852466">
            <w:pPr>
              <w:rPr>
                <w:rFonts w:ascii="Arial Narrow" w:hAnsi="Arial Narrow"/>
                <w:sz w:val="20"/>
                <w:szCs w:val="20"/>
              </w:rPr>
            </w:pPr>
            <w:r w:rsidRPr="00144D2D">
              <w:rPr>
                <w:rFonts w:ascii="Arial Narrow" w:hAnsi="Arial Narrow"/>
                <w:sz w:val="20"/>
                <w:szCs w:val="20"/>
              </w:rPr>
              <w:t>(4) Recommencement of treatment after a 5-year break in PBS-subsidised therapy.</w:t>
            </w:r>
          </w:p>
          <w:p w14:paraId="449D87EA" w14:textId="77777777" w:rsidR="00852466" w:rsidRPr="00144D2D" w:rsidRDefault="00852466">
            <w:pPr>
              <w:rPr>
                <w:rFonts w:ascii="Arial Narrow" w:hAnsi="Arial Narrow"/>
                <w:sz w:val="20"/>
                <w:szCs w:val="20"/>
              </w:rPr>
            </w:pPr>
          </w:p>
          <w:p w14:paraId="6A73E8CF" w14:textId="77777777" w:rsidR="00852466" w:rsidRPr="00144D2D" w:rsidRDefault="00852466">
            <w:pPr>
              <w:rPr>
                <w:rFonts w:ascii="Arial Narrow" w:hAnsi="Arial Narrow"/>
                <w:sz w:val="20"/>
                <w:szCs w:val="20"/>
              </w:rPr>
            </w:pPr>
            <w:r w:rsidRPr="00144D2D">
              <w:rPr>
                <w:rFonts w:ascii="Arial Narrow" w:hAnsi="Arial Narrow"/>
                <w:sz w:val="20"/>
                <w:szCs w:val="20"/>
              </w:rPr>
              <w:t>A patient who wishes to recommence treatment following a break in PBS-subsidised biological medicine therapy of at least 5 years, must requalify under Initial 3 treatment restriction and meet the relevant criteria with respect to the indices of disease severity.</w:t>
            </w:r>
          </w:p>
        </w:tc>
      </w:tr>
      <w:tr w:rsidR="00852466" w:rsidRPr="00144D2D" w14:paraId="127F0DA3"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D6CD047" w14:textId="77777777" w:rsidR="00852466" w:rsidRPr="00144D2D" w:rsidRDefault="00852466">
            <w:pPr>
              <w:rPr>
                <w:rFonts w:ascii="Arial Narrow" w:hAnsi="Arial Narrow"/>
                <w:sz w:val="20"/>
                <w:szCs w:val="20"/>
              </w:rPr>
            </w:pPr>
            <w:r w:rsidRPr="00144D2D">
              <w:rPr>
                <w:rFonts w:ascii="Arial Narrow" w:hAnsi="Arial Narrow"/>
                <w:b/>
                <w:bCs/>
                <w:sz w:val="20"/>
                <w:szCs w:val="20"/>
              </w:rPr>
              <w:t>Administrative Advice:</w:t>
            </w:r>
            <w:r w:rsidRPr="00144D2D">
              <w:rPr>
                <w:rFonts w:ascii="Arial Narrow" w:hAnsi="Arial Narrow"/>
                <w:sz w:val="20"/>
                <w:szCs w:val="20"/>
              </w:rPr>
              <w:t xml:space="preserve"> No increase in the maximum number of repeats may be authorised.</w:t>
            </w:r>
          </w:p>
        </w:tc>
      </w:tr>
      <w:tr w:rsidR="00852466" w:rsidRPr="00144D2D" w14:paraId="7E84DB1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F3AD186" w14:textId="77777777" w:rsidR="00852466" w:rsidRPr="00144D2D" w:rsidRDefault="00852466">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0DCA9DF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9D50FC4"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1 (new patient)</w:t>
            </w:r>
          </w:p>
        </w:tc>
      </w:tr>
      <w:tr w:rsidR="00852466" w:rsidRPr="00144D2D" w14:paraId="6278FD1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1A8BFC"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criteria:</w:t>
            </w:r>
          </w:p>
        </w:tc>
      </w:tr>
      <w:tr w:rsidR="00852466" w:rsidRPr="00144D2D" w14:paraId="1EC5074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69149B2"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gastroenterologist (code 87); or</w:t>
            </w:r>
          </w:p>
        </w:tc>
      </w:tr>
      <w:tr w:rsidR="00852466" w:rsidRPr="00144D2D" w14:paraId="72E0A84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7B62CC8"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5C447D5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FA4B1C4"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1FE4EF3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89B4AB"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543293E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CB91A4C"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7DBCFD6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35FD00B"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Clinical criteria: </w:t>
            </w:r>
          </w:p>
        </w:tc>
      </w:tr>
      <w:tr w:rsidR="00852466" w:rsidRPr="00144D2D" w14:paraId="2AF738C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652363A" w14:textId="77777777" w:rsidR="00852466" w:rsidRPr="00144D2D" w:rsidRDefault="00852466">
            <w:pPr>
              <w:jc w:val="left"/>
              <w:rPr>
                <w:rFonts w:ascii="Arial Narrow" w:hAnsi="Arial Narrow"/>
                <w:color w:val="333333"/>
                <w:sz w:val="20"/>
                <w:szCs w:val="20"/>
              </w:rPr>
            </w:pPr>
            <w:r w:rsidRPr="00144D2D">
              <w:rPr>
                <w:rFonts w:ascii="Arial Narrow" w:hAnsi="Arial Narrow"/>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tc>
      </w:tr>
      <w:tr w:rsidR="00852466" w:rsidRPr="00144D2D" w14:paraId="703E61A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94AA8E6" w14:textId="77777777" w:rsidR="00852466" w:rsidRPr="00144D2D" w:rsidRDefault="00852466">
            <w:pPr>
              <w:jc w:val="left"/>
              <w:rPr>
                <w:rFonts w:ascii="Arial Narrow" w:hAnsi="Arial Narrow"/>
                <w:sz w:val="20"/>
                <w:szCs w:val="20"/>
              </w:rPr>
            </w:pPr>
            <w:r w:rsidRPr="00144D2D">
              <w:rPr>
                <w:rFonts w:ascii="Arial Narrow" w:hAnsi="Arial Narrow"/>
                <w:b/>
                <w:bCs/>
                <w:sz w:val="20"/>
                <w:szCs w:val="20"/>
              </w:rPr>
              <w:t>AND</w:t>
            </w:r>
          </w:p>
        </w:tc>
      </w:tr>
      <w:tr w:rsidR="00852466" w:rsidRPr="00144D2D" w14:paraId="0C64CE2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4347B24" w14:textId="77777777" w:rsidR="00852466" w:rsidRPr="00144D2D" w:rsidRDefault="00852466">
            <w:pPr>
              <w:jc w:val="left"/>
              <w:rPr>
                <w:rFonts w:ascii="Arial Narrow" w:hAnsi="Arial Narrow"/>
                <w:sz w:val="20"/>
                <w:szCs w:val="20"/>
              </w:rPr>
            </w:pPr>
            <w:r w:rsidRPr="00144D2D">
              <w:rPr>
                <w:rFonts w:ascii="Arial Narrow" w:hAnsi="Arial Narrow"/>
                <w:b/>
                <w:bCs/>
                <w:sz w:val="20"/>
                <w:szCs w:val="20"/>
              </w:rPr>
              <w:t>Clinical criteria:</w:t>
            </w:r>
          </w:p>
        </w:tc>
      </w:tr>
      <w:tr w:rsidR="00852466" w:rsidRPr="00144D2D" w14:paraId="096F77B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24558E1" w14:textId="77777777" w:rsidR="00852466" w:rsidRPr="00144D2D" w:rsidRDefault="00852466">
            <w:pPr>
              <w:rPr>
                <w:rFonts w:ascii="Arial Narrow" w:hAnsi="Arial Narrow"/>
                <w:color w:val="FF0000"/>
                <w:sz w:val="20"/>
                <w:szCs w:val="20"/>
              </w:rPr>
            </w:pPr>
            <w:r w:rsidRPr="00144D2D">
              <w:rPr>
                <w:rFonts w:ascii="Arial Narrow" w:hAnsi="Arial Narrow"/>
                <w:sz w:val="20"/>
                <w:szCs w:val="20"/>
              </w:rPr>
              <w:t>Patient must have failed to achieve an adequate response to azathioprine at a dose of at least 2 mg per kg daily for 3 or more consecutive months or have intolerance necessitating permanent treatment withdrawal; or</w:t>
            </w:r>
          </w:p>
        </w:tc>
      </w:tr>
      <w:tr w:rsidR="00852466" w:rsidRPr="00144D2D" w14:paraId="1AEF641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451A338"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failed to achieve an adequate response to 6-mercaptopurine at a dose of at least 1 mg per kg daily for 3 or more consecutive months or have intolerance necessitating permanent treatment withdrawal; or</w:t>
            </w:r>
          </w:p>
        </w:tc>
      </w:tr>
      <w:tr w:rsidR="00852466" w:rsidRPr="00144D2D" w14:paraId="67B5F2B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CDFFB3B"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852466" w:rsidRPr="00144D2D" w14:paraId="341BF2C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A2CCF5D"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16A7D6D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F3EC8BD" w14:textId="77777777" w:rsidR="00852466" w:rsidRPr="00144D2D" w:rsidRDefault="00852466">
            <w:pPr>
              <w:rPr>
                <w:rFonts w:ascii="Arial Narrow" w:hAnsi="Arial Narrow"/>
                <w:sz w:val="20"/>
                <w:szCs w:val="20"/>
              </w:rPr>
            </w:pPr>
            <w:r w:rsidRPr="00144D2D">
              <w:rPr>
                <w:rFonts w:ascii="Arial Narrow" w:hAnsi="Arial Narrow"/>
                <w:b/>
                <w:bCs/>
                <w:sz w:val="20"/>
                <w:szCs w:val="20"/>
              </w:rPr>
              <w:t>Clinical criteria:</w:t>
            </w:r>
          </w:p>
        </w:tc>
      </w:tr>
      <w:tr w:rsidR="00852466" w:rsidRPr="00144D2D" w14:paraId="6D83B7F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FE9202A"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a Mayo clinic score greater than or equal to 6 if an adult patient; or</w:t>
            </w:r>
          </w:p>
        </w:tc>
      </w:tr>
      <w:tr w:rsidR="00852466" w:rsidRPr="00144D2D" w14:paraId="43525FB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361862"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Patient must have a partial Mayo clinic score greater than or equal to 6, provided the rectal bleeding and stool frequency </w:t>
            </w:r>
            <w:proofErr w:type="spellStart"/>
            <w:r w:rsidRPr="00144D2D">
              <w:rPr>
                <w:rFonts w:ascii="Arial Narrow" w:hAnsi="Arial Narrow"/>
                <w:sz w:val="20"/>
                <w:szCs w:val="20"/>
              </w:rPr>
              <w:t>subscores</w:t>
            </w:r>
            <w:proofErr w:type="spellEnd"/>
            <w:r w:rsidRPr="00144D2D">
              <w:rPr>
                <w:rFonts w:ascii="Arial Narrow" w:hAnsi="Arial Narrow"/>
                <w:sz w:val="20"/>
                <w:szCs w:val="20"/>
              </w:rPr>
              <w:t xml:space="preserve"> are both greater than or equal to 2 (endoscopy </w:t>
            </w:r>
            <w:proofErr w:type="spellStart"/>
            <w:r w:rsidRPr="00144D2D">
              <w:rPr>
                <w:rFonts w:ascii="Arial Narrow" w:hAnsi="Arial Narrow"/>
                <w:sz w:val="20"/>
                <w:szCs w:val="20"/>
              </w:rPr>
              <w:t>subscore</w:t>
            </w:r>
            <w:proofErr w:type="spellEnd"/>
            <w:r w:rsidRPr="00144D2D">
              <w:rPr>
                <w:rFonts w:ascii="Arial Narrow" w:hAnsi="Arial Narrow"/>
                <w:sz w:val="20"/>
                <w:szCs w:val="20"/>
              </w:rPr>
              <w:t xml:space="preserve"> is not required for a partial Mayo clinic score); or</w:t>
            </w:r>
          </w:p>
        </w:tc>
      </w:tr>
      <w:tr w:rsidR="00852466" w:rsidRPr="00144D2D" w14:paraId="7B2B574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2EA98D"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a Paediatric Ulcerative Colitis Activity Index (PUCAI) Score greater than or equal to 30 if aged 6 to 17 years</w:t>
            </w:r>
          </w:p>
        </w:tc>
      </w:tr>
      <w:tr w:rsidR="00852466" w:rsidRPr="00144D2D" w14:paraId="2690644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8C0C69E" w14:textId="77777777" w:rsidR="00852466" w:rsidRPr="00144D2D" w:rsidRDefault="00852466">
            <w:pPr>
              <w:rPr>
                <w:rFonts w:ascii="Arial Narrow" w:hAnsi="Arial Narrow"/>
                <w:sz w:val="20"/>
                <w:szCs w:val="20"/>
              </w:rPr>
            </w:pPr>
            <w:r w:rsidRPr="00144D2D">
              <w:rPr>
                <w:rFonts w:ascii="Arial Narrow" w:hAnsi="Arial Narrow"/>
                <w:b/>
                <w:bCs/>
                <w:sz w:val="20"/>
                <w:szCs w:val="20"/>
              </w:rPr>
              <w:t>Population criteria:</w:t>
            </w:r>
          </w:p>
        </w:tc>
      </w:tr>
      <w:tr w:rsidR="00852466" w:rsidRPr="00144D2D" w14:paraId="1328277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C64D410" w14:textId="77777777" w:rsidR="00852466" w:rsidRPr="00144D2D" w:rsidRDefault="00852466">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852466" w:rsidRPr="00144D2D" w14:paraId="6BC8203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67F5FF8"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5F916F1B" w14:textId="77777777" w:rsidR="00852466" w:rsidRPr="000125D1" w:rsidRDefault="00852466">
            <w:pPr>
              <w:rPr>
                <w:rFonts w:ascii="Arial Narrow" w:hAnsi="Arial Narrow"/>
                <w:sz w:val="20"/>
                <w:szCs w:val="20"/>
              </w:rPr>
            </w:pPr>
            <w:r w:rsidRPr="00144D2D">
              <w:rPr>
                <w:rFonts w:ascii="Arial Narrow" w:hAnsi="Arial Narrow"/>
                <w:sz w:val="20"/>
                <w:szCs w:val="20"/>
              </w:rPr>
              <w:t xml:space="preserve">The </w:t>
            </w:r>
            <w:r w:rsidRPr="000125D1">
              <w:rPr>
                <w:rFonts w:ascii="Arial Narrow" w:hAnsi="Arial Narrow"/>
                <w:sz w:val="20"/>
                <w:szCs w:val="20"/>
              </w:rPr>
              <w:t>authority application must be made in writing and must include:</w:t>
            </w:r>
          </w:p>
          <w:p w14:paraId="6960399F" w14:textId="77777777" w:rsidR="00852466" w:rsidRPr="000125D1" w:rsidRDefault="00852466">
            <w:pPr>
              <w:rPr>
                <w:rFonts w:ascii="Arial Narrow" w:hAnsi="Arial Narrow"/>
                <w:sz w:val="20"/>
                <w:szCs w:val="20"/>
              </w:rPr>
            </w:pPr>
          </w:p>
          <w:p w14:paraId="2B8F684C"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(1) </w:t>
            </w:r>
            <w:r w:rsidRPr="000125D1">
              <w:rPr>
                <w:rFonts w:ascii="Arial Narrow" w:hAnsi="Arial Narrow"/>
                <w:i/>
                <w:iCs/>
                <w:sz w:val="20"/>
                <w:szCs w:val="20"/>
              </w:rPr>
              <w:t>details of the proposed</w:t>
            </w:r>
            <w:r w:rsidRPr="000125D1">
              <w:rPr>
                <w:rFonts w:ascii="Arial Narrow" w:hAnsi="Arial Narrow"/>
                <w:bCs/>
                <w:sz w:val="20"/>
                <w:szCs w:val="20"/>
              </w:rPr>
              <w:t xml:space="preserve"> </w:t>
            </w:r>
            <w:r w:rsidRPr="000125D1">
              <w:rPr>
                <w:rFonts w:ascii="Arial Narrow" w:hAnsi="Arial Narrow"/>
                <w:strike/>
                <w:sz w:val="20"/>
                <w:szCs w:val="20"/>
              </w:rPr>
              <w:t>two completed authority</w:t>
            </w:r>
            <w:r w:rsidRPr="000125D1">
              <w:rPr>
                <w:rFonts w:ascii="Arial Narrow" w:hAnsi="Arial Narrow"/>
                <w:sz w:val="20"/>
                <w:szCs w:val="20"/>
              </w:rPr>
              <w:t xml:space="preserve"> prescription</w:t>
            </w:r>
            <w:r w:rsidRPr="000125D1">
              <w:rPr>
                <w:rFonts w:ascii="Arial Narrow" w:hAnsi="Arial Narrow"/>
                <w:i/>
                <w:iCs/>
                <w:sz w:val="20"/>
                <w:szCs w:val="20"/>
              </w:rPr>
              <w:t>(s)</w:t>
            </w:r>
            <w:r w:rsidRPr="000125D1">
              <w:rPr>
                <w:rFonts w:ascii="Arial Narrow" w:hAnsi="Arial Narrow"/>
                <w:sz w:val="20"/>
                <w:szCs w:val="20"/>
              </w:rPr>
              <w:t xml:space="preserve"> </w:t>
            </w:r>
            <w:r w:rsidRPr="000125D1">
              <w:rPr>
                <w:rFonts w:ascii="Arial Narrow" w:hAnsi="Arial Narrow"/>
                <w:strike/>
                <w:sz w:val="20"/>
                <w:szCs w:val="20"/>
              </w:rPr>
              <w:t>forms</w:t>
            </w:r>
            <w:r w:rsidRPr="000125D1">
              <w:rPr>
                <w:rFonts w:ascii="Arial Narrow" w:hAnsi="Arial Narrow"/>
                <w:sz w:val="20"/>
                <w:szCs w:val="20"/>
              </w:rPr>
              <w:t>; and</w:t>
            </w:r>
          </w:p>
          <w:p w14:paraId="37A0F5CA" w14:textId="77777777" w:rsidR="00852466" w:rsidRPr="000125D1" w:rsidRDefault="00852466">
            <w:pPr>
              <w:rPr>
                <w:rFonts w:ascii="Arial Narrow" w:hAnsi="Arial Narrow"/>
                <w:sz w:val="20"/>
                <w:szCs w:val="20"/>
              </w:rPr>
            </w:pPr>
          </w:p>
          <w:p w14:paraId="3502197B" w14:textId="77777777" w:rsidR="00852466" w:rsidRPr="000125D1" w:rsidRDefault="00852466">
            <w:pPr>
              <w:rPr>
                <w:rFonts w:ascii="Arial Narrow" w:hAnsi="Arial Narrow"/>
                <w:sz w:val="20"/>
                <w:szCs w:val="20"/>
              </w:rPr>
            </w:pPr>
            <w:r w:rsidRPr="000125D1">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2C984805" w14:textId="77777777" w:rsidR="00852466" w:rsidRPr="000125D1" w:rsidRDefault="00852466">
            <w:pPr>
              <w:rPr>
                <w:rFonts w:ascii="Arial Narrow" w:hAnsi="Arial Narrow"/>
                <w:sz w:val="20"/>
                <w:szCs w:val="20"/>
              </w:rPr>
            </w:pPr>
          </w:p>
          <w:p w14:paraId="690FB477" w14:textId="77777777" w:rsidR="00852466" w:rsidRPr="00144D2D" w:rsidRDefault="00852466">
            <w:pPr>
              <w:rPr>
                <w:rFonts w:ascii="Arial Narrow" w:hAnsi="Arial Narrow"/>
                <w:sz w:val="20"/>
                <w:szCs w:val="20"/>
              </w:rPr>
            </w:pPr>
            <w:r w:rsidRPr="000125D1">
              <w:rPr>
                <w:rFonts w:ascii="Arial Narrow" w:hAnsi="Arial Narrow"/>
                <w:sz w:val="20"/>
                <w:szCs w:val="20"/>
              </w:rPr>
              <w:t xml:space="preserve">(i) the completed current Mayo clinic or partial Mayo clinic or Paediatric Ulcerative Colitis Activity Index (PUCAI) calculation sheet including the date of assessment of the patient's </w:t>
            </w:r>
            <w:r w:rsidRPr="00144D2D">
              <w:rPr>
                <w:rFonts w:ascii="Arial Narrow" w:hAnsi="Arial Narrow"/>
                <w:sz w:val="20"/>
                <w:szCs w:val="20"/>
              </w:rPr>
              <w:t>condition; and</w:t>
            </w:r>
          </w:p>
          <w:p w14:paraId="1A8B3278" w14:textId="77777777" w:rsidR="00852466" w:rsidRPr="00144D2D" w:rsidRDefault="00852466">
            <w:pPr>
              <w:rPr>
                <w:rFonts w:ascii="Arial Narrow" w:hAnsi="Arial Narrow"/>
                <w:sz w:val="20"/>
                <w:szCs w:val="20"/>
              </w:rPr>
            </w:pPr>
          </w:p>
          <w:p w14:paraId="691BD505" w14:textId="77777777" w:rsidR="00852466" w:rsidRPr="00144D2D" w:rsidRDefault="00852466">
            <w:pPr>
              <w:rPr>
                <w:rFonts w:ascii="Arial Narrow" w:hAnsi="Arial Narrow"/>
                <w:sz w:val="20"/>
                <w:szCs w:val="20"/>
              </w:rPr>
            </w:pPr>
            <w:r w:rsidRPr="00144D2D">
              <w:rPr>
                <w:rFonts w:ascii="Arial Narrow" w:hAnsi="Arial Narrow"/>
                <w:sz w:val="20"/>
                <w:szCs w:val="20"/>
              </w:rPr>
              <w:t>(ii) details of prior systemic drug therapy [dosage, date of commencement and duration of therapy].</w:t>
            </w:r>
          </w:p>
        </w:tc>
      </w:tr>
      <w:tr w:rsidR="00852466" w:rsidRPr="00144D2D" w14:paraId="19BC366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787EFE8"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350B9E14" w14:textId="77777777" w:rsidR="00852466" w:rsidRPr="00144D2D" w:rsidRDefault="00852466">
            <w:pPr>
              <w:rPr>
                <w:rFonts w:ascii="Arial Narrow" w:hAnsi="Arial Narrow"/>
                <w:sz w:val="20"/>
                <w:szCs w:val="20"/>
              </w:rPr>
            </w:pPr>
            <w:r w:rsidRPr="00144D2D">
              <w:rPr>
                <w:rFonts w:ascii="Arial Narrow" w:hAnsi="Arial Narrow"/>
                <w:sz w:val="20"/>
                <w:szCs w:val="20"/>
              </w:rPr>
              <w:t>All tests and assessments should be performed preferably whilst still on treatment, but no longer than 4 weeks following cessation of the most recent prior conventional treatment.</w:t>
            </w:r>
          </w:p>
        </w:tc>
      </w:tr>
      <w:tr w:rsidR="00852466" w:rsidRPr="00144D2D" w14:paraId="30D4379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4804F7B"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29760CC2" w14:textId="77777777" w:rsidR="00852466" w:rsidRPr="00144D2D" w:rsidRDefault="00852466">
            <w:pPr>
              <w:rPr>
                <w:rFonts w:ascii="Arial Narrow" w:hAnsi="Arial Narrow"/>
                <w:sz w:val="20"/>
                <w:szCs w:val="20"/>
              </w:rPr>
            </w:pPr>
            <w:r w:rsidRPr="00144D2D">
              <w:rPr>
                <w:rFonts w:ascii="Arial Narrow" w:hAnsi="Arial Narrow"/>
                <w:sz w:val="20"/>
                <w:szCs w:val="20"/>
              </w:rPr>
              <w:t>The most recent Mayo clinic, partial Mayo clinic or Paediatric Ulcerative Colitis Activity Index (PUCAI) score must be no more than 4 weeks old at the time of application.</w:t>
            </w:r>
          </w:p>
        </w:tc>
      </w:tr>
      <w:tr w:rsidR="00852466" w:rsidRPr="00144D2D" w14:paraId="5FFDE3D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86619F0"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tc>
      </w:tr>
      <w:tr w:rsidR="00852466" w:rsidRPr="00144D2D" w14:paraId="6B40548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A1B0FF8" w14:textId="77777777" w:rsidR="00852466" w:rsidRPr="00144D2D" w:rsidRDefault="00852466">
            <w:pPr>
              <w:rPr>
                <w:rFonts w:ascii="Arial Narrow" w:hAnsi="Arial Narrow"/>
                <w:color w:val="333333"/>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The measurement of response to the prior course of therapy must be documented in the patient's medical notes.</w:t>
            </w:r>
          </w:p>
        </w:tc>
      </w:tr>
      <w:tr w:rsidR="00852466" w:rsidRPr="00144D2D" w14:paraId="525185C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F81BDC" w14:textId="77777777" w:rsidR="00852466" w:rsidRPr="00144D2D" w:rsidRDefault="00852466">
            <w:pPr>
              <w:rPr>
                <w:rFonts w:ascii="Arial Narrow" w:hAnsi="Arial Narrow"/>
                <w:bCs/>
                <w:color w:val="333333"/>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If treatment with any of the above-mentioned drugs is contraindicated according to the relevant TGA-approved Product Information, details must be provided at the time of application.</w:t>
            </w:r>
          </w:p>
        </w:tc>
      </w:tr>
      <w:tr w:rsidR="00852466" w:rsidRPr="00144D2D" w14:paraId="6913D45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C865912"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sz w:val="20"/>
                <w:szCs w:val="20"/>
              </w:rPr>
              <w:t>An assessment of a patient's response to this initial course of treatment must be conducted following a minimum of 12 weeks of therapy and no later than 4 weeks prior the completion of this course of treatment.</w:t>
            </w:r>
          </w:p>
        </w:tc>
      </w:tr>
      <w:tr w:rsidR="00852466" w:rsidRPr="00144D2D" w14:paraId="1C58261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8C5EE6A"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144D2D" w14:paraId="59B35E2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B8E736"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5C8AF3AF"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If a patient fails to demonstrate a response to treatment with this </w:t>
            </w:r>
            <w:proofErr w:type="gramStart"/>
            <w:r w:rsidRPr="000125D1">
              <w:rPr>
                <w:rFonts w:ascii="Arial Narrow" w:hAnsi="Arial Narrow"/>
                <w:sz w:val="20"/>
                <w:szCs w:val="20"/>
              </w:rPr>
              <w:t>drug</w:t>
            </w:r>
            <w:proofErr w:type="gramEnd"/>
            <w:r w:rsidRPr="000125D1">
              <w:rPr>
                <w:rFonts w:ascii="Arial Narrow" w:hAnsi="Arial Narrow"/>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144D2D" w14:paraId="579679C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1301FB6"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3E3D7AA2" w14:textId="77777777" w:rsidR="00852466" w:rsidRPr="000125D1" w:rsidRDefault="00852466">
            <w:pPr>
              <w:rPr>
                <w:rFonts w:ascii="Arial Narrow" w:hAnsi="Arial Narrow"/>
                <w:sz w:val="20"/>
                <w:szCs w:val="20"/>
              </w:rPr>
            </w:pPr>
            <w:r w:rsidRPr="000125D1">
              <w:rPr>
                <w:rFonts w:ascii="Arial Narrow" w:hAnsi="Arial Narrow"/>
                <w:sz w:val="20"/>
                <w:szCs w:val="20"/>
              </w:rPr>
              <w:t>Details of the accepted toxicities including severity can be found on the Services Australia website.</w:t>
            </w:r>
          </w:p>
        </w:tc>
      </w:tr>
      <w:tr w:rsidR="00852466" w:rsidRPr="00144D2D" w14:paraId="5837D71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CBD5B0"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20D19276" w14:textId="77777777" w:rsidR="00852466" w:rsidRPr="000125D1" w:rsidRDefault="00852466">
            <w:pPr>
              <w:rPr>
                <w:rFonts w:ascii="Arial Narrow" w:hAnsi="Arial Narrow"/>
                <w:b/>
                <w:bCs/>
                <w:strike/>
                <w:sz w:val="20"/>
                <w:szCs w:val="20"/>
              </w:rPr>
            </w:pPr>
          </w:p>
          <w:p w14:paraId="22EC8452"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Details of two completed authority prescriptions should be submitted with every initial application for this biological medicine.</w:t>
            </w:r>
          </w:p>
          <w:p w14:paraId="669D1441" w14:textId="77777777" w:rsidR="00852466" w:rsidRPr="000125D1" w:rsidRDefault="00852466">
            <w:pPr>
              <w:rPr>
                <w:rFonts w:ascii="Arial Narrow" w:hAnsi="Arial Narrow"/>
                <w:b/>
                <w:bCs/>
                <w:strike/>
                <w:sz w:val="20"/>
                <w:szCs w:val="20"/>
              </w:rPr>
            </w:pPr>
          </w:p>
          <w:p w14:paraId="331EF2FB"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40 mg presentation:</w:t>
            </w:r>
          </w:p>
          <w:p w14:paraId="455C5A34" w14:textId="77777777" w:rsidR="00852466" w:rsidRPr="000125D1" w:rsidRDefault="00852466">
            <w:pPr>
              <w:rPr>
                <w:rFonts w:ascii="Arial Narrow" w:hAnsi="Arial Narrow"/>
                <w:b/>
                <w:bCs/>
                <w:strike/>
                <w:sz w:val="20"/>
                <w:szCs w:val="20"/>
              </w:rPr>
            </w:pPr>
          </w:p>
          <w:p w14:paraId="02FD60A0"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induction doses, containing a quantity of 6 doses of 40 mg and no repeats and the second prescription should be written for 2 doses of 40 mg and 2 repeats.</w:t>
            </w:r>
          </w:p>
          <w:p w14:paraId="4D708489" w14:textId="77777777" w:rsidR="00852466" w:rsidRPr="000125D1" w:rsidRDefault="00852466">
            <w:pPr>
              <w:rPr>
                <w:rFonts w:ascii="Arial Narrow" w:hAnsi="Arial Narrow"/>
                <w:strike/>
                <w:sz w:val="20"/>
                <w:szCs w:val="20"/>
              </w:rPr>
            </w:pPr>
          </w:p>
          <w:p w14:paraId="70994E44"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2 doses of 40 mg with no repeats and the second prescription should be written for 2 doses of 20 mg with 3 repeats</w:t>
            </w:r>
            <w:r w:rsidRPr="000125D1">
              <w:rPr>
                <w:rFonts w:ascii="Arial Narrow" w:hAnsi="Arial Narrow"/>
                <w:b/>
                <w:bCs/>
                <w:strike/>
                <w:sz w:val="20"/>
                <w:szCs w:val="20"/>
              </w:rPr>
              <w:t>.</w:t>
            </w:r>
          </w:p>
          <w:p w14:paraId="445C7705" w14:textId="77777777" w:rsidR="00852466" w:rsidRPr="000125D1" w:rsidRDefault="00852466">
            <w:pPr>
              <w:rPr>
                <w:rFonts w:ascii="Arial Narrow" w:hAnsi="Arial Narrow"/>
                <w:b/>
                <w:bCs/>
                <w:strike/>
                <w:sz w:val="20"/>
                <w:szCs w:val="20"/>
              </w:rPr>
            </w:pPr>
          </w:p>
          <w:p w14:paraId="2A4EDF72"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80 mg presentation:</w:t>
            </w:r>
          </w:p>
          <w:p w14:paraId="2EDEF015" w14:textId="77777777" w:rsidR="00852466" w:rsidRPr="000125D1" w:rsidRDefault="00852466">
            <w:pPr>
              <w:rPr>
                <w:rFonts w:ascii="Arial Narrow" w:hAnsi="Arial Narrow"/>
                <w:b/>
                <w:bCs/>
                <w:strike/>
                <w:sz w:val="20"/>
                <w:szCs w:val="20"/>
              </w:rPr>
            </w:pPr>
          </w:p>
          <w:p w14:paraId="39AD1D09"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413FC014" w14:textId="77777777" w:rsidR="00852466" w:rsidRPr="000125D1" w:rsidRDefault="00852466">
            <w:pPr>
              <w:rPr>
                <w:rFonts w:ascii="Arial Narrow" w:hAnsi="Arial Narrow"/>
                <w:strike/>
                <w:sz w:val="20"/>
                <w:szCs w:val="20"/>
              </w:rPr>
            </w:pPr>
          </w:p>
          <w:p w14:paraId="45B8A8FD"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1 dose of 80 mg with no repeats and the second prescription should be written for 2 doses of 20 mg with 3 repeats.</w:t>
            </w:r>
          </w:p>
        </w:tc>
      </w:tr>
      <w:tr w:rsidR="00852466" w:rsidRPr="00144D2D" w14:paraId="59BAEF2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4262E4"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1AD8BC1E" w14:textId="77777777" w:rsidR="00852466" w:rsidRPr="000125D1" w:rsidRDefault="00852466">
            <w:pPr>
              <w:rPr>
                <w:rFonts w:ascii="Arial Narrow" w:hAnsi="Arial Narrow"/>
                <w:b/>
                <w:bCs/>
                <w:strike/>
                <w:sz w:val="20"/>
                <w:szCs w:val="20"/>
              </w:rPr>
            </w:pPr>
          </w:p>
          <w:p w14:paraId="07B584F9"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0125D1">
              <w:rPr>
                <w:rFonts w:ascii="Arial Narrow" w:hAnsi="Arial Narrow"/>
                <w:b/>
                <w:bCs/>
                <w:strike/>
                <w:sz w:val="20"/>
                <w:szCs w:val="20"/>
              </w:rPr>
              <w:t>.</w:t>
            </w:r>
          </w:p>
        </w:tc>
      </w:tr>
      <w:tr w:rsidR="00852466" w:rsidRPr="00144D2D" w14:paraId="719773A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3760CA0"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12CF4552" w14:textId="77777777" w:rsidR="00852466" w:rsidRPr="000125D1" w:rsidRDefault="00852466">
            <w:pPr>
              <w:rPr>
                <w:rFonts w:ascii="Arial Narrow" w:hAnsi="Arial Narrow"/>
                <w:b/>
                <w:bCs/>
                <w:strike/>
                <w:sz w:val="20"/>
                <w:szCs w:val="20"/>
              </w:rPr>
            </w:pPr>
          </w:p>
          <w:p w14:paraId="34A3238C"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 xml:space="preserve">At the time of the authority application, medical practitioners should request </w:t>
            </w:r>
            <w:proofErr w:type="gramStart"/>
            <w:r w:rsidRPr="000125D1">
              <w:rPr>
                <w:rFonts w:ascii="Arial Narrow" w:hAnsi="Arial Narrow"/>
                <w:strike/>
                <w:sz w:val="20"/>
                <w:szCs w:val="20"/>
              </w:rPr>
              <w:t>sufficient quantity</w:t>
            </w:r>
            <w:proofErr w:type="gramEnd"/>
            <w:r w:rsidRPr="000125D1">
              <w:rPr>
                <w:rFonts w:ascii="Arial Narrow" w:hAnsi="Arial Narrow"/>
                <w:strike/>
                <w:sz w:val="20"/>
                <w:szCs w:val="20"/>
              </w:rPr>
              <w:t xml:space="preserve"> for up to 16 weeks of treatment under this restriction</w:t>
            </w:r>
            <w:r w:rsidRPr="000125D1">
              <w:rPr>
                <w:rFonts w:ascii="Arial Narrow" w:hAnsi="Arial Narrow"/>
                <w:i/>
                <w:iCs/>
                <w:strike/>
                <w:sz w:val="20"/>
                <w:szCs w:val="20"/>
              </w:rPr>
              <w:t xml:space="preserve"> (inclusive of loading doses).</w:t>
            </w:r>
          </w:p>
        </w:tc>
      </w:tr>
      <w:tr w:rsidR="00852466" w:rsidRPr="00144D2D" w14:paraId="0CBABD4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A3C6D36"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5B369C96"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At the time of authority application, medical practitioners must request the appropriate number of doses to provide sufficient drug for 16 weeks of treatment.</w:t>
            </w:r>
          </w:p>
          <w:p w14:paraId="59221CE1" w14:textId="77777777" w:rsidR="00852466" w:rsidRPr="000125D1" w:rsidRDefault="00852466">
            <w:pPr>
              <w:rPr>
                <w:rFonts w:ascii="Arial Narrow" w:hAnsi="Arial Narrow"/>
                <w:b/>
                <w:bCs/>
                <w:strike/>
                <w:sz w:val="20"/>
                <w:szCs w:val="20"/>
              </w:rPr>
            </w:pPr>
            <w:r w:rsidRPr="000125D1">
              <w:rPr>
                <w:rFonts w:ascii="Arial Narrow" w:hAnsi="Arial Narrow"/>
                <w:i/>
                <w:iCs/>
                <w:sz w:val="20"/>
                <w:szCs w:val="20"/>
              </w:rPr>
              <w:t>An appropriate amount of drug may require prescribing a combination of strengths. A separate authority prescription must be completed for each strength requested.</w:t>
            </w:r>
          </w:p>
        </w:tc>
      </w:tr>
      <w:tr w:rsidR="00852466" w:rsidRPr="00144D2D" w14:paraId="29F206A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2FC28F4"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4EBC0284" w14:textId="77777777" w:rsidR="00852466" w:rsidRPr="000125D1" w:rsidRDefault="00852466">
            <w:pPr>
              <w:rPr>
                <w:rFonts w:ascii="Arial Narrow" w:hAnsi="Arial Narrow"/>
                <w:b/>
                <w:bCs/>
                <w:sz w:val="20"/>
                <w:szCs w:val="20"/>
              </w:rPr>
            </w:pPr>
          </w:p>
          <w:p w14:paraId="1DB94EC2" w14:textId="77777777" w:rsidR="00852466" w:rsidRPr="000125D1" w:rsidRDefault="00852466">
            <w:pPr>
              <w:rPr>
                <w:rFonts w:ascii="Arial Narrow" w:hAnsi="Arial Narrow"/>
                <w:sz w:val="20"/>
                <w:szCs w:val="20"/>
              </w:rPr>
            </w:pPr>
            <w:r w:rsidRPr="000125D1">
              <w:rPr>
                <w:rFonts w:ascii="Arial Narrow" w:hAnsi="Arial Narrow"/>
                <w:sz w:val="20"/>
                <w:szCs w:val="20"/>
              </w:rPr>
              <w:t>Any queries concerning the arrangements to prescribe may be directed to Services Australia on 1800 700 270 (hours of operation 8 a.m. to 5 p.m. Monday to Friday).</w:t>
            </w:r>
          </w:p>
          <w:p w14:paraId="690F22EB" w14:textId="77777777" w:rsidR="00852466" w:rsidRPr="000125D1" w:rsidRDefault="00852466">
            <w:pPr>
              <w:rPr>
                <w:rFonts w:ascii="Arial Narrow" w:hAnsi="Arial Narrow"/>
                <w:sz w:val="20"/>
                <w:szCs w:val="20"/>
              </w:rPr>
            </w:pPr>
          </w:p>
          <w:p w14:paraId="04BB854A" w14:textId="77777777" w:rsidR="00852466" w:rsidRPr="000125D1" w:rsidRDefault="00852466">
            <w:pPr>
              <w:rPr>
                <w:rFonts w:ascii="Arial Narrow" w:hAnsi="Arial Narrow"/>
                <w:sz w:val="20"/>
                <w:szCs w:val="20"/>
              </w:rPr>
            </w:pPr>
            <w:r w:rsidRPr="000125D1">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28F51B49" w14:textId="77777777" w:rsidR="00852466" w:rsidRPr="000125D1" w:rsidRDefault="00852466">
            <w:pPr>
              <w:rPr>
                <w:rFonts w:ascii="Arial Narrow" w:hAnsi="Arial Narrow"/>
                <w:sz w:val="20"/>
                <w:szCs w:val="20"/>
              </w:rPr>
            </w:pPr>
          </w:p>
          <w:p w14:paraId="5E248A39" w14:textId="77777777" w:rsidR="00852466" w:rsidRPr="000125D1" w:rsidRDefault="00852466">
            <w:pPr>
              <w:rPr>
                <w:rFonts w:ascii="Arial Narrow" w:hAnsi="Arial Narrow"/>
                <w:sz w:val="20"/>
                <w:szCs w:val="20"/>
              </w:rPr>
            </w:pPr>
            <w:r w:rsidRPr="000125D1">
              <w:rPr>
                <w:rFonts w:ascii="Arial Narrow" w:hAnsi="Arial Narrow"/>
                <w:sz w:val="20"/>
                <w:szCs w:val="20"/>
              </w:rPr>
              <w:t>Applications for authority to prescribe should be submitted online using the form upload facility in Health Professional Online Services (HPOS) at www.servicesaustralia.gov.au/hpos</w:t>
            </w:r>
          </w:p>
          <w:p w14:paraId="3AD78A38" w14:textId="77777777" w:rsidR="00852466" w:rsidRPr="000125D1" w:rsidRDefault="00852466">
            <w:pPr>
              <w:rPr>
                <w:rFonts w:ascii="Arial Narrow" w:hAnsi="Arial Narrow"/>
                <w:sz w:val="20"/>
                <w:szCs w:val="20"/>
              </w:rPr>
            </w:pPr>
          </w:p>
          <w:p w14:paraId="79DE5431" w14:textId="77777777" w:rsidR="00852466" w:rsidRPr="000125D1" w:rsidRDefault="00852466">
            <w:pPr>
              <w:rPr>
                <w:rFonts w:ascii="Arial Narrow" w:hAnsi="Arial Narrow"/>
                <w:sz w:val="20"/>
                <w:szCs w:val="20"/>
              </w:rPr>
            </w:pPr>
            <w:r w:rsidRPr="000125D1">
              <w:rPr>
                <w:rFonts w:ascii="Arial Narrow" w:hAnsi="Arial Narrow"/>
                <w:sz w:val="20"/>
                <w:szCs w:val="20"/>
              </w:rPr>
              <w:t>Or mailed to:</w:t>
            </w:r>
          </w:p>
          <w:p w14:paraId="6150D170" w14:textId="77777777" w:rsidR="00852466" w:rsidRPr="000125D1" w:rsidRDefault="00852466">
            <w:pPr>
              <w:rPr>
                <w:rFonts w:ascii="Arial Narrow" w:hAnsi="Arial Narrow"/>
                <w:sz w:val="20"/>
                <w:szCs w:val="20"/>
              </w:rPr>
            </w:pPr>
          </w:p>
          <w:p w14:paraId="747F966B" w14:textId="77777777" w:rsidR="00852466" w:rsidRPr="000125D1" w:rsidRDefault="00852466">
            <w:pPr>
              <w:rPr>
                <w:rFonts w:ascii="Arial Narrow" w:hAnsi="Arial Narrow"/>
                <w:sz w:val="20"/>
                <w:szCs w:val="20"/>
              </w:rPr>
            </w:pPr>
            <w:r w:rsidRPr="000125D1">
              <w:rPr>
                <w:rFonts w:ascii="Arial Narrow" w:hAnsi="Arial Narrow"/>
                <w:sz w:val="20"/>
                <w:szCs w:val="20"/>
              </w:rPr>
              <w:t>Services Australia</w:t>
            </w:r>
          </w:p>
          <w:p w14:paraId="5DBA73D1" w14:textId="77777777" w:rsidR="00852466" w:rsidRPr="000125D1" w:rsidRDefault="00852466">
            <w:pPr>
              <w:rPr>
                <w:rFonts w:ascii="Arial Narrow" w:hAnsi="Arial Narrow"/>
                <w:sz w:val="20"/>
                <w:szCs w:val="20"/>
              </w:rPr>
            </w:pPr>
            <w:r w:rsidRPr="000125D1">
              <w:rPr>
                <w:rFonts w:ascii="Arial Narrow" w:hAnsi="Arial Narrow"/>
                <w:sz w:val="20"/>
                <w:szCs w:val="20"/>
              </w:rPr>
              <w:t>Complex Drugs</w:t>
            </w:r>
          </w:p>
          <w:p w14:paraId="54F9F6F6" w14:textId="77777777" w:rsidR="00852466" w:rsidRPr="000125D1" w:rsidRDefault="00852466">
            <w:pPr>
              <w:rPr>
                <w:rFonts w:ascii="Arial Narrow" w:hAnsi="Arial Narrow"/>
                <w:sz w:val="20"/>
                <w:szCs w:val="20"/>
              </w:rPr>
            </w:pPr>
            <w:r w:rsidRPr="000125D1">
              <w:rPr>
                <w:rFonts w:ascii="Arial Narrow" w:hAnsi="Arial Narrow"/>
                <w:sz w:val="20"/>
                <w:szCs w:val="20"/>
              </w:rPr>
              <w:t>Reply Paid 9826</w:t>
            </w:r>
          </w:p>
          <w:p w14:paraId="148413A3" w14:textId="77777777" w:rsidR="00852466" w:rsidRPr="000125D1" w:rsidRDefault="00852466">
            <w:pPr>
              <w:rPr>
                <w:rFonts w:ascii="Arial Narrow" w:hAnsi="Arial Narrow"/>
                <w:b/>
                <w:bCs/>
                <w:sz w:val="20"/>
                <w:szCs w:val="20"/>
              </w:rPr>
            </w:pPr>
            <w:r w:rsidRPr="000125D1">
              <w:rPr>
                <w:rFonts w:ascii="Arial Narrow" w:hAnsi="Arial Narrow"/>
                <w:sz w:val="20"/>
                <w:szCs w:val="20"/>
              </w:rPr>
              <w:t>HOBART TAS 7001</w:t>
            </w:r>
          </w:p>
        </w:tc>
      </w:tr>
      <w:tr w:rsidR="00852466" w:rsidRPr="00144D2D" w14:paraId="32A04738"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44F5A4C9" w14:textId="77777777" w:rsidR="00852466" w:rsidRPr="00144D2D" w:rsidRDefault="00852466">
            <w:pPr>
              <w:rPr>
                <w:rFonts w:ascii="Arial Narrow" w:hAnsi="Arial Narrow"/>
                <w:bCs/>
                <w:color w:val="FF0000"/>
                <w:sz w:val="20"/>
                <w:szCs w:val="20"/>
              </w:rPr>
            </w:pPr>
          </w:p>
          <w:p w14:paraId="1EBF7961" w14:textId="77777777" w:rsidR="00852466" w:rsidRPr="00144D2D" w:rsidRDefault="00852466">
            <w:pPr>
              <w:rPr>
                <w:rFonts w:ascii="Arial Narrow" w:hAnsi="Arial Narrow"/>
                <w:bCs/>
                <w:color w:val="FF0000"/>
                <w:sz w:val="20"/>
                <w:szCs w:val="20"/>
              </w:rPr>
            </w:pPr>
          </w:p>
        </w:tc>
      </w:tr>
      <w:tr w:rsidR="00852466" w:rsidRPr="00144D2D" w14:paraId="25C9672E"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9D90609"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11CEF901"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A88165E"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6A32FF72"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C336192" w14:textId="77777777" w:rsidR="00852466" w:rsidRPr="00144D2D" w:rsidRDefault="00852466">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3081107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17E9759" w14:textId="77777777" w:rsidR="00852466" w:rsidRPr="00144D2D" w:rsidRDefault="00852466">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7C12CA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2627F79"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2 (change or recommencement of treatment after a break in biological medicine of less than 5 years)</w:t>
            </w:r>
          </w:p>
        </w:tc>
      </w:tr>
      <w:tr w:rsidR="00852466" w:rsidRPr="00144D2D" w14:paraId="1748DCE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DB11DB"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criteria:</w:t>
            </w:r>
          </w:p>
        </w:tc>
      </w:tr>
      <w:tr w:rsidR="00852466" w:rsidRPr="00144D2D" w14:paraId="3064946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14F0AF7" w14:textId="77777777" w:rsidR="00852466" w:rsidRPr="00144D2D" w:rsidRDefault="00852466">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852466" w:rsidRPr="00144D2D" w14:paraId="4F507E1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9DF1C3"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2F9E137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E02E1D2"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54ACC87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E5DEF28"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2585BB0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3927B02"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4965DB6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655B22"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Clinical criteria: </w:t>
            </w:r>
          </w:p>
        </w:tc>
      </w:tr>
      <w:tr w:rsidR="00852466" w:rsidRPr="00144D2D" w14:paraId="03BB307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39FC7A7"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have received prior PBS-subsidised treatment with a biological medicine for this condition in this treatment cycle; or</w:t>
            </w:r>
          </w:p>
        </w:tc>
      </w:tr>
      <w:tr w:rsidR="00852466" w:rsidRPr="00144D2D" w14:paraId="610DFCB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F3EA35D"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previously received PBS-subsidised treatment with a biological medicine (adalimumab or infliximab) for this condition in this treatment cycle if aged 6 to 17 years</w:t>
            </w:r>
          </w:p>
        </w:tc>
      </w:tr>
      <w:tr w:rsidR="00852466" w:rsidRPr="00144D2D" w14:paraId="115BA83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A55285"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0A5A520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4FF443"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Clinical criteria:</w:t>
            </w:r>
          </w:p>
        </w:tc>
      </w:tr>
      <w:tr w:rsidR="00852466" w:rsidRPr="00144D2D" w14:paraId="5CE8600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08DBE3"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not have already failed, or ceased to respond to, PBS-subsidised treatment with this drug for this condition during the current treatment cycle; or</w:t>
            </w:r>
          </w:p>
        </w:tc>
      </w:tr>
      <w:tr w:rsidR="00852466" w:rsidRPr="00144D2D" w14:paraId="3587BE7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9B951E6" w14:textId="77777777" w:rsidR="00852466" w:rsidRPr="000125D1" w:rsidRDefault="00852466">
            <w:pPr>
              <w:rPr>
                <w:rFonts w:ascii="Arial Narrow" w:hAnsi="Arial Narrow"/>
                <w:sz w:val="20"/>
                <w:szCs w:val="20"/>
              </w:rPr>
            </w:pPr>
            <w:r w:rsidRPr="000125D1">
              <w:rPr>
                <w:rFonts w:ascii="Arial Narrow" w:hAnsi="Arial Narrow"/>
                <w:sz w:val="20"/>
                <w:szCs w:val="20"/>
              </w:rPr>
              <w:t>Patient must not have already failed, or ceased to respond to, PBS-subsidised treatment with this drug for this condition during the current treatment cycle more than once if aged 6 to 17 years</w:t>
            </w:r>
          </w:p>
        </w:tc>
      </w:tr>
      <w:tr w:rsidR="00852466" w:rsidRPr="00144D2D" w14:paraId="099B051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A2DA3C" w14:textId="77777777" w:rsidR="00852466" w:rsidRPr="000125D1" w:rsidRDefault="00852466">
            <w:pPr>
              <w:rPr>
                <w:rFonts w:ascii="Arial Narrow" w:hAnsi="Arial Narrow"/>
                <w:sz w:val="20"/>
                <w:szCs w:val="20"/>
              </w:rPr>
            </w:pPr>
            <w:r w:rsidRPr="000125D1">
              <w:rPr>
                <w:rFonts w:ascii="Arial Narrow" w:hAnsi="Arial Narrow"/>
                <w:b/>
                <w:bCs/>
                <w:sz w:val="20"/>
                <w:szCs w:val="20"/>
              </w:rPr>
              <w:t>Population criteria:</w:t>
            </w:r>
          </w:p>
        </w:tc>
      </w:tr>
      <w:tr w:rsidR="00852466" w:rsidRPr="00144D2D" w14:paraId="6F82398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B1E2BC7" w14:textId="77777777" w:rsidR="00852466" w:rsidRPr="000125D1" w:rsidRDefault="00852466">
            <w:pPr>
              <w:rPr>
                <w:rFonts w:ascii="Arial Narrow" w:hAnsi="Arial Narrow"/>
                <w:b/>
                <w:bCs/>
                <w:sz w:val="20"/>
                <w:szCs w:val="20"/>
              </w:rPr>
            </w:pPr>
            <w:r w:rsidRPr="000125D1">
              <w:rPr>
                <w:rFonts w:ascii="Arial Narrow" w:hAnsi="Arial Narrow"/>
                <w:sz w:val="20"/>
                <w:szCs w:val="20"/>
              </w:rPr>
              <w:t>Patient must be 6 years of age or older</w:t>
            </w:r>
          </w:p>
        </w:tc>
      </w:tr>
      <w:tr w:rsidR="00852466" w:rsidRPr="00144D2D" w14:paraId="6AA961F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E5A76A"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12547057" w14:textId="77777777" w:rsidR="00852466" w:rsidRPr="000125D1" w:rsidRDefault="00852466">
            <w:pPr>
              <w:rPr>
                <w:rFonts w:ascii="Arial Narrow" w:hAnsi="Arial Narrow"/>
                <w:sz w:val="20"/>
                <w:szCs w:val="20"/>
              </w:rPr>
            </w:pPr>
            <w:r w:rsidRPr="000125D1">
              <w:rPr>
                <w:rFonts w:ascii="Arial Narrow" w:hAnsi="Arial Narrow"/>
                <w:sz w:val="20"/>
                <w:szCs w:val="20"/>
              </w:rPr>
              <w:t>The authority application must be made in writing and must include:</w:t>
            </w:r>
          </w:p>
          <w:p w14:paraId="4C66838F" w14:textId="77777777" w:rsidR="00852466" w:rsidRPr="000125D1" w:rsidRDefault="00852466">
            <w:pPr>
              <w:rPr>
                <w:rFonts w:ascii="Arial Narrow" w:hAnsi="Arial Narrow"/>
                <w:sz w:val="20"/>
                <w:szCs w:val="20"/>
              </w:rPr>
            </w:pPr>
          </w:p>
          <w:p w14:paraId="13D1E982"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(1) </w:t>
            </w:r>
            <w:r w:rsidRPr="000125D1">
              <w:rPr>
                <w:rFonts w:ascii="Arial Narrow" w:hAnsi="Arial Narrow"/>
                <w:i/>
                <w:iCs/>
                <w:sz w:val="20"/>
                <w:szCs w:val="20"/>
              </w:rPr>
              <w:t>details of the proposed</w:t>
            </w:r>
            <w:r w:rsidRPr="000125D1">
              <w:rPr>
                <w:rFonts w:ascii="Arial Narrow" w:hAnsi="Arial Narrow"/>
                <w:bCs/>
                <w:sz w:val="20"/>
                <w:szCs w:val="20"/>
              </w:rPr>
              <w:t xml:space="preserve"> </w:t>
            </w:r>
            <w:r w:rsidRPr="000125D1">
              <w:rPr>
                <w:rFonts w:ascii="Arial Narrow" w:hAnsi="Arial Narrow"/>
                <w:strike/>
                <w:sz w:val="20"/>
                <w:szCs w:val="20"/>
              </w:rPr>
              <w:t>two completed authority</w:t>
            </w:r>
            <w:r w:rsidRPr="000125D1">
              <w:rPr>
                <w:rFonts w:ascii="Arial Narrow" w:hAnsi="Arial Narrow"/>
                <w:sz w:val="20"/>
                <w:szCs w:val="20"/>
              </w:rPr>
              <w:t xml:space="preserve"> prescription</w:t>
            </w:r>
            <w:r w:rsidRPr="000125D1">
              <w:rPr>
                <w:rFonts w:ascii="Arial Narrow" w:hAnsi="Arial Narrow"/>
                <w:i/>
                <w:iCs/>
                <w:sz w:val="20"/>
                <w:szCs w:val="20"/>
              </w:rPr>
              <w:t>(s)</w:t>
            </w:r>
            <w:r w:rsidRPr="000125D1">
              <w:rPr>
                <w:rFonts w:ascii="Arial Narrow" w:hAnsi="Arial Narrow"/>
                <w:sz w:val="20"/>
                <w:szCs w:val="20"/>
              </w:rPr>
              <w:t xml:space="preserve"> </w:t>
            </w:r>
            <w:r w:rsidRPr="000125D1">
              <w:rPr>
                <w:rFonts w:ascii="Arial Narrow" w:hAnsi="Arial Narrow"/>
                <w:strike/>
                <w:sz w:val="20"/>
                <w:szCs w:val="20"/>
              </w:rPr>
              <w:t>forms</w:t>
            </w:r>
            <w:r w:rsidRPr="000125D1">
              <w:rPr>
                <w:rFonts w:ascii="Arial Narrow" w:hAnsi="Arial Narrow"/>
                <w:sz w:val="20"/>
                <w:szCs w:val="20"/>
              </w:rPr>
              <w:t>; and</w:t>
            </w:r>
          </w:p>
          <w:p w14:paraId="76F7CA8F" w14:textId="77777777" w:rsidR="00852466" w:rsidRPr="000125D1" w:rsidRDefault="00852466">
            <w:pPr>
              <w:rPr>
                <w:rFonts w:ascii="Arial Narrow" w:hAnsi="Arial Narrow"/>
                <w:sz w:val="20"/>
                <w:szCs w:val="20"/>
              </w:rPr>
            </w:pPr>
          </w:p>
          <w:p w14:paraId="1B22C1D8" w14:textId="77777777" w:rsidR="00852466" w:rsidRPr="000125D1" w:rsidRDefault="00852466">
            <w:pPr>
              <w:rPr>
                <w:rFonts w:ascii="Arial Narrow" w:hAnsi="Arial Narrow"/>
                <w:sz w:val="20"/>
                <w:szCs w:val="20"/>
              </w:rPr>
            </w:pPr>
            <w:r w:rsidRPr="000125D1">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1F73328B" w14:textId="77777777" w:rsidR="00852466" w:rsidRPr="000125D1" w:rsidRDefault="00852466">
            <w:pPr>
              <w:rPr>
                <w:rFonts w:ascii="Arial Narrow" w:hAnsi="Arial Narrow"/>
                <w:sz w:val="20"/>
                <w:szCs w:val="20"/>
              </w:rPr>
            </w:pPr>
          </w:p>
          <w:p w14:paraId="2166C561" w14:textId="77777777" w:rsidR="00852466" w:rsidRPr="000125D1" w:rsidRDefault="00852466">
            <w:pPr>
              <w:rPr>
                <w:rFonts w:ascii="Arial Narrow" w:hAnsi="Arial Narrow"/>
                <w:sz w:val="20"/>
                <w:szCs w:val="20"/>
              </w:rPr>
            </w:pPr>
            <w:r w:rsidRPr="000125D1">
              <w:rPr>
                <w:rFonts w:ascii="Arial Narrow" w:hAnsi="Arial Narrow"/>
                <w:sz w:val="20"/>
                <w:szCs w:val="20"/>
              </w:rPr>
              <w:t>(i) the completed current Mayo clinic or partial Mayo clinic or Paediatric Ulcerative Colitis Activity Index (PUCAI) calculation sheet including the date of assessment of the patient's condition if relevant; and</w:t>
            </w:r>
          </w:p>
          <w:p w14:paraId="7EAEEDA1" w14:textId="77777777" w:rsidR="00852466" w:rsidRPr="000125D1" w:rsidRDefault="00852466">
            <w:pPr>
              <w:rPr>
                <w:rFonts w:ascii="Arial Narrow" w:hAnsi="Arial Narrow"/>
                <w:sz w:val="20"/>
                <w:szCs w:val="20"/>
              </w:rPr>
            </w:pPr>
          </w:p>
          <w:p w14:paraId="17DF4010" w14:textId="77777777" w:rsidR="00852466" w:rsidRPr="000125D1" w:rsidRDefault="00852466">
            <w:pPr>
              <w:rPr>
                <w:rFonts w:ascii="Arial Narrow" w:hAnsi="Arial Narrow"/>
                <w:sz w:val="20"/>
                <w:szCs w:val="20"/>
              </w:rPr>
            </w:pPr>
            <w:r w:rsidRPr="000125D1">
              <w:rPr>
                <w:rFonts w:ascii="Arial Narrow" w:hAnsi="Arial Narrow"/>
                <w:sz w:val="20"/>
                <w:szCs w:val="20"/>
              </w:rPr>
              <w:t>(ii) the details of prior biological medicine treatment including the details of date and duration of treatment.</w:t>
            </w:r>
          </w:p>
        </w:tc>
      </w:tr>
      <w:tr w:rsidR="00852466" w:rsidRPr="00144D2D" w14:paraId="47D021A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F20AE8D"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23D5454B" w14:textId="77777777" w:rsidR="00852466" w:rsidRPr="000125D1" w:rsidRDefault="00852466">
            <w:pPr>
              <w:rPr>
                <w:rFonts w:ascii="Arial Narrow" w:hAnsi="Arial Narrow"/>
                <w:b/>
                <w:bCs/>
                <w:sz w:val="20"/>
                <w:szCs w:val="20"/>
              </w:rPr>
            </w:pPr>
            <w:r w:rsidRPr="000125D1">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852466" w:rsidRPr="00144D2D" w14:paraId="530E429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A770CA"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309EB18D" w14:textId="77777777" w:rsidR="00852466" w:rsidRPr="000125D1" w:rsidRDefault="00852466">
            <w:pPr>
              <w:rPr>
                <w:rFonts w:ascii="Arial Narrow" w:hAnsi="Arial Narrow"/>
                <w:b/>
                <w:bCs/>
                <w:sz w:val="20"/>
                <w:szCs w:val="20"/>
              </w:rPr>
            </w:pPr>
            <w:r w:rsidRPr="000125D1">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144D2D" w14:paraId="391ABF6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51D88EC"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 xml:space="preserve">Prescribing Instructions: </w:t>
            </w:r>
            <w:r w:rsidRPr="000125D1">
              <w:rPr>
                <w:rFonts w:ascii="Arial Narrow" w:hAnsi="Arial Narrow"/>
                <w:bCs/>
                <w:sz w:val="20"/>
                <w:szCs w:val="20"/>
              </w:rPr>
              <w:t xml:space="preserve">If a patient fails to demonstrate a response to treatment with this </w:t>
            </w:r>
            <w:proofErr w:type="gramStart"/>
            <w:r w:rsidRPr="000125D1">
              <w:rPr>
                <w:rFonts w:ascii="Arial Narrow" w:hAnsi="Arial Narrow"/>
                <w:bCs/>
                <w:sz w:val="20"/>
                <w:szCs w:val="20"/>
              </w:rPr>
              <w:t>drug</w:t>
            </w:r>
            <w:proofErr w:type="gramEnd"/>
            <w:r w:rsidRPr="000125D1">
              <w:rPr>
                <w:rFonts w:ascii="Arial Narrow" w:hAnsi="Arial Narrow"/>
                <w:bCs/>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144D2D" w14:paraId="541E29D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22E451C"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 xml:space="preserve">Prescribing Instructions: </w:t>
            </w:r>
            <w:r w:rsidRPr="000125D1">
              <w:rPr>
                <w:rFonts w:ascii="Arial Narrow" w:hAnsi="Arial Narrow"/>
                <w:bCs/>
                <w:sz w:val="20"/>
                <w:szCs w:val="20"/>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852466" w:rsidRPr="00144D2D" w14:paraId="7A2A468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43757A6"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 xml:space="preserve">Prescribing Instructions: </w:t>
            </w:r>
            <w:r w:rsidRPr="000125D1">
              <w:rPr>
                <w:rFonts w:ascii="Arial Narrow" w:hAnsi="Arial Narrow"/>
                <w:bCs/>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r w:rsidR="00852466" w:rsidRPr="00144D2D" w14:paraId="6E2DE1B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E0B755"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41E60F52" w14:textId="77777777" w:rsidR="00852466" w:rsidRPr="000125D1" w:rsidRDefault="00852466">
            <w:pPr>
              <w:rPr>
                <w:rFonts w:ascii="Arial Narrow" w:hAnsi="Arial Narrow"/>
                <w:b/>
                <w:bCs/>
                <w:strike/>
                <w:sz w:val="20"/>
                <w:szCs w:val="20"/>
              </w:rPr>
            </w:pPr>
          </w:p>
          <w:p w14:paraId="31E695A8"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Details of two completed authority prescriptions should be submitted with every initial application for this biological medicine.</w:t>
            </w:r>
          </w:p>
          <w:p w14:paraId="760811D7" w14:textId="77777777" w:rsidR="00852466" w:rsidRPr="000125D1" w:rsidRDefault="00852466">
            <w:pPr>
              <w:rPr>
                <w:rFonts w:ascii="Arial Narrow" w:hAnsi="Arial Narrow"/>
                <w:b/>
                <w:bCs/>
                <w:strike/>
                <w:sz w:val="20"/>
                <w:szCs w:val="20"/>
              </w:rPr>
            </w:pPr>
          </w:p>
          <w:p w14:paraId="2EA14DB5"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40 mg presentation:</w:t>
            </w:r>
          </w:p>
          <w:p w14:paraId="7D2EE21B" w14:textId="77777777" w:rsidR="00852466" w:rsidRPr="000125D1" w:rsidRDefault="00852466">
            <w:pPr>
              <w:rPr>
                <w:rFonts w:ascii="Arial Narrow" w:hAnsi="Arial Narrow"/>
                <w:b/>
                <w:bCs/>
                <w:strike/>
                <w:sz w:val="20"/>
                <w:szCs w:val="20"/>
              </w:rPr>
            </w:pPr>
          </w:p>
          <w:p w14:paraId="0AA51F59"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induction doses, containing a quantity of 6 doses of 40 mg and no repeats and the second prescription should be written for 2 doses of 40 mg and 2 repeats.</w:t>
            </w:r>
          </w:p>
          <w:p w14:paraId="7BB03E6B" w14:textId="77777777" w:rsidR="00852466" w:rsidRPr="000125D1" w:rsidRDefault="00852466">
            <w:pPr>
              <w:rPr>
                <w:rFonts w:ascii="Arial Narrow" w:hAnsi="Arial Narrow"/>
                <w:strike/>
                <w:sz w:val="20"/>
                <w:szCs w:val="20"/>
              </w:rPr>
            </w:pPr>
          </w:p>
          <w:p w14:paraId="33578BB4"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2 doses of 40 mg with no repeats and the second prescription should be written for 2 doses of 20 mg with 3 repeats</w:t>
            </w:r>
            <w:r w:rsidRPr="000125D1">
              <w:rPr>
                <w:rFonts w:ascii="Arial Narrow" w:hAnsi="Arial Narrow"/>
                <w:b/>
                <w:bCs/>
                <w:strike/>
                <w:sz w:val="20"/>
                <w:szCs w:val="20"/>
              </w:rPr>
              <w:t>.</w:t>
            </w:r>
          </w:p>
          <w:p w14:paraId="4097438B" w14:textId="77777777" w:rsidR="00852466" w:rsidRPr="000125D1" w:rsidRDefault="00852466">
            <w:pPr>
              <w:rPr>
                <w:rFonts w:ascii="Arial Narrow" w:hAnsi="Arial Narrow"/>
                <w:b/>
                <w:bCs/>
                <w:strike/>
                <w:sz w:val="20"/>
                <w:szCs w:val="20"/>
              </w:rPr>
            </w:pPr>
          </w:p>
          <w:p w14:paraId="06070C75"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80 mg presentation:</w:t>
            </w:r>
          </w:p>
          <w:p w14:paraId="577599A1" w14:textId="77777777" w:rsidR="00852466" w:rsidRPr="000125D1" w:rsidRDefault="00852466">
            <w:pPr>
              <w:rPr>
                <w:rFonts w:ascii="Arial Narrow" w:hAnsi="Arial Narrow"/>
                <w:b/>
                <w:bCs/>
                <w:strike/>
                <w:sz w:val="20"/>
                <w:szCs w:val="20"/>
              </w:rPr>
            </w:pPr>
          </w:p>
          <w:p w14:paraId="55938702"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17AF498C" w14:textId="77777777" w:rsidR="00852466" w:rsidRPr="000125D1" w:rsidRDefault="00852466">
            <w:pPr>
              <w:rPr>
                <w:rFonts w:ascii="Arial Narrow" w:hAnsi="Arial Narrow"/>
                <w:strike/>
                <w:sz w:val="20"/>
                <w:szCs w:val="20"/>
              </w:rPr>
            </w:pPr>
          </w:p>
          <w:p w14:paraId="3AA52FF7"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1 dose of 80 mg with no repeats and the second prescription should be written for 2 doses of 20 mg with 3 repeats.</w:t>
            </w:r>
          </w:p>
        </w:tc>
      </w:tr>
      <w:tr w:rsidR="00852466" w:rsidRPr="00144D2D" w14:paraId="7A7CC0B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39BC51"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4EFA5328" w14:textId="77777777" w:rsidR="00852466" w:rsidRPr="000125D1" w:rsidRDefault="00852466">
            <w:pPr>
              <w:rPr>
                <w:rFonts w:ascii="Arial Narrow" w:hAnsi="Arial Narrow"/>
                <w:b/>
                <w:bCs/>
                <w:strike/>
                <w:sz w:val="20"/>
                <w:szCs w:val="20"/>
              </w:rPr>
            </w:pPr>
          </w:p>
          <w:p w14:paraId="7454F660"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0125D1">
              <w:rPr>
                <w:rFonts w:ascii="Arial Narrow" w:hAnsi="Arial Narrow"/>
                <w:b/>
                <w:bCs/>
                <w:strike/>
                <w:sz w:val="20"/>
                <w:szCs w:val="20"/>
              </w:rPr>
              <w:t>.</w:t>
            </w:r>
          </w:p>
        </w:tc>
      </w:tr>
      <w:tr w:rsidR="00852466" w:rsidRPr="00144D2D" w14:paraId="3217D17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F98EBC"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66E597F0" w14:textId="77777777" w:rsidR="00852466" w:rsidRPr="000125D1" w:rsidRDefault="00852466">
            <w:pPr>
              <w:rPr>
                <w:rFonts w:ascii="Arial Narrow" w:hAnsi="Arial Narrow"/>
                <w:b/>
                <w:bCs/>
                <w:strike/>
                <w:sz w:val="20"/>
                <w:szCs w:val="20"/>
              </w:rPr>
            </w:pPr>
          </w:p>
          <w:p w14:paraId="1102C3A2"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 xml:space="preserve">At the time of the authority application, medical practitioners should request </w:t>
            </w:r>
            <w:proofErr w:type="gramStart"/>
            <w:r w:rsidRPr="000125D1">
              <w:rPr>
                <w:rFonts w:ascii="Arial Narrow" w:hAnsi="Arial Narrow"/>
                <w:strike/>
                <w:sz w:val="20"/>
                <w:szCs w:val="20"/>
              </w:rPr>
              <w:t>sufficient quantity</w:t>
            </w:r>
            <w:proofErr w:type="gramEnd"/>
            <w:r w:rsidRPr="000125D1">
              <w:rPr>
                <w:rFonts w:ascii="Arial Narrow" w:hAnsi="Arial Narrow"/>
                <w:strike/>
                <w:sz w:val="20"/>
                <w:szCs w:val="20"/>
              </w:rPr>
              <w:t xml:space="preserve"> for up to 16 weeks of treatment under this restriction </w:t>
            </w:r>
            <w:r w:rsidRPr="000125D1">
              <w:rPr>
                <w:rFonts w:ascii="Arial Narrow" w:hAnsi="Arial Narrow"/>
                <w:i/>
                <w:iCs/>
                <w:strike/>
                <w:sz w:val="20"/>
                <w:szCs w:val="20"/>
              </w:rPr>
              <w:t>(inclusive of loading doses).</w:t>
            </w:r>
          </w:p>
        </w:tc>
      </w:tr>
      <w:tr w:rsidR="00852466" w:rsidRPr="00144D2D" w14:paraId="5CC0AF2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6CC14EE"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6E4BBF9B"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At the time of authority application, medical practitioners must request the appropriate number of doses to provide sufficient drug for 16 weeks of treatment.</w:t>
            </w:r>
          </w:p>
          <w:p w14:paraId="6B0292A5" w14:textId="77777777" w:rsidR="00852466" w:rsidRPr="000125D1" w:rsidRDefault="00852466">
            <w:pPr>
              <w:rPr>
                <w:rFonts w:ascii="Arial Narrow" w:hAnsi="Arial Narrow"/>
                <w:b/>
                <w:bCs/>
                <w:strike/>
                <w:sz w:val="20"/>
                <w:szCs w:val="20"/>
              </w:rPr>
            </w:pPr>
            <w:r w:rsidRPr="000125D1">
              <w:rPr>
                <w:rFonts w:ascii="Arial Narrow" w:hAnsi="Arial Narrow"/>
                <w:i/>
                <w:iCs/>
                <w:sz w:val="20"/>
                <w:szCs w:val="20"/>
              </w:rPr>
              <w:t>An appropriate amount of drug may require prescribing a combination of strengths. A separate authority prescription must be completed for each strength requested.</w:t>
            </w:r>
          </w:p>
        </w:tc>
      </w:tr>
      <w:tr w:rsidR="00852466" w:rsidRPr="00144D2D" w14:paraId="2A52E258"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70CB566"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6D97ED68" w14:textId="77777777" w:rsidR="00852466" w:rsidRPr="000125D1" w:rsidRDefault="00852466">
            <w:pPr>
              <w:rPr>
                <w:rFonts w:ascii="Arial Narrow" w:hAnsi="Arial Narrow"/>
                <w:b/>
                <w:bCs/>
                <w:sz w:val="20"/>
                <w:szCs w:val="20"/>
              </w:rPr>
            </w:pPr>
          </w:p>
          <w:p w14:paraId="787BA970"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Any queries concerning the arrangements to prescribe may be directed to Services Australia on 1800 700 270 (hours of operation 8 a.m. to 5 p.m. </w:t>
            </w:r>
            <w:r w:rsidRPr="000125D1">
              <w:rPr>
                <w:rFonts w:ascii="Arial Narrow" w:hAnsi="Arial Narrow"/>
                <w:strike/>
                <w:sz w:val="20"/>
                <w:szCs w:val="20"/>
              </w:rPr>
              <w:t>EST</w:t>
            </w:r>
            <w:r w:rsidRPr="000125D1">
              <w:rPr>
                <w:rFonts w:ascii="Arial Narrow" w:hAnsi="Arial Narrow"/>
                <w:sz w:val="20"/>
                <w:szCs w:val="20"/>
              </w:rPr>
              <w:t xml:space="preserve"> Monday to Friday).</w:t>
            </w:r>
          </w:p>
          <w:p w14:paraId="3B2014DD" w14:textId="77777777" w:rsidR="00852466" w:rsidRPr="000125D1" w:rsidRDefault="00852466">
            <w:pPr>
              <w:rPr>
                <w:rFonts w:ascii="Arial Narrow" w:hAnsi="Arial Narrow"/>
                <w:sz w:val="20"/>
                <w:szCs w:val="20"/>
              </w:rPr>
            </w:pPr>
          </w:p>
          <w:p w14:paraId="58CD40C5" w14:textId="77777777" w:rsidR="00852466" w:rsidRPr="000125D1" w:rsidRDefault="00852466">
            <w:pPr>
              <w:rPr>
                <w:rFonts w:ascii="Arial Narrow" w:hAnsi="Arial Narrow"/>
                <w:sz w:val="20"/>
                <w:szCs w:val="20"/>
              </w:rPr>
            </w:pPr>
            <w:r w:rsidRPr="000125D1">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553AA147" w14:textId="77777777" w:rsidR="00852466" w:rsidRPr="000125D1" w:rsidRDefault="00852466">
            <w:pPr>
              <w:rPr>
                <w:rFonts w:ascii="Arial Narrow" w:hAnsi="Arial Narrow"/>
                <w:sz w:val="20"/>
                <w:szCs w:val="20"/>
              </w:rPr>
            </w:pPr>
          </w:p>
          <w:p w14:paraId="454A0738" w14:textId="77777777" w:rsidR="00852466" w:rsidRPr="000125D1" w:rsidRDefault="00852466">
            <w:pPr>
              <w:rPr>
                <w:rFonts w:ascii="Arial Narrow" w:hAnsi="Arial Narrow"/>
                <w:sz w:val="20"/>
                <w:szCs w:val="20"/>
              </w:rPr>
            </w:pPr>
            <w:r w:rsidRPr="000125D1">
              <w:rPr>
                <w:rFonts w:ascii="Arial Narrow" w:hAnsi="Arial Narrow"/>
                <w:sz w:val="20"/>
                <w:szCs w:val="20"/>
              </w:rPr>
              <w:t>Applications for authority to prescribe should be submitted online using the form upload facility in Health Professional Online Services (HPOS) at www.servicesaustralia.gov.au/hpos</w:t>
            </w:r>
          </w:p>
          <w:p w14:paraId="4403D4CC" w14:textId="77777777" w:rsidR="00852466" w:rsidRPr="000125D1" w:rsidRDefault="00852466">
            <w:pPr>
              <w:rPr>
                <w:rFonts w:ascii="Arial Narrow" w:hAnsi="Arial Narrow"/>
                <w:sz w:val="20"/>
                <w:szCs w:val="20"/>
              </w:rPr>
            </w:pPr>
          </w:p>
          <w:p w14:paraId="62076DB3" w14:textId="77777777" w:rsidR="00852466" w:rsidRPr="000125D1" w:rsidRDefault="00852466">
            <w:pPr>
              <w:rPr>
                <w:rFonts w:ascii="Arial Narrow" w:hAnsi="Arial Narrow"/>
                <w:sz w:val="20"/>
                <w:szCs w:val="20"/>
              </w:rPr>
            </w:pPr>
            <w:r w:rsidRPr="000125D1">
              <w:rPr>
                <w:rFonts w:ascii="Arial Narrow" w:hAnsi="Arial Narrow"/>
                <w:sz w:val="20"/>
                <w:szCs w:val="20"/>
              </w:rPr>
              <w:t>Or mailed to:</w:t>
            </w:r>
          </w:p>
          <w:p w14:paraId="520852D4" w14:textId="77777777" w:rsidR="00852466" w:rsidRPr="000125D1" w:rsidRDefault="00852466">
            <w:pPr>
              <w:rPr>
                <w:rFonts w:ascii="Arial Narrow" w:hAnsi="Arial Narrow"/>
                <w:sz w:val="20"/>
                <w:szCs w:val="20"/>
              </w:rPr>
            </w:pPr>
          </w:p>
          <w:p w14:paraId="245E70F3" w14:textId="77777777" w:rsidR="00852466" w:rsidRPr="000125D1" w:rsidRDefault="00852466">
            <w:pPr>
              <w:rPr>
                <w:rFonts w:ascii="Arial Narrow" w:hAnsi="Arial Narrow"/>
                <w:sz w:val="20"/>
                <w:szCs w:val="20"/>
              </w:rPr>
            </w:pPr>
            <w:r w:rsidRPr="000125D1">
              <w:rPr>
                <w:rFonts w:ascii="Arial Narrow" w:hAnsi="Arial Narrow"/>
                <w:sz w:val="20"/>
                <w:szCs w:val="20"/>
              </w:rPr>
              <w:t>Services Australia</w:t>
            </w:r>
          </w:p>
          <w:p w14:paraId="561FDD43" w14:textId="77777777" w:rsidR="00852466" w:rsidRPr="000125D1" w:rsidRDefault="00852466">
            <w:pPr>
              <w:rPr>
                <w:rFonts w:ascii="Arial Narrow" w:hAnsi="Arial Narrow"/>
                <w:sz w:val="20"/>
                <w:szCs w:val="20"/>
              </w:rPr>
            </w:pPr>
            <w:r w:rsidRPr="000125D1">
              <w:rPr>
                <w:rFonts w:ascii="Arial Narrow" w:hAnsi="Arial Narrow"/>
                <w:sz w:val="20"/>
                <w:szCs w:val="20"/>
              </w:rPr>
              <w:t>Complex Drugs</w:t>
            </w:r>
          </w:p>
          <w:p w14:paraId="1F783C04" w14:textId="77777777" w:rsidR="00852466" w:rsidRPr="000125D1" w:rsidRDefault="00852466">
            <w:pPr>
              <w:rPr>
                <w:rFonts w:ascii="Arial Narrow" w:hAnsi="Arial Narrow"/>
                <w:sz w:val="20"/>
                <w:szCs w:val="20"/>
              </w:rPr>
            </w:pPr>
            <w:r w:rsidRPr="000125D1">
              <w:rPr>
                <w:rFonts w:ascii="Arial Narrow" w:hAnsi="Arial Narrow"/>
                <w:sz w:val="20"/>
                <w:szCs w:val="20"/>
              </w:rPr>
              <w:t>Reply Paid 9826</w:t>
            </w:r>
          </w:p>
          <w:p w14:paraId="62A335C6" w14:textId="77777777" w:rsidR="00852466" w:rsidRPr="000125D1" w:rsidRDefault="00852466">
            <w:pPr>
              <w:rPr>
                <w:rFonts w:ascii="Arial Narrow" w:hAnsi="Arial Narrow"/>
                <w:b/>
                <w:bCs/>
                <w:sz w:val="20"/>
                <w:szCs w:val="20"/>
              </w:rPr>
            </w:pPr>
            <w:r w:rsidRPr="000125D1">
              <w:rPr>
                <w:rFonts w:ascii="Arial Narrow" w:hAnsi="Arial Narrow"/>
                <w:sz w:val="20"/>
                <w:szCs w:val="20"/>
              </w:rPr>
              <w:t>HOBART TAS 7001</w:t>
            </w:r>
          </w:p>
        </w:tc>
      </w:tr>
      <w:tr w:rsidR="00852466" w:rsidRPr="00144D2D" w14:paraId="23275011"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48C215A5" w14:textId="77777777" w:rsidR="00852466" w:rsidRPr="00144D2D" w:rsidRDefault="00852466">
            <w:pPr>
              <w:rPr>
                <w:rFonts w:ascii="Arial Narrow" w:hAnsi="Arial Narrow"/>
                <w:b/>
                <w:bCs/>
                <w:sz w:val="20"/>
                <w:szCs w:val="20"/>
              </w:rPr>
            </w:pPr>
          </w:p>
          <w:p w14:paraId="58C54650" w14:textId="77777777" w:rsidR="00852466" w:rsidRPr="00144D2D" w:rsidRDefault="00852466">
            <w:pPr>
              <w:rPr>
                <w:rFonts w:ascii="Arial Narrow" w:hAnsi="Arial Narrow"/>
                <w:b/>
                <w:bCs/>
                <w:sz w:val="20"/>
                <w:szCs w:val="20"/>
              </w:rPr>
            </w:pPr>
          </w:p>
        </w:tc>
      </w:tr>
      <w:tr w:rsidR="00852466" w:rsidRPr="00144D2D" w14:paraId="07DCD2F5"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6377052"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3419DA45"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D95BA53"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05BB49D2"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ED753EB" w14:textId="77777777" w:rsidR="00852466" w:rsidRPr="00144D2D" w:rsidRDefault="00852466">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4740C19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D0BC2E5" w14:textId="77777777" w:rsidR="00852466" w:rsidRPr="00144D2D" w:rsidRDefault="00852466">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6930A07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A4F244F"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3 (recommencement of treatment after a break in biological medicine of more than 5 years)</w:t>
            </w:r>
          </w:p>
        </w:tc>
      </w:tr>
      <w:tr w:rsidR="00852466" w:rsidRPr="00144D2D" w14:paraId="10E1C9D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8A1204"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criteria:</w:t>
            </w:r>
          </w:p>
        </w:tc>
      </w:tr>
      <w:tr w:rsidR="00852466" w:rsidRPr="00144D2D" w14:paraId="7243A0D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0830C4" w14:textId="77777777" w:rsidR="00852466" w:rsidRPr="00144D2D" w:rsidRDefault="00852466">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852466" w:rsidRPr="00144D2D" w14:paraId="62FB4F8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77F8AC4"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6D3F745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E25DA95"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0349810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65F5B97"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7320185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5E6D257"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2795389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51BB8F"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Clinical criteria: </w:t>
            </w:r>
          </w:p>
        </w:tc>
      </w:tr>
      <w:tr w:rsidR="00852466" w:rsidRPr="00144D2D" w14:paraId="3CBFA0D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A8B1F4"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have previously received PBS-subsidised treatment with a biological medicine for this condition</w:t>
            </w:r>
          </w:p>
        </w:tc>
      </w:tr>
      <w:tr w:rsidR="00852466" w:rsidRPr="00144D2D" w14:paraId="4785807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8AA26A"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3ECD85A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79E4BC4"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Clinical criteria:</w:t>
            </w:r>
          </w:p>
        </w:tc>
      </w:tr>
      <w:tr w:rsidR="00852466" w:rsidRPr="00144D2D" w14:paraId="040C349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D8E3821"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have had a break in treatment of 5 years or more from the most recently approved PBS-subsidised biological medicine for this condition</w:t>
            </w:r>
          </w:p>
        </w:tc>
      </w:tr>
      <w:tr w:rsidR="00852466" w:rsidRPr="00144D2D" w14:paraId="569BB9B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34B30CB"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65309DA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F30260D" w14:textId="77777777" w:rsidR="00852466" w:rsidRPr="00144D2D" w:rsidRDefault="00852466">
            <w:pPr>
              <w:rPr>
                <w:rFonts w:ascii="Arial Narrow" w:hAnsi="Arial Narrow"/>
                <w:sz w:val="20"/>
                <w:szCs w:val="20"/>
              </w:rPr>
            </w:pPr>
            <w:r w:rsidRPr="00144D2D">
              <w:rPr>
                <w:rFonts w:ascii="Arial Narrow" w:hAnsi="Arial Narrow"/>
                <w:b/>
                <w:bCs/>
                <w:sz w:val="20"/>
                <w:szCs w:val="20"/>
              </w:rPr>
              <w:t>Clinical criteria:</w:t>
            </w:r>
          </w:p>
        </w:tc>
      </w:tr>
      <w:tr w:rsidR="00852466" w:rsidRPr="00144D2D" w14:paraId="75D12D7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51C32AF"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have a Mayo clinic score greater than or equal to 6 if an adult patient; or</w:t>
            </w:r>
          </w:p>
        </w:tc>
      </w:tr>
      <w:tr w:rsidR="00852466" w:rsidRPr="00144D2D" w14:paraId="74F4EC7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4C998B9"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Patient must have a partial Mayo clinic score greater than or equal to 6, provided the rectal bleeding and stool frequency </w:t>
            </w:r>
            <w:proofErr w:type="spellStart"/>
            <w:r w:rsidRPr="00144D2D">
              <w:rPr>
                <w:rFonts w:ascii="Arial Narrow" w:hAnsi="Arial Narrow"/>
                <w:sz w:val="20"/>
                <w:szCs w:val="20"/>
              </w:rPr>
              <w:t>subscores</w:t>
            </w:r>
            <w:proofErr w:type="spellEnd"/>
            <w:r w:rsidRPr="00144D2D">
              <w:rPr>
                <w:rFonts w:ascii="Arial Narrow" w:hAnsi="Arial Narrow"/>
                <w:sz w:val="20"/>
                <w:szCs w:val="20"/>
              </w:rPr>
              <w:t xml:space="preserve"> are both greater than or equal to 2 (endoscopy </w:t>
            </w:r>
            <w:proofErr w:type="spellStart"/>
            <w:r w:rsidRPr="00144D2D">
              <w:rPr>
                <w:rFonts w:ascii="Arial Narrow" w:hAnsi="Arial Narrow"/>
                <w:sz w:val="20"/>
                <w:szCs w:val="20"/>
              </w:rPr>
              <w:t>subscore</w:t>
            </w:r>
            <w:proofErr w:type="spellEnd"/>
            <w:r w:rsidRPr="00144D2D">
              <w:rPr>
                <w:rFonts w:ascii="Arial Narrow" w:hAnsi="Arial Narrow"/>
                <w:sz w:val="20"/>
                <w:szCs w:val="20"/>
              </w:rPr>
              <w:t xml:space="preserve"> is not required for a partial Mayo clinic score); or</w:t>
            </w:r>
          </w:p>
        </w:tc>
      </w:tr>
      <w:tr w:rsidR="00852466" w:rsidRPr="00144D2D" w14:paraId="3C93307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320636D" w14:textId="77777777" w:rsidR="00852466" w:rsidRPr="000125D1" w:rsidRDefault="00852466">
            <w:pPr>
              <w:rPr>
                <w:rFonts w:ascii="Arial Narrow" w:hAnsi="Arial Narrow"/>
                <w:sz w:val="20"/>
                <w:szCs w:val="20"/>
              </w:rPr>
            </w:pPr>
            <w:r w:rsidRPr="000125D1">
              <w:rPr>
                <w:rFonts w:ascii="Arial Narrow" w:hAnsi="Arial Narrow"/>
                <w:sz w:val="20"/>
                <w:szCs w:val="20"/>
              </w:rPr>
              <w:t>Patient must have a Paediatric Ulcerative Colitis Activity Index (PUCAI) Score greater than or equal to 30 if aged 6 to 17 years</w:t>
            </w:r>
          </w:p>
        </w:tc>
      </w:tr>
      <w:tr w:rsidR="00852466" w:rsidRPr="00144D2D" w14:paraId="1F2CB80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5B7971A"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Population criteria:</w:t>
            </w:r>
          </w:p>
        </w:tc>
      </w:tr>
      <w:tr w:rsidR="00852466" w:rsidRPr="00144D2D" w14:paraId="4A6ACBC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9CE0DA" w14:textId="77777777" w:rsidR="00852466" w:rsidRPr="000125D1" w:rsidRDefault="00852466">
            <w:pPr>
              <w:rPr>
                <w:rFonts w:ascii="Arial Narrow" w:hAnsi="Arial Narrow"/>
                <w:sz w:val="20"/>
                <w:szCs w:val="20"/>
              </w:rPr>
            </w:pPr>
            <w:r w:rsidRPr="000125D1">
              <w:rPr>
                <w:rFonts w:ascii="Arial Narrow" w:hAnsi="Arial Narrow"/>
                <w:sz w:val="20"/>
                <w:szCs w:val="20"/>
              </w:rPr>
              <w:t>Patient must be 6 years of age or older</w:t>
            </w:r>
          </w:p>
        </w:tc>
      </w:tr>
      <w:tr w:rsidR="00852466" w:rsidRPr="00144D2D" w14:paraId="1B7F0CF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E18A785"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12DFA0CA" w14:textId="77777777" w:rsidR="00852466" w:rsidRPr="000125D1" w:rsidRDefault="00852466">
            <w:pPr>
              <w:rPr>
                <w:rFonts w:ascii="Arial Narrow" w:hAnsi="Arial Narrow"/>
                <w:sz w:val="20"/>
                <w:szCs w:val="20"/>
              </w:rPr>
            </w:pPr>
            <w:r w:rsidRPr="000125D1">
              <w:rPr>
                <w:rFonts w:ascii="Arial Narrow" w:hAnsi="Arial Narrow"/>
                <w:sz w:val="20"/>
                <w:szCs w:val="20"/>
              </w:rPr>
              <w:t>The authority application must be made in writing and must include:</w:t>
            </w:r>
          </w:p>
          <w:p w14:paraId="28282872" w14:textId="77777777" w:rsidR="00852466" w:rsidRPr="000125D1" w:rsidRDefault="00852466">
            <w:pPr>
              <w:rPr>
                <w:rFonts w:ascii="Arial Narrow" w:hAnsi="Arial Narrow"/>
                <w:sz w:val="20"/>
                <w:szCs w:val="20"/>
              </w:rPr>
            </w:pPr>
          </w:p>
          <w:p w14:paraId="27A466B2"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(1) </w:t>
            </w:r>
            <w:r w:rsidRPr="000125D1">
              <w:rPr>
                <w:rFonts w:ascii="Arial Narrow" w:hAnsi="Arial Narrow"/>
                <w:i/>
                <w:iCs/>
                <w:sz w:val="20"/>
                <w:szCs w:val="20"/>
              </w:rPr>
              <w:t>details of the proposed</w:t>
            </w:r>
            <w:r w:rsidRPr="000125D1">
              <w:rPr>
                <w:rFonts w:ascii="Arial Narrow" w:hAnsi="Arial Narrow"/>
                <w:bCs/>
                <w:sz w:val="20"/>
                <w:szCs w:val="20"/>
              </w:rPr>
              <w:t xml:space="preserve"> </w:t>
            </w:r>
            <w:r w:rsidRPr="000125D1">
              <w:rPr>
                <w:rFonts w:ascii="Arial Narrow" w:hAnsi="Arial Narrow"/>
                <w:strike/>
                <w:sz w:val="20"/>
                <w:szCs w:val="20"/>
              </w:rPr>
              <w:t xml:space="preserve">two completed authority </w:t>
            </w:r>
            <w:r w:rsidRPr="000125D1">
              <w:rPr>
                <w:rFonts w:ascii="Arial Narrow" w:hAnsi="Arial Narrow"/>
                <w:sz w:val="20"/>
                <w:szCs w:val="20"/>
              </w:rPr>
              <w:t>prescription</w:t>
            </w:r>
            <w:r w:rsidRPr="000125D1">
              <w:rPr>
                <w:rFonts w:ascii="Arial Narrow" w:hAnsi="Arial Narrow"/>
                <w:i/>
                <w:iCs/>
                <w:sz w:val="20"/>
                <w:szCs w:val="20"/>
              </w:rPr>
              <w:t>(s)</w:t>
            </w:r>
            <w:r w:rsidRPr="000125D1">
              <w:rPr>
                <w:rFonts w:ascii="Arial Narrow" w:hAnsi="Arial Narrow"/>
                <w:sz w:val="20"/>
                <w:szCs w:val="20"/>
              </w:rPr>
              <w:t xml:space="preserve"> </w:t>
            </w:r>
            <w:r w:rsidRPr="000125D1">
              <w:rPr>
                <w:rFonts w:ascii="Arial Narrow" w:hAnsi="Arial Narrow"/>
                <w:strike/>
                <w:sz w:val="20"/>
                <w:szCs w:val="20"/>
              </w:rPr>
              <w:t>forms</w:t>
            </w:r>
            <w:r w:rsidRPr="000125D1">
              <w:rPr>
                <w:rFonts w:ascii="Arial Narrow" w:hAnsi="Arial Narrow"/>
                <w:sz w:val="20"/>
                <w:szCs w:val="20"/>
              </w:rPr>
              <w:t>; and</w:t>
            </w:r>
          </w:p>
          <w:p w14:paraId="690486DD" w14:textId="77777777" w:rsidR="00852466" w:rsidRPr="000125D1" w:rsidRDefault="00852466">
            <w:pPr>
              <w:rPr>
                <w:rFonts w:ascii="Arial Narrow" w:hAnsi="Arial Narrow"/>
                <w:sz w:val="20"/>
                <w:szCs w:val="20"/>
              </w:rPr>
            </w:pPr>
          </w:p>
          <w:p w14:paraId="6DB6C212" w14:textId="77777777" w:rsidR="00852466" w:rsidRPr="000125D1" w:rsidRDefault="00852466">
            <w:pPr>
              <w:rPr>
                <w:rFonts w:ascii="Arial Narrow" w:hAnsi="Arial Narrow"/>
                <w:sz w:val="20"/>
                <w:szCs w:val="20"/>
              </w:rPr>
            </w:pPr>
            <w:r w:rsidRPr="000125D1">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17401B10" w14:textId="77777777" w:rsidR="00852466" w:rsidRPr="000125D1" w:rsidRDefault="00852466">
            <w:pPr>
              <w:rPr>
                <w:rFonts w:ascii="Arial Narrow" w:hAnsi="Arial Narrow"/>
                <w:sz w:val="20"/>
                <w:szCs w:val="20"/>
              </w:rPr>
            </w:pPr>
          </w:p>
          <w:p w14:paraId="115AE54B" w14:textId="77777777" w:rsidR="00852466" w:rsidRPr="000125D1" w:rsidRDefault="00852466">
            <w:pPr>
              <w:rPr>
                <w:rFonts w:ascii="Arial Narrow" w:hAnsi="Arial Narrow"/>
                <w:sz w:val="20"/>
                <w:szCs w:val="20"/>
              </w:rPr>
            </w:pPr>
            <w:r w:rsidRPr="000125D1">
              <w:rPr>
                <w:rFonts w:ascii="Arial Narrow" w:hAnsi="Arial Narrow"/>
                <w:sz w:val="20"/>
                <w:szCs w:val="20"/>
              </w:rPr>
              <w:t>(i) the completed current Mayo clinic or partial Mayo clinic or Paediatric Ulcerative Colitis Activity Index (PUCAI) calculation sheet including the date of assessment of the patient's condition; and</w:t>
            </w:r>
          </w:p>
          <w:p w14:paraId="671B35BA" w14:textId="77777777" w:rsidR="00852466" w:rsidRPr="000125D1" w:rsidRDefault="00852466">
            <w:pPr>
              <w:rPr>
                <w:rFonts w:ascii="Arial Narrow" w:hAnsi="Arial Narrow"/>
                <w:sz w:val="20"/>
                <w:szCs w:val="20"/>
              </w:rPr>
            </w:pPr>
          </w:p>
          <w:p w14:paraId="19E9055A" w14:textId="77777777" w:rsidR="00852466" w:rsidRPr="000125D1" w:rsidRDefault="00852466">
            <w:pPr>
              <w:rPr>
                <w:rFonts w:ascii="Arial Narrow" w:hAnsi="Arial Narrow"/>
                <w:sz w:val="20"/>
                <w:szCs w:val="20"/>
              </w:rPr>
            </w:pPr>
            <w:r w:rsidRPr="000125D1">
              <w:rPr>
                <w:rFonts w:ascii="Arial Narrow" w:hAnsi="Arial Narrow"/>
                <w:sz w:val="20"/>
                <w:szCs w:val="20"/>
              </w:rPr>
              <w:t>(ii) the details of prior biological medicine treatment including the details of date and duration of treatment.</w:t>
            </w:r>
          </w:p>
        </w:tc>
      </w:tr>
      <w:tr w:rsidR="00852466" w:rsidRPr="00144D2D" w14:paraId="25A3D17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4201259"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0D6CE542" w14:textId="77777777" w:rsidR="00852466" w:rsidRPr="00144D2D" w:rsidRDefault="00852466">
            <w:pPr>
              <w:rPr>
                <w:rFonts w:ascii="Arial Narrow" w:hAnsi="Arial Narrow"/>
                <w:b/>
                <w:bCs/>
                <w:sz w:val="20"/>
                <w:szCs w:val="20"/>
              </w:rPr>
            </w:pPr>
            <w:r w:rsidRPr="00144D2D">
              <w:rPr>
                <w:rFonts w:ascii="Arial Narrow" w:hAnsi="Arial Narrow"/>
                <w:sz w:val="20"/>
                <w:szCs w:val="20"/>
              </w:rPr>
              <w:t>All tests and assessments should be performed preferably whilst still on treatment, but no longer than 4 weeks following cessation of the most recent prior conventional treatment.</w:t>
            </w:r>
          </w:p>
        </w:tc>
      </w:tr>
      <w:tr w:rsidR="00852466" w:rsidRPr="00144D2D" w14:paraId="3A5C5E3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8A6CC4C"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51F836D5" w14:textId="77777777" w:rsidR="00852466" w:rsidRPr="00144D2D" w:rsidRDefault="00852466">
            <w:pPr>
              <w:rPr>
                <w:rFonts w:ascii="Arial Narrow" w:hAnsi="Arial Narrow"/>
                <w:b/>
                <w:bCs/>
                <w:sz w:val="20"/>
                <w:szCs w:val="20"/>
              </w:rPr>
            </w:pPr>
            <w:r w:rsidRPr="00144D2D">
              <w:rPr>
                <w:rFonts w:ascii="Arial Narrow" w:hAnsi="Arial Narrow"/>
                <w:sz w:val="20"/>
                <w:szCs w:val="20"/>
              </w:rPr>
              <w:t>The most recent Mayo clinic, partial Mayo clinic or Paediatric Ulcerative Colitis Activity Index (PUCAI) score must be no more than 4 weeks old at the time of application.</w:t>
            </w:r>
          </w:p>
        </w:tc>
      </w:tr>
      <w:tr w:rsidR="00852466" w:rsidRPr="00144D2D" w14:paraId="1FF9152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9695AF"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tc>
      </w:tr>
      <w:tr w:rsidR="00852466" w:rsidRPr="00144D2D" w14:paraId="789479B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ADEE1C"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852466" w:rsidRPr="00144D2D" w14:paraId="651FEE7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30D6D1D"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144D2D" w14:paraId="3C983D43"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50B371A"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6A4D8FF3" w14:textId="77777777" w:rsidR="00852466" w:rsidRPr="000125D1" w:rsidRDefault="00852466">
            <w:pPr>
              <w:rPr>
                <w:rFonts w:ascii="Arial Narrow" w:hAnsi="Arial Narrow"/>
                <w:sz w:val="20"/>
                <w:szCs w:val="20"/>
              </w:rPr>
            </w:pPr>
            <w:r w:rsidRPr="000125D1">
              <w:rPr>
                <w:rFonts w:ascii="Arial Narrow" w:hAnsi="Arial Narrow"/>
                <w:sz w:val="20"/>
                <w:szCs w:val="20"/>
              </w:rPr>
              <w:t xml:space="preserve">If a patient fails to demonstrate a response to treatment with this </w:t>
            </w:r>
            <w:proofErr w:type="gramStart"/>
            <w:r w:rsidRPr="000125D1">
              <w:rPr>
                <w:rFonts w:ascii="Arial Narrow" w:hAnsi="Arial Narrow"/>
                <w:sz w:val="20"/>
                <w:szCs w:val="20"/>
              </w:rPr>
              <w:t>drug</w:t>
            </w:r>
            <w:proofErr w:type="gramEnd"/>
            <w:r w:rsidRPr="000125D1">
              <w:rPr>
                <w:rFonts w:ascii="Arial Narrow" w:hAnsi="Arial Narrow"/>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144D2D" w14:paraId="54616FD0"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77300F7"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Prescribing Instructions:</w:t>
            </w:r>
          </w:p>
          <w:p w14:paraId="51F8E476" w14:textId="77777777" w:rsidR="00852466" w:rsidRPr="000125D1" w:rsidRDefault="00852466">
            <w:pPr>
              <w:rPr>
                <w:rFonts w:ascii="Arial Narrow" w:hAnsi="Arial Narrow"/>
                <w:sz w:val="20"/>
                <w:szCs w:val="20"/>
              </w:rPr>
            </w:pPr>
            <w:r w:rsidRPr="000125D1">
              <w:rPr>
                <w:rFonts w:ascii="Arial Narrow" w:hAnsi="Arial Narrow"/>
                <w:sz w:val="20"/>
                <w:szCs w:val="20"/>
              </w:rPr>
              <w:t>Details of the accepted toxicities including severity can be found on the Services Australia website.</w:t>
            </w:r>
          </w:p>
        </w:tc>
      </w:tr>
      <w:tr w:rsidR="00852466" w:rsidRPr="00144D2D" w14:paraId="46A1950F"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90B5C73"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03E6721C" w14:textId="77777777" w:rsidR="00852466" w:rsidRPr="000125D1" w:rsidRDefault="00852466">
            <w:pPr>
              <w:rPr>
                <w:rFonts w:ascii="Arial Narrow" w:hAnsi="Arial Narrow"/>
                <w:b/>
                <w:bCs/>
                <w:strike/>
                <w:sz w:val="20"/>
                <w:szCs w:val="20"/>
              </w:rPr>
            </w:pPr>
          </w:p>
          <w:p w14:paraId="3AB456D7"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Details of two completed authority prescriptions should be submitted with every initial application for this biological medicine.</w:t>
            </w:r>
          </w:p>
          <w:p w14:paraId="33745890" w14:textId="77777777" w:rsidR="00852466" w:rsidRPr="000125D1" w:rsidRDefault="00852466">
            <w:pPr>
              <w:rPr>
                <w:rFonts w:ascii="Arial Narrow" w:hAnsi="Arial Narrow"/>
                <w:b/>
                <w:bCs/>
                <w:strike/>
                <w:sz w:val="20"/>
                <w:szCs w:val="20"/>
              </w:rPr>
            </w:pPr>
          </w:p>
          <w:p w14:paraId="117659B7"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40 mg presentation:</w:t>
            </w:r>
          </w:p>
          <w:p w14:paraId="045C8D50" w14:textId="77777777" w:rsidR="00852466" w:rsidRPr="000125D1" w:rsidRDefault="00852466">
            <w:pPr>
              <w:rPr>
                <w:rFonts w:ascii="Arial Narrow" w:hAnsi="Arial Narrow"/>
                <w:b/>
                <w:bCs/>
                <w:strike/>
                <w:sz w:val="20"/>
                <w:szCs w:val="20"/>
              </w:rPr>
            </w:pPr>
          </w:p>
          <w:p w14:paraId="6DA5E2A4"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induction doses, containing a quantity of 6 doses of 40 mg and no repeats and the second prescription should be written for 2 doses of 40 mg and 2 repeats.</w:t>
            </w:r>
          </w:p>
          <w:p w14:paraId="0FF4B0B5" w14:textId="77777777" w:rsidR="00852466" w:rsidRPr="000125D1" w:rsidRDefault="00852466">
            <w:pPr>
              <w:rPr>
                <w:rFonts w:ascii="Arial Narrow" w:hAnsi="Arial Narrow"/>
                <w:strike/>
                <w:sz w:val="20"/>
                <w:szCs w:val="20"/>
              </w:rPr>
            </w:pPr>
          </w:p>
          <w:p w14:paraId="392BBE6F"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2 doses of 40 mg with no repeats and the second prescription should be written for 2 doses of 20 mg with 3 repeats</w:t>
            </w:r>
            <w:r w:rsidRPr="000125D1">
              <w:rPr>
                <w:rFonts w:ascii="Arial Narrow" w:hAnsi="Arial Narrow"/>
                <w:b/>
                <w:bCs/>
                <w:strike/>
                <w:sz w:val="20"/>
                <w:szCs w:val="20"/>
              </w:rPr>
              <w:t>.</w:t>
            </w:r>
          </w:p>
          <w:p w14:paraId="5E358861" w14:textId="77777777" w:rsidR="00852466" w:rsidRPr="000125D1" w:rsidRDefault="00852466">
            <w:pPr>
              <w:rPr>
                <w:rFonts w:ascii="Arial Narrow" w:hAnsi="Arial Narrow"/>
                <w:b/>
                <w:bCs/>
                <w:strike/>
                <w:sz w:val="20"/>
                <w:szCs w:val="20"/>
              </w:rPr>
            </w:pPr>
          </w:p>
          <w:p w14:paraId="46BDEC32"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Prescribing the 80 mg presentation:</w:t>
            </w:r>
          </w:p>
          <w:p w14:paraId="7F1B16C6" w14:textId="77777777" w:rsidR="00852466" w:rsidRPr="000125D1" w:rsidRDefault="00852466">
            <w:pPr>
              <w:rPr>
                <w:rFonts w:ascii="Arial Narrow" w:hAnsi="Arial Narrow"/>
                <w:b/>
                <w:bCs/>
                <w:strike/>
                <w:sz w:val="20"/>
                <w:szCs w:val="20"/>
              </w:rPr>
            </w:pPr>
          </w:p>
          <w:p w14:paraId="4D459740" w14:textId="77777777" w:rsidR="00852466" w:rsidRPr="000125D1" w:rsidRDefault="00852466">
            <w:pPr>
              <w:rPr>
                <w:rFonts w:ascii="Arial Narrow" w:hAnsi="Arial Narrow"/>
                <w:strike/>
                <w:sz w:val="20"/>
                <w:szCs w:val="20"/>
              </w:rPr>
            </w:pPr>
            <w:r w:rsidRPr="000125D1">
              <w:rPr>
                <w:rFonts w:ascii="Arial Narrow" w:hAnsi="Arial Narrow"/>
                <w:strike/>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01C84CB1" w14:textId="77777777" w:rsidR="00852466" w:rsidRPr="000125D1" w:rsidRDefault="00852466">
            <w:pPr>
              <w:rPr>
                <w:rFonts w:ascii="Arial Narrow" w:hAnsi="Arial Narrow"/>
                <w:strike/>
                <w:sz w:val="20"/>
                <w:szCs w:val="20"/>
              </w:rPr>
            </w:pPr>
          </w:p>
          <w:p w14:paraId="7C32DEFD"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For patients weighing less than 40 kg, one prescription should be written for 1 dose of 80 mg with no repeats and the second prescription should be written for 2 doses of 20 mg with 3 repeats.</w:t>
            </w:r>
          </w:p>
        </w:tc>
      </w:tr>
      <w:tr w:rsidR="00852466" w:rsidRPr="00144D2D" w14:paraId="3F5255F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FE048AD" w14:textId="77777777" w:rsidR="00852466" w:rsidRPr="000125D1" w:rsidRDefault="00852466">
            <w:pPr>
              <w:rPr>
                <w:rFonts w:ascii="Arial Narrow" w:hAnsi="Arial Narrow"/>
                <w:b/>
                <w:bCs/>
                <w:strike/>
                <w:sz w:val="20"/>
                <w:szCs w:val="20"/>
              </w:rPr>
            </w:pPr>
            <w:r w:rsidRPr="000125D1">
              <w:rPr>
                <w:rFonts w:ascii="Arial Narrow" w:hAnsi="Arial Narrow"/>
                <w:b/>
                <w:bCs/>
                <w:strike/>
                <w:sz w:val="20"/>
                <w:szCs w:val="20"/>
              </w:rPr>
              <w:t>Administrative Advice:</w:t>
            </w:r>
          </w:p>
          <w:p w14:paraId="1A50E1BA" w14:textId="77777777" w:rsidR="00852466" w:rsidRPr="000125D1" w:rsidRDefault="00852466">
            <w:pPr>
              <w:rPr>
                <w:rFonts w:ascii="Arial Narrow" w:hAnsi="Arial Narrow"/>
                <w:b/>
                <w:bCs/>
                <w:strike/>
                <w:sz w:val="20"/>
                <w:szCs w:val="20"/>
              </w:rPr>
            </w:pPr>
          </w:p>
          <w:p w14:paraId="2BF05DFC" w14:textId="77777777" w:rsidR="00852466" w:rsidRPr="000125D1" w:rsidRDefault="00852466">
            <w:pPr>
              <w:rPr>
                <w:rFonts w:ascii="Arial Narrow" w:hAnsi="Arial Narrow"/>
                <w:b/>
                <w:bCs/>
                <w:strike/>
                <w:sz w:val="20"/>
                <w:szCs w:val="20"/>
              </w:rPr>
            </w:pPr>
            <w:r w:rsidRPr="000125D1">
              <w:rPr>
                <w:rFonts w:ascii="Arial Narrow" w:hAnsi="Arial Narrow"/>
                <w:strike/>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0125D1">
              <w:rPr>
                <w:rFonts w:ascii="Arial Narrow" w:hAnsi="Arial Narrow"/>
                <w:b/>
                <w:bCs/>
                <w:strike/>
                <w:sz w:val="20"/>
                <w:szCs w:val="20"/>
              </w:rPr>
              <w:t>.</w:t>
            </w:r>
          </w:p>
        </w:tc>
      </w:tr>
      <w:tr w:rsidR="00852466" w:rsidRPr="00144D2D" w14:paraId="14137CB7"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4B931F5"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5FBE718C" w14:textId="77777777" w:rsidR="00852466" w:rsidRPr="000125D1" w:rsidRDefault="00852466">
            <w:pPr>
              <w:rPr>
                <w:rFonts w:ascii="Arial Narrow" w:hAnsi="Arial Narrow"/>
                <w:i/>
                <w:iCs/>
                <w:sz w:val="20"/>
                <w:szCs w:val="20"/>
              </w:rPr>
            </w:pPr>
            <w:r w:rsidRPr="000125D1">
              <w:rPr>
                <w:rFonts w:ascii="Arial Narrow" w:hAnsi="Arial Narrow"/>
                <w:i/>
                <w:iCs/>
                <w:sz w:val="20"/>
                <w:szCs w:val="20"/>
              </w:rPr>
              <w:t>At the time of authority application, medical practitioners must request the appropriate number of doses to provide sufficient drug for 16 weeks of treatment.</w:t>
            </w:r>
          </w:p>
          <w:p w14:paraId="2816F721" w14:textId="77777777" w:rsidR="00852466" w:rsidRPr="000125D1" w:rsidRDefault="00852466">
            <w:pPr>
              <w:rPr>
                <w:rFonts w:ascii="Arial Narrow" w:hAnsi="Arial Narrow"/>
                <w:b/>
                <w:bCs/>
                <w:strike/>
                <w:sz w:val="20"/>
                <w:szCs w:val="20"/>
              </w:rPr>
            </w:pPr>
            <w:r w:rsidRPr="000125D1">
              <w:rPr>
                <w:rFonts w:ascii="Arial Narrow" w:hAnsi="Arial Narrow"/>
                <w:i/>
                <w:iCs/>
                <w:sz w:val="20"/>
                <w:szCs w:val="20"/>
              </w:rPr>
              <w:t>An appropriate amount of drug may require prescribing a combination of strengths. A separate authority prescription must be completed for each strength requested.</w:t>
            </w:r>
          </w:p>
        </w:tc>
      </w:tr>
      <w:tr w:rsidR="00852466" w:rsidRPr="00144D2D" w14:paraId="7055ED0A" w14:textId="77777777" w:rsidTr="000125D1">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AA43625" w14:textId="77777777" w:rsidR="00852466" w:rsidRPr="000125D1" w:rsidRDefault="00852466">
            <w:pPr>
              <w:rPr>
                <w:rFonts w:ascii="Arial Narrow" w:hAnsi="Arial Narrow"/>
                <w:b/>
                <w:bCs/>
                <w:sz w:val="20"/>
                <w:szCs w:val="20"/>
              </w:rPr>
            </w:pPr>
            <w:r w:rsidRPr="000125D1">
              <w:rPr>
                <w:rFonts w:ascii="Arial Narrow" w:hAnsi="Arial Narrow"/>
                <w:b/>
                <w:bCs/>
                <w:sz w:val="20"/>
                <w:szCs w:val="20"/>
              </w:rPr>
              <w:t>Administrative Advice:</w:t>
            </w:r>
          </w:p>
          <w:p w14:paraId="18BE1617" w14:textId="77777777" w:rsidR="00852466" w:rsidRPr="000125D1" w:rsidRDefault="00852466">
            <w:pPr>
              <w:rPr>
                <w:rFonts w:ascii="Arial Narrow" w:hAnsi="Arial Narrow"/>
                <w:b/>
                <w:bCs/>
                <w:sz w:val="20"/>
                <w:szCs w:val="20"/>
              </w:rPr>
            </w:pPr>
          </w:p>
          <w:p w14:paraId="4F62325E" w14:textId="77777777" w:rsidR="00852466" w:rsidRPr="000125D1" w:rsidRDefault="00852466">
            <w:pPr>
              <w:rPr>
                <w:rFonts w:ascii="Arial Narrow" w:hAnsi="Arial Narrow"/>
                <w:sz w:val="20"/>
                <w:szCs w:val="20"/>
              </w:rPr>
            </w:pPr>
            <w:r w:rsidRPr="000125D1">
              <w:rPr>
                <w:rFonts w:ascii="Arial Narrow" w:hAnsi="Arial Narrow"/>
                <w:sz w:val="20"/>
                <w:szCs w:val="20"/>
              </w:rPr>
              <w:t>Any queries concerning the arrangements to prescribe may be directed to Services Australia on 1800 700 270 (hours of operation 8 a.m. to 5 p.m. Monday to Friday).</w:t>
            </w:r>
          </w:p>
          <w:p w14:paraId="05331AF7" w14:textId="77777777" w:rsidR="00852466" w:rsidRPr="000125D1" w:rsidRDefault="00852466">
            <w:pPr>
              <w:rPr>
                <w:rFonts w:ascii="Arial Narrow" w:hAnsi="Arial Narrow"/>
                <w:sz w:val="20"/>
                <w:szCs w:val="20"/>
              </w:rPr>
            </w:pPr>
          </w:p>
          <w:p w14:paraId="149E2EE7" w14:textId="77777777" w:rsidR="00852466" w:rsidRPr="000125D1" w:rsidRDefault="00852466">
            <w:pPr>
              <w:rPr>
                <w:rFonts w:ascii="Arial Narrow" w:hAnsi="Arial Narrow"/>
                <w:sz w:val="20"/>
                <w:szCs w:val="20"/>
              </w:rPr>
            </w:pPr>
            <w:r w:rsidRPr="000125D1">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137A1E1A" w14:textId="77777777" w:rsidR="00852466" w:rsidRPr="000125D1" w:rsidRDefault="00852466">
            <w:pPr>
              <w:rPr>
                <w:rFonts w:ascii="Arial Narrow" w:hAnsi="Arial Narrow"/>
                <w:sz w:val="20"/>
                <w:szCs w:val="20"/>
              </w:rPr>
            </w:pPr>
          </w:p>
          <w:p w14:paraId="4EE1782D" w14:textId="77777777" w:rsidR="00852466" w:rsidRPr="000125D1" w:rsidRDefault="00852466">
            <w:pPr>
              <w:rPr>
                <w:rFonts w:ascii="Arial Narrow" w:hAnsi="Arial Narrow"/>
                <w:sz w:val="20"/>
                <w:szCs w:val="20"/>
              </w:rPr>
            </w:pPr>
            <w:r w:rsidRPr="000125D1">
              <w:rPr>
                <w:rFonts w:ascii="Arial Narrow" w:hAnsi="Arial Narrow"/>
                <w:sz w:val="20"/>
                <w:szCs w:val="20"/>
              </w:rPr>
              <w:t>Applications for authority to prescribe should be submitted online using the form upload facility in Health Professional Online Services (HPOS) at www.servicesaustralia.gov.au/hpos</w:t>
            </w:r>
          </w:p>
          <w:p w14:paraId="3ACC410C" w14:textId="77777777" w:rsidR="00852466" w:rsidRPr="000125D1" w:rsidRDefault="00852466">
            <w:pPr>
              <w:rPr>
                <w:rFonts w:ascii="Arial Narrow" w:hAnsi="Arial Narrow"/>
                <w:sz w:val="20"/>
                <w:szCs w:val="20"/>
              </w:rPr>
            </w:pPr>
          </w:p>
          <w:p w14:paraId="48E83603" w14:textId="77777777" w:rsidR="00852466" w:rsidRPr="000125D1" w:rsidRDefault="00852466">
            <w:pPr>
              <w:rPr>
                <w:rFonts w:ascii="Arial Narrow" w:hAnsi="Arial Narrow"/>
                <w:sz w:val="20"/>
                <w:szCs w:val="20"/>
              </w:rPr>
            </w:pPr>
            <w:r w:rsidRPr="000125D1">
              <w:rPr>
                <w:rFonts w:ascii="Arial Narrow" w:hAnsi="Arial Narrow"/>
                <w:sz w:val="20"/>
                <w:szCs w:val="20"/>
              </w:rPr>
              <w:t>Or mailed to:</w:t>
            </w:r>
          </w:p>
          <w:p w14:paraId="0F6CE3F7" w14:textId="77777777" w:rsidR="00852466" w:rsidRPr="000125D1" w:rsidRDefault="00852466">
            <w:pPr>
              <w:rPr>
                <w:rFonts w:ascii="Arial Narrow" w:hAnsi="Arial Narrow"/>
                <w:sz w:val="20"/>
                <w:szCs w:val="20"/>
              </w:rPr>
            </w:pPr>
          </w:p>
          <w:p w14:paraId="5F722A29" w14:textId="77777777" w:rsidR="00852466" w:rsidRPr="000125D1" w:rsidRDefault="00852466">
            <w:pPr>
              <w:rPr>
                <w:rFonts w:ascii="Arial Narrow" w:hAnsi="Arial Narrow"/>
                <w:sz w:val="20"/>
                <w:szCs w:val="20"/>
              </w:rPr>
            </w:pPr>
            <w:r w:rsidRPr="000125D1">
              <w:rPr>
                <w:rFonts w:ascii="Arial Narrow" w:hAnsi="Arial Narrow"/>
                <w:sz w:val="20"/>
                <w:szCs w:val="20"/>
              </w:rPr>
              <w:t>Services Australia</w:t>
            </w:r>
          </w:p>
          <w:p w14:paraId="39C83FE9" w14:textId="77777777" w:rsidR="00852466" w:rsidRPr="000125D1" w:rsidRDefault="00852466">
            <w:pPr>
              <w:rPr>
                <w:rFonts w:ascii="Arial Narrow" w:hAnsi="Arial Narrow"/>
                <w:sz w:val="20"/>
                <w:szCs w:val="20"/>
              </w:rPr>
            </w:pPr>
            <w:r w:rsidRPr="000125D1">
              <w:rPr>
                <w:rFonts w:ascii="Arial Narrow" w:hAnsi="Arial Narrow"/>
                <w:sz w:val="20"/>
                <w:szCs w:val="20"/>
              </w:rPr>
              <w:t>Complex Drugs</w:t>
            </w:r>
          </w:p>
          <w:p w14:paraId="52489F64" w14:textId="77777777" w:rsidR="00852466" w:rsidRPr="000125D1" w:rsidRDefault="00852466">
            <w:pPr>
              <w:rPr>
                <w:rFonts w:ascii="Arial Narrow" w:hAnsi="Arial Narrow"/>
                <w:sz w:val="20"/>
                <w:szCs w:val="20"/>
              </w:rPr>
            </w:pPr>
            <w:r w:rsidRPr="000125D1">
              <w:rPr>
                <w:rFonts w:ascii="Arial Narrow" w:hAnsi="Arial Narrow"/>
                <w:sz w:val="20"/>
                <w:szCs w:val="20"/>
              </w:rPr>
              <w:t>Reply Paid 9826</w:t>
            </w:r>
          </w:p>
          <w:p w14:paraId="47179FB0" w14:textId="77777777" w:rsidR="00852466" w:rsidRPr="000125D1" w:rsidRDefault="00852466">
            <w:pPr>
              <w:rPr>
                <w:rFonts w:ascii="Arial Narrow" w:hAnsi="Arial Narrow"/>
                <w:b/>
                <w:bCs/>
                <w:sz w:val="20"/>
                <w:szCs w:val="20"/>
              </w:rPr>
            </w:pPr>
            <w:r w:rsidRPr="000125D1">
              <w:rPr>
                <w:rFonts w:ascii="Arial Narrow" w:hAnsi="Arial Narrow"/>
                <w:sz w:val="20"/>
                <w:szCs w:val="20"/>
              </w:rPr>
              <w:t>HOBART TAS 7001</w:t>
            </w:r>
          </w:p>
        </w:tc>
      </w:tr>
      <w:tr w:rsidR="00852466" w:rsidRPr="00144D2D" w14:paraId="2CC1D8E8"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2B738B20" w14:textId="77777777" w:rsidR="00852466" w:rsidRDefault="00852466">
            <w:pPr>
              <w:rPr>
                <w:rFonts w:ascii="Arial Narrow" w:hAnsi="Arial Narrow"/>
                <w:b/>
                <w:bCs/>
                <w:sz w:val="20"/>
                <w:szCs w:val="20"/>
              </w:rPr>
            </w:pPr>
          </w:p>
          <w:p w14:paraId="0AAD1316" w14:textId="77777777" w:rsidR="00852466" w:rsidRPr="00144D2D" w:rsidRDefault="00852466">
            <w:pPr>
              <w:rPr>
                <w:rFonts w:ascii="Arial Narrow" w:hAnsi="Arial Narrow"/>
                <w:b/>
                <w:bCs/>
                <w:sz w:val="20"/>
                <w:szCs w:val="20"/>
              </w:rPr>
            </w:pPr>
          </w:p>
        </w:tc>
      </w:tr>
      <w:tr w:rsidR="00852466" w:rsidRPr="00144D2D" w14:paraId="176AA580" w14:textId="77777777">
        <w:trPr>
          <w:gridAfter w:val="1"/>
          <w:wAfter w:w="7" w:type="dxa"/>
          <w:cantSplit/>
          <w:trHeight w:val="20"/>
        </w:trPr>
        <w:tc>
          <w:tcPr>
            <w:tcW w:w="3939" w:type="dxa"/>
            <w:vAlign w:val="center"/>
          </w:tcPr>
          <w:p w14:paraId="23AB12AD" w14:textId="77777777" w:rsidR="00852466" w:rsidRPr="00373291" w:rsidRDefault="00852466">
            <w:pPr>
              <w:keepLines/>
              <w:rPr>
                <w:rFonts w:ascii="Arial Narrow" w:hAnsi="Arial Narrow"/>
                <w:b/>
                <w:bCs/>
                <w:sz w:val="20"/>
                <w:szCs w:val="20"/>
              </w:rPr>
            </w:pPr>
            <w:r w:rsidRPr="00373291">
              <w:rPr>
                <w:rFonts w:ascii="Arial Narrow" w:hAnsi="Arial Narrow"/>
                <w:b/>
                <w:bCs/>
                <w:sz w:val="20"/>
                <w:szCs w:val="20"/>
              </w:rPr>
              <w:t>MEDICINAL PRODUCT</w:t>
            </w:r>
          </w:p>
          <w:p w14:paraId="74F83AE1" w14:textId="77777777" w:rsidR="00852466" w:rsidRPr="00144D2D" w:rsidRDefault="00852466">
            <w:pPr>
              <w:keepLines/>
              <w:rPr>
                <w:rFonts w:ascii="Arial Narrow" w:hAnsi="Arial Narrow"/>
                <w:b/>
                <w:sz w:val="20"/>
                <w:szCs w:val="20"/>
              </w:rPr>
            </w:pPr>
            <w:r w:rsidRPr="00373291">
              <w:rPr>
                <w:rFonts w:ascii="Arial Narrow" w:hAnsi="Arial Narrow"/>
                <w:b/>
                <w:bCs/>
                <w:sz w:val="20"/>
                <w:szCs w:val="20"/>
              </w:rPr>
              <w:t>medicinal product pack</w:t>
            </w:r>
          </w:p>
        </w:tc>
        <w:tc>
          <w:tcPr>
            <w:tcW w:w="876" w:type="dxa"/>
            <w:vAlign w:val="center"/>
          </w:tcPr>
          <w:p w14:paraId="71F7C73E"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49A378F4"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1F6403FB"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5AF977C5"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2F749443"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2668A40F"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6A213958" w14:textId="77777777">
        <w:trPr>
          <w:gridAfter w:val="1"/>
          <w:wAfter w:w="7" w:type="dxa"/>
          <w:cantSplit/>
          <w:trHeight w:val="20"/>
        </w:trPr>
        <w:tc>
          <w:tcPr>
            <w:tcW w:w="9022" w:type="dxa"/>
            <w:gridSpan w:val="6"/>
            <w:vAlign w:val="center"/>
          </w:tcPr>
          <w:p w14:paraId="715BCF00"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w:t>
            </w:r>
          </w:p>
        </w:tc>
      </w:tr>
      <w:tr w:rsidR="00852466" w:rsidRPr="00144D2D" w14:paraId="689DC0E0" w14:textId="77777777">
        <w:trPr>
          <w:gridAfter w:val="1"/>
          <w:wAfter w:w="7" w:type="dxa"/>
          <w:cantSplit/>
          <w:trHeight w:val="20"/>
        </w:trPr>
        <w:tc>
          <w:tcPr>
            <w:tcW w:w="3939" w:type="dxa"/>
            <w:vAlign w:val="center"/>
          </w:tcPr>
          <w:p w14:paraId="17A1D909"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370FEF9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7967F62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245A549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386CD1FE"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1C0D7A3"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1E1D644E" w14:textId="77777777" w:rsidR="00852466" w:rsidRPr="00144D2D" w:rsidRDefault="00852466">
            <w:pPr>
              <w:keepLines/>
              <w:rPr>
                <w:rFonts w:ascii="Arial Narrow" w:hAnsi="Arial Narrow"/>
                <w:sz w:val="20"/>
                <w:szCs w:val="20"/>
              </w:rPr>
            </w:pPr>
          </w:p>
        </w:tc>
      </w:tr>
      <w:tr w:rsidR="00852466" w:rsidRPr="00144D2D" w14:paraId="6AFDC636" w14:textId="77777777">
        <w:trPr>
          <w:gridAfter w:val="1"/>
          <w:wAfter w:w="7" w:type="dxa"/>
          <w:cantSplit/>
          <w:trHeight w:val="20"/>
        </w:trPr>
        <w:tc>
          <w:tcPr>
            <w:tcW w:w="3939" w:type="dxa"/>
            <w:vAlign w:val="center"/>
          </w:tcPr>
          <w:p w14:paraId="06FD4897"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3DD67BF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12412G</w:t>
            </w:r>
          </w:p>
        </w:tc>
        <w:tc>
          <w:tcPr>
            <w:tcW w:w="747" w:type="dxa"/>
            <w:vAlign w:val="center"/>
          </w:tcPr>
          <w:p w14:paraId="685E3B3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0211DB2A"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0211804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7471CE3F"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4D024429" w14:textId="77777777" w:rsidR="00852466" w:rsidRPr="00144D2D" w:rsidRDefault="00852466">
            <w:pPr>
              <w:keepLines/>
              <w:rPr>
                <w:rFonts w:ascii="Arial Narrow" w:hAnsi="Arial Narrow"/>
                <w:sz w:val="20"/>
                <w:szCs w:val="20"/>
              </w:rPr>
            </w:pPr>
          </w:p>
        </w:tc>
      </w:tr>
      <w:tr w:rsidR="00852466" w:rsidRPr="00144D2D" w14:paraId="62489059" w14:textId="77777777">
        <w:trPr>
          <w:gridAfter w:val="1"/>
          <w:wAfter w:w="7" w:type="dxa"/>
          <w:cantSplit/>
          <w:trHeight w:val="20"/>
        </w:trPr>
        <w:tc>
          <w:tcPr>
            <w:tcW w:w="3939" w:type="dxa"/>
            <w:vAlign w:val="center"/>
          </w:tcPr>
          <w:p w14:paraId="24AA0659"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29C23A3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1B3FCDB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9C46DE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FB9112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79D31380"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31A000B9" w14:textId="77777777" w:rsidR="00852466" w:rsidRPr="00144D2D" w:rsidRDefault="00852466">
            <w:pPr>
              <w:keepLines/>
              <w:rPr>
                <w:rFonts w:ascii="Arial Narrow" w:hAnsi="Arial Narrow"/>
                <w:sz w:val="20"/>
                <w:szCs w:val="20"/>
              </w:rPr>
            </w:pPr>
          </w:p>
        </w:tc>
      </w:tr>
      <w:tr w:rsidR="00852466" w:rsidRPr="00144D2D" w14:paraId="1FDFEE1F" w14:textId="77777777">
        <w:trPr>
          <w:gridAfter w:val="1"/>
          <w:wAfter w:w="7" w:type="dxa"/>
          <w:cantSplit/>
          <w:trHeight w:val="20"/>
        </w:trPr>
        <w:tc>
          <w:tcPr>
            <w:tcW w:w="3939" w:type="dxa"/>
            <w:vAlign w:val="center"/>
          </w:tcPr>
          <w:p w14:paraId="14D689B1"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056CF93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40A23389"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299FE63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764F7E7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62B41EDB"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3310A03C" w14:textId="77777777" w:rsidR="00852466" w:rsidRPr="00144D2D" w:rsidRDefault="00852466">
            <w:pPr>
              <w:keepLines/>
              <w:rPr>
                <w:rFonts w:ascii="Arial Narrow" w:hAnsi="Arial Narrow"/>
                <w:sz w:val="20"/>
                <w:szCs w:val="20"/>
              </w:rPr>
            </w:pPr>
          </w:p>
        </w:tc>
      </w:tr>
      <w:tr w:rsidR="00852466" w:rsidRPr="00144D2D" w14:paraId="5502008F" w14:textId="77777777">
        <w:trPr>
          <w:gridAfter w:val="1"/>
          <w:wAfter w:w="7" w:type="dxa"/>
          <w:cantSplit/>
          <w:trHeight w:val="20"/>
        </w:trPr>
        <w:tc>
          <w:tcPr>
            <w:tcW w:w="3939" w:type="dxa"/>
            <w:vAlign w:val="center"/>
          </w:tcPr>
          <w:p w14:paraId="6CBEEA4F"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732FCAB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0B81A03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06EAF7B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F2E6D7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33295DD8"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458FC3FF"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48DC46AA" w14:textId="77777777" w:rsidR="00852466" w:rsidRPr="00144D2D" w:rsidRDefault="00852466">
            <w:pPr>
              <w:rPr>
                <w:rFonts w:ascii="Arial Narrow" w:hAnsi="Arial Narrow"/>
                <w:b/>
                <w:bCs/>
                <w:sz w:val="20"/>
                <w:szCs w:val="20"/>
              </w:rPr>
            </w:pPr>
          </w:p>
        </w:tc>
      </w:tr>
      <w:tr w:rsidR="00852466" w:rsidRPr="00144D2D" w14:paraId="4C95BF81"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75ED81E"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6D50D76A"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7E09214"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273E4548"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164E8A8" w14:textId="77777777" w:rsidR="00852466" w:rsidRPr="00144D2D" w:rsidRDefault="00852466">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17A7E40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AF4A33D"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Administrative Advice:</w:t>
            </w:r>
          </w:p>
          <w:p w14:paraId="36272AF6"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4478D84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E2BC87" w14:textId="77777777" w:rsidR="00852466" w:rsidRDefault="00852466">
            <w:pPr>
              <w:rPr>
                <w:rFonts w:ascii="Arial Narrow" w:hAnsi="Arial Narrow"/>
                <w:b/>
                <w:bCs/>
                <w:sz w:val="20"/>
                <w:szCs w:val="20"/>
              </w:rPr>
            </w:pPr>
            <w:r w:rsidRPr="00144D2D">
              <w:rPr>
                <w:rFonts w:ascii="Arial Narrow" w:hAnsi="Arial Narrow"/>
                <w:b/>
                <w:bCs/>
                <w:sz w:val="20"/>
                <w:szCs w:val="20"/>
              </w:rPr>
              <w:t>Administrative Advice:</w:t>
            </w:r>
          </w:p>
          <w:p w14:paraId="7B67496D"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08946C9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B0D009D" w14:textId="77777777" w:rsidR="00852466" w:rsidRDefault="00852466">
            <w:pPr>
              <w:rPr>
                <w:rFonts w:ascii="Arial Narrow" w:hAnsi="Arial Narrow"/>
                <w:b/>
                <w:bCs/>
                <w:sz w:val="20"/>
                <w:szCs w:val="20"/>
              </w:rPr>
            </w:pPr>
            <w:r w:rsidRPr="00144D2D">
              <w:rPr>
                <w:rFonts w:ascii="Arial Narrow" w:hAnsi="Arial Narrow"/>
                <w:b/>
                <w:bCs/>
                <w:sz w:val="20"/>
                <w:szCs w:val="20"/>
              </w:rPr>
              <w:t>Administrative Advice:</w:t>
            </w:r>
          </w:p>
          <w:p w14:paraId="6CDD806B"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73D31DC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1720CB" w14:textId="77777777" w:rsidR="00852466" w:rsidRDefault="00852466">
            <w:pPr>
              <w:rPr>
                <w:rFonts w:ascii="Arial Narrow" w:hAnsi="Arial Narrow"/>
                <w:b/>
                <w:bCs/>
                <w:sz w:val="20"/>
                <w:szCs w:val="20"/>
              </w:rPr>
            </w:pPr>
            <w:r w:rsidRPr="00144D2D">
              <w:rPr>
                <w:rFonts w:ascii="Arial Narrow" w:hAnsi="Arial Narrow"/>
                <w:b/>
                <w:bCs/>
                <w:sz w:val="20"/>
                <w:szCs w:val="20"/>
              </w:rPr>
              <w:t>Administrative Advice:</w:t>
            </w:r>
          </w:p>
          <w:p w14:paraId="2F51E536"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222BE35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2B7C33" w14:textId="77777777" w:rsidR="00852466" w:rsidRDefault="00852466">
            <w:pPr>
              <w:rPr>
                <w:rFonts w:ascii="Arial Narrow" w:hAnsi="Arial Narrow"/>
                <w:b/>
                <w:bCs/>
                <w:sz w:val="20"/>
                <w:szCs w:val="20"/>
              </w:rPr>
            </w:pPr>
            <w:r w:rsidRPr="00144D2D">
              <w:rPr>
                <w:rFonts w:ascii="Arial Narrow" w:hAnsi="Arial Narrow"/>
                <w:b/>
                <w:bCs/>
                <w:sz w:val="20"/>
                <w:szCs w:val="20"/>
              </w:rPr>
              <w:t>Administrative Advice:</w:t>
            </w:r>
          </w:p>
          <w:p w14:paraId="70485683"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3CE852D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8BC5A7E" w14:textId="77777777" w:rsidR="00852466" w:rsidRPr="00144D2D" w:rsidRDefault="00852466">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5230DB2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7BFBFE1"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1 (new patient) or Initial 2 (change or recommencement of treatment after a break in biological medicine of less than 5 years) or Initial 3 (recommencement of treatment after a break in biological medicine of more than 5 years) - balance of supply</w:t>
            </w:r>
          </w:p>
        </w:tc>
      </w:tr>
      <w:tr w:rsidR="00852466" w:rsidRPr="00144D2D" w14:paraId="5A03A02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7552F48"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criteria:</w:t>
            </w:r>
          </w:p>
        </w:tc>
      </w:tr>
      <w:tr w:rsidR="00852466" w:rsidRPr="00144D2D" w14:paraId="6236556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8236DC0" w14:textId="77777777" w:rsidR="00852466" w:rsidRPr="00144D2D" w:rsidRDefault="00852466">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852466" w:rsidRPr="00144D2D" w14:paraId="7DBCB65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97878BC"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1DA1281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BABEC9D"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1407A45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8CBBA6"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11B932E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38CA65"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168D714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8E36459"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Clinical criteria: </w:t>
            </w:r>
          </w:p>
        </w:tc>
      </w:tr>
      <w:tr w:rsidR="00852466" w:rsidRPr="00144D2D" w14:paraId="710992F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B3FFE3F" w14:textId="77777777" w:rsidR="00852466" w:rsidRPr="00144D2D" w:rsidRDefault="00852466">
            <w:pPr>
              <w:rPr>
                <w:rFonts w:ascii="Arial Narrow" w:hAnsi="Arial Narrow"/>
                <w:b/>
                <w:bCs/>
                <w:sz w:val="20"/>
                <w:szCs w:val="20"/>
              </w:rPr>
            </w:pPr>
            <w:r w:rsidRPr="00144D2D">
              <w:rPr>
                <w:rFonts w:ascii="Arial Narrow" w:hAnsi="Arial Narrow"/>
                <w:sz w:val="20"/>
                <w:szCs w:val="20"/>
              </w:rPr>
              <w:t>Patient must have received insufficient therapy with this drug for this condition under the Initial 1 (new patient) restriction to complete 16 weeks treatment; or</w:t>
            </w:r>
          </w:p>
        </w:tc>
      </w:tr>
      <w:tr w:rsidR="00852466" w:rsidRPr="00144D2D" w14:paraId="2F36E9A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7583D5D"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852466" w:rsidRPr="00144D2D" w14:paraId="6D77899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8ADC550"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852466" w:rsidRPr="00144D2D" w14:paraId="5069CF0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E76065"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48B8A75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638B65C"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Clinical criteria:</w:t>
            </w:r>
          </w:p>
        </w:tc>
      </w:tr>
      <w:tr w:rsidR="00852466" w:rsidRPr="00144D2D" w14:paraId="4A64A34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EF865C2" w14:textId="77777777" w:rsidR="00852466" w:rsidRPr="00144D2D" w:rsidRDefault="00852466">
            <w:pPr>
              <w:rPr>
                <w:rFonts w:ascii="Arial Narrow" w:hAnsi="Arial Narrow"/>
                <w:b/>
                <w:bCs/>
                <w:sz w:val="20"/>
                <w:szCs w:val="20"/>
              </w:rPr>
            </w:pPr>
            <w:r w:rsidRPr="00144D2D">
              <w:rPr>
                <w:rFonts w:ascii="Arial Narrow" w:hAnsi="Arial Narrow"/>
                <w:sz w:val="20"/>
                <w:szCs w:val="20"/>
              </w:rPr>
              <w:t>The treatment must provide no more than the balance of up to 16 weeks treatment available under the above restrictions</w:t>
            </w:r>
          </w:p>
        </w:tc>
      </w:tr>
      <w:tr w:rsidR="00852466" w:rsidRPr="00144D2D" w14:paraId="50EE104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D9F3D4"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Administrative Advice:</w:t>
            </w:r>
          </w:p>
          <w:p w14:paraId="716BD598" w14:textId="77777777" w:rsidR="00852466" w:rsidRPr="00144D2D" w:rsidRDefault="00852466">
            <w:pPr>
              <w:rPr>
                <w:rFonts w:ascii="Arial Narrow" w:hAnsi="Arial Narrow"/>
                <w:b/>
                <w:bCs/>
                <w:sz w:val="20"/>
                <w:szCs w:val="20"/>
              </w:rPr>
            </w:pPr>
            <w:r w:rsidRPr="00144D2D">
              <w:rPr>
                <w:rFonts w:ascii="Arial Narrow" w:hAnsi="Arial Narrow"/>
                <w:sz w:val="20"/>
                <w:szCs w:val="20"/>
              </w:rPr>
              <w:t xml:space="preserve">Applications for authorisation under this restriction may be made in real time using the Online PBS Authorities system (see www.servicesaustralia.gov.au/HPOS) or by telephone by contacting Services Australia on 1800 700 270 (hours of operation 8 a.m. to 5 p.m. </w:t>
            </w:r>
            <w:r w:rsidRPr="00144D2D">
              <w:rPr>
                <w:rFonts w:ascii="Arial Narrow" w:hAnsi="Arial Narrow"/>
                <w:strike/>
                <w:sz w:val="20"/>
                <w:szCs w:val="20"/>
              </w:rPr>
              <w:t>EST</w:t>
            </w:r>
            <w:r w:rsidRPr="00144D2D">
              <w:rPr>
                <w:rFonts w:ascii="Arial Narrow" w:hAnsi="Arial Narrow"/>
                <w:sz w:val="20"/>
                <w:szCs w:val="20"/>
              </w:rPr>
              <w:t xml:space="preserve"> Monday to Friday).</w:t>
            </w:r>
          </w:p>
        </w:tc>
      </w:tr>
    </w:tbl>
    <w:p w14:paraId="57F3F29F" w14:textId="77777777" w:rsidR="00852466" w:rsidRDefault="00852466" w:rsidP="00852466"/>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Moderate to severe ulcerative colitis"/>
      </w:tblPr>
      <w:tblGrid>
        <w:gridCol w:w="3939"/>
        <w:gridCol w:w="882"/>
        <w:gridCol w:w="741"/>
        <w:gridCol w:w="811"/>
        <w:gridCol w:w="812"/>
        <w:gridCol w:w="1837"/>
        <w:gridCol w:w="7"/>
      </w:tblGrid>
      <w:tr w:rsidR="00852466" w:rsidRPr="00144D2D" w14:paraId="28163BA2" w14:textId="77777777">
        <w:trPr>
          <w:gridAfter w:val="1"/>
          <w:wAfter w:w="7" w:type="dxa"/>
          <w:cantSplit/>
          <w:trHeight w:val="20"/>
        </w:trPr>
        <w:tc>
          <w:tcPr>
            <w:tcW w:w="3939" w:type="dxa"/>
            <w:vAlign w:val="center"/>
          </w:tcPr>
          <w:p w14:paraId="44AFB4BF"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MEDICINAL PRODUCT</w:t>
            </w:r>
          </w:p>
          <w:p w14:paraId="23B5EE50"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medicinal product pack</w:t>
            </w:r>
          </w:p>
        </w:tc>
        <w:tc>
          <w:tcPr>
            <w:tcW w:w="882" w:type="dxa"/>
            <w:vAlign w:val="center"/>
          </w:tcPr>
          <w:p w14:paraId="15842E42"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1" w:type="dxa"/>
            <w:vAlign w:val="center"/>
          </w:tcPr>
          <w:p w14:paraId="0AEF607D"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1C554BF7"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0F50112F"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0DAFF25F"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31F1E621"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5D645B2D" w14:textId="77777777">
        <w:trPr>
          <w:gridAfter w:val="1"/>
          <w:wAfter w:w="7" w:type="dxa"/>
          <w:cantSplit/>
          <w:trHeight w:val="20"/>
        </w:trPr>
        <w:tc>
          <w:tcPr>
            <w:tcW w:w="9022" w:type="dxa"/>
            <w:gridSpan w:val="6"/>
            <w:vAlign w:val="center"/>
          </w:tcPr>
          <w:p w14:paraId="77FA7FCD" w14:textId="77777777" w:rsidR="00852466" w:rsidRDefault="00852466">
            <w:pPr>
              <w:keepLines/>
              <w:rPr>
                <w:rFonts w:ascii="Arial Narrow" w:hAnsi="Arial Narrow"/>
                <w:sz w:val="20"/>
                <w:szCs w:val="20"/>
              </w:rPr>
            </w:pPr>
            <w:r w:rsidRPr="00144D2D">
              <w:rPr>
                <w:rFonts w:ascii="Arial Narrow" w:hAnsi="Arial Narrow"/>
                <w:sz w:val="20"/>
                <w:szCs w:val="20"/>
              </w:rPr>
              <w:t>ADALIMUMAB</w:t>
            </w:r>
          </w:p>
          <w:p w14:paraId="6005E663" w14:textId="77777777" w:rsidR="00852466" w:rsidRPr="00144D2D" w:rsidRDefault="00852466">
            <w:pPr>
              <w:keepLines/>
              <w:rPr>
                <w:rFonts w:ascii="Arial Narrow" w:hAnsi="Arial Narrow"/>
                <w:sz w:val="20"/>
                <w:szCs w:val="20"/>
              </w:rPr>
            </w:pPr>
          </w:p>
        </w:tc>
      </w:tr>
      <w:tr w:rsidR="00852466" w:rsidRPr="00144D2D" w14:paraId="4DDD7287" w14:textId="77777777">
        <w:trPr>
          <w:gridAfter w:val="1"/>
          <w:wAfter w:w="7" w:type="dxa"/>
          <w:cantSplit/>
          <w:trHeight w:val="20"/>
        </w:trPr>
        <w:tc>
          <w:tcPr>
            <w:tcW w:w="3939" w:type="dxa"/>
            <w:vAlign w:val="center"/>
          </w:tcPr>
          <w:p w14:paraId="6E0AA6CF"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82" w:type="dxa"/>
            <w:vAlign w:val="center"/>
          </w:tcPr>
          <w:p w14:paraId="29AE4EC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12337H</w:t>
            </w:r>
          </w:p>
        </w:tc>
        <w:tc>
          <w:tcPr>
            <w:tcW w:w="741" w:type="dxa"/>
            <w:vAlign w:val="center"/>
          </w:tcPr>
          <w:p w14:paraId="1F10302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4B154E6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0B6D51E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7BECFE1C"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1C06217F" w14:textId="77777777">
        <w:trPr>
          <w:gridAfter w:val="1"/>
          <w:wAfter w:w="7" w:type="dxa"/>
          <w:cantSplit/>
          <w:trHeight w:val="20"/>
        </w:trPr>
        <w:tc>
          <w:tcPr>
            <w:tcW w:w="3939" w:type="dxa"/>
            <w:vAlign w:val="center"/>
          </w:tcPr>
          <w:p w14:paraId="437F96B6"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82" w:type="dxa"/>
            <w:vAlign w:val="center"/>
          </w:tcPr>
          <w:p w14:paraId="10C58CA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12358K</w:t>
            </w:r>
          </w:p>
        </w:tc>
        <w:tc>
          <w:tcPr>
            <w:tcW w:w="741" w:type="dxa"/>
            <w:vAlign w:val="center"/>
          </w:tcPr>
          <w:p w14:paraId="05B18F8E"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07DCE67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40835A8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0A35807C"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418EBD6F" w14:textId="77777777" w:rsidR="00852466" w:rsidRPr="00144D2D" w:rsidRDefault="00852466">
            <w:pPr>
              <w:keepLines/>
              <w:rPr>
                <w:rFonts w:ascii="Arial Narrow" w:hAnsi="Arial Narrow"/>
                <w:sz w:val="20"/>
                <w:szCs w:val="20"/>
              </w:rPr>
            </w:pPr>
          </w:p>
        </w:tc>
      </w:tr>
      <w:tr w:rsidR="00852466" w:rsidRPr="00144D2D" w14:paraId="151597BF" w14:textId="77777777">
        <w:trPr>
          <w:gridAfter w:val="1"/>
          <w:wAfter w:w="7" w:type="dxa"/>
          <w:cantSplit/>
          <w:trHeight w:val="20"/>
        </w:trPr>
        <w:tc>
          <w:tcPr>
            <w:tcW w:w="3939" w:type="dxa"/>
            <w:vAlign w:val="center"/>
          </w:tcPr>
          <w:p w14:paraId="323FB445"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82" w:type="dxa"/>
            <w:vAlign w:val="center"/>
          </w:tcPr>
          <w:p w14:paraId="50F3783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12391E</w:t>
            </w:r>
          </w:p>
        </w:tc>
        <w:tc>
          <w:tcPr>
            <w:tcW w:w="741" w:type="dxa"/>
            <w:vAlign w:val="center"/>
          </w:tcPr>
          <w:p w14:paraId="27576B7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FC352E8"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3506678"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1E7801C8"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7CE9169E" w14:textId="77777777" w:rsidR="00852466" w:rsidRPr="00144D2D" w:rsidRDefault="00852466">
            <w:pPr>
              <w:keepLines/>
              <w:rPr>
                <w:rFonts w:ascii="Arial Narrow" w:hAnsi="Arial Narrow"/>
                <w:sz w:val="20"/>
                <w:szCs w:val="20"/>
              </w:rPr>
            </w:pPr>
          </w:p>
        </w:tc>
      </w:tr>
      <w:tr w:rsidR="00852466" w:rsidRPr="00144D2D" w14:paraId="46911D81"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786B4709" w14:textId="77777777" w:rsidR="00852466" w:rsidRPr="00144D2D" w:rsidRDefault="00852466">
            <w:pPr>
              <w:rPr>
                <w:rFonts w:ascii="Arial Narrow" w:hAnsi="Arial Narrow"/>
                <w:sz w:val="20"/>
                <w:szCs w:val="20"/>
              </w:rPr>
            </w:pPr>
          </w:p>
        </w:tc>
      </w:tr>
      <w:tr w:rsidR="00852466" w:rsidRPr="00144D2D" w14:paraId="696FCCC9"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825B3CE"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644A2792"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1102AE4"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36C1AAFA" w14:textId="77777777">
        <w:tblPrEx>
          <w:tblCellMar>
            <w:top w:w="15" w:type="dxa"/>
            <w:bottom w:w="15" w:type="dxa"/>
          </w:tblCellMar>
          <w:tblLook w:val="04A0" w:firstRow="1" w:lastRow="0" w:firstColumn="1" w:lastColumn="0" w:noHBand="0" w:noVBand="1"/>
        </w:tblPrEx>
        <w:trPr>
          <w:trHeight w:val="360"/>
        </w:trPr>
        <w:tc>
          <w:tcPr>
            <w:tcW w:w="9029" w:type="dxa"/>
            <w:gridSpan w:val="7"/>
            <w:tcBorders>
              <w:top w:val="single" w:sz="4" w:space="0" w:color="auto"/>
              <w:left w:val="single" w:sz="4" w:space="0" w:color="auto"/>
              <w:right w:val="single" w:sz="4" w:space="0" w:color="auto"/>
            </w:tcBorders>
            <w:vAlign w:val="center"/>
          </w:tcPr>
          <w:p w14:paraId="0BDCF578"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50146E2A" w14:textId="77777777">
        <w:tblPrEx>
          <w:tblCellMar>
            <w:top w:w="15" w:type="dxa"/>
            <w:bottom w:w="15" w:type="dxa"/>
          </w:tblCellMar>
          <w:tblLook w:val="04A0" w:firstRow="1" w:lastRow="0" w:firstColumn="1" w:lastColumn="0" w:noHBand="0" w:noVBand="1"/>
        </w:tblPrEx>
        <w:trPr>
          <w:trHeight w:val="375"/>
        </w:trPr>
        <w:tc>
          <w:tcPr>
            <w:tcW w:w="9029" w:type="dxa"/>
            <w:gridSpan w:val="7"/>
            <w:vAlign w:val="center"/>
          </w:tcPr>
          <w:p w14:paraId="3EC8FD01"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Administrative Advice:</w:t>
            </w:r>
          </w:p>
          <w:p w14:paraId="3F9EF471" w14:textId="77777777" w:rsidR="00852466" w:rsidRPr="00144D2D" w:rsidRDefault="00852466">
            <w:pPr>
              <w:rPr>
                <w:rFonts w:ascii="Arial Narrow" w:hAnsi="Arial Narrow"/>
                <w:color w:val="333333"/>
                <w:sz w:val="20"/>
                <w:szCs w:val="20"/>
              </w:rPr>
            </w:pPr>
            <w:r w:rsidRPr="00144D2D">
              <w:rPr>
                <w:rFonts w:ascii="Arial Narrow" w:hAnsi="Arial Narrow"/>
                <w:sz w:val="20"/>
                <w:szCs w:val="20"/>
              </w:rPr>
              <w:t>As above</w:t>
            </w:r>
          </w:p>
        </w:tc>
      </w:tr>
      <w:tr w:rsidR="00852466" w:rsidRPr="00144D2D" w14:paraId="03A2CF81" w14:textId="77777777">
        <w:tblPrEx>
          <w:tblCellMar>
            <w:top w:w="15" w:type="dxa"/>
            <w:bottom w:w="15" w:type="dxa"/>
          </w:tblCellMar>
          <w:tblLook w:val="04A0" w:firstRow="1" w:lastRow="0" w:firstColumn="1" w:lastColumn="0" w:noHBand="0" w:noVBand="1"/>
        </w:tblPrEx>
        <w:trPr>
          <w:trHeight w:val="439"/>
        </w:trPr>
        <w:tc>
          <w:tcPr>
            <w:tcW w:w="9029" w:type="dxa"/>
            <w:gridSpan w:val="7"/>
            <w:vAlign w:val="center"/>
          </w:tcPr>
          <w:p w14:paraId="3AD3164D" w14:textId="77777777" w:rsidR="00852466" w:rsidRDefault="00852466">
            <w:pPr>
              <w:rPr>
                <w:rFonts w:ascii="Arial Narrow" w:hAnsi="Arial Narrow"/>
                <w:b/>
                <w:bCs/>
                <w:sz w:val="20"/>
                <w:szCs w:val="20"/>
              </w:rPr>
            </w:pPr>
            <w:r w:rsidRPr="00144D2D">
              <w:rPr>
                <w:rFonts w:ascii="Arial Narrow" w:hAnsi="Arial Narrow"/>
                <w:b/>
                <w:bCs/>
                <w:sz w:val="20"/>
                <w:szCs w:val="20"/>
              </w:rPr>
              <w:t>Administrative Advice:</w:t>
            </w:r>
          </w:p>
          <w:p w14:paraId="4F0B6808" w14:textId="77777777" w:rsidR="00852466" w:rsidRPr="00144D2D" w:rsidRDefault="00852466">
            <w:pPr>
              <w:rPr>
                <w:rFonts w:ascii="Arial Narrow" w:hAnsi="Arial Narrow"/>
                <w:b/>
                <w:bCs/>
                <w:sz w:val="20"/>
                <w:szCs w:val="20"/>
              </w:rPr>
            </w:pPr>
            <w:r w:rsidRPr="00144D2D">
              <w:rPr>
                <w:rFonts w:ascii="Arial Narrow" w:hAnsi="Arial Narrow"/>
                <w:sz w:val="20"/>
                <w:szCs w:val="20"/>
              </w:rPr>
              <w:t>As above</w:t>
            </w:r>
          </w:p>
        </w:tc>
      </w:tr>
      <w:tr w:rsidR="00852466" w:rsidRPr="00144D2D" w14:paraId="051FAD24" w14:textId="77777777">
        <w:tblPrEx>
          <w:tblCellMar>
            <w:top w:w="15" w:type="dxa"/>
            <w:bottom w:w="15" w:type="dxa"/>
          </w:tblCellMar>
          <w:tblLook w:val="04A0" w:firstRow="1" w:lastRow="0" w:firstColumn="1" w:lastColumn="0" w:noHBand="0" w:noVBand="1"/>
        </w:tblPrEx>
        <w:trPr>
          <w:trHeight w:val="186"/>
        </w:trPr>
        <w:tc>
          <w:tcPr>
            <w:tcW w:w="9029" w:type="dxa"/>
            <w:gridSpan w:val="7"/>
            <w:vAlign w:val="center"/>
          </w:tcPr>
          <w:p w14:paraId="17FF3E1D" w14:textId="77777777" w:rsidR="00852466" w:rsidRPr="00144D2D" w:rsidRDefault="00852466">
            <w:pPr>
              <w:rPr>
                <w:rFonts w:ascii="Arial Narrow" w:hAnsi="Arial Narrow"/>
                <w:sz w:val="20"/>
                <w:szCs w:val="20"/>
              </w:rPr>
            </w:pPr>
            <w:r w:rsidRPr="00144D2D">
              <w:rPr>
                <w:rFonts w:ascii="Arial Narrow" w:hAnsi="Arial Narrow"/>
                <w:b/>
                <w:bCs/>
                <w:sz w:val="20"/>
                <w:szCs w:val="20"/>
              </w:rPr>
              <w:t>Administrative Advice:</w:t>
            </w:r>
          </w:p>
          <w:p w14:paraId="35FEA57E" w14:textId="77777777" w:rsidR="00852466" w:rsidRPr="00144D2D" w:rsidRDefault="00852466">
            <w:pPr>
              <w:shd w:val="clear" w:color="auto" w:fill="FFFFFF"/>
              <w:jc w:val="left"/>
              <w:textAlignment w:val="baseline"/>
              <w:rPr>
                <w:rFonts w:ascii="Arial Narrow" w:hAnsi="Arial Narrow"/>
                <w:b/>
                <w:bCs/>
                <w:sz w:val="20"/>
                <w:szCs w:val="20"/>
              </w:rPr>
            </w:pPr>
            <w:r w:rsidRPr="00144D2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52466" w:rsidRPr="00144D2D" w14:paraId="67237415" w14:textId="77777777">
        <w:tblPrEx>
          <w:tblCellMar>
            <w:top w:w="15" w:type="dxa"/>
            <w:bottom w:w="15" w:type="dxa"/>
          </w:tblCellMar>
        </w:tblPrEx>
        <w:trPr>
          <w:trHeight w:val="186"/>
        </w:trPr>
        <w:tc>
          <w:tcPr>
            <w:tcW w:w="9029" w:type="dxa"/>
            <w:gridSpan w:val="7"/>
            <w:vAlign w:val="center"/>
          </w:tcPr>
          <w:p w14:paraId="2B41F3CE" w14:textId="77777777" w:rsidR="00852466" w:rsidRPr="00144D2D" w:rsidRDefault="00852466">
            <w:pPr>
              <w:shd w:val="clear" w:color="auto" w:fill="FFFFFF"/>
              <w:jc w:val="left"/>
              <w:textAlignment w:val="baseline"/>
              <w:rPr>
                <w:rFonts w:ascii="Arial Narrow" w:hAnsi="Arial Narrow"/>
                <w:b/>
                <w:bCs/>
                <w:sz w:val="20"/>
                <w:szCs w:val="20"/>
              </w:rPr>
            </w:pPr>
            <w:r w:rsidRPr="00144D2D">
              <w:rPr>
                <w:rFonts w:ascii="Arial Narrow" w:hAnsi="Arial Narrow"/>
                <w:b/>
                <w:bCs/>
                <w:sz w:val="20"/>
                <w:szCs w:val="20"/>
              </w:rPr>
              <w:t>Administrative Advice:</w:t>
            </w:r>
          </w:p>
          <w:p w14:paraId="1C32E261" w14:textId="77777777" w:rsidR="00852466" w:rsidRPr="00144D2D" w:rsidRDefault="00852466">
            <w:pPr>
              <w:rPr>
                <w:rFonts w:ascii="Arial Narrow" w:hAnsi="Arial Narrow"/>
                <w:b/>
                <w:bCs/>
                <w:sz w:val="20"/>
                <w:szCs w:val="20"/>
              </w:rPr>
            </w:pPr>
            <w:r w:rsidRPr="00144D2D">
              <w:rPr>
                <w:rFonts w:ascii="Arial Narrow" w:hAnsi="Arial Narrow"/>
                <w:sz w:val="20"/>
                <w:szCs w:val="20"/>
              </w:rPr>
              <w:t>No increase in the maximum number of repeats may be authorised.</w:t>
            </w:r>
          </w:p>
        </w:tc>
      </w:tr>
      <w:tr w:rsidR="00852466" w:rsidRPr="00144D2D" w14:paraId="08F3E2B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6294975" w14:textId="77777777" w:rsidR="00852466" w:rsidRPr="00144D2D" w:rsidRDefault="00852466">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0CBB83C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F4CB4A9"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First continuing treatment</w:t>
            </w:r>
          </w:p>
        </w:tc>
      </w:tr>
      <w:tr w:rsidR="00852466" w:rsidRPr="00144D2D" w14:paraId="4D946CA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0BA13C0"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Treatment criteria:</w:t>
            </w:r>
          </w:p>
        </w:tc>
      </w:tr>
      <w:tr w:rsidR="00852466" w:rsidRPr="00144D2D" w14:paraId="394D964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2198D46"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gastroenterologist (code 87); or</w:t>
            </w:r>
          </w:p>
        </w:tc>
      </w:tr>
      <w:tr w:rsidR="00852466" w:rsidRPr="00144D2D" w14:paraId="09B9DB4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8A6E64"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5319076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A1F053F"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333F8B8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23E834B"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51F7E18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7D92F4A"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42E96FF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D94DCDA"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Clinical criteria: </w:t>
            </w:r>
          </w:p>
        </w:tc>
      </w:tr>
      <w:tr w:rsidR="00852466" w:rsidRPr="00144D2D" w14:paraId="326F277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079F9C1" w14:textId="77777777" w:rsidR="00852466" w:rsidRPr="00144D2D" w:rsidRDefault="00852466">
            <w:pPr>
              <w:jc w:val="left"/>
              <w:rPr>
                <w:rFonts w:ascii="Arial Narrow" w:hAnsi="Arial Narrow"/>
                <w:sz w:val="20"/>
                <w:szCs w:val="20"/>
              </w:rPr>
            </w:pPr>
            <w:r w:rsidRPr="00144D2D">
              <w:rPr>
                <w:rFonts w:ascii="Arial Narrow" w:hAnsi="Arial Narrow"/>
                <w:sz w:val="20"/>
                <w:szCs w:val="20"/>
              </w:rPr>
              <w:t>Patient must have previously received PBS-subsidised treatment with this drug for this condition</w:t>
            </w:r>
          </w:p>
        </w:tc>
      </w:tr>
      <w:tr w:rsidR="00852466" w:rsidRPr="00144D2D" w14:paraId="4E386EE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D4A15EF" w14:textId="77777777" w:rsidR="00852466" w:rsidRPr="00144D2D" w:rsidRDefault="00852466">
            <w:pPr>
              <w:jc w:val="left"/>
              <w:rPr>
                <w:rFonts w:ascii="Arial Narrow" w:hAnsi="Arial Narrow"/>
                <w:sz w:val="20"/>
                <w:szCs w:val="20"/>
              </w:rPr>
            </w:pPr>
            <w:r w:rsidRPr="00144D2D">
              <w:rPr>
                <w:rFonts w:ascii="Arial Narrow" w:hAnsi="Arial Narrow"/>
                <w:b/>
                <w:bCs/>
                <w:sz w:val="20"/>
                <w:szCs w:val="20"/>
              </w:rPr>
              <w:t>AND</w:t>
            </w:r>
          </w:p>
        </w:tc>
      </w:tr>
      <w:tr w:rsidR="00852466" w:rsidRPr="00144D2D" w14:paraId="0B03BFD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6028DB8" w14:textId="77777777" w:rsidR="00852466" w:rsidRPr="00144D2D" w:rsidRDefault="00852466">
            <w:pPr>
              <w:jc w:val="left"/>
              <w:rPr>
                <w:rFonts w:ascii="Arial Narrow" w:hAnsi="Arial Narrow"/>
                <w:sz w:val="20"/>
                <w:szCs w:val="20"/>
              </w:rPr>
            </w:pPr>
            <w:r w:rsidRPr="00144D2D">
              <w:rPr>
                <w:rFonts w:ascii="Arial Narrow" w:hAnsi="Arial Narrow"/>
                <w:b/>
                <w:bCs/>
                <w:sz w:val="20"/>
                <w:szCs w:val="20"/>
              </w:rPr>
              <w:t>Clinical criteria:</w:t>
            </w:r>
          </w:p>
        </w:tc>
      </w:tr>
      <w:tr w:rsidR="00852466" w:rsidRPr="00144D2D" w14:paraId="0B93321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9E32F1D"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Patient must have demonstrated or sustained an adequate response to treatment by having a partial Mayo clinic score less than or equal to 2, with no </w:t>
            </w:r>
            <w:proofErr w:type="spellStart"/>
            <w:r w:rsidRPr="00144D2D">
              <w:rPr>
                <w:rFonts w:ascii="Arial Narrow" w:hAnsi="Arial Narrow"/>
                <w:sz w:val="20"/>
                <w:szCs w:val="20"/>
              </w:rPr>
              <w:t>subscore</w:t>
            </w:r>
            <w:proofErr w:type="spellEnd"/>
            <w:r w:rsidRPr="00144D2D">
              <w:rPr>
                <w:rFonts w:ascii="Arial Narrow" w:hAnsi="Arial Narrow"/>
                <w:sz w:val="20"/>
                <w:szCs w:val="20"/>
              </w:rPr>
              <w:t xml:space="preserve"> greater than 1 while receiving treatment with this drug; or</w:t>
            </w:r>
          </w:p>
        </w:tc>
      </w:tr>
      <w:tr w:rsidR="00852466" w:rsidRPr="00144D2D" w14:paraId="149D975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8F686C9"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Paediatric Ulcerative Colitis Activity Index (PUCAI) score less than 10 while receiving treatment with this drug if aged 6 to 17 years</w:t>
            </w:r>
          </w:p>
        </w:tc>
      </w:tr>
      <w:tr w:rsidR="00852466" w:rsidRPr="00144D2D" w14:paraId="09015C3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CC4125C" w14:textId="77777777" w:rsidR="00852466" w:rsidRPr="00144D2D" w:rsidRDefault="00852466">
            <w:pPr>
              <w:rPr>
                <w:rFonts w:ascii="Arial Narrow" w:hAnsi="Arial Narrow"/>
                <w:sz w:val="20"/>
                <w:szCs w:val="20"/>
              </w:rPr>
            </w:pPr>
            <w:r w:rsidRPr="00144D2D">
              <w:rPr>
                <w:rFonts w:ascii="Arial Narrow" w:hAnsi="Arial Narrow"/>
                <w:b/>
                <w:bCs/>
                <w:sz w:val="20"/>
                <w:szCs w:val="20"/>
              </w:rPr>
              <w:t>Population criteria:</w:t>
            </w:r>
          </w:p>
        </w:tc>
      </w:tr>
      <w:tr w:rsidR="00852466" w:rsidRPr="00144D2D" w14:paraId="70A3A6A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43C8414" w14:textId="77777777" w:rsidR="00852466" w:rsidRPr="00144D2D" w:rsidRDefault="00852466">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852466" w:rsidRPr="00144D2D" w14:paraId="36F47CF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13DB8D3" w14:textId="77777777" w:rsidR="00852466" w:rsidRPr="00144D2D" w:rsidRDefault="00852466">
            <w:pPr>
              <w:rPr>
                <w:rFonts w:ascii="Arial Narrow" w:hAnsi="Arial Narrow"/>
                <w:bCs/>
                <w:color w:val="FF0000"/>
                <w:sz w:val="20"/>
                <w:szCs w:val="20"/>
              </w:rPr>
            </w:pPr>
            <w:r w:rsidRPr="00144D2D">
              <w:rPr>
                <w:rFonts w:ascii="Arial Narrow" w:hAnsi="Arial Narrow"/>
                <w:b/>
                <w:bCs/>
                <w:sz w:val="20"/>
                <w:szCs w:val="20"/>
              </w:rPr>
              <w:t xml:space="preserve">Prescribing Instructions: </w:t>
            </w:r>
            <w:r w:rsidRPr="00144D2D">
              <w:rPr>
                <w:rFonts w:ascii="Arial Narrow" w:hAnsi="Arial Narrow"/>
                <w:bCs/>
                <w:color w:val="FF0000"/>
                <w:sz w:val="20"/>
                <w:szCs w:val="20"/>
              </w:rPr>
              <w:tab/>
            </w:r>
          </w:p>
          <w:p w14:paraId="47E8543D" w14:textId="77777777" w:rsidR="00852466" w:rsidRPr="00144D2D" w:rsidRDefault="00852466">
            <w:pPr>
              <w:rPr>
                <w:rFonts w:ascii="Arial Narrow" w:hAnsi="Arial Narrow"/>
                <w:sz w:val="20"/>
                <w:szCs w:val="20"/>
              </w:rPr>
            </w:pPr>
            <w:r w:rsidRPr="00144D2D">
              <w:rPr>
                <w:rFonts w:ascii="Arial Narrow" w:hAnsi="Arial Narrow"/>
                <w:bCs/>
                <w:sz w:val="20"/>
                <w:szCs w:val="20"/>
              </w:rPr>
              <w:t xml:space="preserve">Patients who have failed to maintain a partial Mayo clinic score of less than or equal to 2, with no </w:t>
            </w:r>
            <w:proofErr w:type="spellStart"/>
            <w:r w:rsidRPr="00144D2D">
              <w:rPr>
                <w:rFonts w:ascii="Arial Narrow" w:hAnsi="Arial Narrow"/>
                <w:bCs/>
                <w:sz w:val="20"/>
                <w:szCs w:val="20"/>
              </w:rPr>
              <w:t>subscore</w:t>
            </w:r>
            <w:proofErr w:type="spellEnd"/>
            <w:r w:rsidRPr="00144D2D">
              <w:rPr>
                <w:rFonts w:ascii="Arial Narrow" w:hAnsi="Arial Narrow"/>
                <w:bCs/>
                <w:sz w:val="20"/>
                <w:szCs w:val="20"/>
              </w:rPr>
              <w:t xml:space="preserv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p>
        </w:tc>
      </w:tr>
      <w:tr w:rsidR="00852466" w:rsidRPr="00144D2D" w14:paraId="378AC80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C6B7456" w14:textId="77777777" w:rsidR="00852466" w:rsidRDefault="00852466">
            <w:pPr>
              <w:rPr>
                <w:rFonts w:ascii="Arial Narrow" w:hAnsi="Arial Narrow"/>
                <w:b/>
                <w:bCs/>
                <w:sz w:val="20"/>
                <w:szCs w:val="20"/>
              </w:rPr>
            </w:pPr>
            <w:r w:rsidRPr="00144D2D">
              <w:rPr>
                <w:rFonts w:ascii="Arial Narrow" w:hAnsi="Arial Narrow"/>
                <w:b/>
                <w:bCs/>
                <w:sz w:val="20"/>
                <w:szCs w:val="20"/>
              </w:rPr>
              <w:t>Prescribing Instructions:</w:t>
            </w:r>
          </w:p>
          <w:p w14:paraId="215AE834" w14:textId="77777777" w:rsidR="00852466" w:rsidRPr="00144D2D" w:rsidRDefault="00852466">
            <w:pPr>
              <w:rPr>
                <w:rFonts w:ascii="Arial Narrow" w:hAnsi="Arial Narrow"/>
                <w:color w:val="333333"/>
                <w:sz w:val="20"/>
                <w:szCs w:val="20"/>
              </w:rPr>
            </w:pPr>
            <w:r w:rsidRPr="00144D2D">
              <w:rPr>
                <w:rFonts w:ascii="Arial Narrow" w:hAnsi="Arial Narrow"/>
                <w:bCs/>
                <w:sz w:val="20"/>
                <w:szCs w:val="20"/>
              </w:rPr>
              <w:t>Patients are eligible to receive continuing treatment with this drug in courses of up to 24 weeks providing they continue to sustain a response.</w:t>
            </w:r>
          </w:p>
        </w:tc>
      </w:tr>
      <w:tr w:rsidR="00852466" w:rsidRPr="00144D2D" w14:paraId="06E56FE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22812F9" w14:textId="77777777" w:rsidR="00852466" w:rsidRDefault="00852466">
            <w:pPr>
              <w:rPr>
                <w:rFonts w:ascii="Arial Narrow" w:hAnsi="Arial Narrow"/>
                <w:b/>
                <w:bCs/>
                <w:sz w:val="20"/>
                <w:szCs w:val="20"/>
              </w:rPr>
            </w:pPr>
            <w:r w:rsidRPr="00144D2D">
              <w:rPr>
                <w:rFonts w:ascii="Arial Narrow" w:hAnsi="Arial Narrow"/>
                <w:b/>
                <w:bCs/>
                <w:sz w:val="20"/>
                <w:szCs w:val="20"/>
              </w:rPr>
              <w:t>Prescribing Instructions:</w:t>
            </w:r>
          </w:p>
          <w:p w14:paraId="366CCC46" w14:textId="77777777" w:rsidR="00852466" w:rsidRPr="00144D2D" w:rsidRDefault="00852466">
            <w:pPr>
              <w:rPr>
                <w:rFonts w:ascii="Arial Narrow" w:hAnsi="Arial Narrow"/>
                <w:bCs/>
                <w:color w:val="333333"/>
                <w:sz w:val="20"/>
                <w:szCs w:val="20"/>
              </w:rPr>
            </w:pPr>
            <w:r w:rsidRPr="00144D2D">
              <w:rPr>
                <w:rFonts w:ascii="Arial Narrow" w:hAnsi="Arial Narrow"/>
                <w:bCs/>
                <w:sz w:val="20"/>
                <w:szCs w:val="20"/>
              </w:rPr>
              <w:t xml:space="preserve">At the time of the authority application, medical practitioners should request </w:t>
            </w:r>
            <w:proofErr w:type="gramStart"/>
            <w:r w:rsidRPr="00144D2D">
              <w:rPr>
                <w:rFonts w:ascii="Arial Narrow" w:hAnsi="Arial Narrow"/>
                <w:bCs/>
                <w:sz w:val="20"/>
                <w:szCs w:val="20"/>
              </w:rPr>
              <w:t>sufficient quantity</w:t>
            </w:r>
            <w:proofErr w:type="gramEnd"/>
            <w:r w:rsidRPr="00144D2D">
              <w:rPr>
                <w:rFonts w:ascii="Arial Narrow" w:hAnsi="Arial Narrow"/>
                <w:bCs/>
                <w:sz w:val="20"/>
                <w:szCs w:val="20"/>
              </w:rPr>
              <w:t xml:space="preserve"> for up to 24 weeks of treatment under this restriction.</w:t>
            </w:r>
          </w:p>
        </w:tc>
      </w:tr>
      <w:tr w:rsidR="00852466" w:rsidRPr="00144D2D" w14:paraId="645A9518"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B02958F"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p>
          <w:p w14:paraId="1D3061F9" w14:textId="77777777" w:rsidR="00852466" w:rsidRPr="00116AFD" w:rsidRDefault="00852466">
            <w:pPr>
              <w:rPr>
                <w:rFonts w:ascii="Arial Narrow" w:hAnsi="Arial Narrow"/>
                <w:i/>
                <w:iCs/>
                <w:sz w:val="20"/>
                <w:szCs w:val="20"/>
              </w:rPr>
            </w:pPr>
            <w:r w:rsidRPr="00116AFD">
              <w:rPr>
                <w:rFonts w:ascii="Arial Narrow" w:hAnsi="Arial Narrow"/>
                <w:strike/>
                <w:sz w:val="20"/>
                <w:szCs w:val="20"/>
              </w:rPr>
              <w:t xml:space="preserve">Where fewer than 5 repeats are requested at the time of the application, </w:t>
            </w:r>
            <w:proofErr w:type="spellStart"/>
            <w:r w:rsidRPr="00116AFD">
              <w:rPr>
                <w:rFonts w:ascii="Arial Narrow" w:hAnsi="Arial Narrow"/>
                <w:strike/>
                <w:sz w:val="20"/>
                <w:szCs w:val="20"/>
              </w:rPr>
              <w:t>a</w:t>
            </w:r>
            <w:r w:rsidRPr="00116AFD">
              <w:rPr>
                <w:rFonts w:ascii="Arial Narrow" w:hAnsi="Arial Narrow"/>
                <w:i/>
                <w:iCs/>
                <w:sz w:val="20"/>
                <w:szCs w:val="20"/>
              </w:rPr>
              <w:t>A</w:t>
            </w:r>
            <w:r w:rsidRPr="00116AFD">
              <w:rPr>
                <w:rFonts w:ascii="Arial Narrow" w:hAnsi="Arial Narrow"/>
                <w:sz w:val="20"/>
                <w:szCs w:val="20"/>
              </w:rPr>
              <w:t>uthority</w:t>
            </w:r>
            <w:proofErr w:type="spellEnd"/>
            <w:r w:rsidRPr="00116AFD">
              <w:rPr>
                <w:rFonts w:ascii="Arial Narrow" w:hAnsi="Arial Narrow"/>
                <w:sz w:val="20"/>
                <w:szCs w:val="20"/>
              </w:rPr>
              <w:t xml:space="preserve"> approvals for sufficient repeats to complete a maximum of 24 weeks of treatment with this drug may be requested through the balance of supply restriction</w:t>
            </w:r>
            <w:r w:rsidRPr="00116AFD">
              <w:rPr>
                <w:rFonts w:ascii="Arial Narrow" w:hAnsi="Arial Narrow"/>
                <w:i/>
                <w:iCs/>
                <w:sz w:val="20"/>
                <w:szCs w:val="20"/>
              </w:rPr>
              <w:t xml:space="preserve"> for patients who:</w:t>
            </w:r>
          </w:p>
          <w:p w14:paraId="642B4AD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received fewer than 5 repeats at the time of application; and/or</w:t>
            </w:r>
          </w:p>
          <w:p w14:paraId="6BE2516C" w14:textId="77777777" w:rsidR="00852466" w:rsidRPr="00116AFD" w:rsidRDefault="00852466">
            <w:pPr>
              <w:rPr>
                <w:rFonts w:ascii="Arial Narrow" w:hAnsi="Arial Narrow"/>
                <w:sz w:val="20"/>
                <w:szCs w:val="20"/>
              </w:rPr>
            </w:pPr>
            <w:r w:rsidRPr="00116AFD">
              <w:rPr>
                <w:rFonts w:ascii="Arial Narrow" w:hAnsi="Arial Narrow"/>
                <w:i/>
                <w:iCs/>
                <w:sz w:val="20"/>
                <w:szCs w:val="20"/>
              </w:rPr>
              <w:t>(ii) required changes to their dosing regimen during this treatment phase.</w:t>
            </w:r>
          </w:p>
        </w:tc>
      </w:tr>
      <w:tr w:rsidR="00852466" w:rsidRPr="00144D2D" w14:paraId="71897FC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216931D"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p>
          <w:p w14:paraId="37166766" w14:textId="77777777" w:rsidR="00852466" w:rsidRPr="00116AFD" w:rsidRDefault="00852466">
            <w:pPr>
              <w:rPr>
                <w:rFonts w:ascii="Arial Narrow" w:hAnsi="Arial Narrow"/>
                <w:sz w:val="20"/>
                <w:szCs w:val="20"/>
              </w:rPr>
            </w:pPr>
            <w:r w:rsidRPr="00116AFD">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852466" w:rsidRPr="00144D2D" w14:paraId="06DFDF4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F90B2E"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672EBB9A" w14:textId="77777777" w:rsidR="00852466" w:rsidRPr="00144D2D" w:rsidRDefault="00852466">
            <w:pPr>
              <w:rPr>
                <w:rFonts w:ascii="Arial Narrow" w:hAnsi="Arial Narrow"/>
                <w:sz w:val="20"/>
                <w:szCs w:val="20"/>
              </w:rPr>
            </w:pP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144D2D" w14:paraId="2F8AEA3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584B86C"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5FA3F215"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If a patient fails to demonstrate a response to treatment with this </w:t>
            </w:r>
            <w:proofErr w:type="gramStart"/>
            <w:r w:rsidRPr="00144D2D">
              <w:rPr>
                <w:rFonts w:ascii="Arial Narrow" w:hAnsi="Arial Narrow"/>
                <w:sz w:val="20"/>
                <w:szCs w:val="20"/>
              </w:rPr>
              <w:t>drug</w:t>
            </w:r>
            <w:proofErr w:type="gramEnd"/>
            <w:r w:rsidRPr="00144D2D">
              <w:rPr>
                <w:rFonts w:ascii="Arial Narrow" w:hAnsi="Arial Narrow"/>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144D2D" w14:paraId="792CAD0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F4830F8"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0F8B9701" w14:textId="77777777" w:rsidR="00852466" w:rsidRPr="00144D2D" w:rsidRDefault="00852466">
            <w:pPr>
              <w:rPr>
                <w:rFonts w:ascii="Arial Narrow" w:hAnsi="Arial Narrow"/>
                <w:sz w:val="20"/>
                <w:szCs w:val="20"/>
              </w:rPr>
            </w:pPr>
            <w:r w:rsidRPr="00144D2D">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852466" w:rsidRPr="00144D2D" w14:paraId="6B8EE67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F77B3A"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4E3F4034" w14:textId="77777777" w:rsidR="00852466" w:rsidRPr="00144D2D" w:rsidRDefault="00852466">
            <w:pPr>
              <w:rPr>
                <w:rFonts w:ascii="Arial Narrow" w:hAnsi="Arial Narrow"/>
                <w:sz w:val="20"/>
                <w:szCs w:val="20"/>
              </w:rPr>
            </w:pPr>
            <w:r w:rsidRPr="00144D2D">
              <w:rPr>
                <w:rFonts w:ascii="Arial Narrow" w:hAnsi="Arial Narrow"/>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r w:rsidR="00852466" w:rsidRPr="00144D2D" w14:paraId="28A8DFCA"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42BC8A1" w14:textId="77777777" w:rsidR="00852466" w:rsidRPr="00144D2D" w:rsidRDefault="00852466">
            <w:pPr>
              <w:rPr>
                <w:rFonts w:ascii="Arial Narrow" w:hAnsi="Arial Narrow"/>
                <w:b/>
                <w:bCs/>
                <w:sz w:val="20"/>
                <w:szCs w:val="20"/>
              </w:rPr>
            </w:pPr>
          </w:p>
          <w:p w14:paraId="7EBCB641" w14:textId="77777777" w:rsidR="00852466" w:rsidRPr="00144D2D" w:rsidRDefault="00852466">
            <w:pPr>
              <w:rPr>
                <w:rFonts w:ascii="Arial Narrow" w:hAnsi="Arial Narrow"/>
                <w:b/>
                <w:bCs/>
                <w:sz w:val="20"/>
                <w:szCs w:val="20"/>
              </w:rPr>
            </w:pPr>
          </w:p>
        </w:tc>
      </w:tr>
      <w:tr w:rsidR="00852466" w:rsidRPr="00144D2D" w14:paraId="57355D2D"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19E0BBE"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1C9331A1"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5446994"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1863B840"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5E39F51"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506673F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4A03036" w14:textId="77777777" w:rsidR="00852466" w:rsidRPr="00144D2D" w:rsidRDefault="00852466">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1659DB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57B973C"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Continuing treatment - balance of supply</w:t>
            </w:r>
          </w:p>
        </w:tc>
      </w:tr>
      <w:tr w:rsidR="00852466" w:rsidRPr="00144D2D" w14:paraId="3B6FBE6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260ECF8" w14:textId="77777777" w:rsidR="00852466" w:rsidRPr="00144D2D" w:rsidRDefault="00852466">
            <w:pPr>
              <w:keepNext/>
              <w:rPr>
                <w:rFonts w:ascii="Arial Narrow" w:hAnsi="Arial Narrow"/>
                <w:sz w:val="20"/>
                <w:szCs w:val="20"/>
              </w:rPr>
            </w:pPr>
            <w:r w:rsidRPr="00144D2D">
              <w:rPr>
                <w:rFonts w:ascii="Arial Narrow" w:hAnsi="Arial Narrow"/>
                <w:b/>
                <w:bCs/>
                <w:sz w:val="20"/>
                <w:szCs w:val="20"/>
              </w:rPr>
              <w:t>Treatment criteria:</w:t>
            </w:r>
          </w:p>
        </w:tc>
      </w:tr>
      <w:tr w:rsidR="00852466" w:rsidRPr="00144D2D" w14:paraId="42166CB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8E98815" w14:textId="77777777" w:rsidR="00852466" w:rsidRPr="00144D2D" w:rsidRDefault="00852466">
            <w:pPr>
              <w:autoSpaceDE w:val="0"/>
              <w:autoSpaceDN w:val="0"/>
              <w:adjustRightInd w:val="0"/>
              <w:jc w:val="left"/>
              <w:rPr>
                <w:rFonts w:ascii="Arial Narrow" w:hAnsi="Arial Narrow" w:cs="Arial Narrow"/>
                <w:i/>
                <w:iCs/>
                <w:sz w:val="20"/>
                <w:szCs w:val="20"/>
              </w:rPr>
            </w:pPr>
            <w:r w:rsidRPr="00144D2D">
              <w:rPr>
                <w:rFonts w:ascii="Arial Narrow" w:hAnsi="Arial Narrow" w:cs="Arial Narrow"/>
                <w:iCs/>
                <w:sz w:val="20"/>
                <w:szCs w:val="20"/>
              </w:rPr>
              <w:t>Must be treated by a gastroenterologist (code 87); or</w:t>
            </w:r>
          </w:p>
        </w:tc>
      </w:tr>
      <w:tr w:rsidR="00852466" w:rsidRPr="00144D2D" w14:paraId="7598567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556F36" w14:textId="77777777" w:rsidR="00852466" w:rsidRPr="00144D2D" w:rsidRDefault="00852466">
            <w:pPr>
              <w:autoSpaceDE w:val="0"/>
              <w:autoSpaceDN w:val="0"/>
              <w:adjustRightInd w:val="0"/>
              <w:rPr>
                <w:rFonts w:ascii="Arial Narrow" w:hAnsi="Arial Narrow" w:cs="Arial Narrow"/>
                <w:sz w:val="20"/>
                <w:szCs w:val="20"/>
              </w:rPr>
            </w:pPr>
            <w:r w:rsidRPr="00144D2D">
              <w:rPr>
                <w:rFonts w:ascii="Arial Narrow" w:hAnsi="Arial Narrow" w:cs="Arial Narrow"/>
                <w:sz w:val="20"/>
                <w:szCs w:val="20"/>
              </w:rPr>
              <w:t>Must be treated by a consultant physician [internal medicine specialising in gastroenterology (code 81)]; or</w:t>
            </w:r>
          </w:p>
        </w:tc>
      </w:tr>
      <w:tr w:rsidR="00852466" w:rsidRPr="00144D2D" w14:paraId="533DD37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38EF36"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4EAEC7B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E57464"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61E1573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318C55" w14:textId="77777777" w:rsidR="00852466" w:rsidRPr="00144D2D" w:rsidRDefault="00852466">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39DFA97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CDBDDFB" w14:textId="77777777" w:rsidR="00852466" w:rsidRPr="00144D2D" w:rsidRDefault="00852466">
            <w:pPr>
              <w:rPr>
                <w:rFonts w:ascii="Arial Narrow" w:hAnsi="Arial Narrow"/>
                <w:sz w:val="20"/>
                <w:szCs w:val="20"/>
              </w:rPr>
            </w:pPr>
            <w:r w:rsidRPr="00144D2D">
              <w:rPr>
                <w:rFonts w:ascii="Arial Narrow" w:hAnsi="Arial Narrow"/>
                <w:b/>
                <w:bCs/>
                <w:sz w:val="20"/>
                <w:szCs w:val="20"/>
              </w:rPr>
              <w:t>Clinical criteria:</w:t>
            </w:r>
          </w:p>
        </w:tc>
      </w:tr>
      <w:tr w:rsidR="00852466" w:rsidRPr="00144D2D" w14:paraId="30F63E7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4753EC7" w14:textId="77777777" w:rsidR="00852466" w:rsidRPr="00144D2D" w:rsidRDefault="00852466">
            <w:pPr>
              <w:jc w:val="left"/>
              <w:rPr>
                <w:rFonts w:ascii="Arial Narrow" w:hAnsi="Arial Narrow"/>
                <w:color w:val="333333"/>
                <w:sz w:val="20"/>
                <w:szCs w:val="20"/>
              </w:rPr>
            </w:pPr>
            <w:r w:rsidRPr="00144D2D">
              <w:rPr>
                <w:rFonts w:ascii="Arial Narrow" w:hAnsi="Arial Narrow"/>
                <w:sz w:val="20"/>
                <w:szCs w:val="20"/>
              </w:rPr>
              <w:t>Patient must have received insufficient therapy with this drug for this condition under the first continuing treatment or subsequent continuing treatment restrictions to complete 24 weeks of treatment</w:t>
            </w:r>
          </w:p>
        </w:tc>
      </w:tr>
      <w:tr w:rsidR="00852466" w:rsidRPr="00144D2D" w14:paraId="2EE5438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C85EAF"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AND</w:t>
            </w:r>
          </w:p>
        </w:tc>
      </w:tr>
      <w:tr w:rsidR="00852466" w:rsidRPr="00144D2D" w14:paraId="726F7A1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C5C77DF"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Clinical criteria:</w:t>
            </w:r>
          </w:p>
        </w:tc>
      </w:tr>
      <w:tr w:rsidR="00852466" w:rsidRPr="00144D2D" w14:paraId="7B3C078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9AB49D3" w14:textId="77777777" w:rsidR="00852466" w:rsidRPr="00144D2D" w:rsidRDefault="00852466">
            <w:pPr>
              <w:rPr>
                <w:rFonts w:ascii="Arial Narrow" w:hAnsi="Arial Narrow"/>
                <w:sz w:val="20"/>
                <w:szCs w:val="20"/>
              </w:rPr>
            </w:pPr>
            <w:r w:rsidRPr="00144D2D">
              <w:rPr>
                <w:rFonts w:ascii="Arial Narrow" w:hAnsi="Arial Narrow"/>
                <w:sz w:val="20"/>
                <w:szCs w:val="20"/>
              </w:rPr>
              <w:t>The treatment must provide no more than the balance of up to 24 weeks treatment available under this restriction</w:t>
            </w:r>
          </w:p>
        </w:tc>
      </w:tr>
      <w:tr w:rsidR="00852466" w:rsidRPr="00144D2D" w14:paraId="2D2F9A3C"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48F9CB1E" w14:textId="77777777" w:rsidR="00852466" w:rsidRPr="00144D2D" w:rsidRDefault="00852466">
            <w:pPr>
              <w:rPr>
                <w:rFonts w:ascii="Arial Narrow" w:hAnsi="Arial Narrow"/>
                <w:sz w:val="20"/>
                <w:szCs w:val="20"/>
              </w:rPr>
            </w:pPr>
          </w:p>
          <w:p w14:paraId="31F20827" w14:textId="77777777" w:rsidR="00852466" w:rsidRPr="00144D2D" w:rsidRDefault="00852466">
            <w:pPr>
              <w:rPr>
                <w:rFonts w:ascii="Arial Narrow" w:hAnsi="Arial Narrow"/>
                <w:sz w:val="20"/>
                <w:szCs w:val="20"/>
              </w:rPr>
            </w:pPr>
          </w:p>
        </w:tc>
      </w:tr>
      <w:tr w:rsidR="00852466" w:rsidRPr="00144D2D" w14:paraId="3139301E"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63CB003"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304A5E70"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9F7BE3F"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4EE8B2A5"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015C9BA"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Authority Required (telephone/online PBS Authorities system)</w:t>
            </w:r>
          </w:p>
        </w:tc>
      </w:tr>
      <w:tr w:rsidR="00852466" w:rsidRPr="00144D2D" w14:paraId="1B4DA17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01A481F" w14:textId="77777777" w:rsidR="00852466" w:rsidRPr="00144D2D" w:rsidRDefault="00852466">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9EFEC7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C38CBD2" w14:textId="77777777" w:rsidR="00852466" w:rsidRPr="00144D2D" w:rsidRDefault="00852466">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Subsequent continuing treatment</w:t>
            </w:r>
          </w:p>
        </w:tc>
      </w:tr>
      <w:tr w:rsidR="00852466" w:rsidRPr="00144D2D" w14:paraId="1816185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4504FE8"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Treatment criteria: </w:t>
            </w:r>
          </w:p>
        </w:tc>
      </w:tr>
      <w:tr w:rsidR="00852466" w:rsidRPr="00144D2D" w14:paraId="55E1981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2B005F7" w14:textId="77777777" w:rsidR="00852466" w:rsidRPr="00144D2D" w:rsidRDefault="00852466">
            <w:pPr>
              <w:jc w:val="left"/>
              <w:rPr>
                <w:rFonts w:ascii="Arial Narrow" w:hAnsi="Arial Narrow"/>
                <w:sz w:val="20"/>
                <w:szCs w:val="20"/>
              </w:rPr>
            </w:pPr>
            <w:r w:rsidRPr="00144D2D">
              <w:rPr>
                <w:rFonts w:ascii="Arial Narrow" w:hAnsi="Arial Narrow"/>
                <w:sz w:val="20"/>
                <w:szCs w:val="20"/>
              </w:rPr>
              <w:t>Must be treated by a gastroenterologist (code 87); or</w:t>
            </w:r>
          </w:p>
        </w:tc>
      </w:tr>
      <w:tr w:rsidR="00852466" w:rsidRPr="00144D2D" w14:paraId="4052504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948F82" w14:textId="77777777" w:rsidR="00852466" w:rsidRPr="00144D2D" w:rsidRDefault="00852466">
            <w:pPr>
              <w:jc w:val="left"/>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852466" w:rsidRPr="00144D2D" w14:paraId="11942F3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0DFB79F" w14:textId="77777777" w:rsidR="00852466" w:rsidRPr="00144D2D" w:rsidRDefault="00852466">
            <w:pPr>
              <w:jc w:val="left"/>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852466" w:rsidRPr="00144D2D" w14:paraId="3A3C862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E3623C" w14:textId="77777777" w:rsidR="00852466" w:rsidRPr="00144D2D" w:rsidRDefault="00852466">
            <w:pPr>
              <w:jc w:val="left"/>
              <w:rPr>
                <w:rFonts w:ascii="Arial Narrow" w:hAnsi="Arial Narrow"/>
                <w:sz w:val="20"/>
                <w:szCs w:val="20"/>
              </w:rPr>
            </w:pPr>
            <w:r w:rsidRPr="00144D2D">
              <w:rPr>
                <w:rFonts w:ascii="Arial Narrow" w:hAnsi="Arial Narrow"/>
                <w:sz w:val="20"/>
                <w:szCs w:val="20"/>
              </w:rPr>
              <w:t>Must be treated by a paediatrician; or</w:t>
            </w:r>
          </w:p>
        </w:tc>
      </w:tr>
      <w:tr w:rsidR="00852466" w:rsidRPr="00144D2D" w14:paraId="2E2C52C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EF3E887" w14:textId="77777777" w:rsidR="00852466" w:rsidRPr="00144D2D" w:rsidRDefault="00852466">
            <w:pPr>
              <w:jc w:val="left"/>
              <w:rPr>
                <w:rFonts w:ascii="Arial Narrow" w:hAnsi="Arial Narrow"/>
                <w:sz w:val="20"/>
                <w:szCs w:val="20"/>
              </w:rPr>
            </w:pPr>
            <w:r w:rsidRPr="00144D2D">
              <w:rPr>
                <w:rFonts w:ascii="Arial Narrow" w:hAnsi="Arial Narrow"/>
                <w:sz w:val="20"/>
                <w:szCs w:val="20"/>
              </w:rPr>
              <w:t>Must be treated by a specialist paediatric gastroenterologist</w:t>
            </w:r>
          </w:p>
        </w:tc>
      </w:tr>
      <w:tr w:rsidR="00852466" w:rsidRPr="00144D2D" w14:paraId="66B87D1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5700D3B" w14:textId="77777777" w:rsidR="00852466" w:rsidRPr="00144D2D" w:rsidRDefault="00852466">
            <w:pPr>
              <w:jc w:val="left"/>
              <w:rPr>
                <w:rFonts w:ascii="Arial Narrow" w:hAnsi="Arial Narrow"/>
                <w:sz w:val="20"/>
                <w:szCs w:val="20"/>
              </w:rPr>
            </w:pPr>
            <w:r w:rsidRPr="00144D2D">
              <w:rPr>
                <w:rFonts w:ascii="Arial Narrow" w:hAnsi="Arial Narrow"/>
                <w:b/>
                <w:bCs/>
                <w:sz w:val="20"/>
                <w:szCs w:val="20"/>
              </w:rPr>
              <w:t>Clinical criteria:</w:t>
            </w:r>
          </w:p>
        </w:tc>
      </w:tr>
      <w:tr w:rsidR="00852466" w:rsidRPr="00144D2D" w14:paraId="6A5F3E2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EA350CA" w14:textId="77777777" w:rsidR="00852466" w:rsidRPr="00144D2D" w:rsidRDefault="00852466">
            <w:pPr>
              <w:rPr>
                <w:rFonts w:ascii="Arial Narrow" w:hAnsi="Arial Narrow"/>
                <w:color w:val="FF0000"/>
                <w:sz w:val="20"/>
                <w:szCs w:val="20"/>
              </w:rPr>
            </w:pPr>
            <w:r w:rsidRPr="00144D2D">
              <w:rPr>
                <w:rFonts w:ascii="Arial Narrow" w:hAnsi="Arial Narrow"/>
                <w:sz w:val="20"/>
                <w:szCs w:val="20"/>
              </w:rPr>
              <w:t>Patient must have previously received PBS-subsidised treatment with this drug for this condition under the First continuing treatment restriction</w:t>
            </w:r>
          </w:p>
        </w:tc>
      </w:tr>
      <w:tr w:rsidR="00852466" w:rsidRPr="00144D2D" w14:paraId="31B105D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2DF75A4" w14:textId="77777777" w:rsidR="00852466" w:rsidRPr="00144D2D" w:rsidRDefault="00852466">
            <w:pPr>
              <w:rPr>
                <w:rFonts w:ascii="Arial Narrow" w:hAnsi="Arial Narrow"/>
                <w:sz w:val="20"/>
                <w:szCs w:val="20"/>
              </w:rPr>
            </w:pPr>
            <w:r w:rsidRPr="00144D2D">
              <w:rPr>
                <w:rFonts w:ascii="Arial Narrow" w:hAnsi="Arial Narrow"/>
                <w:b/>
                <w:bCs/>
                <w:sz w:val="20"/>
                <w:szCs w:val="20"/>
              </w:rPr>
              <w:t>AND</w:t>
            </w:r>
          </w:p>
        </w:tc>
      </w:tr>
      <w:tr w:rsidR="00852466" w:rsidRPr="00144D2D" w14:paraId="46B135A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F3B0810" w14:textId="77777777" w:rsidR="00852466" w:rsidRPr="00144D2D" w:rsidRDefault="00852466">
            <w:pPr>
              <w:rPr>
                <w:rFonts w:ascii="Arial Narrow" w:hAnsi="Arial Narrow"/>
                <w:sz w:val="20"/>
                <w:szCs w:val="20"/>
              </w:rPr>
            </w:pPr>
            <w:r w:rsidRPr="00144D2D">
              <w:rPr>
                <w:rFonts w:ascii="Arial Narrow" w:hAnsi="Arial Narrow"/>
                <w:b/>
                <w:bCs/>
                <w:sz w:val="20"/>
                <w:szCs w:val="20"/>
              </w:rPr>
              <w:t>Clinical criteria:</w:t>
            </w:r>
          </w:p>
        </w:tc>
      </w:tr>
      <w:tr w:rsidR="00852466" w:rsidRPr="00144D2D" w14:paraId="0741134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7648B4F"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Patient must have demonstrated or sustained an adequate response to treatment by having a partial Mayo clinic score less than or equal to 2, with no </w:t>
            </w:r>
            <w:proofErr w:type="spellStart"/>
            <w:r w:rsidRPr="00144D2D">
              <w:rPr>
                <w:rFonts w:ascii="Arial Narrow" w:hAnsi="Arial Narrow"/>
                <w:sz w:val="20"/>
                <w:szCs w:val="20"/>
              </w:rPr>
              <w:t>subscore</w:t>
            </w:r>
            <w:proofErr w:type="spellEnd"/>
            <w:r w:rsidRPr="00144D2D">
              <w:rPr>
                <w:rFonts w:ascii="Arial Narrow" w:hAnsi="Arial Narrow"/>
                <w:sz w:val="20"/>
                <w:szCs w:val="20"/>
              </w:rPr>
              <w:t xml:space="preserve"> greater than 1 while receiving treatment with this drug; or</w:t>
            </w:r>
          </w:p>
        </w:tc>
      </w:tr>
      <w:tr w:rsidR="00852466" w:rsidRPr="00144D2D" w14:paraId="6C5FD17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68DE38F" w14:textId="77777777" w:rsidR="00852466" w:rsidRPr="00144D2D" w:rsidRDefault="00852466">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Paediatric Ulcerative Colitis Activity Index (PUCAI) score less than 10 while receiving treatment with this drug if aged 6 to 17 years</w:t>
            </w:r>
          </w:p>
        </w:tc>
      </w:tr>
      <w:tr w:rsidR="00852466" w:rsidRPr="00144D2D" w14:paraId="2A0F7A5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2F2DCDB" w14:textId="77777777" w:rsidR="00852466" w:rsidRPr="00144D2D" w:rsidRDefault="00852466">
            <w:pPr>
              <w:rPr>
                <w:rFonts w:ascii="Arial Narrow" w:hAnsi="Arial Narrow"/>
                <w:sz w:val="20"/>
                <w:szCs w:val="20"/>
              </w:rPr>
            </w:pPr>
            <w:r w:rsidRPr="00144D2D">
              <w:rPr>
                <w:rFonts w:ascii="Arial Narrow" w:hAnsi="Arial Narrow"/>
                <w:b/>
                <w:bCs/>
                <w:sz w:val="20"/>
                <w:szCs w:val="20"/>
              </w:rPr>
              <w:t>Population criteria:</w:t>
            </w:r>
          </w:p>
        </w:tc>
      </w:tr>
      <w:tr w:rsidR="00852466" w:rsidRPr="00144D2D" w14:paraId="2F3A3C6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ED4A7E8" w14:textId="77777777" w:rsidR="00852466" w:rsidRPr="00144D2D" w:rsidRDefault="00852466">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852466" w:rsidRPr="00144D2D" w14:paraId="60F287C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82B51EB" w14:textId="77777777" w:rsidR="00852466" w:rsidRPr="00144D2D" w:rsidRDefault="00852466">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 xml:space="preserve">Patients who have failed to maintain a partial Mayo clinic score of less than or equal to 2, with no </w:t>
            </w:r>
            <w:proofErr w:type="spellStart"/>
            <w:r w:rsidRPr="00144D2D">
              <w:rPr>
                <w:rFonts w:ascii="Arial Narrow" w:hAnsi="Arial Narrow"/>
                <w:bCs/>
                <w:sz w:val="20"/>
                <w:szCs w:val="20"/>
              </w:rPr>
              <w:t>subscore</w:t>
            </w:r>
            <w:proofErr w:type="spellEnd"/>
            <w:r w:rsidRPr="00144D2D">
              <w:rPr>
                <w:rFonts w:ascii="Arial Narrow" w:hAnsi="Arial Narrow"/>
                <w:bCs/>
                <w:sz w:val="20"/>
                <w:szCs w:val="20"/>
              </w:rPr>
              <w:t xml:space="preserv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p>
        </w:tc>
      </w:tr>
      <w:tr w:rsidR="00852466" w:rsidRPr="00144D2D" w14:paraId="56E6754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3509EBC" w14:textId="77777777" w:rsidR="00852466" w:rsidRPr="00144D2D" w:rsidRDefault="00852466">
            <w:pPr>
              <w:rPr>
                <w:rFonts w:ascii="Arial Narrow" w:hAnsi="Arial Narrow"/>
                <w:bCs/>
                <w:color w:val="FF0000"/>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Patients are eligible to receive continuing treatment with this drug in courses of up to 24 weeks providing they continue to sustain a response.</w:t>
            </w:r>
          </w:p>
        </w:tc>
      </w:tr>
      <w:tr w:rsidR="00852466" w:rsidRPr="00144D2D" w14:paraId="645FE90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22DFC9B"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1940C205"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At the time of the authority application, medical practitioners should request </w:t>
            </w:r>
            <w:proofErr w:type="gramStart"/>
            <w:r w:rsidRPr="00144D2D">
              <w:rPr>
                <w:rFonts w:ascii="Arial Narrow" w:hAnsi="Arial Narrow"/>
                <w:sz w:val="20"/>
                <w:szCs w:val="20"/>
              </w:rPr>
              <w:t>sufficient quantity</w:t>
            </w:r>
            <w:proofErr w:type="gramEnd"/>
            <w:r w:rsidRPr="00144D2D">
              <w:rPr>
                <w:rFonts w:ascii="Arial Narrow" w:hAnsi="Arial Narrow"/>
                <w:sz w:val="20"/>
                <w:szCs w:val="20"/>
              </w:rPr>
              <w:t xml:space="preserve"> for up to 24 weeks of treatment under this restriction.</w:t>
            </w:r>
          </w:p>
        </w:tc>
      </w:tr>
      <w:tr w:rsidR="00852466" w:rsidRPr="00144D2D" w14:paraId="71A5B1A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E7B4F4A"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p>
          <w:p w14:paraId="6B9DA7FE" w14:textId="77777777" w:rsidR="00852466" w:rsidRPr="00116AFD" w:rsidRDefault="00852466">
            <w:pPr>
              <w:rPr>
                <w:rFonts w:ascii="Arial Narrow" w:hAnsi="Arial Narrow"/>
                <w:i/>
                <w:iCs/>
                <w:sz w:val="20"/>
                <w:szCs w:val="20"/>
              </w:rPr>
            </w:pPr>
            <w:r w:rsidRPr="00116AFD">
              <w:rPr>
                <w:rFonts w:ascii="Arial Narrow" w:hAnsi="Arial Narrow"/>
                <w:strike/>
                <w:sz w:val="20"/>
                <w:szCs w:val="20"/>
              </w:rPr>
              <w:t xml:space="preserve">Where fewer than 5 repeats are requested at the time of the application, </w:t>
            </w:r>
            <w:proofErr w:type="spellStart"/>
            <w:r w:rsidRPr="00116AFD">
              <w:rPr>
                <w:rFonts w:ascii="Arial Narrow" w:hAnsi="Arial Narrow"/>
                <w:strike/>
                <w:sz w:val="20"/>
                <w:szCs w:val="20"/>
              </w:rPr>
              <w:t>a</w:t>
            </w:r>
            <w:r w:rsidRPr="00116AFD">
              <w:rPr>
                <w:rFonts w:ascii="Arial Narrow" w:hAnsi="Arial Narrow"/>
                <w:i/>
                <w:iCs/>
                <w:sz w:val="20"/>
                <w:szCs w:val="20"/>
              </w:rPr>
              <w:t>A</w:t>
            </w:r>
            <w:r w:rsidRPr="00116AFD">
              <w:rPr>
                <w:rFonts w:ascii="Arial Narrow" w:hAnsi="Arial Narrow"/>
                <w:sz w:val="20"/>
                <w:szCs w:val="20"/>
              </w:rPr>
              <w:t>uthority</w:t>
            </w:r>
            <w:proofErr w:type="spellEnd"/>
            <w:r w:rsidRPr="00116AFD">
              <w:rPr>
                <w:rFonts w:ascii="Arial Narrow" w:hAnsi="Arial Narrow"/>
                <w:sz w:val="20"/>
                <w:szCs w:val="20"/>
              </w:rPr>
              <w:t xml:space="preserve"> approvals for sufficient repeats to complete a maximum of 24 weeks of treatment with this drug may be requested through the balance of supply restriction </w:t>
            </w:r>
            <w:r w:rsidRPr="00116AFD">
              <w:rPr>
                <w:rFonts w:ascii="Arial Narrow" w:hAnsi="Arial Narrow"/>
                <w:i/>
                <w:iCs/>
                <w:sz w:val="20"/>
                <w:szCs w:val="20"/>
              </w:rPr>
              <w:t>for patients who:</w:t>
            </w:r>
          </w:p>
          <w:p w14:paraId="1A429A8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received fewer than 5 repeats at the time of application; and/or</w:t>
            </w:r>
          </w:p>
          <w:p w14:paraId="082E41F9" w14:textId="77777777" w:rsidR="00852466" w:rsidRPr="00116AFD" w:rsidRDefault="00852466">
            <w:pPr>
              <w:rPr>
                <w:rFonts w:ascii="Arial Narrow" w:hAnsi="Arial Narrow"/>
                <w:sz w:val="20"/>
                <w:szCs w:val="20"/>
              </w:rPr>
            </w:pPr>
            <w:r w:rsidRPr="00116AFD">
              <w:rPr>
                <w:rFonts w:ascii="Arial Narrow" w:hAnsi="Arial Narrow"/>
                <w:i/>
                <w:iCs/>
                <w:sz w:val="20"/>
                <w:szCs w:val="20"/>
              </w:rPr>
              <w:t>(ii) required changes to their dosing regimen during this treatment phase.</w:t>
            </w:r>
          </w:p>
        </w:tc>
      </w:tr>
      <w:tr w:rsidR="00852466" w:rsidRPr="00144D2D" w14:paraId="2C9DD56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9CC5A7"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p>
          <w:p w14:paraId="25579939" w14:textId="77777777" w:rsidR="00852466" w:rsidRPr="00116AFD" w:rsidRDefault="00852466">
            <w:pPr>
              <w:rPr>
                <w:rFonts w:ascii="Arial Narrow" w:hAnsi="Arial Narrow"/>
                <w:sz w:val="20"/>
                <w:szCs w:val="20"/>
              </w:rPr>
            </w:pPr>
            <w:r w:rsidRPr="00116AFD">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852466" w:rsidRPr="00144D2D" w14:paraId="28ED799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E11BFDE"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p>
          <w:p w14:paraId="49FA787F" w14:textId="77777777" w:rsidR="00852466" w:rsidRPr="00116AFD" w:rsidRDefault="00852466">
            <w:pPr>
              <w:rPr>
                <w:rFonts w:ascii="Arial Narrow" w:hAnsi="Arial Narrow"/>
                <w:sz w:val="20"/>
                <w:szCs w:val="20"/>
              </w:rPr>
            </w:pP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144D2D" w14:paraId="5AAC5C7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95EDE24"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077CD2B7" w14:textId="77777777" w:rsidR="00852466" w:rsidRPr="00144D2D" w:rsidRDefault="00852466">
            <w:pPr>
              <w:rPr>
                <w:rFonts w:ascii="Arial Narrow" w:hAnsi="Arial Narrow"/>
                <w:sz w:val="20"/>
                <w:szCs w:val="20"/>
              </w:rPr>
            </w:pPr>
            <w:r w:rsidRPr="00144D2D">
              <w:rPr>
                <w:rFonts w:ascii="Arial Narrow" w:hAnsi="Arial Narrow"/>
                <w:sz w:val="20"/>
                <w:szCs w:val="20"/>
              </w:rPr>
              <w:t xml:space="preserve">If a patient fails to demonstrate a response to treatment with this </w:t>
            </w:r>
            <w:proofErr w:type="gramStart"/>
            <w:r w:rsidRPr="00144D2D">
              <w:rPr>
                <w:rFonts w:ascii="Arial Narrow" w:hAnsi="Arial Narrow"/>
                <w:sz w:val="20"/>
                <w:szCs w:val="20"/>
              </w:rPr>
              <w:t>drug</w:t>
            </w:r>
            <w:proofErr w:type="gramEnd"/>
            <w:r w:rsidRPr="00144D2D">
              <w:rPr>
                <w:rFonts w:ascii="Arial Narrow" w:hAnsi="Arial Narrow"/>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144D2D" w14:paraId="4D9950E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6444F5"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1EB62AEC" w14:textId="77777777" w:rsidR="00852466" w:rsidRPr="00144D2D" w:rsidRDefault="00852466">
            <w:pPr>
              <w:rPr>
                <w:rFonts w:ascii="Arial Narrow" w:hAnsi="Arial Narrow"/>
                <w:sz w:val="20"/>
                <w:szCs w:val="20"/>
              </w:rPr>
            </w:pPr>
            <w:r w:rsidRPr="00144D2D">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852466" w:rsidRPr="00144D2D" w14:paraId="5A72555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DC0F44D" w14:textId="77777777" w:rsidR="00852466" w:rsidRPr="00144D2D" w:rsidRDefault="00852466">
            <w:pPr>
              <w:rPr>
                <w:rFonts w:ascii="Arial Narrow" w:hAnsi="Arial Narrow"/>
                <w:b/>
                <w:bCs/>
                <w:sz w:val="20"/>
                <w:szCs w:val="20"/>
              </w:rPr>
            </w:pPr>
            <w:r w:rsidRPr="00144D2D">
              <w:rPr>
                <w:rFonts w:ascii="Arial Narrow" w:hAnsi="Arial Narrow"/>
                <w:b/>
                <w:bCs/>
                <w:sz w:val="20"/>
                <w:szCs w:val="20"/>
              </w:rPr>
              <w:t>Prescribing Instructions:</w:t>
            </w:r>
          </w:p>
          <w:p w14:paraId="3E68EDAA" w14:textId="77777777" w:rsidR="00852466" w:rsidRPr="00144D2D" w:rsidRDefault="00852466">
            <w:pPr>
              <w:rPr>
                <w:rFonts w:ascii="Arial Narrow" w:hAnsi="Arial Narrow"/>
                <w:color w:val="333333"/>
                <w:sz w:val="20"/>
                <w:szCs w:val="20"/>
              </w:rPr>
            </w:pPr>
            <w:r w:rsidRPr="00144D2D">
              <w:rPr>
                <w:rFonts w:ascii="Arial Narrow" w:hAnsi="Arial Narrow"/>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bl>
    <w:p w14:paraId="6F41E358" w14:textId="77777777" w:rsidR="00852466" w:rsidRDefault="00852466" w:rsidP="00852466">
      <w:pPr>
        <w:pStyle w:val="5-SubsectionSubheading"/>
        <w:spacing w:before="120"/>
      </w:pPr>
      <w:r>
        <w:t>Summary of changes and matters for PBAC consideration</w:t>
      </w:r>
    </w:p>
    <w:p w14:paraId="4DBB8BE6" w14:textId="77777777" w:rsidR="00852466" w:rsidRDefault="00852466" w:rsidP="00852466">
      <w:pPr>
        <w:pStyle w:val="3-BodyText"/>
        <w:numPr>
          <w:ilvl w:val="1"/>
          <w:numId w:val="2"/>
        </w:numPr>
        <w:spacing w:before="120"/>
        <w:rPr>
          <w:rFonts w:cstheme="minorHAnsi"/>
        </w:rPr>
      </w:pPr>
      <w:r>
        <w:t xml:space="preserve">Based on feedback from clinical groups and clinicians, proposed amendments to the current PBS listings for adalimumab for the treatment of moderate to severe ulcerative colitis, to allow for flexible dosing/dose escalation in the initial treatment phase were provided to the PBAC for consideration (dose escalations are already permitted for continuing therapy). The administrative advice in the initial therapy listings were amended to remove specific reference to initial dosing and frequency. This change was made based on the assumption that </w:t>
      </w:r>
      <w:r w:rsidRPr="00347F3C">
        <w:rPr>
          <w:rFonts w:cstheme="minorHAnsi"/>
        </w:rPr>
        <w:t>specialist prescribers would likely want dosing flexibility at their discretion</w:t>
      </w:r>
      <w:r>
        <w:rPr>
          <w:rFonts w:cstheme="minorHAnsi"/>
        </w:rPr>
        <w:t>.</w:t>
      </w:r>
      <w:r w:rsidRPr="00347F3C">
        <w:rPr>
          <w:rFonts w:cstheme="minorHAnsi"/>
        </w:rPr>
        <w:t xml:space="preserve"> </w:t>
      </w:r>
      <w:r>
        <w:rPr>
          <w:rFonts w:cstheme="minorHAnsi"/>
        </w:rPr>
        <w:t>S</w:t>
      </w:r>
      <w:r w:rsidRPr="00347F3C">
        <w:rPr>
          <w:rFonts w:cstheme="minorHAnsi"/>
        </w:rPr>
        <w:t xml:space="preserve">uggested amendments to the restriction </w:t>
      </w:r>
      <w:r>
        <w:rPr>
          <w:rFonts w:cstheme="minorHAnsi"/>
        </w:rPr>
        <w:t>were</w:t>
      </w:r>
      <w:r w:rsidRPr="00347F3C">
        <w:rPr>
          <w:rFonts w:cstheme="minorHAnsi"/>
        </w:rPr>
        <w:t xml:space="preserve"> dosing agnostic</w:t>
      </w:r>
      <w:r>
        <w:rPr>
          <w:rFonts w:cstheme="minorHAnsi"/>
        </w:rPr>
        <w:t>. The duration of treatment remained capped at</w:t>
      </w:r>
      <w:r w:rsidRPr="00347F3C">
        <w:rPr>
          <w:rFonts w:cstheme="minorHAnsi"/>
        </w:rPr>
        <w:t xml:space="preserve"> 16 wee</w:t>
      </w:r>
      <w:r w:rsidRPr="00561026">
        <w:rPr>
          <w:rFonts w:cstheme="minorHAnsi"/>
        </w:rPr>
        <w:t xml:space="preserve">ks </w:t>
      </w:r>
      <w:r>
        <w:rPr>
          <w:rFonts w:cstheme="minorHAnsi"/>
        </w:rPr>
        <w:t>of</w:t>
      </w:r>
      <w:r w:rsidRPr="00561026">
        <w:rPr>
          <w:rFonts w:cstheme="minorHAnsi"/>
        </w:rPr>
        <w:t xml:space="preserve"> therapy for initial treatment and 24 weeks of therapy for continuation treatment.</w:t>
      </w:r>
    </w:p>
    <w:p w14:paraId="2EF2C3CF" w14:textId="77777777" w:rsidR="00852466" w:rsidRPr="00C37CDE" w:rsidRDefault="00852466" w:rsidP="00852466">
      <w:pPr>
        <w:pStyle w:val="3Bodytext"/>
        <w:numPr>
          <w:ilvl w:val="0"/>
          <w:numId w:val="0"/>
        </w:numPr>
      </w:pPr>
    </w:p>
    <w:p w14:paraId="324E9A17" w14:textId="77777777" w:rsidR="00852466" w:rsidRDefault="00852466" w:rsidP="00852466">
      <w:pPr>
        <w:pStyle w:val="4-SubsectionHeading"/>
      </w:pPr>
      <w:r>
        <w:t>Change to existing listing - Severe Crohn disease</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Severe Crohn disease"/>
      </w:tblPr>
      <w:tblGrid>
        <w:gridCol w:w="3938"/>
        <w:gridCol w:w="811"/>
        <w:gridCol w:w="812"/>
        <w:gridCol w:w="812"/>
        <w:gridCol w:w="812"/>
        <w:gridCol w:w="1838"/>
      </w:tblGrid>
      <w:tr w:rsidR="00852466" w:rsidRPr="003C5A76" w14:paraId="529C8A6F" w14:textId="77777777">
        <w:trPr>
          <w:cantSplit/>
          <w:trHeight w:val="20"/>
        </w:trPr>
        <w:tc>
          <w:tcPr>
            <w:tcW w:w="3939" w:type="dxa"/>
            <w:vAlign w:val="center"/>
          </w:tcPr>
          <w:p w14:paraId="0C7A3F8C"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MEDICINAL PRODUCT</w:t>
            </w:r>
          </w:p>
          <w:p w14:paraId="48E49382"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medicinal product pack</w:t>
            </w:r>
          </w:p>
        </w:tc>
        <w:tc>
          <w:tcPr>
            <w:tcW w:w="811" w:type="dxa"/>
            <w:vAlign w:val="center"/>
          </w:tcPr>
          <w:p w14:paraId="03FBBE2B"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PBS item code</w:t>
            </w:r>
          </w:p>
        </w:tc>
        <w:tc>
          <w:tcPr>
            <w:tcW w:w="812" w:type="dxa"/>
            <w:vAlign w:val="center"/>
          </w:tcPr>
          <w:p w14:paraId="6BBB2639"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packs</w:t>
            </w:r>
          </w:p>
        </w:tc>
        <w:tc>
          <w:tcPr>
            <w:tcW w:w="812" w:type="dxa"/>
            <w:vAlign w:val="center"/>
          </w:tcPr>
          <w:p w14:paraId="05B6582A"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3F60F5AF"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№.of</w:t>
            </w:r>
          </w:p>
          <w:p w14:paraId="05BE1DC8"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Rpts</w:t>
            </w:r>
          </w:p>
        </w:tc>
        <w:tc>
          <w:tcPr>
            <w:tcW w:w="1838" w:type="dxa"/>
            <w:vAlign w:val="center"/>
          </w:tcPr>
          <w:p w14:paraId="69894803" w14:textId="77777777" w:rsidR="00852466" w:rsidRPr="003C5A76" w:rsidRDefault="00852466">
            <w:pPr>
              <w:keepLines/>
              <w:rPr>
                <w:rFonts w:ascii="Arial Narrow" w:hAnsi="Arial Narrow"/>
                <w:b/>
                <w:sz w:val="20"/>
                <w:szCs w:val="20"/>
                <w:lang w:val="fr-FR"/>
              </w:rPr>
            </w:pPr>
            <w:r w:rsidRPr="003C5A76">
              <w:rPr>
                <w:rFonts w:ascii="Arial Narrow" w:hAnsi="Arial Narrow"/>
                <w:b/>
                <w:sz w:val="20"/>
                <w:szCs w:val="20"/>
              </w:rPr>
              <w:t>Available brands</w:t>
            </w:r>
          </w:p>
        </w:tc>
      </w:tr>
      <w:tr w:rsidR="00852466" w:rsidRPr="003C5A76" w14:paraId="3982C85D" w14:textId="77777777">
        <w:trPr>
          <w:cantSplit/>
          <w:trHeight w:val="20"/>
        </w:trPr>
        <w:tc>
          <w:tcPr>
            <w:tcW w:w="9024" w:type="dxa"/>
            <w:gridSpan w:val="6"/>
            <w:vAlign w:val="center"/>
          </w:tcPr>
          <w:p w14:paraId="5A779B04"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w:t>
            </w:r>
          </w:p>
        </w:tc>
      </w:tr>
      <w:tr w:rsidR="00852466" w:rsidRPr="003C5A76" w14:paraId="5414F954" w14:textId="77777777">
        <w:trPr>
          <w:cantSplit/>
          <w:trHeight w:val="20"/>
        </w:trPr>
        <w:tc>
          <w:tcPr>
            <w:tcW w:w="3939" w:type="dxa"/>
            <w:vAlign w:val="center"/>
          </w:tcPr>
          <w:p w14:paraId="694D5E71"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11" w:type="dxa"/>
            <w:vAlign w:val="center"/>
          </w:tcPr>
          <w:p w14:paraId="582CF9E7"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12407B</w:t>
            </w:r>
          </w:p>
        </w:tc>
        <w:tc>
          <w:tcPr>
            <w:tcW w:w="812" w:type="dxa"/>
            <w:vAlign w:val="center"/>
          </w:tcPr>
          <w:p w14:paraId="507BFF7D"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40053FD1"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246E13DD"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3</w:t>
            </w:r>
          </w:p>
        </w:tc>
        <w:tc>
          <w:tcPr>
            <w:tcW w:w="1838" w:type="dxa"/>
            <w:vAlign w:val="center"/>
          </w:tcPr>
          <w:p w14:paraId="2DFCBE15"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tc>
      </w:tr>
      <w:tr w:rsidR="00852466" w:rsidRPr="003C5A76" w14:paraId="131B59DA" w14:textId="77777777">
        <w:trPr>
          <w:cantSplit/>
          <w:trHeight w:val="20"/>
        </w:trPr>
        <w:tc>
          <w:tcPr>
            <w:tcW w:w="3939" w:type="dxa"/>
            <w:vAlign w:val="center"/>
          </w:tcPr>
          <w:p w14:paraId="43ADF337"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03586DCF"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12373F</w:t>
            </w:r>
          </w:p>
        </w:tc>
        <w:tc>
          <w:tcPr>
            <w:tcW w:w="812" w:type="dxa"/>
            <w:vAlign w:val="center"/>
          </w:tcPr>
          <w:p w14:paraId="72795618"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33E8C3E4"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03AFCE55"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1838" w:type="dxa"/>
            <w:vAlign w:val="center"/>
          </w:tcPr>
          <w:p w14:paraId="0A8B57D1"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1EB4A49A" w14:textId="77777777" w:rsidR="00852466" w:rsidRPr="003C5A76" w:rsidRDefault="00852466">
            <w:pPr>
              <w:keepLines/>
              <w:rPr>
                <w:rFonts w:ascii="Arial Narrow" w:hAnsi="Arial Narrow"/>
                <w:sz w:val="20"/>
                <w:szCs w:val="20"/>
              </w:rPr>
            </w:pPr>
          </w:p>
        </w:tc>
      </w:tr>
      <w:tr w:rsidR="00852466" w:rsidRPr="003C5A76" w14:paraId="5295F37B" w14:textId="77777777">
        <w:trPr>
          <w:cantSplit/>
          <w:trHeight w:val="20"/>
        </w:trPr>
        <w:tc>
          <w:tcPr>
            <w:tcW w:w="3939" w:type="dxa"/>
            <w:vAlign w:val="center"/>
          </w:tcPr>
          <w:p w14:paraId="1B52B2A0"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4E9B60F7"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12338J</w:t>
            </w:r>
          </w:p>
        </w:tc>
        <w:tc>
          <w:tcPr>
            <w:tcW w:w="812" w:type="dxa"/>
            <w:vAlign w:val="center"/>
          </w:tcPr>
          <w:p w14:paraId="39E3D074"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73C0BB1E"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43D76AF4"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1838" w:type="dxa"/>
            <w:vAlign w:val="center"/>
          </w:tcPr>
          <w:p w14:paraId="3A2EF2A0"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361EB1C0" w14:textId="77777777" w:rsidR="00852466" w:rsidRPr="003C5A76" w:rsidRDefault="00852466">
            <w:pPr>
              <w:keepLines/>
              <w:rPr>
                <w:rFonts w:ascii="Arial Narrow" w:hAnsi="Arial Narrow"/>
                <w:sz w:val="20"/>
                <w:szCs w:val="20"/>
              </w:rPr>
            </w:pPr>
          </w:p>
        </w:tc>
      </w:tr>
      <w:tr w:rsidR="00852466" w:rsidRPr="003C5A76" w14:paraId="28D58CCB" w14:textId="77777777">
        <w:trPr>
          <w:cantSplit/>
          <w:trHeight w:val="20"/>
        </w:trPr>
        <w:tc>
          <w:tcPr>
            <w:tcW w:w="3939" w:type="dxa"/>
            <w:vAlign w:val="center"/>
          </w:tcPr>
          <w:p w14:paraId="5DAAA2A1"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762DD85F"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12432H</w:t>
            </w:r>
          </w:p>
        </w:tc>
        <w:tc>
          <w:tcPr>
            <w:tcW w:w="812" w:type="dxa"/>
            <w:vAlign w:val="center"/>
          </w:tcPr>
          <w:p w14:paraId="57D2A534"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47189CEC"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1648EC31"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0699E135"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586153B8" w14:textId="77777777" w:rsidR="00852466" w:rsidRPr="003C5A76" w:rsidRDefault="00852466">
            <w:pPr>
              <w:keepNext/>
              <w:jc w:val="left"/>
              <w:rPr>
                <w:rFonts w:ascii="Arial Narrow" w:hAnsi="Arial Narrow"/>
                <w:sz w:val="20"/>
                <w:szCs w:val="20"/>
              </w:rPr>
            </w:pPr>
          </w:p>
        </w:tc>
      </w:tr>
      <w:tr w:rsidR="00852466" w:rsidRPr="003C5A76" w14:paraId="186CB816" w14:textId="77777777">
        <w:trPr>
          <w:cantSplit/>
          <w:trHeight w:val="20"/>
        </w:trPr>
        <w:tc>
          <w:tcPr>
            <w:tcW w:w="3939" w:type="dxa"/>
            <w:vAlign w:val="center"/>
          </w:tcPr>
          <w:p w14:paraId="2386FE25"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0CD0A657"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12455M</w:t>
            </w:r>
          </w:p>
        </w:tc>
        <w:tc>
          <w:tcPr>
            <w:tcW w:w="812" w:type="dxa"/>
            <w:vAlign w:val="center"/>
          </w:tcPr>
          <w:p w14:paraId="3B8A035D"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38AFE39F"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4EBC26A0"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23229621"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00E626D7" w14:textId="77777777" w:rsidR="00852466" w:rsidRPr="003C5A76" w:rsidRDefault="00852466">
            <w:pPr>
              <w:keepNext/>
              <w:jc w:val="left"/>
              <w:rPr>
                <w:rFonts w:ascii="Arial Narrow" w:hAnsi="Arial Narrow"/>
                <w:sz w:val="20"/>
                <w:szCs w:val="20"/>
              </w:rPr>
            </w:pPr>
          </w:p>
        </w:tc>
      </w:tr>
      <w:tr w:rsidR="00852466" w:rsidRPr="003C5A76" w14:paraId="416FEF30" w14:textId="77777777">
        <w:trPr>
          <w:cantSplit/>
          <w:trHeight w:val="20"/>
        </w:trPr>
        <w:tc>
          <w:tcPr>
            <w:tcW w:w="3939" w:type="dxa"/>
            <w:vAlign w:val="center"/>
          </w:tcPr>
          <w:p w14:paraId="1DDEDD64"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80 mg/0.8 mL injection, 0.8 mL pen device</w:t>
            </w:r>
          </w:p>
        </w:tc>
        <w:tc>
          <w:tcPr>
            <w:tcW w:w="811" w:type="dxa"/>
            <w:vAlign w:val="center"/>
          </w:tcPr>
          <w:p w14:paraId="09E0098E"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12426B</w:t>
            </w:r>
          </w:p>
        </w:tc>
        <w:tc>
          <w:tcPr>
            <w:tcW w:w="812" w:type="dxa"/>
            <w:vAlign w:val="center"/>
          </w:tcPr>
          <w:p w14:paraId="72DB3B9A"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5F8A6F2D"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5CD80D0E"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6779A7A7"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41219C24" w14:textId="77777777" w:rsidR="00852466" w:rsidRPr="003C5A76" w:rsidRDefault="00852466">
            <w:pPr>
              <w:keepNext/>
              <w:jc w:val="left"/>
              <w:rPr>
                <w:rFonts w:ascii="Arial Narrow" w:hAnsi="Arial Narrow"/>
                <w:sz w:val="20"/>
                <w:szCs w:val="20"/>
              </w:rPr>
            </w:pPr>
          </w:p>
        </w:tc>
      </w:tr>
      <w:tr w:rsidR="00852466" w:rsidRPr="003C5A76" w14:paraId="2870DAA8" w14:textId="77777777">
        <w:trPr>
          <w:cantSplit/>
          <w:trHeight w:val="20"/>
        </w:trPr>
        <w:tc>
          <w:tcPr>
            <w:tcW w:w="3939" w:type="dxa"/>
            <w:vAlign w:val="center"/>
          </w:tcPr>
          <w:p w14:paraId="7E37E3AB"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80 mg/0.8 mL injection, 0.8 mL syringe</w:t>
            </w:r>
          </w:p>
        </w:tc>
        <w:tc>
          <w:tcPr>
            <w:tcW w:w="811" w:type="dxa"/>
            <w:vAlign w:val="center"/>
          </w:tcPr>
          <w:p w14:paraId="41261227"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12409D</w:t>
            </w:r>
          </w:p>
        </w:tc>
        <w:tc>
          <w:tcPr>
            <w:tcW w:w="812" w:type="dxa"/>
            <w:vAlign w:val="center"/>
          </w:tcPr>
          <w:p w14:paraId="6C9345E5"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68ED5953"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488BE29"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3CF41225"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7A68FAF7" w14:textId="77777777" w:rsidR="00852466" w:rsidRPr="003C5A76" w:rsidRDefault="00852466">
            <w:pPr>
              <w:keepNext/>
              <w:jc w:val="left"/>
              <w:rPr>
                <w:rFonts w:ascii="Arial Narrow" w:hAnsi="Arial Narrow"/>
                <w:sz w:val="20"/>
                <w:szCs w:val="20"/>
              </w:rPr>
            </w:pPr>
          </w:p>
        </w:tc>
      </w:tr>
      <w:tr w:rsidR="00852466" w:rsidRPr="003C5A76" w14:paraId="5008C761" w14:textId="77777777">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right w:val="single" w:sz="4" w:space="0" w:color="auto"/>
            </w:tcBorders>
            <w:vAlign w:val="center"/>
          </w:tcPr>
          <w:p w14:paraId="0C811B80" w14:textId="77777777" w:rsidR="00852466" w:rsidRPr="003C5A76" w:rsidRDefault="00852466">
            <w:pPr>
              <w:rPr>
                <w:rFonts w:ascii="Arial Narrow" w:hAnsi="Arial Narrow"/>
                <w:sz w:val="20"/>
                <w:szCs w:val="20"/>
              </w:rPr>
            </w:pPr>
          </w:p>
        </w:tc>
      </w:tr>
      <w:tr w:rsidR="00852466" w:rsidRPr="003C5A76" w14:paraId="5013C078" w14:textId="77777777">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7BD5B1D2" w14:textId="77777777" w:rsidR="00852466" w:rsidRPr="003C5A76" w:rsidRDefault="00852466">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40BCEC21" w14:textId="77777777">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20CBAD1D"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7795DED7" w14:textId="77777777">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2ABB897A" w14:textId="77777777" w:rsidR="00852466" w:rsidRPr="003C5A76" w:rsidRDefault="00852466">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7ACB0B83" w14:textId="77777777">
        <w:tblPrEx>
          <w:tblCellMar>
            <w:top w:w="15" w:type="dxa"/>
            <w:bottom w:w="15" w:type="dxa"/>
          </w:tblCellMar>
        </w:tblPrEx>
        <w:trPr>
          <w:trHeight w:val="20"/>
        </w:trPr>
        <w:tc>
          <w:tcPr>
            <w:tcW w:w="9024" w:type="dxa"/>
            <w:gridSpan w:val="6"/>
            <w:vAlign w:val="center"/>
          </w:tcPr>
          <w:p w14:paraId="4B92CFEC"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Administrative Advice:</w:t>
            </w:r>
          </w:p>
          <w:p w14:paraId="5A3F6746"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TREATMENT OF PAEDIATRIC PATIENTS WITH REFRACTORY CROHN DISEASE</w:t>
            </w:r>
          </w:p>
          <w:p w14:paraId="4D69E0C4" w14:textId="77777777" w:rsidR="00852466" w:rsidRPr="00116AFD" w:rsidRDefault="00852466">
            <w:pPr>
              <w:rPr>
                <w:rFonts w:ascii="Arial Narrow" w:hAnsi="Arial Narrow"/>
                <w:b/>
                <w:bCs/>
                <w:sz w:val="20"/>
                <w:szCs w:val="20"/>
              </w:rPr>
            </w:pPr>
          </w:p>
          <w:p w14:paraId="71E08E1A" w14:textId="77777777" w:rsidR="00852466" w:rsidRPr="00116AFD" w:rsidRDefault="00852466">
            <w:pPr>
              <w:rPr>
                <w:rFonts w:ascii="Arial Narrow" w:hAnsi="Arial Narrow"/>
                <w:sz w:val="20"/>
                <w:szCs w:val="20"/>
              </w:rPr>
            </w:pPr>
            <w:r w:rsidRPr="00116AFD">
              <w:rPr>
                <w:rFonts w:ascii="Arial Narrow" w:hAnsi="Arial Narrow"/>
                <w:sz w:val="20"/>
                <w:szCs w:val="20"/>
              </w:rPr>
              <w:t>The following information applies to the prescribing under the Pharmaceutical Benefits Scheme (PBS) for paediatric patients with adalimumab for severe refractory Crohn disease and infliximab for moderate to severe refractory Crohn disease. Where the term "biological medicines" appears in the following notes and restrictions, it refers to adalimumab and infliximab only.</w:t>
            </w:r>
          </w:p>
          <w:p w14:paraId="4EB85F8D" w14:textId="77777777" w:rsidR="00852466" w:rsidRPr="00116AFD" w:rsidRDefault="00852466">
            <w:pPr>
              <w:rPr>
                <w:rFonts w:ascii="Arial Narrow" w:hAnsi="Arial Narrow"/>
                <w:sz w:val="20"/>
                <w:szCs w:val="20"/>
              </w:rPr>
            </w:pPr>
          </w:p>
          <w:p w14:paraId="1236717A" w14:textId="77777777" w:rsidR="00852466" w:rsidRPr="00116AFD" w:rsidRDefault="00852466">
            <w:pPr>
              <w:rPr>
                <w:rFonts w:ascii="Arial Narrow" w:hAnsi="Arial Narrow"/>
                <w:sz w:val="20"/>
                <w:szCs w:val="20"/>
              </w:rPr>
            </w:pPr>
            <w:r w:rsidRPr="00116AFD">
              <w:rPr>
                <w:rFonts w:ascii="Arial Narrow" w:hAnsi="Arial Narrow"/>
                <w:sz w:val="20"/>
                <w:szCs w:val="20"/>
              </w:rPr>
              <w:t>A patient is eligible for PBS-subsidised treatment with only one PBS-subsidised biological medicine at any one time.</w:t>
            </w:r>
          </w:p>
          <w:p w14:paraId="4DAC1336" w14:textId="77777777" w:rsidR="00852466" w:rsidRPr="00116AFD" w:rsidRDefault="00852466">
            <w:pPr>
              <w:rPr>
                <w:rFonts w:ascii="Arial Narrow" w:hAnsi="Arial Narrow"/>
                <w:sz w:val="20"/>
                <w:szCs w:val="20"/>
              </w:rPr>
            </w:pPr>
          </w:p>
          <w:p w14:paraId="5D69D9CE" w14:textId="77777777" w:rsidR="00852466" w:rsidRPr="00116AFD" w:rsidRDefault="00852466">
            <w:pPr>
              <w:rPr>
                <w:rFonts w:ascii="Arial Narrow" w:hAnsi="Arial Narrow"/>
                <w:sz w:val="20"/>
                <w:szCs w:val="20"/>
              </w:rPr>
            </w:pPr>
            <w:r w:rsidRPr="00116AFD">
              <w:rPr>
                <w:rFonts w:ascii="Arial Narrow" w:hAnsi="Arial Narrow"/>
                <w:sz w:val="20"/>
                <w:szCs w:val="20"/>
              </w:rPr>
              <w:t>From 1 August 2015, under the PBS, patients will be able to commence a treatment cycle where they may trial a PBS-subsidised biological medicine without having to experience a disease flare when swapping to the alternate agent. Under these arrangements, within a single treatment cycle, a patient may continue to receive long-term treatment with a biological medicine while they continue to show a response to therapy.</w:t>
            </w:r>
          </w:p>
          <w:p w14:paraId="40D58FD9" w14:textId="77777777" w:rsidR="00852466" w:rsidRPr="00116AFD" w:rsidRDefault="00852466">
            <w:pPr>
              <w:rPr>
                <w:rFonts w:ascii="Arial Narrow" w:hAnsi="Arial Narrow"/>
                <w:sz w:val="20"/>
                <w:szCs w:val="20"/>
              </w:rPr>
            </w:pPr>
          </w:p>
          <w:p w14:paraId="5BFC53C5" w14:textId="77777777" w:rsidR="00852466" w:rsidRPr="00116AFD" w:rsidRDefault="00852466">
            <w:pPr>
              <w:rPr>
                <w:rFonts w:ascii="Arial Narrow" w:hAnsi="Arial Narrow"/>
                <w:sz w:val="20"/>
                <w:szCs w:val="20"/>
              </w:rPr>
            </w:pPr>
            <w:r w:rsidRPr="00116AFD">
              <w:rPr>
                <w:rFonts w:ascii="Arial Narrow" w:hAnsi="Arial Narrow"/>
                <w:sz w:val="20"/>
                <w:szCs w:val="20"/>
              </w:rPr>
              <w:t>A patient who received PBS-subsidised biological medicine treatment prior to 1 August 2015 is considered to have started their treatment cycle as of 1 August 2015.</w:t>
            </w:r>
          </w:p>
          <w:p w14:paraId="7A268188" w14:textId="77777777" w:rsidR="00852466" w:rsidRPr="00116AFD" w:rsidRDefault="00852466">
            <w:pPr>
              <w:rPr>
                <w:rFonts w:ascii="Arial Narrow" w:hAnsi="Arial Narrow"/>
                <w:sz w:val="20"/>
                <w:szCs w:val="20"/>
              </w:rPr>
            </w:pPr>
          </w:p>
          <w:p w14:paraId="32443DDC" w14:textId="77777777" w:rsidR="00852466" w:rsidRPr="00116AFD" w:rsidRDefault="00852466">
            <w:pPr>
              <w:rPr>
                <w:rFonts w:ascii="Arial Narrow" w:hAnsi="Arial Narrow"/>
                <w:sz w:val="20"/>
                <w:szCs w:val="20"/>
              </w:rPr>
            </w:pPr>
            <w:r w:rsidRPr="00116AFD">
              <w:rPr>
                <w:rFonts w:ascii="Arial Narrow" w:hAnsi="Arial Narrow"/>
                <w:sz w:val="20"/>
                <w:szCs w:val="20"/>
              </w:rPr>
              <w:t>Within the same treatment cycle, a paediatric patient cannot trial and fail, or cease to respond to, the same PBS-subsidised biological medicine more than twice.</w:t>
            </w:r>
          </w:p>
          <w:p w14:paraId="7F05F9B5" w14:textId="77777777" w:rsidR="00852466" w:rsidRPr="00116AFD" w:rsidRDefault="00852466">
            <w:pPr>
              <w:rPr>
                <w:rFonts w:ascii="Arial Narrow" w:hAnsi="Arial Narrow"/>
                <w:sz w:val="20"/>
                <w:szCs w:val="20"/>
              </w:rPr>
            </w:pPr>
          </w:p>
          <w:p w14:paraId="23499E53"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Once a patient has either failed, or ceased to respond to treatment for this condition 3 times, they are deemed to have completed a treatment cycle and they </w:t>
            </w:r>
            <w:proofErr w:type="gramStart"/>
            <w:r w:rsidRPr="00116AFD">
              <w:rPr>
                <w:rFonts w:ascii="Arial Narrow" w:hAnsi="Arial Narrow"/>
                <w:sz w:val="20"/>
                <w:szCs w:val="20"/>
              </w:rPr>
              <w:t>must have,</w:t>
            </w:r>
            <w:proofErr w:type="gramEnd"/>
            <w:r w:rsidRPr="00116AFD">
              <w:rPr>
                <w:rFonts w:ascii="Arial Narrow" w:hAnsi="Arial Narrow"/>
                <w:sz w:val="20"/>
                <w:szCs w:val="20"/>
              </w:rPr>
              <w:t xml:space="preserve"> at a minimum, a 5-year break in PBS-subsidised biological medicine therapy for this condition before they are eligible to commence the next cycle. The 5-year break is measured from the date of the last approval for PBS-subsidised biological medicine treatment in the most recent cycle to the date of the first application for initial treatment with a biological medicine under the new treatment cycle.</w:t>
            </w:r>
          </w:p>
          <w:p w14:paraId="5A4B9C82" w14:textId="77777777" w:rsidR="00852466" w:rsidRPr="00116AFD" w:rsidRDefault="00852466">
            <w:pPr>
              <w:rPr>
                <w:rFonts w:ascii="Arial Narrow" w:hAnsi="Arial Narrow"/>
                <w:sz w:val="20"/>
                <w:szCs w:val="20"/>
              </w:rPr>
            </w:pPr>
          </w:p>
          <w:p w14:paraId="21C01692" w14:textId="77777777" w:rsidR="00852466" w:rsidRPr="00116AFD" w:rsidRDefault="00852466">
            <w:pPr>
              <w:rPr>
                <w:rFonts w:ascii="Arial Narrow" w:hAnsi="Arial Narrow"/>
                <w:sz w:val="20"/>
                <w:szCs w:val="20"/>
              </w:rPr>
            </w:pPr>
            <w:r w:rsidRPr="00116AFD">
              <w:rPr>
                <w:rFonts w:ascii="Arial Narrow" w:hAnsi="Arial Narrow"/>
                <w:sz w:val="20"/>
                <w:szCs w:val="20"/>
              </w:rPr>
              <w:t>A patient who has failed fewer than 3 trials of biological medicine therapy in a treatment cycle and who has a break in therapy of less than 5 years may commence a further course of treatment within the same treatment cycle.</w:t>
            </w:r>
          </w:p>
          <w:p w14:paraId="612EB5BB" w14:textId="77777777" w:rsidR="00852466" w:rsidRPr="00116AFD" w:rsidRDefault="00852466">
            <w:pPr>
              <w:rPr>
                <w:rFonts w:ascii="Arial Narrow" w:hAnsi="Arial Narrow"/>
                <w:sz w:val="20"/>
                <w:szCs w:val="20"/>
              </w:rPr>
            </w:pPr>
          </w:p>
          <w:p w14:paraId="57FEA6D7" w14:textId="77777777" w:rsidR="00852466" w:rsidRPr="00116AFD" w:rsidRDefault="00852466">
            <w:pPr>
              <w:rPr>
                <w:rFonts w:ascii="Arial Narrow" w:hAnsi="Arial Narrow"/>
                <w:sz w:val="20"/>
                <w:szCs w:val="20"/>
              </w:rPr>
            </w:pPr>
            <w:r w:rsidRPr="00116AFD">
              <w:rPr>
                <w:rFonts w:ascii="Arial Narrow" w:hAnsi="Arial Narrow"/>
                <w:sz w:val="20"/>
                <w:szCs w:val="20"/>
              </w:rPr>
              <w:t>A patient who has failed 3 trials or fewer of biological medicine therapy in a treatment cycle and who has a break in therapy of more than 5 years may commence a new treatment cycle.</w:t>
            </w:r>
          </w:p>
          <w:p w14:paraId="5F537320" w14:textId="77777777" w:rsidR="00852466" w:rsidRPr="00116AFD" w:rsidRDefault="00852466">
            <w:pPr>
              <w:rPr>
                <w:rFonts w:ascii="Arial Narrow" w:hAnsi="Arial Narrow"/>
                <w:sz w:val="20"/>
                <w:szCs w:val="20"/>
              </w:rPr>
            </w:pPr>
          </w:p>
          <w:p w14:paraId="1F74777B" w14:textId="77777777" w:rsidR="00852466" w:rsidRPr="00116AFD" w:rsidRDefault="00852466">
            <w:pPr>
              <w:rPr>
                <w:rFonts w:ascii="Arial Narrow" w:hAnsi="Arial Narrow"/>
                <w:sz w:val="20"/>
                <w:szCs w:val="20"/>
              </w:rPr>
            </w:pPr>
            <w:r w:rsidRPr="00116AFD">
              <w:rPr>
                <w:rFonts w:ascii="Arial Narrow" w:hAnsi="Arial Narrow"/>
                <w:sz w:val="20"/>
                <w:szCs w:val="20"/>
              </w:rPr>
              <w:t>There is no limit to the number of treatment cycles a patient may undertake in their lifetime.</w:t>
            </w:r>
          </w:p>
          <w:p w14:paraId="52186FE4" w14:textId="77777777" w:rsidR="00852466" w:rsidRPr="00116AFD" w:rsidRDefault="00852466">
            <w:pPr>
              <w:rPr>
                <w:rFonts w:ascii="Arial Narrow" w:hAnsi="Arial Narrow"/>
                <w:sz w:val="20"/>
                <w:szCs w:val="20"/>
              </w:rPr>
            </w:pPr>
          </w:p>
          <w:p w14:paraId="0E895F3D" w14:textId="77777777" w:rsidR="00852466" w:rsidRPr="00116AFD" w:rsidRDefault="00852466">
            <w:pPr>
              <w:rPr>
                <w:rFonts w:ascii="Arial Narrow" w:hAnsi="Arial Narrow"/>
                <w:sz w:val="20"/>
                <w:szCs w:val="20"/>
              </w:rPr>
            </w:pPr>
            <w:r w:rsidRPr="00116AFD">
              <w:rPr>
                <w:rFonts w:ascii="Arial Narrow" w:hAnsi="Arial Narrow"/>
                <w:sz w:val="20"/>
                <w:szCs w:val="20"/>
              </w:rPr>
              <w:t>How to prescribe PBS-subsidised biological medicine therapy after 1 August 2015.</w:t>
            </w:r>
          </w:p>
          <w:p w14:paraId="47175FBB" w14:textId="77777777" w:rsidR="00852466" w:rsidRPr="00116AFD" w:rsidRDefault="00852466">
            <w:pPr>
              <w:rPr>
                <w:rFonts w:ascii="Arial Narrow" w:hAnsi="Arial Narrow"/>
                <w:sz w:val="20"/>
                <w:szCs w:val="20"/>
              </w:rPr>
            </w:pPr>
          </w:p>
          <w:p w14:paraId="66C06817" w14:textId="77777777" w:rsidR="00852466" w:rsidRPr="00116AFD" w:rsidRDefault="00852466">
            <w:pPr>
              <w:rPr>
                <w:rFonts w:ascii="Arial Narrow" w:hAnsi="Arial Narrow"/>
                <w:sz w:val="20"/>
                <w:szCs w:val="20"/>
              </w:rPr>
            </w:pPr>
            <w:r w:rsidRPr="00116AFD">
              <w:rPr>
                <w:rFonts w:ascii="Arial Narrow" w:hAnsi="Arial Narrow"/>
                <w:sz w:val="20"/>
                <w:szCs w:val="20"/>
              </w:rPr>
              <w:t>(1) Initial treatment.</w:t>
            </w:r>
          </w:p>
          <w:p w14:paraId="7E662E6A" w14:textId="77777777" w:rsidR="00852466" w:rsidRPr="00116AFD" w:rsidRDefault="00852466">
            <w:pPr>
              <w:rPr>
                <w:rFonts w:ascii="Arial Narrow" w:hAnsi="Arial Narrow"/>
                <w:sz w:val="20"/>
                <w:szCs w:val="20"/>
              </w:rPr>
            </w:pPr>
          </w:p>
          <w:p w14:paraId="310FA693" w14:textId="77777777" w:rsidR="00852466" w:rsidRPr="00116AFD" w:rsidRDefault="00852466">
            <w:pPr>
              <w:rPr>
                <w:rFonts w:ascii="Arial Narrow" w:hAnsi="Arial Narrow"/>
                <w:sz w:val="20"/>
                <w:szCs w:val="20"/>
              </w:rPr>
            </w:pPr>
            <w:r w:rsidRPr="00116AFD">
              <w:rPr>
                <w:rFonts w:ascii="Arial Narrow" w:hAnsi="Arial Narrow"/>
                <w:sz w:val="20"/>
                <w:szCs w:val="20"/>
              </w:rPr>
              <w:t>Applications for initial treatment should be made where:</w:t>
            </w:r>
          </w:p>
          <w:p w14:paraId="407617DD" w14:textId="77777777" w:rsidR="00852466" w:rsidRPr="00116AFD" w:rsidRDefault="00852466">
            <w:pPr>
              <w:rPr>
                <w:rFonts w:ascii="Arial Narrow" w:hAnsi="Arial Narrow"/>
                <w:sz w:val="20"/>
                <w:szCs w:val="20"/>
              </w:rPr>
            </w:pPr>
          </w:p>
          <w:p w14:paraId="0D7E578C" w14:textId="77777777" w:rsidR="00852466" w:rsidRPr="00116AFD" w:rsidRDefault="00852466">
            <w:pPr>
              <w:rPr>
                <w:rFonts w:ascii="Arial Narrow" w:hAnsi="Arial Narrow"/>
                <w:sz w:val="20"/>
                <w:szCs w:val="20"/>
              </w:rPr>
            </w:pPr>
            <w:r w:rsidRPr="00116AFD">
              <w:rPr>
                <w:rFonts w:ascii="Arial Narrow" w:hAnsi="Arial Narrow"/>
                <w:sz w:val="20"/>
                <w:szCs w:val="20"/>
              </w:rPr>
              <w:t>(i) a patient has received no prior PBS-subsidised biological medicine therapy in this treatment cycle and wishes to commence such therapy - Initial 1 (new patient); or</w:t>
            </w:r>
          </w:p>
          <w:p w14:paraId="42F15CAB" w14:textId="77777777" w:rsidR="00852466" w:rsidRPr="00116AFD" w:rsidRDefault="00852466">
            <w:pPr>
              <w:rPr>
                <w:rFonts w:ascii="Arial Narrow" w:hAnsi="Arial Narrow"/>
                <w:b/>
                <w:bCs/>
                <w:sz w:val="20"/>
                <w:szCs w:val="20"/>
              </w:rPr>
            </w:pPr>
          </w:p>
          <w:p w14:paraId="407CD88C" w14:textId="77777777" w:rsidR="00852466" w:rsidRPr="00116AFD" w:rsidRDefault="00852466">
            <w:pPr>
              <w:rPr>
                <w:rFonts w:ascii="Arial Narrow" w:hAnsi="Arial Narrow"/>
                <w:sz w:val="20"/>
                <w:szCs w:val="20"/>
              </w:rPr>
            </w:pPr>
            <w:r w:rsidRPr="00116AFD">
              <w:rPr>
                <w:rFonts w:ascii="Arial Narrow" w:hAnsi="Arial Narrow"/>
                <w:sz w:val="20"/>
                <w:szCs w:val="20"/>
              </w:rPr>
              <w:t>(ii) a patient has received prior PBS-subsidised (initial or continuing) biological medicine therapy and wishes to trial an alternate agent - Initial 2 (Change or Re-commencement of treatment after a break in therapy of less than 5 years ) [further details are under 'Swapping therapy' below]; or</w:t>
            </w:r>
          </w:p>
          <w:p w14:paraId="108C5731" w14:textId="77777777" w:rsidR="00852466" w:rsidRPr="00116AFD" w:rsidRDefault="00852466">
            <w:pPr>
              <w:rPr>
                <w:rFonts w:ascii="Arial Narrow" w:hAnsi="Arial Narrow"/>
                <w:sz w:val="20"/>
                <w:szCs w:val="20"/>
              </w:rPr>
            </w:pPr>
          </w:p>
          <w:p w14:paraId="72F9AE97" w14:textId="77777777" w:rsidR="00852466" w:rsidRPr="00116AFD" w:rsidRDefault="00852466">
            <w:pPr>
              <w:rPr>
                <w:rFonts w:ascii="Arial Narrow" w:hAnsi="Arial Narrow"/>
                <w:sz w:val="20"/>
                <w:szCs w:val="20"/>
              </w:rPr>
            </w:pPr>
            <w:r w:rsidRPr="00116AFD">
              <w:rPr>
                <w:rFonts w:ascii="Arial Narrow" w:hAnsi="Arial Narrow"/>
                <w:sz w:val="20"/>
                <w:szCs w:val="20"/>
              </w:rPr>
              <w:t>(iii) a patient wishes to re-commence treatment with a specific biological medicine following a break in PBS-subsidised therapy with that agent - Initial 2 (Change or Re-commencement of treatment after a break in therapy of less than 5 years ); or</w:t>
            </w:r>
          </w:p>
          <w:p w14:paraId="6FABD51B" w14:textId="77777777" w:rsidR="00852466" w:rsidRPr="00116AFD" w:rsidRDefault="00852466">
            <w:pPr>
              <w:rPr>
                <w:rFonts w:ascii="Arial Narrow" w:hAnsi="Arial Narrow"/>
                <w:sz w:val="20"/>
                <w:szCs w:val="20"/>
              </w:rPr>
            </w:pPr>
          </w:p>
          <w:p w14:paraId="2E1B6F8F" w14:textId="77777777" w:rsidR="00852466" w:rsidRPr="00116AFD" w:rsidRDefault="00852466">
            <w:pPr>
              <w:rPr>
                <w:rFonts w:ascii="Arial Narrow" w:hAnsi="Arial Narrow"/>
                <w:sz w:val="20"/>
                <w:szCs w:val="20"/>
              </w:rPr>
            </w:pPr>
            <w:r w:rsidRPr="00116AFD">
              <w:rPr>
                <w:rFonts w:ascii="Arial Narrow" w:hAnsi="Arial Narrow"/>
                <w:sz w:val="20"/>
                <w:szCs w:val="20"/>
              </w:rPr>
              <w:t>(iv) a patient wishes to recommence treatment with a biological medicine following a break in PBS-subsidised therapy of more than 5 years - Initial 3 (Recommencement of treatment after a break in biological medicine of more than 5 years).</w:t>
            </w:r>
          </w:p>
          <w:p w14:paraId="6D939970" w14:textId="77777777" w:rsidR="00852466" w:rsidRPr="00116AFD" w:rsidRDefault="00852466">
            <w:pPr>
              <w:rPr>
                <w:rFonts w:ascii="Arial Narrow" w:hAnsi="Arial Narrow"/>
                <w:sz w:val="20"/>
                <w:szCs w:val="20"/>
              </w:rPr>
            </w:pPr>
          </w:p>
          <w:p w14:paraId="52724B62" w14:textId="77777777" w:rsidR="00852466" w:rsidRPr="00116AFD" w:rsidRDefault="00852466">
            <w:pPr>
              <w:rPr>
                <w:rFonts w:ascii="Arial Narrow" w:hAnsi="Arial Narrow"/>
                <w:sz w:val="20"/>
                <w:szCs w:val="20"/>
              </w:rPr>
            </w:pPr>
            <w:r w:rsidRPr="00116AFD">
              <w:rPr>
                <w:rFonts w:ascii="Arial Narrow" w:hAnsi="Arial Narrow"/>
                <w:sz w:val="20"/>
                <w:szCs w:val="20"/>
              </w:rPr>
              <w:t>Initial treatment authorisations will be limited to provide for a maximum of 16 weeks of therapy for adalimumab and 14 weeks of therapy for infliximab.</w:t>
            </w:r>
          </w:p>
          <w:p w14:paraId="05C2C573" w14:textId="77777777" w:rsidR="00852466" w:rsidRPr="00116AFD" w:rsidRDefault="00852466">
            <w:pPr>
              <w:rPr>
                <w:rFonts w:ascii="Arial Narrow" w:hAnsi="Arial Narrow"/>
                <w:sz w:val="20"/>
                <w:szCs w:val="20"/>
              </w:rPr>
            </w:pPr>
          </w:p>
          <w:p w14:paraId="1C1D6DE6" w14:textId="77777777" w:rsidR="00852466" w:rsidRPr="00116AFD" w:rsidRDefault="00852466">
            <w:pPr>
              <w:rPr>
                <w:rFonts w:ascii="Arial Narrow" w:hAnsi="Arial Narrow"/>
                <w:sz w:val="20"/>
                <w:szCs w:val="20"/>
              </w:rPr>
            </w:pPr>
            <w:r w:rsidRPr="00116AFD">
              <w:rPr>
                <w:rFonts w:ascii="Arial Narrow" w:hAnsi="Arial Narrow"/>
                <w:sz w:val="20"/>
                <w:szCs w:val="20"/>
              </w:rPr>
              <w:t>From 1 August 2015, a patient must be assessed for response to any course of initial PBS-subsidised biological therapy following a minimum of 12 weeks of therapy for adalimumab and up to 12 weeks after the first dose (6 weeks following the third dose) for infliximab, and this assessment must be conducted no later than 4 weeks from the date that course was ceased.</w:t>
            </w:r>
          </w:p>
          <w:p w14:paraId="300DCEF9" w14:textId="77777777" w:rsidR="00852466" w:rsidRPr="00116AFD" w:rsidRDefault="00852466">
            <w:pPr>
              <w:rPr>
                <w:rFonts w:ascii="Arial Narrow" w:hAnsi="Arial Narrow"/>
                <w:b/>
                <w:bCs/>
                <w:sz w:val="20"/>
                <w:szCs w:val="20"/>
              </w:rPr>
            </w:pPr>
          </w:p>
          <w:p w14:paraId="1CC9E5B3" w14:textId="77777777" w:rsidR="00852466" w:rsidRPr="00116AFD" w:rsidRDefault="00852466">
            <w:pPr>
              <w:rPr>
                <w:rFonts w:ascii="Arial Narrow" w:hAnsi="Arial Narrow"/>
                <w:sz w:val="20"/>
                <w:szCs w:val="20"/>
              </w:rPr>
            </w:pPr>
            <w:r w:rsidRPr="00116AFD">
              <w:rPr>
                <w:rFonts w:ascii="Arial Narrow" w:hAnsi="Arial Narrow"/>
                <w:sz w:val="20"/>
                <w:szCs w:val="20"/>
              </w:rPr>
              <w:t>Where a response assessment is not conducted within these timeframes, the patient will be deemed to have failed to respond to treatment with that biological medicine unless the patient has experienced a serious adverse reaction of a severity resulting in the necessity for permanent withdrawal of treatment.</w:t>
            </w:r>
          </w:p>
          <w:p w14:paraId="087DC332" w14:textId="77777777" w:rsidR="00852466" w:rsidRPr="00116AFD" w:rsidRDefault="00852466">
            <w:pPr>
              <w:rPr>
                <w:rFonts w:ascii="Arial Narrow" w:hAnsi="Arial Narrow"/>
                <w:sz w:val="20"/>
                <w:szCs w:val="20"/>
              </w:rPr>
            </w:pPr>
          </w:p>
          <w:p w14:paraId="5BB60D5C" w14:textId="77777777" w:rsidR="00852466" w:rsidRPr="00116AFD" w:rsidRDefault="00852466">
            <w:pPr>
              <w:rPr>
                <w:rFonts w:ascii="Arial Narrow" w:hAnsi="Arial Narrow"/>
                <w:sz w:val="20"/>
                <w:szCs w:val="20"/>
              </w:rPr>
            </w:pPr>
            <w:r w:rsidRPr="00116AFD">
              <w:rPr>
                <w:rFonts w:ascii="Arial Narrow" w:hAnsi="Arial Narrow"/>
                <w:sz w:val="20"/>
                <w:szCs w:val="20"/>
              </w:rPr>
              <w:t>(2) Continuing treatment.</w:t>
            </w:r>
          </w:p>
          <w:p w14:paraId="722B651A" w14:textId="77777777" w:rsidR="00852466" w:rsidRPr="00116AFD" w:rsidRDefault="00852466">
            <w:pPr>
              <w:rPr>
                <w:rFonts w:ascii="Arial Narrow" w:hAnsi="Arial Narrow"/>
                <w:sz w:val="20"/>
                <w:szCs w:val="20"/>
              </w:rPr>
            </w:pPr>
          </w:p>
          <w:p w14:paraId="05D278C1" w14:textId="77777777" w:rsidR="00852466" w:rsidRPr="00116AFD" w:rsidRDefault="00852466">
            <w:pPr>
              <w:rPr>
                <w:rFonts w:ascii="Arial Narrow" w:hAnsi="Arial Narrow"/>
                <w:sz w:val="20"/>
                <w:szCs w:val="20"/>
              </w:rPr>
            </w:pPr>
            <w:r w:rsidRPr="00116AFD">
              <w:rPr>
                <w:rFonts w:ascii="Arial Narrow" w:hAnsi="Arial Narrow"/>
                <w:sz w:val="20"/>
                <w:szCs w:val="20"/>
              </w:rPr>
              <w:t>Following the completion of an initial treatment course with a specific biological medicine, a patient remains eligible to receive up to 24 weeks per course of continuing treatment under the First continuing treatment and Subsequent continuing treatment restrictions with that drug providing they continue to sustain the response.</w:t>
            </w:r>
          </w:p>
          <w:p w14:paraId="766F4393" w14:textId="77777777" w:rsidR="00852466" w:rsidRPr="00116AFD" w:rsidRDefault="00852466">
            <w:pPr>
              <w:rPr>
                <w:rFonts w:ascii="Arial Narrow" w:hAnsi="Arial Narrow"/>
                <w:sz w:val="20"/>
                <w:szCs w:val="20"/>
              </w:rPr>
            </w:pPr>
          </w:p>
          <w:p w14:paraId="258058D6" w14:textId="77777777" w:rsidR="00852466" w:rsidRPr="00116AFD" w:rsidRDefault="00852466">
            <w:pPr>
              <w:rPr>
                <w:rFonts w:ascii="Arial Narrow" w:hAnsi="Arial Narrow"/>
                <w:sz w:val="20"/>
                <w:szCs w:val="20"/>
              </w:rPr>
            </w:pPr>
            <w:r w:rsidRPr="00116AFD">
              <w:rPr>
                <w:rFonts w:ascii="Arial Narrow" w:hAnsi="Arial Narrow"/>
                <w:sz w:val="20"/>
                <w:szCs w:val="20"/>
              </w:rPr>
              <w:t>It is recommended that a patient is reviewed for response following a minimum of 12 weeks of therapy and no later than 4 weeks from the completion of the most recent course of treatment.</w:t>
            </w:r>
          </w:p>
          <w:p w14:paraId="47DCDC17" w14:textId="77777777" w:rsidR="00852466" w:rsidRPr="00116AFD" w:rsidRDefault="00852466">
            <w:pPr>
              <w:rPr>
                <w:rFonts w:ascii="Arial Narrow" w:hAnsi="Arial Narrow"/>
                <w:sz w:val="20"/>
                <w:szCs w:val="20"/>
              </w:rPr>
            </w:pPr>
          </w:p>
          <w:p w14:paraId="7EF429BB" w14:textId="77777777" w:rsidR="00852466" w:rsidRPr="00116AFD" w:rsidRDefault="00852466">
            <w:pPr>
              <w:rPr>
                <w:rFonts w:ascii="Arial Narrow" w:hAnsi="Arial Narrow"/>
                <w:sz w:val="20"/>
                <w:szCs w:val="20"/>
              </w:rPr>
            </w:pPr>
            <w:r w:rsidRPr="00116AFD">
              <w:rPr>
                <w:rFonts w:ascii="Arial Narrow" w:hAnsi="Arial Narrow"/>
                <w:sz w:val="20"/>
                <w:szCs w:val="20"/>
              </w:rPr>
              <w:t>(3) Swapping therapy.</w:t>
            </w:r>
          </w:p>
          <w:p w14:paraId="77F1E0CB" w14:textId="77777777" w:rsidR="00852466" w:rsidRPr="00116AFD" w:rsidRDefault="00852466">
            <w:pPr>
              <w:rPr>
                <w:rFonts w:ascii="Arial Narrow" w:hAnsi="Arial Narrow"/>
                <w:sz w:val="20"/>
                <w:szCs w:val="20"/>
              </w:rPr>
            </w:pPr>
          </w:p>
          <w:p w14:paraId="1549C150" w14:textId="77777777" w:rsidR="00852466" w:rsidRPr="00116AFD" w:rsidRDefault="00852466">
            <w:pPr>
              <w:rPr>
                <w:rFonts w:ascii="Arial Narrow" w:hAnsi="Arial Narrow"/>
                <w:sz w:val="20"/>
                <w:szCs w:val="20"/>
              </w:rPr>
            </w:pPr>
            <w:r w:rsidRPr="00116AFD">
              <w:rPr>
                <w:rFonts w:ascii="Arial Narrow" w:hAnsi="Arial Narrow"/>
                <w:sz w:val="20"/>
                <w:szCs w:val="20"/>
              </w:rPr>
              <w:t>Once initial treatment with the first PBS-subsidised biological medicine therapy is approved, a patient with severe disease may swap if eligible to the alternate biological medicine within the same treatment cycle without having to requalify with respect to the indices of disease severity (i.e. Paediatric Crohn Disease Activity Index (PCDAI) Score, confirmation of Crohn disease), or the prior conventional therapies of corticosteroid therapy, immunosuppressive therapy or enteral nutrition.</w:t>
            </w:r>
          </w:p>
          <w:p w14:paraId="4989CD63" w14:textId="77777777" w:rsidR="00852466" w:rsidRPr="00116AFD" w:rsidRDefault="00852466">
            <w:pPr>
              <w:rPr>
                <w:rFonts w:ascii="Arial Narrow" w:hAnsi="Arial Narrow"/>
                <w:b/>
                <w:bCs/>
                <w:sz w:val="20"/>
                <w:szCs w:val="20"/>
              </w:rPr>
            </w:pPr>
          </w:p>
          <w:p w14:paraId="46993910" w14:textId="77777777" w:rsidR="00852466" w:rsidRPr="00116AFD" w:rsidRDefault="00852466">
            <w:pPr>
              <w:rPr>
                <w:rFonts w:ascii="Arial Narrow" w:hAnsi="Arial Narrow"/>
                <w:sz w:val="20"/>
                <w:szCs w:val="20"/>
              </w:rPr>
            </w:pPr>
            <w:r w:rsidRPr="00116AFD">
              <w:rPr>
                <w:rFonts w:ascii="Arial Narrow" w:hAnsi="Arial Narrow"/>
                <w:sz w:val="20"/>
                <w:szCs w:val="20"/>
              </w:rPr>
              <w:t>A patient cannot swap to a biological medicine if they have failed to respond to prior treatment with that drug twice within the same treatment cycle.</w:t>
            </w:r>
          </w:p>
          <w:p w14:paraId="7F2EFC71" w14:textId="77777777" w:rsidR="00852466" w:rsidRPr="00116AFD" w:rsidRDefault="00852466">
            <w:pPr>
              <w:rPr>
                <w:rFonts w:ascii="Arial Narrow" w:hAnsi="Arial Narrow"/>
                <w:sz w:val="20"/>
                <w:szCs w:val="20"/>
              </w:rPr>
            </w:pPr>
          </w:p>
          <w:p w14:paraId="48976EE4" w14:textId="77777777" w:rsidR="00852466" w:rsidRPr="00116AFD" w:rsidRDefault="00852466">
            <w:pPr>
              <w:rPr>
                <w:rFonts w:ascii="Arial Narrow" w:hAnsi="Arial Narrow"/>
                <w:sz w:val="20"/>
                <w:szCs w:val="20"/>
              </w:rPr>
            </w:pPr>
            <w:r w:rsidRPr="00116AFD">
              <w:rPr>
                <w:rFonts w:ascii="Arial Narrow" w:hAnsi="Arial Narrow"/>
                <w:sz w:val="20"/>
                <w:szCs w:val="20"/>
              </w:rPr>
              <w:t>To ensure a patient receives the maximum treatment opportunities allowed under these arrangements, it is important that they are assessed for response to every course of treatment within the timeframes specified in the relevant restriction.</w:t>
            </w:r>
          </w:p>
          <w:p w14:paraId="7485F3C5" w14:textId="77777777" w:rsidR="00852466" w:rsidRPr="00116AFD" w:rsidRDefault="00852466">
            <w:pPr>
              <w:rPr>
                <w:rFonts w:ascii="Arial Narrow" w:hAnsi="Arial Narrow"/>
                <w:sz w:val="20"/>
                <w:szCs w:val="20"/>
              </w:rPr>
            </w:pPr>
          </w:p>
          <w:p w14:paraId="51E5CFB1"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A patient who </w:t>
            </w:r>
            <w:proofErr w:type="gramStart"/>
            <w:r w:rsidRPr="00116AFD">
              <w:rPr>
                <w:rFonts w:ascii="Arial Narrow" w:hAnsi="Arial Narrow"/>
                <w:sz w:val="20"/>
                <w:szCs w:val="20"/>
              </w:rPr>
              <w:t>is not able to</w:t>
            </w:r>
            <w:proofErr w:type="gramEnd"/>
            <w:r w:rsidRPr="00116AFD">
              <w:rPr>
                <w:rFonts w:ascii="Arial Narrow" w:hAnsi="Arial Narrow"/>
                <w:sz w:val="20"/>
                <w:szCs w:val="20"/>
              </w:rPr>
              <w:t xml:space="preserve"> complete an initial treatment course for a biological medicine will be deemed to have failed treatment with that biological medicine unless the patient has experienced a serious adverse reaction of a severity resulting in the necessity for permanent withdrawal of treatment.</w:t>
            </w:r>
          </w:p>
          <w:p w14:paraId="785D8E57" w14:textId="77777777" w:rsidR="00852466" w:rsidRPr="00116AFD" w:rsidRDefault="00852466">
            <w:pPr>
              <w:rPr>
                <w:rFonts w:ascii="Arial Narrow" w:hAnsi="Arial Narrow"/>
                <w:sz w:val="20"/>
                <w:szCs w:val="20"/>
              </w:rPr>
            </w:pPr>
          </w:p>
          <w:p w14:paraId="382AA607" w14:textId="77777777" w:rsidR="00852466" w:rsidRPr="00116AFD" w:rsidRDefault="00852466">
            <w:pPr>
              <w:rPr>
                <w:rFonts w:ascii="Arial Narrow" w:hAnsi="Arial Narrow"/>
                <w:sz w:val="20"/>
                <w:szCs w:val="20"/>
              </w:rPr>
            </w:pPr>
            <w:r w:rsidRPr="00116AFD">
              <w:rPr>
                <w:rFonts w:ascii="Arial Narrow" w:hAnsi="Arial Narrow"/>
                <w:sz w:val="20"/>
                <w:szCs w:val="20"/>
              </w:rPr>
              <w:t>(4) Baseline measurements to determine response.</w:t>
            </w:r>
          </w:p>
          <w:p w14:paraId="57302F49" w14:textId="77777777" w:rsidR="00852466" w:rsidRPr="00116AFD" w:rsidRDefault="00852466">
            <w:pPr>
              <w:rPr>
                <w:rFonts w:ascii="Arial Narrow" w:hAnsi="Arial Narrow"/>
                <w:sz w:val="20"/>
                <w:szCs w:val="20"/>
              </w:rPr>
            </w:pPr>
          </w:p>
          <w:p w14:paraId="6E92EE11" w14:textId="77777777" w:rsidR="00852466" w:rsidRPr="00116AFD" w:rsidRDefault="00852466">
            <w:pPr>
              <w:rPr>
                <w:rFonts w:ascii="Arial Narrow" w:hAnsi="Arial Narrow"/>
                <w:sz w:val="20"/>
                <w:szCs w:val="20"/>
              </w:rPr>
            </w:pPr>
            <w:r w:rsidRPr="00116AFD">
              <w:rPr>
                <w:rFonts w:ascii="Arial Narrow" w:hAnsi="Arial Narrow"/>
                <w:sz w:val="20"/>
                <w:szCs w:val="20"/>
              </w:rPr>
              <w:t>A response to treatment is to be determined by comparison of current disease activity measurements relative to the baseline measurements of the PCDAI submitted with the first authority application for a biological medicine. However, prescribers may provide new baseline measurements any time that an initial treatment authority application is submitted within a treatment cycle and eligibility for continuing treatment must be assessed according to these revised baseline measurements.</w:t>
            </w:r>
          </w:p>
          <w:p w14:paraId="15C3E742" w14:textId="77777777" w:rsidR="00852466" w:rsidRPr="00116AFD" w:rsidRDefault="00852466">
            <w:pPr>
              <w:rPr>
                <w:rFonts w:ascii="Arial Narrow" w:hAnsi="Arial Narrow"/>
                <w:sz w:val="20"/>
                <w:szCs w:val="20"/>
              </w:rPr>
            </w:pPr>
          </w:p>
          <w:p w14:paraId="178B83CE" w14:textId="77777777" w:rsidR="00852466" w:rsidRPr="00116AFD" w:rsidRDefault="00852466">
            <w:pPr>
              <w:rPr>
                <w:rFonts w:ascii="Arial Narrow" w:hAnsi="Arial Narrow"/>
                <w:sz w:val="20"/>
                <w:szCs w:val="20"/>
              </w:rPr>
            </w:pPr>
            <w:r w:rsidRPr="00116AFD">
              <w:rPr>
                <w:rFonts w:ascii="Arial Narrow" w:hAnsi="Arial Narrow"/>
                <w:sz w:val="20"/>
                <w:szCs w:val="20"/>
              </w:rPr>
              <w:t>(5) Recommencement of treatment after a 5-year break in PBS-subsidised therapy.</w:t>
            </w:r>
          </w:p>
          <w:p w14:paraId="5E4C2B7C" w14:textId="77777777" w:rsidR="00852466" w:rsidRPr="00116AFD" w:rsidRDefault="00852466">
            <w:pPr>
              <w:rPr>
                <w:rFonts w:ascii="Arial Narrow" w:hAnsi="Arial Narrow"/>
                <w:sz w:val="20"/>
                <w:szCs w:val="20"/>
              </w:rPr>
            </w:pPr>
          </w:p>
          <w:p w14:paraId="2B2D0FFC" w14:textId="77777777" w:rsidR="00852466" w:rsidRPr="00116AFD" w:rsidRDefault="00852466">
            <w:pPr>
              <w:rPr>
                <w:rFonts w:ascii="Arial Narrow" w:hAnsi="Arial Narrow"/>
                <w:sz w:val="20"/>
                <w:szCs w:val="20"/>
              </w:rPr>
            </w:pPr>
            <w:r w:rsidRPr="00116AFD">
              <w:rPr>
                <w:rFonts w:ascii="Arial Narrow" w:hAnsi="Arial Narrow"/>
                <w:sz w:val="20"/>
                <w:szCs w:val="20"/>
              </w:rPr>
              <w:t>A patient who wishes to recommence treatment following a break in PBS-subsidised biological medicine therapy of at least 5 years, must requalify for initial treatment with respect to the indices of disease severity under the Initial 3 restriction. A retrial of conventional therapies is not required.</w:t>
            </w:r>
          </w:p>
        </w:tc>
      </w:tr>
      <w:tr w:rsidR="00852466" w:rsidRPr="003C5A76" w14:paraId="5CA37A58" w14:textId="77777777">
        <w:tblPrEx>
          <w:tblCellMar>
            <w:top w:w="15" w:type="dxa"/>
            <w:bottom w:w="15" w:type="dxa"/>
          </w:tblCellMar>
        </w:tblPrEx>
        <w:trPr>
          <w:trHeight w:val="20"/>
        </w:trPr>
        <w:tc>
          <w:tcPr>
            <w:tcW w:w="9024" w:type="dxa"/>
            <w:gridSpan w:val="6"/>
            <w:vAlign w:val="center"/>
          </w:tcPr>
          <w:p w14:paraId="5A85A00B" w14:textId="77777777" w:rsidR="00852466" w:rsidRPr="00116AFD" w:rsidRDefault="00852466">
            <w:pPr>
              <w:rPr>
                <w:rFonts w:ascii="Arial Narrow" w:hAnsi="Arial Narrow"/>
                <w:b/>
                <w:bCs/>
                <w:strike/>
                <w:sz w:val="20"/>
                <w:szCs w:val="20"/>
              </w:rPr>
            </w:pPr>
            <w:r w:rsidRPr="00116AFD">
              <w:rPr>
                <w:rFonts w:ascii="Arial Narrow" w:hAnsi="Arial Narrow"/>
                <w:b/>
                <w:bCs/>
                <w:strike/>
                <w:sz w:val="20"/>
                <w:szCs w:val="20"/>
              </w:rPr>
              <w:t>Administrative Advice:</w:t>
            </w:r>
          </w:p>
          <w:p w14:paraId="53599EC9" w14:textId="77777777" w:rsidR="00852466" w:rsidRPr="00116AFD" w:rsidRDefault="00852466">
            <w:pPr>
              <w:rPr>
                <w:rFonts w:ascii="Arial Narrow" w:hAnsi="Arial Narrow"/>
                <w:b/>
                <w:bCs/>
                <w:strike/>
                <w:sz w:val="20"/>
                <w:szCs w:val="20"/>
              </w:rPr>
            </w:pPr>
          </w:p>
          <w:p w14:paraId="302D683A"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Two completed authority prescriptions should be submitted with every initial application for this biological medicine.</w:t>
            </w:r>
          </w:p>
          <w:p w14:paraId="59043F6D" w14:textId="77777777" w:rsidR="00852466" w:rsidRPr="00116AFD" w:rsidRDefault="00852466">
            <w:pPr>
              <w:rPr>
                <w:rFonts w:ascii="Arial Narrow" w:hAnsi="Arial Narrow"/>
                <w:b/>
                <w:bCs/>
                <w:strike/>
                <w:sz w:val="20"/>
                <w:szCs w:val="20"/>
              </w:rPr>
            </w:pPr>
          </w:p>
          <w:p w14:paraId="130227F2" w14:textId="77777777" w:rsidR="00852466" w:rsidRPr="00116AFD" w:rsidRDefault="00852466">
            <w:pPr>
              <w:rPr>
                <w:rFonts w:ascii="Arial Narrow" w:hAnsi="Arial Narrow"/>
                <w:b/>
                <w:bCs/>
                <w:strike/>
                <w:sz w:val="20"/>
                <w:szCs w:val="20"/>
              </w:rPr>
            </w:pPr>
            <w:r w:rsidRPr="00116AFD">
              <w:rPr>
                <w:rFonts w:ascii="Arial Narrow" w:hAnsi="Arial Narrow"/>
                <w:b/>
                <w:bCs/>
                <w:strike/>
                <w:sz w:val="20"/>
                <w:szCs w:val="20"/>
              </w:rPr>
              <w:t>Prescribing the 40 mg presentation:</w:t>
            </w:r>
          </w:p>
          <w:p w14:paraId="54C31F3E" w14:textId="77777777" w:rsidR="00852466" w:rsidRPr="00116AFD" w:rsidRDefault="00852466">
            <w:pPr>
              <w:rPr>
                <w:rFonts w:ascii="Arial Narrow" w:hAnsi="Arial Narrow"/>
                <w:b/>
                <w:bCs/>
                <w:strike/>
                <w:sz w:val="20"/>
                <w:szCs w:val="20"/>
              </w:rPr>
            </w:pPr>
          </w:p>
          <w:p w14:paraId="5C926D6E"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For patients weighing at least 40 kg, one prescription should be for the induction doses, containing a quantity of 6 doses of 40 mg and no repeats and the second prescription should be written for 2 doses of 40 mg and 2 repeats.</w:t>
            </w:r>
          </w:p>
          <w:p w14:paraId="787D01FA" w14:textId="77777777" w:rsidR="00852466" w:rsidRPr="00116AFD" w:rsidRDefault="00852466">
            <w:pPr>
              <w:rPr>
                <w:rFonts w:ascii="Arial Narrow" w:hAnsi="Arial Narrow"/>
                <w:strike/>
                <w:sz w:val="20"/>
                <w:szCs w:val="20"/>
              </w:rPr>
            </w:pPr>
          </w:p>
          <w:p w14:paraId="6EC1DF09"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For patients weighing less than 40 kg, one prescription should be written for 2 doses of 40 mg with no repeats and the second prescription should be written for 2 doses of 20 mg with 3 repeats.</w:t>
            </w:r>
          </w:p>
          <w:p w14:paraId="1E9648FE" w14:textId="77777777" w:rsidR="00852466" w:rsidRPr="00116AFD" w:rsidRDefault="00852466">
            <w:pPr>
              <w:rPr>
                <w:rFonts w:ascii="Arial Narrow" w:hAnsi="Arial Narrow"/>
                <w:b/>
                <w:bCs/>
                <w:strike/>
                <w:sz w:val="20"/>
                <w:szCs w:val="20"/>
              </w:rPr>
            </w:pPr>
          </w:p>
          <w:p w14:paraId="067B0155" w14:textId="77777777" w:rsidR="00852466" w:rsidRPr="00116AFD" w:rsidRDefault="00852466">
            <w:pPr>
              <w:rPr>
                <w:rFonts w:ascii="Arial Narrow" w:hAnsi="Arial Narrow"/>
                <w:b/>
                <w:bCs/>
                <w:strike/>
                <w:sz w:val="20"/>
                <w:szCs w:val="20"/>
              </w:rPr>
            </w:pPr>
            <w:r w:rsidRPr="00116AFD">
              <w:rPr>
                <w:rFonts w:ascii="Arial Narrow" w:hAnsi="Arial Narrow"/>
                <w:b/>
                <w:bCs/>
                <w:strike/>
                <w:sz w:val="20"/>
                <w:szCs w:val="20"/>
              </w:rPr>
              <w:t>Prescribing the 80 mg presentation:</w:t>
            </w:r>
          </w:p>
          <w:p w14:paraId="37EED12D" w14:textId="77777777" w:rsidR="00852466" w:rsidRPr="00116AFD" w:rsidRDefault="00852466">
            <w:pPr>
              <w:rPr>
                <w:rFonts w:ascii="Arial Narrow" w:hAnsi="Arial Narrow"/>
                <w:b/>
                <w:bCs/>
                <w:strike/>
                <w:sz w:val="20"/>
                <w:szCs w:val="20"/>
              </w:rPr>
            </w:pPr>
          </w:p>
          <w:p w14:paraId="5FDB8722"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03DC10C0" w14:textId="77777777" w:rsidR="00852466" w:rsidRPr="00116AFD" w:rsidRDefault="00852466">
            <w:pPr>
              <w:rPr>
                <w:rFonts w:ascii="Arial Narrow" w:hAnsi="Arial Narrow"/>
                <w:strike/>
                <w:sz w:val="20"/>
                <w:szCs w:val="20"/>
              </w:rPr>
            </w:pPr>
          </w:p>
          <w:p w14:paraId="2C7B50B8"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For patients weighing less than 40 kg, one prescription should be written for 1 dose of 80 mg with no repeats and the second prescription should be written for 2 doses of 20 mg with 3 repeats.</w:t>
            </w:r>
          </w:p>
          <w:p w14:paraId="11D47AD0" w14:textId="77777777" w:rsidR="00852466" w:rsidRPr="00116AFD" w:rsidRDefault="00852466">
            <w:pPr>
              <w:rPr>
                <w:rFonts w:ascii="Arial Narrow" w:hAnsi="Arial Narrow"/>
                <w:strike/>
                <w:sz w:val="20"/>
                <w:szCs w:val="20"/>
              </w:rPr>
            </w:pPr>
          </w:p>
          <w:p w14:paraId="1F783A7B"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Requests for quantities/repeats insufficient to complete 16 weeks:</w:t>
            </w:r>
          </w:p>
          <w:p w14:paraId="62684E02"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If fewer than 2 repeats (for patients 40 kg or greater) or 3 repeats (for patients less than 40 kg) are requested at the time of the application, authority approvals for sufficient repeats to complete a maximum of 16 weeks of treatment with this drug may be sought through the 'Balance of Supply' PBS restriction.</w:t>
            </w:r>
          </w:p>
          <w:p w14:paraId="56858DF3" w14:textId="77777777" w:rsidR="00852466" w:rsidRPr="00116AFD" w:rsidRDefault="00852466">
            <w:pPr>
              <w:rPr>
                <w:rFonts w:ascii="Arial Narrow" w:hAnsi="Arial Narrow"/>
                <w:b/>
                <w:bCs/>
                <w:sz w:val="20"/>
                <w:szCs w:val="20"/>
              </w:rPr>
            </w:pPr>
          </w:p>
        </w:tc>
      </w:tr>
      <w:tr w:rsidR="00852466" w:rsidRPr="003C5A76" w14:paraId="6CD085AE" w14:textId="77777777">
        <w:tblPrEx>
          <w:tblCellMar>
            <w:top w:w="15" w:type="dxa"/>
            <w:bottom w:w="15" w:type="dxa"/>
          </w:tblCellMar>
        </w:tblPrEx>
        <w:trPr>
          <w:trHeight w:val="1147"/>
        </w:trPr>
        <w:tc>
          <w:tcPr>
            <w:tcW w:w="9024" w:type="dxa"/>
            <w:gridSpan w:val="6"/>
            <w:vAlign w:val="center"/>
          </w:tcPr>
          <w:p w14:paraId="06995E5C" w14:textId="77777777" w:rsidR="00852466" w:rsidRPr="00116AFD" w:rsidRDefault="00852466">
            <w:pPr>
              <w:rPr>
                <w:rFonts w:ascii="Arial Narrow" w:hAnsi="Arial Narrow"/>
                <w:b/>
                <w:bCs/>
                <w:strike/>
                <w:sz w:val="20"/>
                <w:szCs w:val="20"/>
              </w:rPr>
            </w:pPr>
            <w:r w:rsidRPr="00116AFD">
              <w:rPr>
                <w:rFonts w:ascii="Arial Narrow" w:hAnsi="Arial Narrow"/>
                <w:b/>
                <w:bCs/>
                <w:strike/>
                <w:sz w:val="20"/>
                <w:szCs w:val="20"/>
              </w:rPr>
              <w:t>Administrative Advice:</w:t>
            </w:r>
          </w:p>
          <w:p w14:paraId="44C5A179" w14:textId="77777777" w:rsidR="00852466" w:rsidRPr="00116AFD" w:rsidRDefault="00852466">
            <w:pPr>
              <w:rPr>
                <w:rFonts w:ascii="Arial Narrow" w:hAnsi="Arial Narrow"/>
                <w:strike/>
                <w:sz w:val="20"/>
                <w:szCs w:val="20"/>
              </w:rPr>
            </w:pPr>
            <w:r w:rsidRPr="00116AFD">
              <w:rPr>
                <w:rFonts w:ascii="Arial Narrow" w:hAnsi="Arial Narrow"/>
                <w:strike/>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p>
        </w:tc>
      </w:tr>
      <w:tr w:rsidR="00852466" w:rsidRPr="003C5A76" w14:paraId="473E887E" w14:textId="77777777">
        <w:tblPrEx>
          <w:tblCellMar>
            <w:top w:w="15" w:type="dxa"/>
            <w:bottom w:w="15" w:type="dxa"/>
          </w:tblCellMar>
        </w:tblPrEx>
        <w:trPr>
          <w:trHeight w:val="20"/>
        </w:trPr>
        <w:tc>
          <w:tcPr>
            <w:tcW w:w="9024" w:type="dxa"/>
            <w:gridSpan w:val="6"/>
            <w:vAlign w:val="center"/>
          </w:tcPr>
          <w:p w14:paraId="16A5658A"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Administrative Advice:</w:t>
            </w:r>
          </w:p>
          <w:p w14:paraId="6235266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At the time of authority application, medical practitioners must request the appropriate number of doses to provide sufficient drug for 16 weeks of treatment.</w:t>
            </w:r>
          </w:p>
          <w:p w14:paraId="2C0E9A3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appropriate amount of drug may require prescribing a combination of strengths. A separate authority prescription must be completed for each strength requested.</w:t>
            </w:r>
          </w:p>
        </w:tc>
      </w:tr>
      <w:tr w:rsidR="00852466" w:rsidRPr="003C5A76" w14:paraId="002A0935" w14:textId="77777777">
        <w:tblPrEx>
          <w:tblCellMar>
            <w:top w:w="15" w:type="dxa"/>
            <w:bottom w:w="15" w:type="dxa"/>
          </w:tblCellMar>
        </w:tblPrEx>
        <w:trPr>
          <w:trHeight w:val="20"/>
        </w:trPr>
        <w:tc>
          <w:tcPr>
            <w:tcW w:w="9024" w:type="dxa"/>
            <w:gridSpan w:val="6"/>
            <w:vAlign w:val="center"/>
          </w:tcPr>
          <w:p w14:paraId="45072E2D"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Administrative Advice:</w:t>
            </w:r>
          </w:p>
          <w:p w14:paraId="3F835D79" w14:textId="77777777" w:rsidR="00852466" w:rsidRPr="00116AFD" w:rsidRDefault="00852466">
            <w:pPr>
              <w:rPr>
                <w:rFonts w:ascii="Arial Narrow" w:hAnsi="Arial Narrow"/>
                <w:sz w:val="20"/>
                <w:szCs w:val="20"/>
              </w:rPr>
            </w:pPr>
            <w:r w:rsidRPr="00116AFD">
              <w:rPr>
                <w:rFonts w:ascii="Arial Narrow" w:hAnsi="Arial Narrow"/>
                <w:sz w:val="20"/>
                <w:szCs w:val="20"/>
              </w:rPr>
              <w:t>Any queries concerning the arrangements to prescribe may be directed to Services Australia on 1800 700 270 (hours of operation 8 a.m. to 5 p.m. Monday to Friday).</w:t>
            </w:r>
          </w:p>
          <w:p w14:paraId="2DA5BEBA" w14:textId="77777777" w:rsidR="00852466" w:rsidRPr="00116AFD" w:rsidRDefault="00852466">
            <w:pPr>
              <w:rPr>
                <w:rFonts w:ascii="Arial Narrow" w:hAnsi="Arial Narrow"/>
                <w:sz w:val="20"/>
                <w:szCs w:val="20"/>
              </w:rPr>
            </w:pPr>
          </w:p>
          <w:p w14:paraId="4A92C242" w14:textId="77777777" w:rsidR="00852466" w:rsidRPr="00116AFD" w:rsidRDefault="00852466">
            <w:pPr>
              <w:rPr>
                <w:rFonts w:ascii="Arial Narrow" w:hAnsi="Arial Narrow"/>
                <w:sz w:val="20"/>
                <w:szCs w:val="20"/>
              </w:rPr>
            </w:pPr>
            <w:r w:rsidRPr="00116AF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7B332BE6" w14:textId="77777777" w:rsidR="00852466" w:rsidRPr="00116AFD" w:rsidRDefault="00852466">
            <w:pPr>
              <w:rPr>
                <w:rFonts w:ascii="Arial Narrow" w:hAnsi="Arial Narrow"/>
                <w:sz w:val="20"/>
                <w:szCs w:val="20"/>
              </w:rPr>
            </w:pPr>
          </w:p>
          <w:p w14:paraId="75281328" w14:textId="77777777" w:rsidR="00852466" w:rsidRPr="00116AFD" w:rsidRDefault="00852466">
            <w:pPr>
              <w:rPr>
                <w:rFonts w:ascii="Arial Narrow" w:hAnsi="Arial Narrow"/>
                <w:sz w:val="20"/>
                <w:szCs w:val="20"/>
              </w:rPr>
            </w:pPr>
            <w:r w:rsidRPr="00116AFD">
              <w:rPr>
                <w:rFonts w:ascii="Arial Narrow" w:hAnsi="Arial Narrow"/>
                <w:sz w:val="20"/>
                <w:szCs w:val="20"/>
              </w:rPr>
              <w:t>Applications for authority to prescribe should be submitted online using the form upload facility in Health Professional Online Services (HPOS) at www.servicesaustralia.gov.au/hpos</w:t>
            </w:r>
          </w:p>
          <w:p w14:paraId="1D73E86F" w14:textId="77777777" w:rsidR="00852466" w:rsidRPr="00116AFD" w:rsidRDefault="00852466">
            <w:pPr>
              <w:rPr>
                <w:rFonts w:ascii="Arial Narrow" w:hAnsi="Arial Narrow"/>
                <w:sz w:val="20"/>
                <w:szCs w:val="20"/>
              </w:rPr>
            </w:pPr>
          </w:p>
          <w:p w14:paraId="02A8AA64" w14:textId="77777777" w:rsidR="00852466" w:rsidRPr="00116AFD" w:rsidRDefault="00852466">
            <w:pPr>
              <w:rPr>
                <w:rFonts w:ascii="Arial Narrow" w:hAnsi="Arial Narrow"/>
                <w:sz w:val="20"/>
                <w:szCs w:val="20"/>
              </w:rPr>
            </w:pPr>
            <w:r w:rsidRPr="00116AFD">
              <w:rPr>
                <w:rFonts w:ascii="Arial Narrow" w:hAnsi="Arial Narrow"/>
                <w:sz w:val="20"/>
                <w:szCs w:val="20"/>
              </w:rPr>
              <w:t>Or mailed to:</w:t>
            </w:r>
          </w:p>
          <w:p w14:paraId="1B9D7D6C" w14:textId="77777777" w:rsidR="00852466" w:rsidRPr="00116AFD" w:rsidRDefault="00852466">
            <w:pPr>
              <w:rPr>
                <w:rFonts w:ascii="Arial Narrow" w:hAnsi="Arial Narrow"/>
                <w:sz w:val="20"/>
                <w:szCs w:val="20"/>
              </w:rPr>
            </w:pPr>
          </w:p>
          <w:p w14:paraId="03E14978" w14:textId="77777777" w:rsidR="00852466" w:rsidRPr="00116AFD" w:rsidRDefault="00852466">
            <w:pPr>
              <w:rPr>
                <w:rFonts w:ascii="Arial Narrow" w:hAnsi="Arial Narrow"/>
                <w:sz w:val="20"/>
                <w:szCs w:val="20"/>
              </w:rPr>
            </w:pPr>
            <w:r w:rsidRPr="00116AFD">
              <w:rPr>
                <w:rFonts w:ascii="Arial Narrow" w:hAnsi="Arial Narrow"/>
                <w:sz w:val="20"/>
                <w:szCs w:val="20"/>
              </w:rPr>
              <w:t>Services Australia</w:t>
            </w:r>
          </w:p>
          <w:p w14:paraId="74CC31AB" w14:textId="77777777" w:rsidR="00852466" w:rsidRPr="00116AFD" w:rsidRDefault="00852466">
            <w:pPr>
              <w:rPr>
                <w:rFonts w:ascii="Arial Narrow" w:hAnsi="Arial Narrow"/>
                <w:sz w:val="20"/>
                <w:szCs w:val="20"/>
              </w:rPr>
            </w:pPr>
            <w:r w:rsidRPr="00116AFD">
              <w:rPr>
                <w:rFonts w:ascii="Arial Narrow" w:hAnsi="Arial Narrow"/>
                <w:sz w:val="20"/>
                <w:szCs w:val="20"/>
              </w:rPr>
              <w:t>Complex Drugs</w:t>
            </w:r>
          </w:p>
          <w:p w14:paraId="589A6C59" w14:textId="77777777" w:rsidR="00852466" w:rsidRPr="00116AFD" w:rsidRDefault="00852466">
            <w:pPr>
              <w:rPr>
                <w:rFonts w:ascii="Arial Narrow" w:hAnsi="Arial Narrow"/>
                <w:sz w:val="20"/>
                <w:szCs w:val="20"/>
              </w:rPr>
            </w:pPr>
            <w:r w:rsidRPr="00116AFD">
              <w:rPr>
                <w:rFonts w:ascii="Arial Narrow" w:hAnsi="Arial Narrow"/>
                <w:sz w:val="20"/>
                <w:szCs w:val="20"/>
              </w:rPr>
              <w:t>Reply Paid 9826</w:t>
            </w:r>
          </w:p>
          <w:p w14:paraId="373B7CA8" w14:textId="77777777" w:rsidR="00852466" w:rsidRPr="00116AFD" w:rsidRDefault="00852466">
            <w:pPr>
              <w:rPr>
                <w:rFonts w:ascii="Arial Narrow" w:hAnsi="Arial Narrow"/>
                <w:sz w:val="20"/>
                <w:szCs w:val="20"/>
              </w:rPr>
            </w:pPr>
            <w:r w:rsidRPr="00116AFD">
              <w:rPr>
                <w:rFonts w:ascii="Arial Narrow" w:hAnsi="Arial Narrow"/>
                <w:sz w:val="20"/>
                <w:szCs w:val="20"/>
              </w:rPr>
              <w:t>HOBART TAS 7001</w:t>
            </w:r>
          </w:p>
        </w:tc>
      </w:tr>
      <w:tr w:rsidR="00852466" w:rsidRPr="003C5A76" w14:paraId="64B1A511"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67AFF75D" w14:textId="77777777" w:rsidR="00852466" w:rsidRPr="003C5A76" w:rsidRDefault="00852466">
            <w:pPr>
              <w:keepLines/>
              <w:rPr>
                <w:rFonts w:ascii="Arial Narrow" w:hAnsi="Arial Narrow"/>
                <w:color w:val="333333"/>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0EC0D054"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E167630" w14:textId="77777777" w:rsidR="00852466" w:rsidRPr="003C5A76" w:rsidRDefault="00852466">
            <w:pPr>
              <w:rPr>
                <w:rFonts w:ascii="Arial Narrow" w:hAnsi="Arial Narrow"/>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1 (new patient)</w:t>
            </w:r>
          </w:p>
        </w:tc>
      </w:tr>
      <w:tr w:rsidR="00852466" w:rsidRPr="003C5A76" w14:paraId="54E66307"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1604E589" w14:textId="77777777" w:rsidR="00852466" w:rsidRPr="003C5A76" w:rsidRDefault="00852466">
            <w:pPr>
              <w:rPr>
                <w:rFonts w:ascii="Arial Narrow" w:hAnsi="Arial Narrow"/>
                <w:sz w:val="20"/>
                <w:szCs w:val="20"/>
              </w:rPr>
            </w:pPr>
            <w:r w:rsidRPr="003C5A76">
              <w:rPr>
                <w:rFonts w:ascii="Arial Narrow" w:hAnsi="Arial Narrow"/>
                <w:b/>
                <w:bCs/>
                <w:sz w:val="20"/>
                <w:szCs w:val="20"/>
              </w:rPr>
              <w:t xml:space="preserve">Clinical criteria: </w:t>
            </w:r>
          </w:p>
        </w:tc>
      </w:tr>
      <w:tr w:rsidR="00852466" w:rsidRPr="003C5A76" w14:paraId="1ED62CCA"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2571EE78" w14:textId="77777777" w:rsidR="00852466" w:rsidRPr="003C5A76" w:rsidRDefault="00852466">
            <w:pPr>
              <w:jc w:val="left"/>
              <w:rPr>
                <w:rFonts w:ascii="Arial Narrow" w:hAnsi="Arial Narrow"/>
                <w:color w:val="333333"/>
                <w:sz w:val="20"/>
                <w:szCs w:val="20"/>
              </w:rPr>
            </w:pPr>
            <w:r w:rsidRPr="003C5A76">
              <w:rPr>
                <w:rFonts w:ascii="Arial Narrow" w:hAnsi="Arial Narrow"/>
                <w:sz w:val="20"/>
                <w:szCs w:val="20"/>
              </w:rPr>
              <w:t>Patient must have confirmed diagnosis of Crohn disease, defined by standard clinical, endoscopic and/or imaging features including histological evidence</w:t>
            </w:r>
          </w:p>
        </w:tc>
      </w:tr>
      <w:tr w:rsidR="00852466" w:rsidRPr="003C5A76" w14:paraId="06188CC0"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198107E5" w14:textId="77777777" w:rsidR="00852466" w:rsidRPr="003C5A76" w:rsidRDefault="00852466">
            <w:pPr>
              <w:jc w:val="left"/>
              <w:rPr>
                <w:rFonts w:ascii="Arial Narrow" w:hAnsi="Arial Narrow"/>
                <w:sz w:val="20"/>
                <w:szCs w:val="20"/>
              </w:rPr>
            </w:pPr>
            <w:r w:rsidRPr="003C5A76">
              <w:rPr>
                <w:rFonts w:ascii="Arial Narrow" w:hAnsi="Arial Narrow"/>
                <w:b/>
                <w:bCs/>
                <w:sz w:val="20"/>
                <w:szCs w:val="20"/>
              </w:rPr>
              <w:t>AND</w:t>
            </w:r>
          </w:p>
        </w:tc>
      </w:tr>
      <w:tr w:rsidR="00852466" w:rsidRPr="003C5A76" w14:paraId="7C097765"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6DC49D5" w14:textId="77777777" w:rsidR="00852466" w:rsidRPr="003C5A76" w:rsidRDefault="00852466">
            <w:pPr>
              <w:jc w:val="left"/>
              <w:rPr>
                <w:rFonts w:ascii="Arial Narrow" w:hAnsi="Arial Narrow"/>
                <w:sz w:val="20"/>
                <w:szCs w:val="20"/>
              </w:rPr>
            </w:pPr>
            <w:r w:rsidRPr="003C5A76">
              <w:rPr>
                <w:rFonts w:ascii="Arial Narrow" w:hAnsi="Arial Narrow"/>
                <w:b/>
                <w:bCs/>
                <w:sz w:val="20"/>
                <w:szCs w:val="20"/>
              </w:rPr>
              <w:t>Clinical criteria:</w:t>
            </w:r>
          </w:p>
        </w:tc>
      </w:tr>
      <w:tr w:rsidR="00852466" w:rsidRPr="003C5A76" w14:paraId="4C9456BA"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12366A2F" w14:textId="77777777" w:rsidR="00852466" w:rsidRPr="003C5A76" w:rsidRDefault="00852466">
            <w:pPr>
              <w:rPr>
                <w:rFonts w:ascii="Arial Narrow" w:hAnsi="Arial Narrow"/>
                <w:color w:val="FF0000"/>
                <w:sz w:val="20"/>
                <w:szCs w:val="20"/>
              </w:rPr>
            </w:pPr>
            <w:r w:rsidRPr="003C5A76">
              <w:rPr>
                <w:rFonts w:ascii="Arial Narrow" w:hAnsi="Arial Narrow"/>
                <w:sz w:val="20"/>
                <w:szCs w:val="20"/>
              </w:rPr>
              <w:t>Patient must have failed to achieve an adequate response to 2 of the following 3 conventional prior therapies including: (i)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6-mercaptopurine at a dose of at least 1 mg per kg daily for 3 or more months, or, methotrexate at a dose of at least 10 mg per square metre weekly for 3 or more months; or</w:t>
            </w:r>
          </w:p>
        </w:tc>
      </w:tr>
      <w:tr w:rsidR="00852466" w:rsidRPr="003C5A76" w14:paraId="5580C437"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1D00C9C" w14:textId="77777777" w:rsidR="00852466" w:rsidRPr="003C5A76" w:rsidRDefault="00852466">
            <w:pPr>
              <w:rPr>
                <w:rFonts w:ascii="Arial Narrow" w:hAnsi="Arial Narrow"/>
                <w:sz w:val="20"/>
                <w:szCs w:val="20"/>
              </w:rPr>
            </w:pPr>
            <w:r w:rsidRPr="003C5A76">
              <w:rPr>
                <w:rFonts w:ascii="Arial Narrow" w:hAnsi="Arial Narrow"/>
                <w:sz w:val="20"/>
                <w:szCs w:val="20"/>
              </w:rPr>
              <w:t>Patient must have a documented intolerance of a severity necessitating permanent treatment withdrawal or a contra-indication to each of prednisolone (or equivalent), azathioprine, 6-mercaptopurine and methotrexate</w:t>
            </w:r>
          </w:p>
        </w:tc>
      </w:tr>
      <w:tr w:rsidR="00852466" w:rsidRPr="003C5A76" w14:paraId="0571A1E9"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47F46273" w14:textId="77777777" w:rsidR="00852466" w:rsidRPr="003C5A76" w:rsidRDefault="00852466">
            <w:pPr>
              <w:rPr>
                <w:rFonts w:ascii="Arial Narrow" w:hAnsi="Arial Narrow"/>
                <w:sz w:val="20"/>
                <w:szCs w:val="20"/>
              </w:rPr>
            </w:pPr>
            <w:r w:rsidRPr="003C5A76">
              <w:rPr>
                <w:rFonts w:ascii="Arial Narrow" w:hAnsi="Arial Narrow"/>
                <w:b/>
                <w:bCs/>
                <w:sz w:val="20"/>
                <w:szCs w:val="20"/>
              </w:rPr>
              <w:t>AND</w:t>
            </w:r>
          </w:p>
        </w:tc>
      </w:tr>
      <w:tr w:rsidR="00852466" w:rsidRPr="003C5A76" w14:paraId="534B63F0"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35D09BC" w14:textId="77777777" w:rsidR="00852466" w:rsidRPr="003C5A76" w:rsidRDefault="00852466">
            <w:pPr>
              <w:rPr>
                <w:rFonts w:ascii="Arial Narrow" w:hAnsi="Arial Narrow"/>
                <w:sz w:val="20"/>
                <w:szCs w:val="20"/>
              </w:rPr>
            </w:pPr>
            <w:r w:rsidRPr="003C5A76">
              <w:rPr>
                <w:rFonts w:ascii="Arial Narrow" w:hAnsi="Arial Narrow"/>
                <w:b/>
                <w:bCs/>
                <w:sz w:val="20"/>
                <w:szCs w:val="20"/>
              </w:rPr>
              <w:t>Clinical criteria:</w:t>
            </w:r>
          </w:p>
        </w:tc>
      </w:tr>
      <w:tr w:rsidR="00852466" w:rsidRPr="003C5A76" w14:paraId="25990BE8"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E45C4BC" w14:textId="77777777" w:rsidR="00852466" w:rsidRPr="00116AFD" w:rsidRDefault="00852466">
            <w:pPr>
              <w:rPr>
                <w:rFonts w:ascii="Arial Narrow" w:hAnsi="Arial Narrow"/>
                <w:i/>
                <w:iCs/>
                <w:sz w:val="20"/>
                <w:szCs w:val="20"/>
              </w:rPr>
            </w:pPr>
            <w:r w:rsidRPr="00116AFD">
              <w:rPr>
                <w:rFonts w:ascii="Arial Narrow" w:hAnsi="Arial Narrow"/>
                <w:sz w:val="20"/>
                <w:szCs w:val="20"/>
              </w:rPr>
              <w:t>Patient must have, at the time of application, disease severity considered to be severe as demonstrated by a Paediatric Crohn Disease Activity Index (PCDAI) Score greater than or equal to 40 preferably whilst still on treatment, but no longer than 4 weeks following cessation of the most recent prior conventional treatment and which is no more than 4 weeks old at the time of application</w:t>
            </w:r>
            <w:r w:rsidRPr="00116AFD">
              <w:rPr>
                <w:rFonts w:ascii="Arial Narrow" w:hAnsi="Arial Narrow"/>
                <w:i/>
                <w:iCs/>
                <w:sz w:val="20"/>
                <w:szCs w:val="20"/>
              </w:rPr>
              <w:t>; or</w:t>
            </w:r>
          </w:p>
        </w:tc>
      </w:tr>
      <w:tr w:rsidR="00852466" w:rsidRPr="003C5A76" w14:paraId="4276D2D1"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B6A922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Patient must have extensive intestinal inflammation of the small intestine as evidenced by radiological imaging; </w:t>
            </w:r>
          </w:p>
        </w:tc>
      </w:tr>
      <w:tr w:rsidR="00852466" w:rsidRPr="003C5A76" w14:paraId="1D09C79B"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382692D"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4A32065D"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1B3B3A23"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3C5A76" w14:paraId="17BB032E"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C2AF9B8" w14:textId="77777777" w:rsidR="00852466" w:rsidRPr="00116AFD" w:rsidRDefault="00852466">
            <w:pPr>
              <w:rPr>
                <w:rFonts w:ascii="Arial Narrow" w:hAnsi="Arial Narrow"/>
                <w:sz w:val="20"/>
                <w:szCs w:val="20"/>
              </w:rPr>
            </w:pPr>
            <w:r w:rsidRPr="00116AFD">
              <w:rPr>
                <w:rFonts w:ascii="Arial Narrow" w:hAnsi="Arial Narrow"/>
                <w:sz w:val="20"/>
                <w:szCs w:val="20"/>
              </w:rPr>
              <w:t>Patient must not receive more than 16 weeks of treatment under this restriction</w:t>
            </w:r>
          </w:p>
        </w:tc>
      </w:tr>
      <w:tr w:rsidR="00852466" w:rsidRPr="003C5A76" w14:paraId="49B79725"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C75AE95" w14:textId="77777777" w:rsidR="00852466" w:rsidRPr="00116AFD" w:rsidRDefault="00852466">
            <w:pPr>
              <w:keepNext/>
              <w:rPr>
                <w:rFonts w:ascii="Arial Narrow" w:hAnsi="Arial Narrow"/>
                <w:sz w:val="20"/>
                <w:szCs w:val="20"/>
              </w:rPr>
            </w:pPr>
            <w:r w:rsidRPr="00116AFD">
              <w:rPr>
                <w:rFonts w:ascii="Arial Narrow" w:hAnsi="Arial Narrow"/>
                <w:b/>
                <w:bCs/>
                <w:sz w:val="20"/>
                <w:szCs w:val="20"/>
              </w:rPr>
              <w:t>Treatment criteria:</w:t>
            </w:r>
          </w:p>
        </w:tc>
      </w:tr>
      <w:tr w:rsidR="00852466" w:rsidRPr="003C5A76" w14:paraId="3F8A65A8"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232E3A97" w14:textId="77777777" w:rsidR="00852466" w:rsidRPr="00116AFD" w:rsidRDefault="00852466">
            <w:pPr>
              <w:autoSpaceDE w:val="0"/>
              <w:autoSpaceDN w:val="0"/>
              <w:adjustRightInd w:val="0"/>
              <w:jc w:val="left"/>
              <w:rPr>
                <w:rFonts w:ascii="Arial Narrow" w:hAnsi="Arial Narrow" w:cs="Arial Narrow"/>
                <w:i/>
                <w:iCs/>
                <w:sz w:val="20"/>
                <w:szCs w:val="20"/>
              </w:rPr>
            </w:pPr>
            <w:r w:rsidRPr="00116AFD">
              <w:rPr>
                <w:rFonts w:ascii="Arial Narrow" w:hAnsi="Arial Narrow" w:cs="Arial Narrow"/>
                <w:iCs/>
                <w:sz w:val="20"/>
                <w:szCs w:val="20"/>
              </w:rPr>
              <w:t>Must be treated by a gastroenterologist (code 87); or</w:t>
            </w:r>
          </w:p>
        </w:tc>
      </w:tr>
      <w:tr w:rsidR="00852466" w:rsidRPr="003C5A76" w14:paraId="08FCED9A"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3B6ABDB7"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consultant physician [internal medicine specialising in gastroenterology (code 81)]; or</w:t>
            </w:r>
          </w:p>
        </w:tc>
      </w:tr>
      <w:tr w:rsidR="00852466" w:rsidRPr="003C5A76" w14:paraId="60F67AC5"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A33D16F"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consultant physician [general medicine specialising in gastroenterology (code 82)]; or</w:t>
            </w:r>
          </w:p>
        </w:tc>
      </w:tr>
      <w:tr w:rsidR="00852466" w:rsidRPr="003C5A76" w14:paraId="65EA5527"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AD0C389"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paediatrician; or</w:t>
            </w:r>
          </w:p>
        </w:tc>
      </w:tr>
      <w:tr w:rsidR="00852466" w:rsidRPr="003C5A76" w14:paraId="2DB5C3B4"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9D1B911"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specialist paediatric gastroenterologist</w:t>
            </w:r>
          </w:p>
        </w:tc>
      </w:tr>
      <w:tr w:rsidR="00852466" w:rsidRPr="003C5A76" w14:paraId="7033D1A4"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312193E7" w14:textId="77777777" w:rsidR="00852466" w:rsidRPr="00116AFD" w:rsidRDefault="00852466">
            <w:pPr>
              <w:rPr>
                <w:rFonts w:ascii="Arial Narrow" w:hAnsi="Arial Narrow"/>
                <w:sz w:val="20"/>
                <w:szCs w:val="20"/>
              </w:rPr>
            </w:pPr>
            <w:r w:rsidRPr="00116AFD">
              <w:rPr>
                <w:rFonts w:ascii="Arial Narrow" w:hAnsi="Arial Narrow"/>
                <w:b/>
                <w:bCs/>
                <w:sz w:val="20"/>
                <w:szCs w:val="20"/>
              </w:rPr>
              <w:t>Population criteria:</w:t>
            </w:r>
          </w:p>
        </w:tc>
      </w:tr>
      <w:tr w:rsidR="00852466" w:rsidRPr="003C5A76" w14:paraId="549F4A67"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EFE80C9" w14:textId="77777777" w:rsidR="00852466" w:rsidRPr="00116AFD" w:rsidRDefault="00852466">
            <w:pPr>
              <w:jc w:val="left"/>
              <w:rPr>
                <w:rFonts w:ascii="Arial Narrow" w:hAnsi="Arial Narrow"/>
                <w:sz w:val="20"/>
                <w:szCs w:val="20"/>
              </w:rPr>
            </w:pPr>
            <w:r w:rsidRPr="00116AFD">
              <w:rPr>
                <w:rFonts w:ascii="Arial Narrow" w:hAnsi="Arial Narrow"/>
                <w:sz w:val="20"/>
                <w:szCs w:val="20"/>
              </w:rPr>
              <w:t xml:space="preserve">Patient must be aged 6 to 17 years inclusive </w:t>
            </w:r>
          </w:p>
        </w:tc>
      </w:tr>
      <w:tr w:rsidR="00852466" w:rsidRPr="003C5A76" w14:paraId="08EF863F"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DF631C6"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The authority application must be made in writing and must include:</w:t>
            </w:r>
          </w:p>
          <w:p w14:paraId="68E06965" w14:textId="77777777" w:rsidR="00852466" w:rsidRPr="00116AFD" w:rsidRDefault="00852466">
            <w:pPr>
              <w:rPr>
                <w:rFonts w:ascii="Arial Narrow" w:hAnsi="Arial Narrow"/>
                <w:sz w:val="20"/>
                <w:szCs w:val="20"/>
              </w:rPr>
            </w:pPr>
          </w:p>
          <w:p w14:paraId="04383A43"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(1) </w:t>
            </w:r>
            <w:r w:rsidRPr="00116AFD">
              <w:rPr>
                <w:rFonts w:ascii="Arial Narrow" w:hAnsi="Arial Narrow"/>
                <w:bCs/>
                <w:i/>
                <w:iCs/>
                <w:sz w:val="20"/>
                <w:szCs w:val="20"/>
              </w:rPr>
              <w:t>details of the proposed</w:t>
            </w:r>
            <w:r w:rsidRPr="00116AFD">
              <w:rPr>
                <w:rFonts w:ascii="Arial Narrow" w:hAnsi="Arial Narrow"/>
                <w:bCs/>
                <w:sz w:val="20"/>
                <w:szCs w:val="20"/>
              </w:rPr>
              <w:t xml:space="preserve"> </w:t>
            </w:r>
            <w:r w:rsidRPr="00116AFD">
              <w:rPr>
                <w:rFonts w:ascii="Arial Narrow" w:hAnsi="Arial Narrow"/>
                <w:strike/>
                <w:sz w:val="20"/>
                <w:szCs w:val="20"/>
              </w:rPr>
              <w:t>two completed authority</w:t>
            </w:r>
            <w:r w:rsidRPr="00116AFD">
              <w:rPr>
                <w:rFonts w:ascii="Arial Narrow" w:hAnsi="Arial Narrow"/>
                <w:sz w:val="20"/>
                <w:szCs w:val="20"/>
              </w:rPr>
              <w:t xml:space="preserve"> prescription</w:t>
            </w:r>
            <w:r w:rsidRPr="00116AFD">
              <w:rPr>
                <w:rFonts w:ascii="Arial Narrow" w:hAnsi="Arial Narrow"/>
                <w:i/>
                <w:iCs/>
                <w:sz w:val="20"/>
                <w:szCs w:val="20"/>
              </w:rPr>
              <w:t>(s)</w:t>
            </w:r>
            <w:r w:rsidRPr="00116AFD">
              <w:rPr>
                <w:rFonts w:ascii="Arial Narrow" w:hAnsi="Arial Narrow"/>
                <w:sz w:val="20"/>
                <w:szCs w:val="20"/>
              </w:rPr>
              <w:t xml:space="preserve"> </w:t>
            </w:r>
            <w:r w:rsidRPr="00116AFD">
              <w:rPr>
                <w:rFonts w:ascii="Arial Narrow" w:hAnsi="Arial Narrow"/>
                <w:strike/>
                <w:sz w:val="20"/>
                <w:szCs w:val="20"/>
              </w:rPr>
              <w:t>forms</w:t>
            </w:r>
            <w:r w:rsidRPr="00116AFD">
              <w:rPr>
                <w:rFonts w:ascii="Arial Narrow" w:hAnsi="Arial Narrow"/>
                <w:sz w:val="20"/>
                <w:szCs w:val="20"/>
              </w:rPr>
              <w:t>; and</w:t>
            </w:r>
          </w:p>
          <w:p w14:paraId="7C1FC566" w14:textId="77777777" w:rsidR="00852466" w:rsidRPr="00116AFD" w:rsidRDefault="00852466">
            <w:pPr>
              <w:rPr>
                <w:rFonts w:ascii="Arial Narrow" w:hAnsi="Arial Narrow"/>
                <w:sz w:val="20"/>
                <w:szCs w:val="20"/>
              </w:rPr>
            </w:pPr>
          </w:p>
          <w:p w14:paraId="69E4C892" w14:textId="77777777" w:rsidR="00852466" w:rsidRPr="00116AFD" w:rsidRDefault="00852466">
            <w:pPr>
              <w:rPr>
                <w:rFonts w:ascii="Arial Narrow" w:hAnsi="Arial Narrow"/>
                <w:sz w:val="20"/>
                <w:szCs w:val="20"/>
              </w:rPr>
            </w:pPr>
            <w:r w:rsidRPr="00116AF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852466" w:rsidRPr="003C5A76" w14:paraId="4C6334EF"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7FDE65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127B88E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For patients assessed as having extensive intestinal inflammation of the small intestines, such evidence of intestinal inflammation includes:</w:t>
            </w:r>
          </w:p>
          <w:p w14:paraId="2840D1B4" w14:textId="77777777" w:rsidR="00852466" w:rsidRPr="00116AFD" w:rsidRDefault="00852466">
            <w:pPr>
              <w:rPr>
                <w:rFonts w:ascii="Arial Narrow" w:hAnsi="Arial Narrow"/>
                <w:i/>
                <w:iCs/>
                <w:sz w:val="20"/>
                <w:szCs w:val="20"/>
              </w:rPr>
            </w:pPr>
          </w:p>
          <w:p w14:paraId="59B9A58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(i) blood: higher than normal platelet count, </w:t>
            </w:r>
            <w:proofErr w:type="gramStart"/>
            <w:r w:rsidRPr="00116AFD">
              <w:rPr>
                <w:rFonts w:ascii="Arial Narrow" w:hAnsi="Arial Narrow"/>
                <w:i/>
                <w:iCs/>
                <w:sz w:val="20"/>
                <w:szCs w:val="20"/>
              </w:rPr>
              <w:t>or,</w:t>
            </w:r>
            <w:proofErr w:type="gramEnd"/>
            <w:r w:rsidRPr="00116AFD">
              <w:rPr>
                <w:rFonts w:ascii="Arial Narrow" w:hAnsi="Arial Narrow"/>
                <w:i/>
                <w:iCs/>
                <w:sz w:val="20"/>
                <w:szCs w:val="20"/>
              </w:rPr>
              <w:t xml:space="preserve"> an elevated erythrocyte sedimentation rate (ESR) greater than 25 mm per hour, </w:t>
            </w:r>
            <w:proofErr w:type="gramStart"/>
            <w:r w:rsidRPr="00116AFD">
              <w:rPr>
                <w:rFonts w:ascii="Arial Narrow" w:hAnsi="Arial Narrow"/>
                <w:i/>
                <w:iCs/>
                <w:sz w:val="20"/>
                <w:szCs w:val="20"/>
              </w:rPr>
              <w:t>or,</w:t>
            </w:r>
            <w:proofErr w:type="gramEnd"/>
            <w:r w:rsidRPr="00116AFD">
              <w:rPr>
                <w:rFonts w:ascii="Arial Narrow" w:hAnsi="Arial Narrow"/>
                <w:i/>
                <w:iCs/>
                <w:sz w:val="20"/>
                <w:szCs w:val="20"/>
              </w:rPr>
              <w:t xml:space="preserve"> a C-reactive protein (CRP) level greater than 15 mg per L; or</w:t>
            </w:r>
          </w:p>
          <w:p w14:paraId="42111725" w14:textId="77777777" w:rsidR="00852466" w:rsidRPr="00116AFD" w:rsidRDefault="00852466">
            <w:pPr>
              <w:rPr>
                <w:rFonts w:ascii="Arial Narrow" w:hAnsi="Arial Narrow"/>
                <w:i/>
                <w:iCs/>
                <w:sz w:val="20"/>
                <w:szCs w:val="20"/>
              </w:rPr>
            </w:pPr>
          </w:p>
          <w:p w14:paraId="24B1C92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faeces: higher than normal lactoferrin or calprotectin level; or</w:t>
            </w:r>
          </w:p>
          <w:p w14:paraId="537D8C91" w14:textId="77777777" w:rsidR="00852466" w:rsidRPr="00116AFD" w:rsidRDefault="00852466">
            <w:pPr>
              <w:rPr>
                <w:rFonts w:ascii="Arial Narrow" w:hAnsi="Arial Narrow"/>
                <w:i/>
                <w:iCs/>
                <w:sz w:val="20"/>
                <w:szCs w:val="20"/>
              </w:rPr>
            </w:pPr>
          </w:p>
          <w:p w14:paraId="12867C82" w14:textId="77777777" w:rsidR="00852466" w:rsidRPr="00116AFD" w:rsidRDefault="00852466">
            <w:pPr>
              <w:rPr>
                <w:rFonts w:ascii="Arial Narrow" w:hAnsi="Arial Narrow"/>
                <w:b/>
                <w:bCs/>
                <w:sz w:val="20"/>
                <w:szCs w:val="20"/>
              </w:rPr>
            </w:pPr>
            <w:r w:rsidRPr="00116AFD">
              <w:rPr>
                <w:rFonts w:ascii="Arial Narrow" w:hAnsi="Arial Narrow"/>
                <w:i/>
                <w:iCs/>
                <w:sz w:val="20"/>
                <w:szCs w:val="20"/>
              </w:rPr>
              <w:t>(iii) diagnostic imaging: demonstration of increased uptake of intravenous contrast with thickening of the bowel wall or mesenteric lymphadenopathy or fat streaking in the mesentery</w:t>
            </w:r>
            <w:r w:rsidRPr="00116AFD">
              <w:rPr>
                <w:rFonts w:ascii="Arial Narrow" w:hAnsi="Arial Narrow"/>
                <w:b/>
                <w:bCs/>
                <w:sz w:val="20"/>
                <w:szCs w:val="20"/>
              </w:rPr>
              <w:t>.</w:t>
            </w:r>
          </w:p>
        </w:tc>
      </w:tr>
      <w:tr w:rsidR="00852466" w:rsidRPr="003C5A76" w14:paraId="3732AE9F"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14F28706"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If treatment with any of the specified prior conventional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Details of the accepted toxicities including severity can be found on the Services Australia website (www.servicesaustralia.gov.au).</w:t>
            </w:r>
          </w:p>
        </w:tc>
      </w:tr>
      <w:tr w:rsidR="00852466" w:rsidRPr="003C5A76" w14:paraId="7C14E03C"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E61E181"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An assessment of a patient's response to this initial course of treatment must be conducted following a minimum of 12 weeks of therapy and no later than 4 weeks prior the completion of this course of treatment.</w:t>
            </w:r>
          </w:p>
        </w:tc>
      </w:tr>
      <w:tr w:rsidR="00852466" w:rsidRPr="003C5A76" w14:paraId="2B7C3802"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47EB5DD9"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3C5A76" w14:paraId="4058AE2A"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577D66F6" w14:textId="77777777" w:rsidR="00852466" w:rsidRPr="00116AFD" w:rsidRDefault="00852466">
            <w:pPr>
              <w:rPr>
                <w:rFonts w:ascii="Arial Narrow" w:hAnsi="Arial Narrow"/>
                <w:bCs/>
                <w:sz w:val="20"/>
                <w:szCs w:val="20"/>
              </w:rPr>
            </w:pPr>
          </w:p>
          <w:p w14:paraId="00E3DB17" w14:textId="77777777" w:rsidR="00852466" w:rsidRPr="00116AFD" w:rsidRDefault="00852466">
            <w:pPr>
              <w:rPr>
                <w:rFonts w:ascii="Arial Narrow" w:hAnsi="Arial Narrow"/>
                <w:bCs/>
                <w:sz w:val="20"/>
                <w:szCs w:val="20"/>
              </w:rPr>
            </w:pPr>
          </w:p>
        </w:tc>
      </w:tr>
      <w:tr w:rsidR="00852466" w:rsidRPr="003C5A76" w14:paraId="166C044F" w14:textId="77777777">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251E4C90" w14:textId="77777777" w:rsidR="00852466" w:rsidRPr="00116AFD" w:rsidRDefault="00852466">
            <w:pPr>
              <w:keepLines/>
              <w:rPr>
                <w:rFonts w:ascii="Arial Narrow" w:hAnsi="Arial Narrow"/>
                <w:sz w:val="20"/>
                <w:szCs w:val="20"/>
              </w:rPr>
            </w:pPr>
            <w:r w:rsidRPr="00116AFD">
              <w:rPr>
                <w:rFonts w:ascii="Arial Narrow" w:hAnsi="Arial Narrow"/>
                <w:b/>
                <w:sz w:val="20"/>
                <w:szCs w:val="20"/>
              </w:rPr>
              <w:t>Category / Program:</w:t>
            </w:r>
            <w:r w:rsidRPr="00116AFD">
              <w:rPr>
                <w:rFonts w:ascii="Arial Narrow" w:hAnsi="Arial Narrow"/>
                <w:sz w:val="20"/>
                <w:szCs w:val="20"/>
              </w:rPr>
              <w:t xml:space="preserv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 xml:space="preserve"> GENERAL - General Schedule (Code GE) </w:t>
            </w:r>
          </w:p>
        </w:tc>
      </w:tr>
      <w:tr w:rsidR="00852466" w:rsidRPr="003C5A76" w14:paraId="70CC0D05" w14:textId="77777777">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48EE15ED" w14:textId="77777777" w:rsidR="00852466" w:rsidRPr="00116AFD" w:rsidRDefault="00852466">
            <w:pPr>
              <w:keepLines/>
              <w:rPr>
                <w:rFonts w:ascii="Arial Narrow" w:hAnsi="Arial Narrow"/>
                <w:b/>
                <w:sz w:val="20"/>
                <w:szCs w:val="20"/>
              </w:rPr>
            </w:pPr>
            <w:r w:rsidRPr="00116AFD">
              <w:rPr>
                <w:rFonts w:ascii="Arial Narrow" w:hAnsi="Arial Narrow"/>
                <w:b/>
                <w:sz w:val="20"/>
                <w:szCs w:val="20"/>
              </w:rPr>
              <w:t xml:space="preserve">Prescriber type: </w:t>
            </w:r>
            <w:r w:rsidRPr="00116AFD">
              <w:rPr>
                <w:rFonts w:ascii="Arial Narrow" w:hAnsi="Arial Narrow"/>
                <w:sz w:val="20"/>
                <w:szCs w:val="20"/>
              </w:rPr>
              <w:fldChar w:fldCharType="begin" w:fldLock="1">
                <w:ffData>
                  <w:name w:val=""/>
                  <w:enabled/>
                  <w:calcOnExit w:val="0"/>
                  <w:checkBox>
                    <w:sizeAuto/>
                    <w:default w:val="1"/>
                  </w:checkBox>
                </w:ffData>
              </w:fldChar>
            </w:r>
            <w:r w:rsidRPr="00116AFD">
              <w:rPr>
                <w:rFonts w:ascii="Arial Narrow" w:hAnsi="Arial Narrow"/>
                <w:sz w:val="20"/>
                <w:szCs w:val="20"/>
              </w:rPr>
              <w:instrText xml:space="preserve"> FORMCHECKBOX </w:instrText>
            </w:r>
            <w:r w:rsidRPr="00116AFD">
              <w:rPr>
                <w:rFonts w:ascii="Arial Narrow" w:hAnsi="Arial Narrow"/>
                <w:sz w:val="20"/>
                <w:szCs w:val="20"/>
              </w:rPr>
            </w:r>
            <w:r w:rsidRPr="00116AFD">
              <w:rPr>
                <w:rFonts w:ascii="Arial Narrow" w:hAnsi="Arial Narrow"/>
                <w:sz w:val="20"/>
                <w:szCs w:val="20"/>
              </w:rPr>
              <w:fldChar w:fldCharType="separate"/>
            </w:r>
            <w:r w:rsidRPr="00116AFD">
              <w:rPr>
                <w:rFonts w:ascii="Arial Narrow" w:hAnsi="Arial Narrow"/>
                <w:sz w:val="20"/>
                <w:szCs w:val="20"/>
              </w:rPr>
              <w:fldChar w:fldCharType="end"/>
            </w:r>
            <w:r w:rsidRPr="00116AFD">
              <w:rPr>
                <w:rFonts w:ascii="Arial Narrow" w:hAnsi="Arial Narrow"/>
                <w:sz w:val="20"/>
                <w:szCs w:val="20"/>
              </w:rPr>
              <w:t xml:space="preserve">Medical Practitioners </w:t>
            </w:r>
          </w:p>
        </w:tc>
      </w:tr>
      <w:tr w:rsidR="00852466" w:rsidRPr="003C5A76" w14:paraId="61FCAAE7" w14:textId="77777777">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5F1C768B" w14:textId="77777777" w:rsidR="00852466" w:rsidRPr="00116AFD" w:rsidRDefault="00852466">
            <w:pPr>
              <w:keepLines/>
              <w:rPr>
                <w:rFonts w:ascii="Arial Narrow" w:eastAsia="Calibri" w:hAnsi="Arial Narrow"/>
                <w:sz w:val="20"/>
                <w:szCs w:val="20"/>
              </w:rPr>
            </w:pPr>
            <w:r w:rsidRPr="00116AFD">
              <w:rPr>
                <w:rFonts w:ascii="Arial Narrow" w:hAnsi="Arial Narrow"/>
                <w:b/>
                <w:sz w:val="20"/>
                <w:szCs w:val="20"/>
              </w:rPr>
              <w:t xml:space="preserve">Restriction type: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 xml:space="preserve">Authority Required (in writing only via post/HPOS upload) </w:t>
            </w:r>
          </w:p>
        </w:tc>
      </w:tr>
      <w:tr w:rsidR="00852466" w:rsidRPr="003C5A76" w14:paraId="5B1CFDC9" w14:textId="77777777">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35355C26" w14:textId="77777777" w:rsidR="00852466" w:rsidRPr="00116AFD" w:rsidRDefault="00852466">
            <w:pPr>
              <w:rPr>
                <w:rFonts w:ascii="Arial Narrow" w:hAnsi="Arial Narrow"/>
                <w:sz w:val="20"/>
                <w:szCs w:val="20"/>
              </w:rPr>
            </w:pPr>
            <w:r w:rsidRPr="00116AFD">
              <w:rPr>
                <w:rFonts w:ascii="Arial Narrow" w:hAnsi="Arial Narrow"/>
                <w:b/>
                <w:bCs/>
                <w:sz w:val="20"/>
                <w:szCs w:val="20"/>
              </w:rPr>
              <w:t>Indication:</w:t>
            </w:r>
            <w:r w:rsidRPr="00116AFD">
              <w:rPr>
                <w:rFonts w:ascii="Arial Narrow" w:hAnsi="Arial Narrow"/>
                <w:sz w:val="20"/>
                <w:szCs w:val="20"/>
              </w:rPr>
              <w:t xml:space="preserve"> Severe Crohn disease</w:t>
            </w:r>
          </w:p>
        </w:tc>
      </w:tr>
      <w:tr w:rsidR="00852466" w:rsidRPr="003C5A76" w14:paraId="1210B976"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hideMark/>
          </w:tcPr>
          <w:p w14:paraId="0240FC03" w14:textId="77777777" w:rsidR="00852466" w:rsidRPr="00116AFD" w:rsidRDefault="00852466">
            <w:pPr>
              <w:rPr>
                <w:rFonts w:ascii="Arial Narrow" w:hAnsi="Arial Narrow"/>
                <w:sz w:val="20"/>
                <w:szCs w:val="20"/>
              </w:rPr>
            </w:pPr>
            <w:r w:rsidRPr="00116AFD">
              <w:rPr>
                <w:rFonts w:ascii="Arial Narrow" w:hAnsi="Arial Narrow"/>
                <w:b/>
                <w:bCs/>
                <w:sz w:val="20"/>
                <w:szCs w:val="20"/>
              </w:rPr>
              <w:t>Treatment Phase:</w:t>
            </w:r>
            <w:r w:rsidRPr="00116AFD">
              <w:rPr>
                <w:rFonts w:ascii="Arial Narrow" w:hAnsi="Arial Narrow"/>
                <w:sz w:val="20"/>
                <w:szCs w:val="20"/>
              </w:rPr>
              <w:t xml:space="preserve"> Initial treatment - Initial 2 (change or recommencement of treatment after a break in biological medicine of less than 5 years)</w:t>
            </w:r>
          </w:p>
        </w:tc>
      </w:tr>
      <w:tr w:rsidR="00852466" w:rsidRPr="003C5A76" w14:paraId="0942F2AB"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6A7AA74"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 xml:space="preserve">Clinical criteria: </w:t>
            </w:r>
          </w:p>
        </w:tc>
      </w:tr>
      <w:tr w:rsidR="00852466" w:rsidRPr="003C5A76" w14:paraId="6AACD07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8644B62"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have a documented history of severe Crohn disease</w:t>
            </w:r>
          </w:p>
        </w:tc>
      </w:tr>
      <w:tr w:rsidR="00852466" w:rsidRPr="003C5A76" w14:paraId="00369CE7"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2C5FAE4"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5FE3856E"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A2DF381"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Clinical criteria:</w:t>
            </w:r>
          </w:p>
        </w:tc>
      </w:tr>
      <w:tr w:rsidR="00852466" w:rsidRPr="003C5A76" w14:paraId="5031368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682BA48"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have received prior PBS-subsidised treatment with a biological medicine for this condition in this treatment cycle</w:t>
            </w:r>
          </w:p>
        </w:tc>
      </w:tr>
      <w:tr w:rsidR="00852466" w:rsidRPr="003C5A76" w14:paraId="69831A5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B056868"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3B00E077"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595B2FF"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Clinical criteria:</w:t>
            </w:r>
          </w:p>
        </w:tc>
      </w:tr>
      <w:tr w:rsidR="00852466" w:rsidRPr="003C5A76" w14:paraId="1B8CBF3B"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BB00A6D"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not have failed, or ceased to respond to, PBS-subsidised treatment with this drug for this condition more than once in the current treatment cycle</w:t>
            </w:r>
          </w:p>
        </w:tc>
      </w:tr>
      <w:tr w:rsidR="00852466" w:rsidRPr="003C5A76" w14:paraId="33BE2A6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19106CA"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61E2F7F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16CB185"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3C5A76" w14:paraId="207494E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B4FD393" w14:textId="77777777" w:rsidR="00852466" w:rsidRPr="00116AFD" w:rsidRDefault="00852466">
            <w:pPr>
              <w:rPr>
                <w:rFonts w:ascii="Arial Narrow" w:hAnsi="Arial Narrow"/>
                <w:sz w:val="20"/>
                <w:szCs w:val="20"/>
              </w:rPr>
            </w:pPr>
            <w:r w:rsidRPr="00116AFD">
              <w:rPr>
                <w:rFonts w:ascii="Arial Narrow" w:hAnsi="Arial Narrow"/>
                <w:sz w:val="20"/>
                <w:szCs w:val="20"/>
              </w:rPr>
              <w:t>Patient must not receive more than 16 weeks of treatment under this restriction</w:t>
            </w:r>
          </w:p>
        </w:tc>
      </w:tr>
      <w:tr w:rsidR="00852466" w:rsidRPr="003C5A76" w14:paraId="02A73314"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3814E57" w14:textId="77777777" w:rsidR="00852466" w:rsidRPr="00116AFD" w:rsidRDefault="00852466">
            <w:pPr>
              <w:rPr>
                <w:rFonts w:ascii="Arial Narrow" w:hAnsi="Arial Narrow"/>
                <w:sz w:val="20"/>
                <w:szCs w:val="20"/>
              </w:rPr>
            </w:pPr>
            <w:r w:rsidRPr="00116AFD">
              <w:rPr>
                <w:rFonts w:ascii="Arial Narrow" w:hAnsi="Arial Narrow"/>
                <w:b/>
                <w:bCs/>
                <w:sz w:val="20"/>
                <w:szCs w:val="20"/>
              </w:rPr>
              <w:t>Treatment criteria:</w:t>
            </w:r>
          </w:p>
        </w:tc>
      </w:tr>
      <w:tr w:rsidR="00852466" w:rsidRPr="003C5A76" w14:paraId="5936A8AD"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35F4714" w14:textId="77777777" w:rsidR="00852466" w:rsidRPr="00116AFD" w:rsidRDefault="00852466">
            <w:pPr>
              <w:rPr>
                <w:rFonts w:ascii="Arial Narrow" w:hAnsi="Arial Narrow"/>
                <w:b/>
                <w:bCs/>
                <w:sz w:val="20"/>
                <w:szCs w:val="20"/>
              </w:rPr>
            </w:pPr>
            <w:r w:rsidRPr="00116AFD">
              <w:rPr>
                <w:rFonts w:ascii="Arial Narrow" w:hAnsi="Arial Narrow" w:cs="Arial Narrow"/>
                <w:iCs/>
                <w:sz w:val="20"/>
                <w:szCs w:val="20"/>
              </w:rPr>
              <w:t>Must be treated by a gastroenterologist (code 87); or</w:t>
            </w:r>
          </w:p>
        </w:tc>
      </w:tr>
      <w:tr w:rsidR="00852466" w:rsidRPr="003C5A76" w14:paraId="7A4208B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0F1E099" w14:textId="77777777" w:rsidR="00852466" w:rsidRPr="00116AFD" w:rsidRDefault="00852466">
            <w:pPr>
              <w:rPr>
                <w:rFonts w:ascii="Arial Narrow" w:hAnsi="Arial Narrow" w:cs="Arial Narrow"/>
                <w:iCs/>
                <w:sz w:val="20"/>
                <w:szCs w:val="20"/>
              </w:rPr>
            </w:pPr>
            <w:r w:rsidRPr="00116AFD">
              <w:rPr>
                <w:rFonts w:ascii="Arial Narrow" w:hAnsi="Arial Narrow" w:cs="Arial Narrow"/>
                <w:sz w:val="20"/>
                <w:szCs w:val="20"/>
              </w:rPr>
              <w:t>Must be treated by a consultant physician [internal medicine specialising in gastroenterology (code 81)]; or</w:t>
            </w:r>
          </w:p>
        </w:tc>
      </w:tr>
      <w:tr w:rsidR="00852466" w:rsidRPr="003C5A76" w14:paraId="13AEA580"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254A0EE" w14:textId="77777777" w:rsidR="00852466" w:rsidRPr="00116AFD" w:rsidRDefault="00852466">
            <w:pPr>
              <w:rPr>
                <w:rFonts w:ascii="Arial Narrow" w:hAnsi="Arial Narrow" w:cs="Arial Narrow"/>
                <w:i/>
                <w:iCs/>
                <w:sz w:val="20"/>
                <w:szCs w:val="20"/>
              </w:rPr>
            </w:pPr>
            <w:r w:rsidRPr="00116AFD">
              <w:rPr>
                <w:rFonts w:ascii="Arial Narrow" w:hAnsi="Arial Narrow"/>
                <w:sz w:val="20"/>
                <w:szCs w:val="20"/>
              </w:rPr>
              <w:t>Must be treated by a consultant physician [general medicine specialising in gastroenterology (code 82)]</w:t>
            </w:r>
            <w:r w:rsidRPr="00116AFD">
              <w:rPr>
                <w:rFonts w:ascii="Arial Narrow" w:hAnsi="Arial Narrow"/>
                <w:i/>
                <w:iCs/>
                <w:sz w:val="20"/>
                <w:szCs w:val="20"/>
              </w:rPr>
              <w:t>; or</w:t>
            </w:r>
          </w:p>
        </w:tc>
      </w:tr>
      <w:tr w:rsidR="00852466" w:rsidRPr="003C5A76" w14:paraId="341A049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E0FED94"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paediatrician; or</w:t>
            </w:r>
          </w:p>
        </w:tc>
      </w:tr>
      <w:tr w:rsidR="00852466" w:rsidRPr="003C5A76" w14:paraId="4830E277"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52E9C59"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specialist paediatric gastroenterologist</w:t>
            </w:r>
          </w:p>
        </w:tc>
      </w:tr>
      <w:tr w:rsidR="00852466" w:rsidRPr="003C5A76" w14:paraId="66ACA63C"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66CCACC" w14:textId="77777777" w:rsidR="00852466" w:rsidRPr="00116AFD" w:rsidRDefault="00852466">
            <w:pPr>
              <w:rPr>
                <w:rFonts w:ascii="Arial Narrow" w:hAnsi="Arial Narrow"/>
                <w:sz w:val="20"/>
                <w:szCs w:val="20"/>
              </w:rPr>
            </w:pPr>
            <w:r w:rsidRPr="00116AFD">
              <w:rPr>
                <w:rFonts w:ascii="Arial Narrow" w:hAnsi="Arial Narrow"/>
                <w:b/>
                <w:bCs/>
                <w:sz w:val="20"/>
                <w:szCs w:val="20"/>
              </w:rPr>
              <w:t>Population criteria:</w:t>
            </w:r>
          </w:p>
        </w:tc>
      </w:tr>
      <w:tr w:rsidR="00852466" w:rsidRPr="003C5A76" w14:paraId="21146D9E"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872397F"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be aged 6 to 17 years inclusive</w:t>
            </w:r>
          </w:p>
        </w:tc>
      </w:tr>
      <w:tr w:rsidR="00852466" w:rsidRPr="003C5A76" w14:paraId="64A4918C"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7BE0DE2"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The authority application must be made in writing and must include:</w:t>
            </w:r>
          </w:p>
          <w:p w14:paraId="41275584" w14:textId="77777777" w:rsidR="00852466" w:rsidRPr="00116AFD" w:rsidRDefault="00852466">
            <w:pPr>
              <w:rPr>
                <w:rFonts w:ascii="Arial Narrow" w:hAnsi="Arial Narrow"/>
                <w:sz w:val="20"/>
                <w:szCs w:val="20"/>
              </w:rPr>
            </w:pPr>
          </w:p>
          <w:p w14:paraId="1D088E8F"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(1) </w:t>
            </w:r>
            <w:r w:rsidRPr="00116AFD">
              <w:rPr>
                <w:rFonts w:ascii="Arial Narrow" w:hAnsi="Arial Narrow"/>
                <w:bCs/>
                <w:i/>
                <w:iCs/>
                <w:sz w:val="20"/>
                <w:szCs w:val="20"/>
              </w:rPr>
              <w:t>details of the proposed</w:t>
            </w:r>
            <w:r w:rsidRPr="00116AFD">
              <w:rPr>
                <w:rFonts w:ascii="Arial Narrow" w:hAnsi="Arial Narrow"/>
                <w:bCs/>
                <w:sz w:val="20"/>
                <w:szCs w:val="20"/>
              </w:rPr>
              <w:t xml:space="preserve"> </w:t>
            </w:r>
            <w:r w:rsidRPr="00116AFD">
              <w:rPr>
                <w:rFonts w:ascii="Arial Narrow" w:hAnsi="Arial Narrow"/>
                <w:strike/>
                <w:sz w:val="20"/>
                <w:szCs w:val="20"/>
              </w:rPr>
              <w:t>two completed authority</w:t>
            </w:r>
            <w:r w:rsidRPr="00116AFD">
              <w:rPr>
                <w:rFonts w:ascii="Arial Narrow" w:hAnsi="Arial Narrow"/>
                <w:sz w:val="20"/>
                <w:szCs w:val="20"/>
              </w:rPr>
              <w:t xml:space="preserve"> prescription</w:t>
            </w:r>
            <w:r w:rsidRPr="00116AFD">
              <w:rPr>
                <w:rFonts w:ascii="Arial Narrow" w:hAnsi="Arial Narrow"/>
                <w:i/>
                <w:iCs/>
                <w:sz w:val="20"/>
                <w:szCs w:val="20"/>
              </w:rPr>
              <w:t>(s)</w:t>
            </w:r>
            <w:r w:rsidRPr="00116AFD">
              <w:rPr>
                <w:rFonts w:ascii="Arial Narrow" w:hAnsi="Arial Narrow"/>
                <w:sz w:val="20"/>
                <w:szCs w:val="20"/>
              </w:rPr>
              <w:t xml:space="preserve"> </w:t>
            </w:r>
            <w:r w:rsidRPr="00116AFD">
              <w:rPr>
                <w:rFonts w:ascii="Arial Narrow" w:hAnsi="Arial Narrow"/>
                <w:strike/>
                <w:sz w:val="20"/>
                <w:szCs w:val="20"/>
              </w:rPr>
              <w:t>forms</w:t>
            </w:r>
            <w:r w:rsidRPr="00116AFD">
              <w:rPr>
                <w:rFonts w:ascii="Arial Narrow" w:hAnsi="Arial Narrow"/>
                <w:sz w:val="20"/>
                <w:szCs w:val="20"/>
              </w:rPr>
              <w:t>; and</w:t>
            </w:r>
          </w:p>
          <w:p w14:paraId="6C51C31D" w14:textId="77777777" w:rsidR="00852466" w:rsidRPr="00116AFD" w:rsidRDefault="00852466">
            <w:pPr>
              <w:rPr>
                <w:rFonts w:ascii="Arial Narrow" w:hAnsi="Arial Narrow"/>
                <w:sz w:val="20"/>
                <w:szCs w:val="20"/>
              </w:rPr>
            </w:pPr>
          </w:p>
          <w:p w14:paraId="17B70E19" w14:textId="77777777" w:rsidR="00852466" w:rsidRPr="00116AFD" w:rsidRDefault="00852466">
            <w:pPr>
              <w:rPr>
                <w:rFonts w:ascii="Arial Narrow" w:hAnsi="Arial Narrow"/>
                <w:sz w:val="20"/>
                <w:szCs w:val="20"/>
              </w:rPr>
            </w:pPr>
            <w:r w:rsidRPr="00116AF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852466" w:rsidRPr="003C5A76" w14:paraId="3287FB0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870981B"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852466" w:rsidRPr="003C5A76" w14:paraId="5A5E48B9"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5B636BA"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3C5A76" w14:paraId="3F6C90FC"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E18C229" w14:textId="77777777" w:rsidR="00852466" w:rsidRPr="00116AFD" w:rsidRDefault="00852466">
            <w:pPr>
              <w:rPr>
                <w:rFonts w:ascii="Arial Narrow" w:hAnsi="Arial Narrow"/>
                <w:b/>
                <w:bCs/>
                <w:sz w:val="20"/>
                <w:szCs w:val="20"/>
              </w:rPr>
            </w:pPr>
          </w:p>
          <w:p w14:paraId="46DDA0BF" w14:textId="77777777" w:rsidR="00852466" w:rsidRPr="00116AFD" w:rsidRDefault="00852466">
            <w:pPr>
              <w:rPr>
                <w:rFonts w:ascii="Arial Narrow" w:hAnsi="Arial Narrow"/>
                <w:b/>
                <w:bCs/>
                <w:sz w:val="20"/>
                <w:szCs w:val="20"/>
              </w:rPr>
            </w:pPr>
          </w:p>
        </w:tc>
      </w:tr>
      <w:tr w:rsidR="00852466" w:rsidRPr="003C5A76" w14:paraId="613D2D70"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302E5F8" w14:textId="77777777" w:rsidR="00852466" w:rsidRPr="00116AFD" w:rsidRDefault="00852466">
            <w:pPr>
              <w:rPr>
                <w:rFonts w:ascii="Arial Narrow" w:hAnsi="Arial Narrow"/>
                <w:b/>
                <w:bCs/>
                <w:sz w:val="20"/>
                <w:szCs w:val="20"/>
              </w:rPr>
            </w:pPr>
            <w:r w:rsidRPr="00116AFD">
              <w:rPr>
                <w:rFonts w:ascii="Arial Narrow" w:hAnsi="Arial Narrow"/>
                <w:b/>
                <w:sz w:val="20"/>
                <w:szCs w:val="20"/>
              </w:rPr>
              <w:t>Category / Program:</w:t>
            </w:r>
            <w:r w:rsidRPr="00116AFD">
              <w:rPr>
                <w:rFonts w:ascii="Arial Narrow" w:hAnsi="Arial Narrow"/>
                <w:sz w:val="20"/>
                <w:szCs w:val="20"/>
              </w:rPr>
              <w:t xml:space="preserv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 xml:space="preserve"> GENERAL - General Schedule (Code GE) </w:t>
            </w:r>
          </w:p>
        </w:tc>
      </w:tr>
      <w:tr w:rsidR="00852466" w:rsidRPr="003C5A76" w14:paraId="74C7327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305136F" w14:textId="77777777" w:rsidR="00852466" w:rsidRPr="00116AFD" w:rsidRDefault="00852466">
            <w:pPr>
              <w:rPr>
                <w:rFonts w:ascii="Arial Narrow" w:hAnsi="Arial Narrow"/>
                <w:b/>
                <w:bCs/>
                <w:sz w:val="20"/>
                <w:szCs w:val="20"/>
              </w:rPr>
            </w:pPr>
            <w:r w:rsidRPr="00116AFD">
              <w:rPr>
                <w:rFonts w:ascii="Arial Narrow" w:hAnsi="Arial Narrow"/>
                <w:b/>
                <w:sz w:val="20"/>
                <w:szCs w:val="20"/>
              </w:rPr>
              <w:t xml:space="preserve">Prescriber type: </w:t>
            </w:r>
            <w:r w:rsidRPr="00116AFD">
              <w:rPr>
                <w:rFonts w:ascii="Arial Narrow" w:hAnsi="Arial Narrow"/>
                <w:sz w:val="20"/>
                <w:szCs w:val="20"/>
              </w:rPr>
              <w:fldChar w:fldCharType="begin" w:fldLock="1">
                <w:ffData>
                  <w:name w:val=""/>
                  <w:enabled/>
                  <w:calcOnExit w:val="0"/>
                  <w:checkBox>
                    <w:sizeAuto/>
                    <w:default w:val="1"/>
                  </w:checkBox>
                </w:ffData>
              </w:fldChar>
            </w:r>
            <w:r w:rsidRPr="00116AFD">
              <w:rPr>
                <w:rFonts w:ascii="Arial Narrow" w:hAnsi="Arial Narrow"/>
                <w:sz w:val="20"/>
                <w:szCs w:val="20"/>
              </w:rPr>
              <w:instrText xml:space="preserve"> FORMCHECKBOX </w:instrText>
            </w:r>
            <w:r w:rsidRPr="00116AFD">
              <w:rPr>
                <w:rFonts w:ascii="Arial Narrow" w:hAnsi="Arial Narrow"/>
                <w:sz w:val="20"/>
                <w:szCs w:val="20"/>
              </w:rPr>
            </w:r>
            <w:r w:rsidRPr="00116AFD">
              <w:rPr>
                <w:rFonts w:ascii="Arial Narrow" w:hAnsi="Arial Narrow"/>
                <w:sz w:val="20"/>
                <w:szCs w:val="20"/>
              </w:rPr>
              <w:fldChar w:fldCharType="separate"/>
            </w:r>
            <w:r w:rsidRPr="00116AFD">
              <w:rPr>
                <w:rFonts w:ascii="Arial Narrow" w:hAnsi="Arial Narrow"/>
                <w:sz w:val="20"/>
                <w:szCs w:val="20"/>
              </w:rPr>
              <w:fldChar w:fldCharType="end"/>
            </w:r>
            <w:r w:rsidRPr="00116AFD">
              <w:rPr>
                <w:rFonts w:ascii="Arial Narrow" w:hAnsi="Arial Narrow"/>
                <w:sz w:val="20"/>
                <w:szCs w:val="20"/>
              </w:rPr>
              <w:t xml:space="preserve">Medical Practitioners </w:t>
            </w:r>
          </w:p>
        </w:tc>
      </w:tr>
      <w:tr w:rsidR="00852466" w:rsidRPr="003C5A76" w14:paraId="0A24A500"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8E7A7FF" w14:textId="77777777" w:rsidR="00852466" w:rsidRPr="00116AFD" w:rsidRDefault="00852466">
            <w:pPr>
              <w:rPr>
                <w:rFonts w:ascii="Arial Narrow" w:hAnsi="Arial Narrow"/>
                <w:b/>
                <w:sz w:val="20"/>
                <w:szCs w:val="20"/>
              </w:rPr>
            </w:pPr>
            <w:r w:rsidRPr="00116AFD">
              <w:rPr>
                <w:rFonts w:ascii="Arial Narrow" w:hAnsi="Arial Narrow"/>
                <w:b/>
                <w:sz w:val="20"/>
                <w:szCs w:val="20"/>
              </w:rPr>
              <w:t xml:space="preserve">Restriction type: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 xml:space="preserve">Authority Required (in writing only via post/HPOS upload) </w:t>
            </w:r>
          </w:p>
        </w:tc>
      </w:tr>
      <w:tr w:rsidR="00852466" w:rsidRPr="003C5A76" w14:paraId="7296BA76"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ADAAFCA" w14:textId="77777777" w:rsidR="00852466" w:rsidRPr="00116AFD" w:rsidRDefault="00852466">
            <w:pPr>
              <w:rPr>
                <w:rFonts w:ascii="Arial Narrow" w:hAnsi="Arial Narrow"/>
                <w:b/>
                <w:sz w:val="20"/>
                <w:szCs w:val="20"/>
              </w:rPr>
            </w:pPr>
            <w:r w:rsidRPr="00116AFD">
              <w:rPr>
                <w:rFonts w:ascii="Arial Narrow" w:hAnsi="Arial Narrow"/>
                <w:b/>
                <w:bCs/>
                <w:sz w:val="20"/>
                <w:szCs w:val="20"/>
              </w:rPr>
              <w:t>Indication:</w:t>
            </w:r>
            <w:r w:rsidRPr="00116AFD">
              <w:rPr>
                <w:rFonts w:ascii="Arial Narrow" w:hAnsi="Arial Narrow"/>
                <w:sz w:val="20"/>
                <w:szCs w:val="20"/>
              </w:rPr>
              <w:t xml:space="preserve"> Severe Crohn disease</w:t>
            </w:r>
          </w:p>
        </w:tc>
      </w:tr>
      <w:tr w:rsidR="00852466" w:rsidRPr="003C5A76" w14:paraId="0783109B"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B7C3828"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Treatment Phase:</w:t>
            </w:r>
            <w:r w:rsidRPr="00116AFD">
              <w:rPr>
                <w:rFonts w:ascii="Arial Narrow" w:hAnsi="Arial Narrow"/>
                <w:sz w:val="20"/>
                <w:szCs w:val="20"/>
              </w:rPr>
              <w:t xml:space="preserve"> Initial treatment - Initial 3 (recommencement of treatment after a break in biological medicine of more than 5 years)</w:t>
            </w:r>
          </w:p>
        </w:tc>
      </w:tr>
      <w:tr w:rsidR="00852466" w:rsidRPr="003C5A76" w14:paraId="63CD48D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A20B504"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 xml:space="preserve">Clinical criteria: </w:t>
            </w:r>
          </w:p>
        </w:tc>
      </w:tr>
      <w:tr w:rsidR="00852466" w:rsidRPr="003C5A76" w14:paraId="33E050CE"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56F8F7B"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have received prior PBS-subsidised treatment with a biological medicine for this condition</w:t>
            </w:r>
          </w:p>
        </w:tc>
      </w:tr>
      <w:tr w:rsidR="00852466" w:rsidRPr="003C5A76" w14:paraId="79ECB00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F88B0A0"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5086BDE4"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82A0ECF"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Clinical criteria:</w:t>
            </w:r>
          </w:p>
        </w:tc>
      </w:tr>
      <w:tr w:rsidR="00852466" w:rsidRPr="003C5A76" w14:paraId="2CB8E433"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C2FB17D"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have had a break in treatment of 5 years or more from the most recently approved PBS-subsidised biological medicine for this condition</w:t>
            </w:r>
          </w:p>
        </w:tc>
      </w:tr>
      <w:tr w:rsidR="00852466" w:rsidRPr="003C5A76" w14:paraId="32EE324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C173F8F"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1AA2A48B"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70BCC1E"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Clinical criteria:</w:t>
            </w:r>
          </w:p>
        </w:tc>
      </w:tr>
      <w:tr w:rsidR="00852466" w:rsidRPr="003C5A76" w14:paraId="4D13846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C8F35E5"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have confirmed Crohn disease, defined by standard clinical, endoscopic and/or imaging features, including histological evidence, with the diagnosis confirmed by a gastroenterologist, consultant physician, paediatrician or specialist paediatric gastroenterologist</w:t>
            </w:r>
          </w:p>
        </w:tc>
      </w:tr>
      <w:tr w:rsidR="00852466" w:rsidRPr="003C5A76" w14:paraId="7232B59E"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0CA768D"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0CD82FC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E6E69A9"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Clinical criteria:</w:t>
            </w:r>
          </w:p>
        </w:tc>
      </w:tr>
      <w:tr w:rsidR="00852466" w:rsidRPr="003C5A76" w14:paraId="00A12448"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CAD54F5" w14:textId="77777777" w:rsidR="00852466" w:rsidRPr="00116AFD" w:rsidRDefault="00852466">
            <w:pPr>
              <w:rPr>
                <w:rFonts w:ascii="Arial Narrow" w:hAnsi="Arial Narrow"/>
                <w:b/>
                <w:bCs/>
                <w:i/>
                <w:iCs/>
                <w:sz w:val="20"/>
                <w:szCs w:val="20"/>
              </w:rPr>
            </w:pPr>
            <w:r w:rsidRPr="00116AFD">
              <w:rPr>
                <w:rFonts w:ascii="Arial Narrow" w:hAnsi="Arial Narrow"/>
                <w:sz w:val="20"/>
                <w:szCs w:val="20"/>
              </w:rPr>
              <w:t xml:space="preserve">Patient </w:t>
            </w:r>
            <w:proofErr w:type="gramStart"/>
            <w:r w:rsidRPr="00116AFD">
              <w:rPr>
                <w:rFonts w:ascii="Arial Narrow" w:hAnsi="Arial Narrow"/>
                <w:sz w:val="20"/>
                <w:szCs w:val="20"/>
              </w:rPr>
              <w:t>must have,</w:t>
            </w:r>
            <w:proofErr w:type="gramEnd"/>
            <w:r w:rsidRPr="00116AFD">
              <w:rPr>
                <w:rFonts w:ascii="Arial Narrow" w:hAnsi="Arial Narrow"/>
                <w:sz w:val="20"/>
                <w:szCs w:val="20"/>
              </w:rPr>
              <w:t xml:space="preserve"> at the time of application, disease severity considered to be severe as demonstrated by a Paediatric Crohn Disease Activity Index (PCDAI) Score greater than or equal to 40</w:t>
            </w:r>
            <w:r w:rsidRPr="00116AFD">
              <w:rPr>
                <w:rFonts w:ascii="Arial Narrow" w:hAnsi="Arial Narrow"/>
                <w:i/>
                <w:iCs/>
                <w:sz w:val="20"/>
                <w:szCs w:val="20"/>
              </w:rPr>
              <w:t>; or</w:t>
            </w:r>
          </w:p>
        </w:tc>
      </w:tr>
      <w:tr w:rsidR="00852466" w:rsidRPr="003C5A76" w14:paraId="428297F2"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0F9998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a documented history and radiological evidence of intestinal inflammation if the patient has extensive small intestinal disease that is no more than 4 weeks old at the time of application,</w:t>
            </w:r>
          </w:p>
        </w:tc>
      </w:tr>
      <w:tr w:rsidR="00852466" w:rsidRPr="003C5A76" w14:paraId="115E554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70BF90E"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3C5A76" w14:paraId="1404202F"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AFA00F8"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3C5A76" w14:paraId="03E6074F"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D5368BD" w14:textId="77777777" w:rsidR="00852466" w:rsidRPr="00116AFD" w:rsidRDefault="00852466">
            <w:pPr>
              <w:rPr>
                <w:rFonts w:ascii="Arial Narrow" w:hAnsi="Arial Narrow"/>
                <w:sz w:val="20"/>
                <w:szCs w:val="20"/>
              </w:rPr>
            </w:pPr>
            <w:r w:rsidRPr="00116AFD">
              <w:rPr>
                <w:rFonts w:ascii="Arial Narrow" w:hAnsi="Arial Narrow"/>
                <w:sz w:val="20"/>
                <w:szCs w:val="20"/>
              </w:rPr>
              <w:t>Patient must not receive more than 16 weeks of treatment under this restriction</w:t>
            </w:r>
          </w:p>
        </w:tc>
      </w:tr>
      <w:tr w:rsidR="00852466" w:rsidRPr="003C5A76" w14:paraId="357397AC"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AB323DD" w14:textId="77777777" w:rsidR="00852466" w:rsidRPr="00116AFD" w:rsidRDefault="00852466">
            <w:pPr>
              <w:rPr>
                <w:rFonts w:ascii="Arial Narrow" w:hAnsi="Arial Narrow"/>
                <w:sz w:val="20"/>
                <w:szCs w:val="20"/>
              </w:rPr>
            </w:pPr>
            <w:r w:rsidRPr="00116AFD">
              <w:rPr>
                <w:rFonts w:ascii="Arial Narrow" w:hAnsi="Arial Narrow"/>
                <w:b/>
                <w:bCs/>
                <w:sz w:val="20"/>
                <w:szCs w:val="20"/>
              </w:rPr>
              <w:t>Treatment criteria:</w:t>
            </w:r>
          </w:p>
        </w:tc>
      </w:tr>
      <w:tr w:rsidR="00852466" w:rsidRPr="003C5A76" w14:paraId="2ABC3539"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E8E78C7" w14:textId="77777777" w:rsidR="00852466" w:rsidRPr="00116AFD" w:rsidRDefault="00852466">
            <w:pPr>
              <w:rPr>
                <w:rFonts w:ascii="Arial Narrow" w:hAnsi="Arial Narrow"/>
                <w:b/>
                <w:bCs/>
                <w:sz w:val="20"/>
                <w:szCs w:val="20"/>
              </w:rPr>
            </w:pPr>
            <w:r w:rsidRPr="00116AFD">
              <w:rPr>
                <w:rFonts w:ascii="Arial Narrow" w:hAnsi="Arial Narrow" w:cs="Arial Narrow"/>
                <w:iCs/>
                <w:sz w:val="20"/>
                <w:szCs w:val="20"/>
              </w:rPr>
              <w:t>Must be treated by a gastroenterologist (code 87); or</w:t>
            </w:r>
          </w:p>
        </w:tc>
      </w:tr>
      <w:tr w:rsidR="00852466" w:rsidRPr="003C5A76" w14:paraId="2894D554"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15297C3" w14:textId="77777777" w:rsidR="00852466" w:rsidRPr="00116AFD" w:rsidRDefault="00852466">
            <w:pPr>
              <w:rPr>
                <w:rFonts w:ascii="Arial Narrow" w:hAnsi="Arial Narrow" w:cs="Arial Narrow"/>
                <w:iCs/>
                <w:sz w:val="20"/>
                <w:szCs w:val="20"/>
              </w:rPr>
            </w:pPr>
            <w:r w:rsidRPr="00116AFD">
              <w:rPr>
                <w:rFonts w:ascii="Arial Narrow" w:hAnsi="Arial Narrow" w:cs="Arial Narrow"/>
                <w:sz w:val="20"/>
                <w:szCs w:val="20"/>
              </w:rPr>
              <w:t>Must be treated by a consultant physician [internal medicine specialising in gastroenterology (code 81)]; or</w:t>
            </w:r>
          </w:p>
        </w:tc>
      </w:tr>
      <w:tr w:rsidR="00852466" w:rsidRPr="003C5A76" w14:paraId="61AA3206"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0C8C7E9" w14:textId="77777777" w:rsidR="00852466" w:rsidRPr="00116AFD" w:rsidRDefault="00852466">
            <w:pPr>
              <w:rPr>
                <w:rFonts w:ascii="Arial Narrow" w:hAnsi="Arial Narrow" w:cs="Arial Narrow"/>
                <w:i/>
                <w:iCs/>
                <w:sz w:val="20"/>
                <w:szCs w:val="20"/>
              </w:rPr>
            </w:pPr>
            <w:r w:rsidRPr="00116AFD">
              <w:rPr>
                <w:rFonts w:ascii="Arial Narrow" w:hAnsi="Arial Narrow"/>
                <w:sz w:val="20"/>
                <w:szCs w:val="20"/>
              </w:rPr>
              <w:t>Must be treated by a consultant physician [general medicine specialising in gastroenterology (code 82)]</w:t>
            </w:r>
            <w:r w:rsidRPr="00116AFD">
              <w:rPr>
                <w:rFonts w:ascii="Arial Narrow" w:hAnsi="Arial Narrow"/>
                <w:i/>
                <w:iCs/>
                <w:sz w:val="20"/>
                <w:szCs w:val="20"/>
              </w:rPr>
              <w:t>; or</w:t>
            </w:r>
          </w:p>
        </w:tc>
      </w:tr>
      <w:tr w:rsidR="00852466" w:rsidRPr="003C5A76" w14:paraId="2019F0D5"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94DFE19"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paediatrician; or</w:t>
            </w:r>
          </w:p>
        </w:tc>
      </w:tr>
      <w:tr w:rsidR="00852466" w:rsidRPr="003C5A76" w14:paraId="0589AC0B"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E38D680" w14:textId="77777777" w:rsidR="00852466" w:rsidRPr="00116AFD" w:rsidRDefault="00852466">
            <w:pPr>
              <w:rPr>
                <w:rFonts w:ascii="Arial Narrow" w:hAnsi="Arial Narrow"/>
                <w:sz w:val="20"/>
                <w:szCs w:val="20"/>
              </w:rPr>
            </w:pPr>
            <w:r w:rsidRPr="00116AFD">
              <w:rPr>
                <w:rFonts w:ascii="Arial Narrow" w:hAnsi="Arial Narrow"/>
                <w:sz w:val="20"/>
                <w:szCs w:val="20"/>
              </w:rPr>
              <w:t>Must be treated by a specialist paediatric gastroenterologist</w:t>
            </w:r>
          </w:p>
        </w:tc>
      </w:tr>
      <w:tr w:rsidR="00852466" w:rsidRPr="003C5A76" w14:paraId="61CD528F"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D99D6AD" w14:textId="77777777" w:rsidR="00852466" w:rsidRPr="00116AFD" w:rsidRDefault="00852466">
            <w:pPr>
              <w:rPr>
                <w:rFonts w:ascii="Arial Narrow" w:hAnsi="Arial Narrow"/>
                <w:sz w:val="20"/>
                <w:szCs w:val="20"/>
              </w:rPr>
            </w:pPr>
            <w:r w:rsidRPr="00116AFD">
              <w:rPr>
                <w:rFonts w:ascii="Arial Narrow" w:hAnsi="Arial Narrow"/>
                <w:b/>
                <w:bCs/>
                <w:sz w:val="20"/>
                <w:szCs w:val="20"/>
              </w:rPr>
              <w:t>Population criteria:</w:t>
            </w:r>
          </w:p>
        </w:tc>
      </w:tr>
      <w:tr w:rsidR="00852466" w:rsidRPr="003C5A76" w14:paraId="1C74F236"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CE51C21" w14:textId="77777777" w:rsidR="00852466" w:rsidRPr="00116AFD" w:rsidRDefault="00852466">
            <w:pPr>
              <w:rPr>
                <w:rFonts w:ascii="Arial Narrow" w:hAnsi="Arial Narrow"/>
                <w:b/>
                <w:bCs/>
                <w:sz w:val="20"/>
                <w:szCs w:val="20"/>
              </w:rPr>
            </w:pPr>
            <w:r w:rsidRPr="00116AFD">
              <w:rPr>
                <w:rFonts w:ascii="Arial Narrow" w:hAnsi="Arial Narrow"/>
                <w:sz w:val="20"/>
                <w:szCs w:val="20"/>
              </w:rPr>
              <w:t>Patient must be aged 6 to 17 years inclusive</w:t>
            </w:r>
          </w:p>
        </w:tc>
      </w:tr>
      <w:tr w:rsidR="00852466" w:rsidRPr="003C5A76" w14:paraId="1EAB475F"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D7CBB63"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The authority application must be made in writing and must include:</w:t>
            </w:r>
          </w:p>
          <w:p w14:paraId="452DA087" w14:textId="77777777" w:rsidR="00852466" w:rsidRPr="00116AFD" w:rsidRDefault="00852466">
            <w:pPr>
              <w:rPr>
                <w:rFonts w:ascii="Arial Narrow" w:hAnsi="Arial Narrow"/>
                <w:sz w:val="20"/>
                <w:szCs w:val="20"/>
              </w:rPr>
            </w:pPr>
          </w:p>
          <w:p w14:paraId="0274338A"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(1) </w:t>
            </w:r>
            <w:r w:rsidRPr="00116AFD">
              <w:rPr>
                <w:rFonts w:ascii="Arial Narrow" w:hAnsi="Arial Narrow"/>
                <w:bCs/>
                <w:i/>
                <w:iCs/>
                <w:sz w:val="20"/>
                <w:szCs w:val="20"/>
              </w:rPr>
              <w:t>details of the proposed</w:t>
            </w:r>
            <w:r w:rsidRPr="00116AFD">
              <w:rPr>
                <w:rFonts w:ascii="Arial Narrow" w:hAnsi="Arial Narrow"/>
                <w:bCs/>
                <w:sz w:val="20"/>
                <w:szCs w:val="20"/>
              </w:rPr>
              <w:t xml:space="preserve"> </w:t>
            </w:r>
            <w:r w:rsidRPr="00116AFD">
              <w:rPr>
                <w:rFonts w:ascii="Arial Narrow" w:hAnsi="Arial Narrow"/>
                <w:strike/>
                <w:sz w:val="20"/>
                <w:szCs w:val="20"/>
              </w:rPr>
              <w:t>two completed authority</w:t>
            </w:r>
            <w:r w:rsidRPr="00116AFD">
              <w:rPr>
                <w:rFonts w:ascii="Arial Narrow" w:hAnsi="Arial Narrow"/>
                <w:sz w:val="20"/>
                <w:szCs w:val="20"/>
              </w:rPr>
              <w:t xml:space="preserve"> prescription</w:t>
            </w:r>
            <w:r w:rsidRPr="00116AFD">
              <w:rPr>
                <w:rFonts w:ascii="Arial Narrow" w:hAnsi="Arial Narrow"/>
                <w:i/>
                <w:iCs/>
                <w:sz w:val="20"/>
                <w:szCs w:val="20"/>
              </w:rPr>
              <w:t>(s)</w:t>
            </w:r>
            <w:r w:rsidRPr="00116AFD">
              <w:rPr>
                <w:rFonts w:ascii="Arial Narrow" w:hAnsi="Arial Narrow"/>
                <w:sz w:val="20"/>
                <w:szCs w:val="20"/>
              </w:rPr>
              <w:t xml:space="preserve"> </w:t>
            </w:r>
            <w:r w:rsidRPr="00116AFD">
              <w:rPr>
                <w:rFonts w:ascii="Arial Narrow" w:hAnsi="Arial Narrow"/>
                <w:strike/>
                <w:sz w:val="20"/>
                <w:szCs w:val="20"/>
              </w:rPr>
              <w:t>forms</w:t>
            </w:r>
            <w:r w:rsidRPr="00116AFD">
              <w:rPr>
                <w:rFonts w:ascii="Arial Narrow" w:hAnsi="Arial Narrow"/>
                <w:sz w:val="20"/>
                <w:szCs w:val="20"/>
              </w:rPr>
              <w:t>; and</w:t>
            </w:r>
          </w:p>
          <w:p w14:paraId="3EE9D61A" w14:textId="77777777" w:rsidR="00852466" w:rsidRPr="00116AFD" w:rsidRDefault="00852466">
            <w:pPr>
              <w:rPr>
                <w:rFonts w:ascii="Arial Narrow" w:hAnsi="Arial Narrow"/>
                <w:sz w:val="20"/>
                <w:szCs w:val="20"/>
              </w:rPr>
            </w:pPr>
          </w:p>
          <w:p w14:paraId="2BC77A4B" w14:textId="77777777" w:rsidR="00852466" w:rsidRPr="00116AFD" w:rsidRDefault="00852466">
            <w:pPr>
              <w:rPr>
                <w:rFonts w:ascii="Arial Narrow" w:hAnsi="Arial Narrow"/>
                <w:sz w:val="20"/>
                <w:szCs w:val="20"/>
              </w:rPr>
            </w:pPr>
            <w:r w:rsidRPr="00116AF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852466" w:rsidRPr="003C5A76" w14:paraId="74A32A59"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BDDBCDD"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The PCDAI assessment must be no more than 4 weeks old at the time of application.</w:t>
            </w:r>
          </w:p>
        </w:tc>
      </w:tr>
      <w:tr w:rsidR="00852466" w:rsidRPr="003C5A76" w14:paraId="38925FC3"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29C7DC9"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A PCDAI assessment of the patient's response to this initial course of treatment must be made following a minimum of 12 weeks therapy so that there is adequate time for a response to be demonstrated.</w:t>
            </w:r>
          </w:p>
        </w:tc>
      </w:tr>
      <w:tr w:rsidR="00852466" w:rsidRPr="003C5A76" w14:paraId="127339AC"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2708A37"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852466" w:rsidRPr="003C5A76" w14:paraId="451E28FA" w14:textId="77777777">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9783F38"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bl>
    <w:p w14:paraId="3116CC4C" w14:textId="77777777" w:rsidR="00852466" w:rsidRDefault="00852466" w:rsidP="00852466"/>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Severe Crohn disease"/>
      </w:tblPr>
      <w:tblGrid>
        <w:gridCol w:w="3940"/>
        <w:gridCol w:w="876"/>
        <w:gridCol w:w="747"/>
        <w:gridCol w:w="811"/>
        <w:gridCol w:w="812"/>
        <w:gridCol w:w="1831"/>
        <w:gridCol w:w="21"/>
      </w:tblGrid>
      <w:tr w:rsidR="00852466" w:rsidRPr="003C5A76" w14:paraId="09458CB4" w14:textId="77777777">
        <w:trPr>
          <w:gridAfter w:val="1"/>
          <w:wAfter w:w="21" w:type="dxa"/>
          <w:cantSplit/>
          <w:trHeight w:val="20"/>
        </w:trPr>
        <w:tc>
          <w:tcPr>
            <w:tcW w:w="3940" w:type="dxa"/>
            <w:vAlign w:val="center"/>
          </w:tcPr>
          <w:p w14:paraId="52A85268"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MEDICINAL PRODUCT</w:t>
            </w:r>
          </w:p>
          <w:p w14:paraId="1E6E2E9C"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medicinal product pack</w:t>
            </w:r>
          </w:p>
        </w:tc>
        <w:tc>
          <w:tcPr>
            <w:tcW w:w="876" w:type="dxa"/>
            <w:vAlign w:val="center"/>
          </w:tcPr>
          <w:p w14:paraId="03FECD73"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PBS item code</w:t>
            </w:r>
          </w:p>
        </w:tc>
        <w:tc>
          <w:tcPr>
            <w:tcW w:w="747" w:type="dxa"/>
            <w:vAlign w:val="center"/>
          </w:tcPr>
          <w:p w14:paraId="611C5FC9"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packs</w:t>
            </w:r>
          </w:p>
        </w:tc>
        <w:tc>
          <w:tcPr>
            <w:tcW w:w="811" w:type="dxa"/>
            <w:vAlign w:val="center"/>
          </w:tcPr>
          <w:p w14:paraId="189385E7"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6E84A743"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№.of</w:t>
            </w:r>
          </w:p>
          <w:p w14:paraId="7211A5F4"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2A188225" w14:textId="77777777" w:rsidR="00852466" w:rsidRPr="003C5A76" w:rsidRDefault="00852466">
            <w:pPr>
              <w:keepLines/>
              <w:rPr>
                <w:rFonts w:ascii="Arial Narrow" w:hAnsi="Arial Narrow"/>
                <w:b/>
                <w:sz w:val="20"/>
                <w:szCs w:val="20"/>
                <w:lang w:val="fr-FR"/>
              </w:rPr>
            </w:pPr>
            <w:r w:rsidRPr="003C5A76">
              <w:rPr>
                <w:rFonts w:ascii="Arial Narrow" w:hAnsi="Arial Narrow"/>
                <w:b/>
                <w:sz w:val="20"/>
                <w:szCs w:val="20"/>
              </w:rPr>
              <w:t>Available brands</w:t>
            </w:r>
          </w:p>
        </w:tc>
      </w:tr>
      <w:tr w:rsidR="00852466" w:rsidRPr="003C5A76" w14:paraId="6E982F85" w14:textId="77777777">
        <w:trPr>
          <w:gridAfter w:val="1"/>
          <w:wAfter w:w="21" w:type="dxa"/>
          <w:cantSplit/>
          <w:trHeight w:val="20"/>
        </w:trPr>
        <w:tc>
          <w:tcPr>
            <w:tcW w:w="9017" w:type="dxa"/>
            <w:gridSpan w:val="6"/>
            <w:vAlign w:val="center"/>
          </w:tcPr>
          <w:p w14:paraId="4C337EE7"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w:t>
            </w:r>
          </w:p>
        </w:tc>
      </w:tr>
      <w:tr w:rsidR="00852466" w:rsidRPr="003C5A76" w14:paraId="13202ED3" w14:textId="77777777">
        <w:trPr>
          <w:gridAfter w:val="1"/>
          <w:wAfter w:w="21" w:type="dxa"/>
          <w:cantSplit/>
          <w:trHeight w:val="20"/>
        </w:trPr>
        <w:tc>
          <w:tcPr>
            <w:tcW w:w="3940" w:type="dxa"/>
            <w:vAlign w:val="center"/>
          </w:tcPr>
          <w:p w14:paraId="5F63E5B8"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76" w:type="dxa"/>
            <w:vAlign w:val="center"/>
          </w:tcPr>
          <w:p w14:paraId="1670ACF9"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12423W</w:t>
            </w:r>
          </w:p>
        </w:tc>
        <w:tc>
          <w:tcPr>
            <w:tcW w:w="747" w:type="dxa"/>
            <w:vAlign w:val="center"/>
          </w:tcPr>
          <w:p w14:paraId="7BA879DC"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0957EFFA"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0D9DF176"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7F44F2B6"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tc>
      </w:tr>
      <w:tr w:rsidR="00852466" w:rsidRPr="003C5A76" w14:paraId="3C5E10F6" w14:textId="77777777">
        <w:trPr>
          <w:gridAfter w:val="1"/>
          <w:wAfter w:w="21" w:type="dxa"/>
          <w:cantSplit/>
          <w:trHeight w:val="20"/>
        </w:trPr>
        <w:tc>
          <w:tcPr>
            <w:tcW w:w="3940" w:type="dxa"/>
            <w:vAlign w:val="center"/>
          </w:tcPr>
          <w:p w14:paraId="54B10E1F"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76" w:type="dxa"/>
            <w:vAlign w:val="center"/>
          </w:tcPr>
          <w:p w14:paraId="2777A151"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12411F</w:t>
            </w:r>
          </w:p>
        </w:tc>
        <w:tc>
          <w:tcPr>
            <w:tcW w:w="747" w:type="dxa"/>
            <w:vAlign w:val="center"/>
          </w:tcPr>
          <w:p w14:paraId="3374630A"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13083C78"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3E048629"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4E9BA012"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4358AFD3" w14:textId="77777777" w:rsidR="00852466" w:rsidRPr="003C5A76" w:rsidRDefault="00852466">
            <w:pPr>
              <w:keepLines/>
              <w:rPr>
                <w:rFonts w:ascii="Arial Narrow" w:hAnsi="Arial Narrow"/>
                <w:sz w:val="20"/>
                <w:szCs w:val="20"/>
              </w:rPr>
            </w:pPr>
          </w:p>
        </w:tc>
      </w:tr>
      <w:tr w:rsidR="00852466" w:rsidRPr="003C5A76" w14:paraId="02FA5BCD" w14:textId="77777777">
        <w:trPr>
          <w:gridAfter w:val="1"/>
          <w:wAfter w:w="21" w:type="dxa"/>
          <w:cantSplit/>
          <w:trHeight w:val="20"/>
        </w:trPr>
        <w:tc>
          <w:tcPr>
            <w:tcW w:w="3940" w:type="dxa"/>
            <w:vAlign w:val="center"/>
          </w:tcPr>
          <w:p w14:paraId="7FBD8900"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76" w:type="dxa"/>
            <w:vAlign w:val="center"/>
          </w:tcPr>
          <w:p w14:paraId="253DCAD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12379M</w:t>
            </w:r>
          </w:p>
        </w:tc>
        <w:tc>
          <w:tcPr>
            <w:tcW w:w="747" w:type="dxa"/>
            <w:vAlign w:val="center"/>
          </w:tcPr>
          <w:p w14:paraId="4E9AC40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225E8C3F"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2037089B"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7A51F33A"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34ECFEDE" w14:textId="77777777" w:rsidR="00852466" w:rsidRPr="003C5A76" w:rsidRDefault="00852466">
            <w:pPr>
              <w:keepLines/>
              <w:rPr>
                <w:rFonts w:ascii="Arial Narrow" w:hAnsi="Arial Narrow"/>
                <w:sz w:val="20"/>
                <w:szCs w:val="20"/>
              </w:rPr>
            </w:pPr>
          </w:p>
        </w:tc>
      </w:tr>
      <w:tr w:rsidR="00852466" w:rsidRPr="003C5A76" w14:paraId="7AF8C0B3" w14:textId="77777777">
        <w:tblPrEx>
          <w:tblCellMar>
            <w:top w:w="15" w:type="dxa"/>
            <w:bottom w:w="15" w:type="dxa"/>
          </w:tblCellMar>
          <w:tblLook w:val="04A0" w:firstRow="1" w:lastRow="0" w:firstColumn="1" w:lastColumn="0" w:noHBand="0" w:noVBand="1"/>
        </w:tblPrEx>
        <w:trPr>
          <w:gridAfter w:val="1"/>
          <w:wAfter w:w="21" w:type="dxa"/>
          <w:trHeight w:val="20"/>
        </w:trPr>
        <w:tc>
          <w:tcPr>
            <w:tcW w:w="9017" w:type="dxa"/>
            <w:gridSpan w:val="6"/>
            <w:tcBorders>
              <w:top w:val="single" w:sz="4" w:space="0" w:color="auto"/>
              <w:left w:val="single" w:sz="4" w:space="0" w:color="auto"/>
              <w:right w:val="single" w:sz="4" w:space="0" w:color="auto"/>
            </w:tcBorders>
            <w:vAlign w:val="center"/>
          </w:tcPr>
          <w:p w14:paraId="59A07015" w14:textId="77777777" w:rsidR="00852466" w:rsidRPr="003C5A76" w:rsidRDefault="00852466">
            <w:pPr>
              <w:rPr>
                <w:rFonts w:ascii="Arial Narrow" w:hAnsi="Arial Narrow"/>
                <w:sz w:val="20"/>
                <w:szCs w:val="20"/>
              </w:rPr>
            </w:pPr>
          </w:p>
        </w:tc>
      </w:tr>
      <w:tr w:rsidR="00852466" w:rsidRPr="003C5A76" w14:paraId="55DF8551" w14:textId="77777777">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34059986" w14:textId="77777777" w:rsidR="00852466" w:rsidRPr="003C5A76" w:rsidRDefault="00852466">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5640EEAD" w14:textId="77777777">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7B0A53E2"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73F04201" w14:textId="77777777">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14113A24" w14:textId="77777777" w:rsidR="00852466" w:rsidRPr="003C5A76" w:rsidRDefault="00852466">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7E77EFB5" w14:textId="77777777">
        <w:tblPrEx>
          <w:tblCellMar>
            <w:top w:w="15" w:type="dxa"/>
            <w:bottom w:w="15" w:type="dxa"/>
          </w:tblCellMar>
          <w:tblLook w:val="04A0" w:firstRow="1" w:lastRow="0" w:firstColumn="1" w:lastColumn="0" w:noHBand="0" w:noVBand="1"/>
        </w:tblPrEx>
        <w:trPr>
          <w:trHeight w:val="20"/>
        </w:trPr>
        <w:tc>
          <w:tcPr>
            <w:tcW w:w="9038" w:type="dxa"/>
            <w:gridSpan w:val="7"/>
            <w:vAlign w:val="center"/>
          </w:tcPr>
          <w:p w14:paraId="632112C7" w14:textId="77777777" w:rsidR="00852466" w:rsidRPr="003C5A76" w:rsidRDefault="00852466">
            <w:pPr>
              <w:rPr>
                <w:rFonts w:ascii="Arial Narrow" w:hAnsi="Arial Narrow"/>
                <w:b/>
                <w:bCs/>
                <w:sz w:val="20"/>
                <w:szCs w:val="20"/>
              </w:rPr>
            </w:pPr>
            <w:r w:rsidRPr="003C5A76">
              <w:rPr>
                <w:rFonts w:ascii="Arial Narrow" w:hAnsi="Arial Narrow"/>
                <w:sz w:val="20"/>
                <w:szCs w:val="20"/>
              </w:rPr>
              <w:t xml:space="preserve"> </w:t>
            </w:r>
            <w:r w:rsidRPr="003C5A76">
              <w:rPr>
                <w:rFonts w:ascii="Arial Narrow" w:hAnsi="Arial Narrow"/>
                <w:b/>
                <w:bCs/>
                <w:sz w:val="20"/>
                <w:szCs w:val="20"/>
              </w:rPr>
              <w:t>Administrative Advice:</w:t>
            </w:r>
          </w:p>
          <w:p w14:paraId="06DA4439" w14:textId="77777777" w:rsidR="00852466" w:rsidRPr="003C5A76" w:rsidRDefault="00852466">
            <w:pPr>
              <w:rPr>
                <w:rFonts w:ascii="Arial Narrow" w:hAnsi="Arial Narrow"/>
                <w:sz w:val="20"/>
                <w:szCs w:val="20"/>
              </w:rPr>
            </w:pPr>
            <w:r w:rsidRPr="003C5A76">
              <w:rPr>
                <w:rFonts w:ascii="Arial Narrow" w:hAnsi="Arial Narrow"/>
                <w:sz w:val="20"/>
                <w:szCs w:val="20"/>
              </w:rPr>
              <w:t>As above</w:t>
            </w:r>
          </w:p>
        </w:tc>
      </w:tr>
      <w:tr w:rsidR="00852466" w:rsidRPr="003C5A76" w14:paraId="67A337B2" w14:textId="77777777">
        <w:tblPrEx>
          <w:tblCellMar>
            <w:top w:w="15" w:type="dxa"/>
            <w:bottom w:w="15" w:type="dxa"/>
          </w:tblCellMar>
          <w:tblLook w:val="04A0" w:firstRow="1" w:lastRow="0" w:firstColumn="1" w:lastColumn="0" w:noHBand="0" w:noVBand="1"/>
        </w:tblPrEx>
        <w:trPr>
          <w:trHeight w:val="20"/>
        </w:trPr>
        <w:tc>
          <w:tcPr>
            <w:tcW w:w="9038" w:type="dxa"/>
            <w:gridSpan w:val="7"/>
            <w:vAlign w:val="center"/>
          </w:tcPr>
          <w:p w14:paraId="5A33EB03" w14:textId="77777777" w:rsidR="00852466" w:rsidRPr="003C5A76" w:rsidRDefault="00852466">
            <w:pPr>
              <w:rPr>
                <w:rFonts w:ascii="Arial Narrow" w:hAnsi="Arial Narrow"/>
                <w:b/>
                <w:bCs/>
                <w:sz w:val="20"/>
                <w:szCs w:val="20"/>
              </w:rPr>
            </w:pPr>
            <w:r w:rsidRPr="003C5A76">
              <w:rPr>
                <w:rFonts w:ascii="Arial Narrow" w:hAnsi="Arial Narrow"/>
                <w:b/>
                <w:bCs/>
                <w:sz w:val="20"/>
                <w:szCs w:val="20"/>
              </w:rPr>
              <w:t>Administrative Advice:</w:t>
            </w:r>
          </w:p>
          <w:p w14:paraId="14CBC076" w14:textId="77777777" w:rsidR="00852466" w:rsidRPr="003C5A76" w:rsidRDefault="00852466">
            <w:pPr>
              <w:rPr>
                <w:rFonts w:ascii="Arial Narrow" w:hAnsi="Arial Narrow"/>
                <w:sz w:val="20"/>
                <w:szCs w:val="20"/>
              </w:rPr>
            </w:pPr>
            <w:r w:rsidRPr="003C5A76">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52466" w:rsidRPr="003C5A76" w14:paraId="41515ECF"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7B9C96C8" w14:textId="77777777" w:rsidR="00852466" w:rsidRPr="003C5A76" w:rsidRDefault="00852466">
            <w:pPr>
              <w:keepLines/>
              <w:rPr>
                <w:rFonts w:ascii="Arial Narrow" w:hAnsi="Arial Narrow"/>
                <w:color w:val="333333"/>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776A4472"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69AEF141" w14:textId="77777777" w:rsidR="00852466" w:rsidRPr="003C5A76" w:rsidRDefault="00852466">
            <w:pPr>
              <w:rPr>
                <w:rFonts w:ascii="Arial Narrow" w:hAnsi="Arial Narrow"/>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Balance of supply for paediatric patient</w:t>
            </w:r>
          </w:p>
        </w:tc>
      </w:tr>
      <w:tr w:rsidR="00852466" w:rsidRPr="003C5A76" w14:paraId="5B136F57"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42D0B097" w14:textId="77777777" w:rsidR="00852466" w:rsidRPr="003C5A76" w:rsidRDefault="00852466">
            <w:pPr>
              <w:rPr>
                <w:rFonts w:ascii="Arial Narrow" w:hAnsi="Arial Narrow"/>
                <w:sz w:val="20"/>
                <w:szCs w:val="20"/>
              </w:rPr>
            </w:pPr>
            <w:r w:rsidRPr="003C5A76">
              <w:rPr>
                <w:rFonts w:ascii="Arial Narrow" w:hAnsi="Arial Narrow"/>
                <w:b/>
                <w:bCs/>
                <w:sz w:val="20"/>
                <w:szCs w:val="20"/>
              </w:rPr>
              <w:t xml:space="preserve">Clinical criteria: </w:t>
            </w:r>
          </w:p>
        </w:tc>
      </w:tr>
      <w:tr w:rsidR="00852466" w:rsidRPr="003C5A76" w14:paraId="77B461DA"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13A33852" w14:textId="77777777" w:rsidR="00852466" w:rsidRPr="003C5A76" w:rsidRDefault="00852466">
            <w:pPr>
              <w:jc w:val="left"/>
              <w:rPr>
                <w:rFonts w:ascii="Arial Narrow" w:hAnsi="Arial Narrow"/>
                <w:color w:val="333333"/>
                <w:sz w:val="20"/>
                <w:szCs w:val="20"/>
              </w:rPr>
            </w:pPr>
            <w:r w:rsidRPr="003C5A76">
              <w:rPr>
                <w:rFonts w:ascii="Arial Narrow" w:hAnsi="Arial Narrow"/>
                <w:sz w:val="20"/>
                <w:szCs w:val="20"/>
              </w:rPr>
              <w:t>Patient must have received insufficient therapy with this drug for this condition under the Initial 1 (new patient) restriction to complete 16 weeks treatment; or</w:t>
            </w:r>
          </w:p>
        </w:tc>
      </w:tr>
      <w:tr w:rsidR="00852466" w:rsidRPr="003C5A76" w14:paraId="4550310C"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5E1ACDA6" w14:textId="77777777" w:rsidR="00852466" w:rsidRPr="003C5A76" w:rsidRDefault="00852466">
            <w:pPr>
              <w:jc w:val="left"/>
              <w:rPr>
                <w:rFonts w:ascii="Arial Narrow" w:hAnsi="Arial Narrow"/>
                <w:sz w:val="20"/>
                <w:szCs w:val="20"/>
              </w:rPr>
            </w:pPr>
            <w:r w:rsidRPr="003C5A76">
              <w:rPr>
                <w:rFonts w:ascii="Arial Narrow" w:hAnsi="Arial Narrow"/>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852466" w:rsidRPr="003C5A76" w14:paraId="497670FC"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307667BC" w14:textId="77777777" w:rsidR="00852466" w:rsidRPr="003C5A76" w:rsidRDefault="00852466">
            <w:pPr>
              <w:jc w:val="left"/>
              <w:rPr>
                <w:rFonts w:ascii="Arial Narrow" w:hAnsi="Arial Narrow"/>
                <w:sz w:val="20"/>
                <w:szCs w:val="20"/>
              </w:rPr>
            </w:pPr>
            <w:r w:rsidRPr="003C5A76">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 or</w:t>
            </w:r>
          </w:p>
        </w:tc>
      </w:tr>
      <w:tr w:rsidR="00852466" w:rsidRPr="003C5A76" w14:paraId="30EA6493"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5FD95DA5" w14:textId="77777777" w:rsidR="00852466" w:rsidRPr="003C5A76" w:rsidRDefault="00852466">
            <w:pPr>
              <w:rPr>
                <w:rFonts w:ascii="Arial Narrow" w:hAnsi="Arial Narrow"/>
                <w:color w:val="FF0000"/>
                <w:sz w:val="20"/>
                <w:szCs w:val="20"/>
              </w:rPr>
            </w:pPr>
            <w:r w:rsidRPr="003C5A76">
              <w:rPr>
                <w:rFonts w:ascii="Arial Narrow" w:hAnsi="Arial Narrow"/>
                <w:sz w:val="20"/>
                <w:szCs w:val="20"/>
              </w:rPr>
              <w:t>Patient must have received insufficient therapy with this drug for this condition under the first continuing treatment or subsequent continuing treatment restrictions to complete 24 weeks of treatment</w:t>
            </w:r>
          </w:p>
        </w:tc>
      </w:tr>
      <w:tr w:rsidR="00852466" w:rsidRPr="003C5A76" w14:paraId="322A1289"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2B2128E1" w14:textId="77777777" w:rsidR="00852466" w:rsidRPr="003C5A76" w:rsidRDefault="00852466">
            <w:pPr>
              <w:rPr>
                <w:rFonts w:ascii="Arial Narrow" w:hAnsi="Arial Narrow"/>
                <w:sz w:val="20"/>
                <w:szCs w:val="20"/>
              </w:rPr>
            </w:pPr>
            <w:r w:rsidRPr="003C5A76">
              <w:rPr>
                <w:rFonts w:ascii="Arial Narrow" w:hAnsi="Arial Narrow"/>
                <w:b/>
                <w:bCs/>
                <w:sz w:val="20"/>
                <w:szCs w:val="20"/>
              </w:rPr>
              <w:t>AND</w:t>
            </w:r>
          </w:p>
        </w:tc>
      </w:tr>
      <w:tr w:rsidR="00852466" w:rsidRPr="003C5A76" w14:paraId="4956045B"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1315E099" w14:textId="77777777" w:rsidR="00852466" w:rsidRPr="003C5A76" w:rsidRDefault="00852466">
            <w:pPr>
              <w:rPr>
                <w:rFonts w:ascii="Arial Narrow" w:hAnsi="Arial Narrow"/>
                <w:sz w:val="20"/>
                <w:szCs w:val="20"/>
              </w:rPr>
            </w:pPr>
            <w:r w:rsidRPr="003C5A76">
              <w:rPr>
                <w:rFonts w:ascii="Arial Narrow" w:hAnsi="Arial Narrow"/>
                <w:b/>
                <w:bCs/>
                <w:sz w:val="20"/>
                <w:szCs w:val="20"/>
              </w:rPr>
              <w:t>Clinical criteria:</w:t>
            </w:r>
          </w:p>
        </w:tc>
      </w:tr>
      <w:tr w:rsidR="00852466" w:rsidRPr="003C5A76" w14:paraId="726EA7D6"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03F1E86F" w14:textId="77777777" w:rsidR="00852466" w:rsidRPr="003C5A76" w:rsidRDefault="00852466">
            <w:pPr>
              <w:rPr>
                <w:rFonts w:ascii="Arial Narrow" w:hAnsi="Arial Narrow"/>
                <w:sz w:val="20"/>
                <w:szCs w:val="20"/>
              </w:rPr>
            </w:pPr>
            <w:r w:rsidRPr="003C5A76">
              <w:rPr>
                <w:rFonts w:ascii="Arial Narrow" w:hAnsi="Arial Narrow"/>
                <w:sz w:val="20"/>
                <w:szCs w:val="20"/>
              </w:rPr>
              <w:t>The treatment must provide no more than the balance of up to 16 weeks therapy available under Initial 1, 2 or 3 treatment; or</w:t>
            </w:r>
          </w:p>
        </w:tc>
      </w:tr>
      <w:tr w:rsidR="00852466" w:rsidRPr="003C5A76" w14:paraId="4EFD392E"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1A29C1D1" w14:textId="77777777" w:rsidR="00852466" w:rsidRPr="003C5A76" w:rsidRDefault="00852466">
            <w:pPr>
              <w:rPr>
                <w:rFonts w:ascii="Arial Narrow" w:hAnsi="Arial Narrow"/>
                <w:sz w:val="20"/>
                <w:szCs w:val="20"/>
              </w:rPr>
            </w:pPr>
            <w:r w:rsidRPr="003C5A76">
              <w:rPr>
                <w:rFonts w:ascii="Arial Narrow" w:hAnsi="Arial Narrow"/>
                <w:sz w:val="20"/>
                <w:szCs w:val="20"/>
              </w:rPr>
              <w:t>The treatment must provide no more than the balance of up to 24 weeks therapy available under first continuing treatment or subsequent continuing treatment</w:t>
            </w:r>
          </w:p>
        </w:tc>
      </w:tr>
      <w:tr w:rsidR="00852466" w:rsidRPr="003C5A76" w14:paraId="5E715981"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638773C6" w14:textId="77777777" w:rsidR="00852466" w:rsidRPr="003C5A76" w:rsidRDefault="00852466">
            <w:pPr>
              <w:keepNext/>
              <w:rPr>
                <w:rFonts w:ascii="Arial Narrow" w:hAnsi="Arial Narrow"/>
                <w:sz w:val="20"/>
                <w:szCs w:val="20"/>
              </w:rPr>
            </w:pPr>
            <w:r w:rsidRPr="003C5A76">
              <w:rPr>
                <w:rFonts w:ascii="Arial Narrow" w:hAnsi="Arial Narrow"/>
                <w:b/>
                <w:bCs/>
                <w:sz w:val="20"/>
                <w:szCs w:val="20"/>
              </w:rPr>
              <w:t>Treatment criteria:</w:t>
            </w:r>
          </w:p>
        </w:tc>
      </w:tr>
      <w:tr w:rsidR="00852466" w:rsidRPr="003C5A76" w14:paraId="7D3495F5"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3D839D41" w14:textId="77777777" w:rsidR="00852466" w:rsidRPr="003C5A76" w:rsidRDefault="00852466">
            <w:pPr>
              <w:autoSpaceDE w:val="0"/>
              <w:autoSpaceDN w:val="0"/>
              <w:adjustRightInd w:val="0"/>
              <w:jc w:val="left"/>
              <w:rPr>
                <w:rFonts w:ascii="Arial Narrow" w:hAnsi="Arial Narrow" w:cs="Arial Narrow"/>
                <w:i/>
                <w:iCs/>
                <w:sz w:val="20"/>
                <w:szCs w:val="20"/>
              </w:rPr>
            </w:pPr>
            <w:r w:rsidRPr="003C5A76">
              <w:rPr>
                <w:rFonts w:ascii="Arial Narrow" w:hAnsi="Arial Narrow" w:cs="Arial Narrow"/>
                <w:iCs/>
                <w:sz w:val="20"/>
                <w:szCs w:val="20"/>
              </w:rPr>
              <w:t>Must be treated by a gastroenterologist (code 87); or</w:t>
            </w:r>
          </w:p>
        </w:tc>
      </w:tr>
      <w:tr w:rsidR="00852466" w:rsidRPr="003C5A76" w14:paraId="2AA64369"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6569E5EB" w14:textId="77777777" w:rsidR="00852466" w:rsidRPr="003C5A76" w:rsidRDefault="00852466">
            <w:pPr>
              <w:autoSpaceDE w:val="0"/>
              <w:autoSpaceDN w:val="0"/>
              <w:adjustRightInd w:val="0"/>
              <w:rPr>
                <w:rFonts w:ascii="Arial Narrow" w:hAnsi="Arial Narrow" w:cs="Arial Narrow"/>
                <w:sz w:val="20"/>
                <w:szCs w:val="20"/>
              </w:rPr>
            </w:pPr>
            <w:r w:rsidRPr="003C5A76">
              <w:rPr>
                <w:rFonts w:ascii="Arial Narrow" w:hAnsi="Arial Narrow" w:cs="Arial Narrow"/>
                <w:sz w:val="20"/>
                <w:szCs w:val="20"/>
              </w:rPr>
              <w:t>Must be treated by a consultant physician [internal medicine specialising in gastroenterology (code 81)]; or</w:t>
            </w:r>
          </w:p>
        </w:tc>
      </w:tr>
      <w:tr w:rsidR="00852466" w:rsidRPr="003C5A76" w14:paraId="69F10585"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4774E138" w14:textId="77777777" w:rsidR="00852466" w:rsidRPr="003C5A76" w:rsidRDefault="00852466">
            <w:pPr>
              <w:rPr>
                <w:rFonts w:ascii="Arial Narrow" w:hAnsi="Arial Narrow"/>
                <w:i/>
                <w:iCs/>
                <w:sz w:val="20"/>
                <w:szCs w:val="20"/>
              </w:rPr>
            </w:pPr>
            <w:r w:rsidRPr="003C5A76">
              <w:rPr>
                <w:rFonts w:ascii="Arial Narrow" w:hAnsi="Arial Narrow"/>
                <w:sz w:val="20"/>
                <w:szCs w:val="20"/>
              </w:rPr>
              <w:t>Must be treated by a consultant physician [general medicine specialising in gastroenterology (code 82)]</w:t>
            </w:r>
            <w:r w:rsidRPr="003C5A76">
              <w:rPr>
                <w:rFonts w:ascii="Arial Narrow" w:hAnsi="Arial Narrow"/>
                <w:i/>
                <w:iCs/>
                <w:sz w:val="20"/>
                <w:szCs w:val="20"/>
              </w:rPr>
              <w:t>; or</w:t>
            </w:r>
          </w:p>
        </w:tc>
      </w:tr>
      <w:tr w:rsidR="00852466" w:rsidRPr="003C5A76" w14:paraId="32818CB0"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5E6DB9E6" w14:textId="77777777" w:rsidR="00852466" w:rsidRPr="003C5A76" w:rsidRDefault="00852466">
            <w:pPr>
              <w:rPr>
                <w:rFonts w:ascii="Arial Narrow" w:hAnsi="Arial Narrow"/>
                <w:sz w:val="20"/>
                <w:szCs w:val="20"/>
              </w:rPr>
            </w:pPr>
            <w:r w:rsidRPr="003C5A76">
              <w:rPr>
                <w:rFonts w:ascii="Arial Narrow" w:hAnsi="Arial Narrow"/>
                <w:sz w:val="20"/>
                <w:szCs w:val="20"/>
              </w:rPr>
              <w:t>Must be treated by a paediatrician; or</w:t>
            </w:r>
          </w:p>
        </w:tc>
      </w:tr>
      <w:tr w:rsidR="00852466" w:rsidRPr="003C5A76" w14:paraId="0B3561FE" w14:textId="77777777">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2EFF1780" w14:textId="77777777" w:rsidR="00852466" w:rsidRPr="003C5A76" w:rsidRDefault="00852466">
            <w:pPr>
              <w:rPr>
                <w:rFonts w:ascii="Arial Narrow" w:hAnsi="Arial Narrow"/>
                <w:sz w:val="20"/>
                <w:szCs w:val="20"/>
              </w:rPr>
            </w:pPr>
            <w:r w:rsidRPr="003C5A76">
              <w:rPr>
                <w:rFonts w:ascii="Arial Narrow" w:hAnsi="Arial Narrow"/>
                <w:sz w:val="20"/>
                <w:szCs w:val="20"/>
              </w:rPr>
              <w:t>Must be treated by a specialist paediatric gastroenterologist</w:t>
            </w:r>
          </w:p>
        </w:tc>
      </w:tr>
    </w:tbl>
    <w:p w14:paraId="19FD149C" w14:textId="77777777" w:rsidR="00852466" w:rsidRDefault="00852466" w:rsidP="00852466"/>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Severe Crohn disease"/>
      </w:tblPr>
      <w:tblGrid>
        <w:gridCol w:w="3939"/>
        <w:gridCol w:w="811"/>
        <w:gridCol w:w="812"/>
        <w:gridCol w:w="811"/>
        <w:gridCol w:w="812"/>
        <w:gridCol w:w="1837"/>
        <w:gridCol w:w="7"/>
      </w:tblGrid>
      <w:tr w:rsidR="00852466" w:rsidRPr="001428E9" w14:paraId="448D14AC" w14:textId="77777777">
        <w:trPr>
          <w:gridAfter w:val="1"/>
          <w:wAfter w:w="7" w:type="dxa"/>
          <w:cantSplit/>
          <w:trHeight w:val="20"/>
        </w:trPr>
        <w:tc>
          <w:tcPr>
            <w:tcW w:w="3939" w:type="dxa"/>
            <w:vAlign w:val="center"/>
          </w:tcPr>
          <w:p w14:paraId="1D0C5527" w14:textId="77777777" w:rsidR="00852466" w:rsidRPr="001428E9" w:rsidRDefault="00852466">
            <w:pPr>
              <w:keepLines/>
              <w:rPr>
                <w:rFonts w:ascii="Arial Narrow" w:hAnsi="Arial Narrow"/>
                <w:b/>
                <w:bCs/>
                <w:sz w:val="20"/>
                <w:szCs w:val="20"/>
              </w:rPr>
            </w:pPr>
            <w:r w:rsidRPr="001428E9">
              <w:rPr>
                <w:rFonts w:ascii="Arial Narrow" w:hAnsi="Arial Narrow"/>
                <w:b/>
                <w:bCs/>
                <w:sz w:val="20"/>
                <w:szCs w:val="20"/>
              </w:rPr>
              <w:t>MEDICINAL PRODUCT</w:t>
            </w:r>
          </w:p>
          <w:p w14:paraId="7D2B80A5" w14:textId="77777777" w:rsidR="00852466" w:rsidRPr="001428E9" w:rsidRDefault="00852466">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08F34516" w14:textId="77777777" w:rsidR="00852466" w:rsidRPr="001428E9" w:rsidRDefault="00852466">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77AE1C4E" w14:textId="77777777" w:rsidR="00852466" w:rsidRPr="001428E9" w:rsidRDefault="00852466">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6D80C8D4" w14:textId="77777777" w:rsidR="00852466" w:rsidRPr="001428E9" w:rsidRDefault="00852466">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00A56DD2" w14:textId="77777777" w:rsidR="00852466" w:rsidRPr="001428E9" w:rsidRDefault="00852466">
            <w:pPr>
              <w:keepLines/>
              <w:jc w:val="center"/>
              <w:rPr>
                <w:rFonts w:ascii="Arial Narrow" w:hAnsi="Arial Narrow"/>
                <w:b/>
                <w:sz w:val="20"/>
                <w:szCs w:val="20"/>
              </w:rPr>
            </w:pPr>
            <w:r w:rsidRPr="001428E9">
              <w:rPr>
                <w:rFonts w:ascii="Arial Narrow" w:hAnsi="Arial Narrow"/>
                <w:b/>
                <w:sz w:val="20"/>
                <w:szCs w:val="20"/>
              </w:rPr>
              <w:t>№.of</w:t>
            </w:r>
          </w:p>
          <w:p w14:paraId="6572CE0E" w14:textId="77777777" w:rsidR="00852466" w:rsidRPr="001428E9" w:rsidRDefault="00852466">
            <w:pPr>
              <w:keepLines/>
              <w:jc w:val="center"/>
              <w:rPr>
                <w:rFonts w:ascii="Arial Narrow" w:hAnsi="Arial Narrow"/>
                <w:b/>
                <w:sz w:val="20"/>
                <w:szCs w:val="20"/>
              </w:rPr>
            </w:pPr>
            <w:r w:rsidRPr="001428E9">
              <w:rPr>
                <w:rFonts w:ascii="Arial Narrow" w:hAnsi="Arial Narrow"/>
                <w:b/>
                <w:sz w:val="20"/>
                <w:szCs w:val="20"/>
              </w:rPr>
              <w:t>Rpts</w:t>
            </w:r>
          </w:p>
        </w:tc>
        <w:tc>
          <w:tcPr>
            <w:tcW w:w="1837" w:type="dxa"/>
            <w:vAlign w:val="center"/>
          </w:tcPr>
          <w:p w14:paraId="0057D4D8" w14:textId="77777777" w:rsidR="00852466" w:rsidRPr="001428E9" w:rsidRDefault="00852466">
            <w:pPr>
              <w:keepLines/>
              <w:rPr>
                <w:rFonts w:ascii="Arial Narrow" w:hAnsi="Arial Narrow"/>
                <w:b/>
                <w:sz w:val="20"/>
                <w:szCs w:val="20"/>
                <w:lang w:val="fr-FR"/>
              </w:rPr>
            </w:pPr>
            <w:r w:rsidRPr="001428E9">
              <w:rPr>
                <w:rFonts w:ascii="Arial Narrow" w:hAnsi="Arial Narrow"/>
                <w:b/>
                <w:sz w:val="20"/>
                <w:szCs w:val="20"/>
              </w:rPr>
              <w:t>Available brands</w:t>
            </w:r>
          </w:p>
        </w:tc>
      </w:tr>
      <w:tr w:rsidR="00852466" w:rsidRPr="001428E9" w14:paraId="18AF7821" w14:textId="77777777">
        <w:trPr>
          <w:gridAfter w:val="1"/>
          <w:wAfter w:w="7" w:type="dxa"/>
          <w:cantSplit/>
          <w:trHeight w:val="20"/>
        </w:trPr>
        <w:tc>
          <w:tcPr>
            <w:tcW w:w="9022" w:type="dxa"/>
            <w:gridSpan w:val="6"/>
            <w:vAlign w:val="center"/>
          </w:tcPr>
          <w:p w14:paraId="735ED8C8" w14:textId="77777777" w:rsidR="00852466" w:rsidRPr="001428E9" w:rsidRDefault="00852466">
            <w:pPr>
              <w:keepLines/>
              <w:rPr>
                <w:rFonts w:ascii="Arial Narrow" w:hAnsi="Arial Narrow"/>
                <w:sz w:val="20"/>
                <w:szCs w:val="20"/>
              </w:rPr>
            </w:pPr>
            <w:r>
              <w:rPr>
                <w:rFonts w:ascii="Arial Narrow" w:hAnsi="Arial Narrow"/>
                <w:sz w:val="20"/>
                <w:szCs w:val="20"/>
              </w:rPr>
              <w:t>ADALIMUMAB</w:t>
            </w:r>
          </w:p>
        </w:tc>
      </w:tr>
      <w:tr w:rsidR="00852466" w:rsidRPr="001428E9" w14:paraId="1F18D8FF" w14:textId="77777777">
        <w:trPr>
          <w:gridAfter w:val="1"/>
          <w:wAfter w:w="7" w:type="dxa"/>
          <w:cantSplit/>
          <w:trHeight w:val="20"/>
        </w:trPr>
        <w:tc>
          <w:tcPr>
            <w:tcW w:w="3939" w:type="dxa"/>
            <w:vAlign w:val="center"/>
          </w:tcPr>
          <w:p w14:paraId="1EA04D0D" w14:textId="77777777" w:rsidR="00852466" w:rsidRPr="00B273FD" w:rsidRDefault="00852466">
            <w:pPr>
              <w:keepLines/>
              <w:rPr>
                <w:rFonts w:ascii="Arial Narrow" w:hAnsi="Arial Narrow"/>
                <w:sz w:val="20"/>
                <w:szCs w:val="20"/>
              </w:rPr>
            </w:pPr>
            <w:r w:rsidRPr="00B273FD">
              <w:rPr>
                <w:rFonts w:ascii="Arial Narrow" w:hAnsi="Arial Narrow"/>
                <w:sz w:val="20"/>
                <w:szCs w:val="20"/>
              </w:rPr>
              <w:t>adalimumab 20 mg/0.2 mL injection, 2 x 0.2 mL syringes</w:t>
            </w:r>
          </w:p>
        </w:tc>
        <w:tc>
          <w:tcPr>
            <w:tcW w:w="811" w:type="dxa"/>
            <w:vAlign w:val="center"/>
          </w:tcPr>
          <w:p w14:paraId="06B8B502" w14:textId="77777777" w:rsidR="00852466" w:rsidRPr="001428E9" w:rsidRDefault="00852466">
            <w:pPr>
              <w:keepLines/>
              <w:jc w:val="center"/>
              <w:rPr>
                <w:rFonts w:ascii="Arial Narrow" w:hAnsi="Arial Narrow"/>
                <w:sz w:val="20"/>
                <w:szCs w:val="20"/>
              </w:rPr>
            </w:pPr>
            <w:r>
              <w:rPr>
                <w:rFonts w:ascii="Arial Narrow" w:hAnsi="Arial Narrow"/>
                <w:sz w:val="20"/>
                <w:szCs w:val="20"/>
              </w:rPr>
              <w:t>12424X</w:t>
            </w:r>
          </w:p>
        </w:tc>
        <w:tc>
          <w:tcPr>
            <w:tcW w:w="812" w:type="dxa"/>
            <w:vAlign w:val="center"/>
          </w:tcPr>
          <w:p w14:paraId="7704B390" w14:textId="77777777" w:rsidR="00852466" w:rsidRPr="006C7EE7" w:rsidRDefault="00852466">
            <w:pPr>
              <w:keepLines/>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0A69911A" w14:textId="77777777" w:rsidR="00852466" w:rsidRPr="006C7EE7" w:rsidRDefault="00852466">
            <w:pPr>
              <w:keepLines/>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0EF05A9B" w14:textId="77777777" w:rsidR="00852466" w:rsidRPr="001428E9" w:rsidRDefault="00852466">
            <w:pPr>
              <w:keepLines/>
              <w:jc w:val="center"/>
              <w:rPr>
                <w:rFonts w:ascii="Arial Narrow" w:hAnsi="Arial Narrow"/>
                <w:sz w:val="20"/>
                <w:szCs w:val="20"/>
              </w:rPr>
            </w:pPr>
            <w:r>
              <w:rPr>
                <w:rFonts w:ascii="Arial Narrow" w:hAnsi="Arial Narrow"/>
                <w:sz w:val="20"/>
                <w:szCs w:val="20"/>
              </w:rPr>
              <w:t>5</w:t>
            </w:r>
          </w:p>
        </w:tc>
        <w:tc>
          <w:tcPr>
            <w:tcW w:w="1837" w:type="dxa"/>
            <w:vAlign w:val="center"/>
          </w:tcPr>
          <w:p w14:paraId="35D09CB7" w14:textId="77777777" w:rsidR="00852466" w:rsidRPr="001B471F" w:rsidRDefault="00852466">
            <w:pPr>
              <w:keepLines/>
              <w:rPr>
                <w:rFonts w:ascii="Arial Narrow" w:hAnsi="Arial Narrow"/>
                <w:sz w:val="20"/>
                <w:szCs w:val="20"/>
              </w:rPr>
            </w:pPr>
            <w:r>
              <w:rPr>
                <w:rFonts w:ascii="Arial Narrow" w:hAnsi="Arial Narrow"/>
                <w:sz w:val="20"/>
                <w:szCs w:val="20"/>
              </w:rPr>
              <w:t>Humira</w:t>
            </w:r>
          </w:p>
        </w:tc>
      </w:tr>
      <w:tr w:rsidR="00852466" w:rsidRPr="006650BB" w14:paraId="74D974D8" w14:textId="77777777">
        <w:trPr>
          <w:gridAfter w:val="1"/>
          <w:wAfter w:w="7" w:type="dxa"/>
          <w:cantSplit/>
          <w:trHeight w:val="20"/>
        </w:trPr>
        <w:tc>
          <w:tcPr>
            <w:tcW w:w="3939" w:type="dxa"/>
            <w:vAlign w:val="center"/>
          </w:tcPr>
          <w:p w14:paraId="1749712D" w14:textId="77777777" w:rsidR="00852466" w:rsidRPr="006650BB" w:rsidRDefault="00852466">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pen devices</w:t>
            </w:r>
          </w:p>
        </w:tc>
        <w:tc>
          <w:tcPr>
            <w:tcW w:w="811" w:type="dxa"/>
            <w:vAlign w:val="center"/>
          </w:tcPr>
          <w:p w14:paraId="77878A36" w14:textId="77777777" w:rsidR="00852466" w:rsidRPr="006650BB" w:rsidRDefault="00852466">
            <w:pPr>
              <w:keepNext/>
              <w:jc w:val="center"/>
              <w:rPr>
                <w:rFonts w:ascii="Arial Narrow" w:hAnsi="Arial Narrow"/>
                <w:sz w:val="20"/>
                <w:szCs w:val="20"/>
              </w:rPr>
            </w:pPr>
            <w:r w:rsidRPr="006650BB">
              <w:rPr>
                <w:rFonts w:ascii="Arial Narrow" w:hAnsi="Arial Narrow"/>
                <w:sz w:val="20"/>
                <w:szCs w:val="20"/>
              </w:rPr>
              <w:t>12341M</w:t>
            </w:r>
          </w:p>
        </w:tc>
        <w:tc>
          <w:tcPr>
            <w:tcW w:w="812" w:type="dxa"/>
            <w:vAlign w:val="center"/>
          </w:tcPr>
          <w:p w14:paraId="25CE22AB" w14:textId="77777777" w:rsidR="00852466" w:rsidRPr="006C7EE7" w:rsidRDefault="00852466">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7014C712" w14:textId="77777777" w:rsidR="00852466" w:rsidRPr="006C7EE7" w:rsidRDefault="00852466">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6825EC48" w14:textId="77777777" w:rsidR="00852466" w:rsidRPr="006650BB" w:rsidRDefault="00852466">
            <w:pPr>
              <w:keepNext/>
              <w:jc w:val="center"/>
              <w:rPr>
                <w:rFonts w:ascii="Arial Narrow" w:hAnsi="Arial Narrow"/>
                <w:sz w:val="20"/>
                <w:szCs w:val="20"/>
              </w:rPr>
            </w:pPr>
            <w:r w:rsidRPr="006650BB">
              <w:rPr>
                <w:rFonts w:ascii="Arial Narrow" w:hAnsi="Arial Narrow"/>
                <w:sz w:val="20"/>
                <w:szCs w:val="20"/>
              </w:rPr>
              <w:t>5</w:t>
            </w:r>
          </w:p>
        </w:tc>
        <w:tc>
          <w:tcPr>
            <w:tcW w:w="1837" w:type="dxa"/>
            <w:vAlign w:val="center"/>
          </w:tcPr>
          <w:p w14:paraId="11E671FB" w14:textId="77777777" w:rsidR="00852466" w:rsidRDefault="00852466">
            <w:pPr>
              <w:keepNext/>
              <w:jc w:val="left"/>
              <w:rPr>
                <w:rFonts w:ascii="Arial Narrow" w:hAnsi="Arial Narrow"/>
                <w:sz w:val="20"/>
                <w:szCs w:val="20"/>
              </w:rPr>
            </w:pPr>
            <w:r w:rsidRPr="006650BB">
              <w:rPr>
                <w:rFonts w:ascii="Arial Narrow" w:hAnsi="Arial Narrow"/>
                <w:sz w:val="20"/>
                <w:szCs w:val="20"/>
              </w:rPr>
              <w:t>Humira</w:t>
            </w:r>
          </w:p>
          <w:p w14:paraId="50AF6C45" w14:textId="77777777" w:rsidR="00852466" w:rsidRPr="006650BB" w:rsidRDefault="00852466">
            <w:pPr>
              <w:keepNext/>
              <w:jc w:val="left"/>
              <w:rPr>
                <w:rFonts w:ascii="Arial Narrow" w:hAnsi="Arial Narrow"/>
                <w:sz w:val="20"/>
                <w:szCs w:val="20"/>
              </w:rPr>
            </w:pPr>
          </w:p>
        </w:tc>
      </w:tr>
      <w:tr w:rsidR="00852466" w:rsidRPr="006650BB" w14:paraId="6D17791A" w14:textId="77777777">
        <w:trPr>
          <w:gridAfter w:val="1"/>
          <w:wAfter w:w="7" w:type="dxa"/>
          <w:cantSplit/>
          <w:trHeight w:val="20"/>
        </w:trPr>
        <w:tc>
          <w:tcPr>
            <w:tcW w:w="3939" w:type="dxa"/>
            <w:vAlign w:val="center"/>
          </w:tcPr>
          <w:p w14:paraId="5564843E" w14:textId="77777777" w:rsidR="00852466" w:rsidRPr="006650BB" w:rsidRDefault="00852466">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syringes</w:t>
            </w:r>
          </w:p>
        </w:tc>
        <w:tc>
          <w:tcPr>
            <w:tcW w:w="811" w:type="dxa"/>
            <w:vAlign w:val="center"/>
          </w:tcPr>
          <w:p w14:paraId="0C322F72" w14:textId="77777777" w:rsidR="00852466" w:rsidRPr="006650BB" w:rsidRDefault="00852466">
            <w:pPr>
              <w:keepNext/>
              <w:jc w:val="center"/>
              <w:rPr>
                <w:rFonts w:ascii="Arial Narrow" w:hAnsi="Arial Narrow"/>
                <w:sz w:val="20"/>
                <w:szCs w:val="20"/>
              </w:rPr>
            </w:pPr>
            <w:r w:rsidRPr="006650BB">
              <w:rPr>
                <w:rFonts w:ascii="Arial Narrow" w:hAnsi="Arial Narrow"/>
                <w:sz w:val="20"/>
                <w:szCs w:val="20"/>
              </w:rPr>
              <w:t>12413H</w:t>
            </w:r>
          </w:p>
        </w:tc>
        <w:tc>
          <w:tcPr>
            <w:tcW w:w="812" w:type="dxa"/>
            <w:vAlign w:val="center"/>
          </w:tcPr>
          <w:p w14:paraId="7C52D19F" w14:textId="77777777" w:rsidR="00852466" w:rsidRPr="006C7EE7" w:rsidRDefault="00852466">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1040BD39" w14:textId="77777777" w:rsidR="00852466" w:rsidRPr="006C7EE7" w:rsidRDefault="00852466">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1EA7DBF2" w14:textId="77777777" w:rsidR="00852466" w:rsidRPr="006650BB" w:rsidRDefault="00852466">
            <w:pPr>
              <w:keepNext/>
              <w:jc w:val="center"/>
              <w:rPr>
                <w:rFonts w:ascii="Arial Narrow" w:hAnsi="Arial Narrow"/>
                <w:sz w:val="20"/>
                <w:szCs w:val="20"/>
              </w:rPr>
            </w:pPr>
            <w:r w:rsidRPr="006650BB">
              <w:rPr>
                <w:rFonts w:ascii="Arial Narrow" w:hAnsi="Arial Narrow"/>
                <w:sz w:val="20"/>
                <w:szCs w:val="20"/>
              </w:rPr>
              <w:t>5</w:t>
            </w:r>
          </w:p>
        </w:tc>
        <w:tc>
          <w:tcPr>
            <w:tcW w:w="1837" w:type="dxa"/>
            <w:vAlign w:val="center"/>
          </w:tcPr>
          <w:p w14:paraId="28AD9B26" w14:textId="77777777" w:rsidR="00852466" w:rsidRDefault="00852466">
            <w:pPr>
              <w:keepNext/>
              <w:jc w:val="left"/>
              <w:rPr>
                <w:rFonts w:ascii="Arial Narrow" w:hAnsi="Arial Narrow"/>
                <w:sz w:val="20"/>
                <w:szCs w:val="20"/>
              </w:rPr>
            </w:pPr>
            <w:r w:rsidRPr="006650BB">
              <w:rPr>
                <w:rFonts w:ascii="Arial Narrow" w:hAnsi="Arial Narrow"/>
                <w:sz w:val="20"/>
                <w:szCs w:val="20"/>
              </w:rPr>
              <w:t>Humira</w:t>
            </w:r>
          </w:p>
          <w:p w14:paraId="2725B82E" w14:textId="77777777" w:rsidR="00852466" w:rsidRPr="006650BB" w:rsidRDefault="00852466">
            <w:pPr>
              <w:keepNext/>
              <w:jc w:val="left"/>
              <w:rPr>
                <w:rFonts w:ascii="Arial Narrow" w:hAnsi="Arial Narrow"/>
                <w:sz w:val="20"/>
                <w:szCs w:val="20"/>
              </w:rPr>
            </w:pPr>
          </w:p>
        </w:tc>
      </w:tr>
      <w:tr w:rsidR="00852466" w:rsidRPr="001428E9" w14:paraId="319A4BA0"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388DC3B8" w14:textId="77777777" w:rsidR="00852466" w:rsidRPr="001428E9" w:rsidRDefault="00852466">
            <w:pPr>
              <w:rPr>
                <w:rFonts w:ascii="Arial Narrow" w:hAnsi="Arial Narrow"/>
                <w:sz w:val="20"/>
                <w:szCs w:val="20"/>
              </w:rPr>
            </w:pPr>
          </w:p>
        </w:tc>
      </w:tr>
      <w:tr w:rsidR="00852466" w:rsidRPr="001428E9" w14:paraId="3FA4BCB0" w14:textId="77777777">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754148B" w14:textId="77777777" w:rsidR="00852466" w:rsidRPr="001428E9" w:rsidRDefault="00852466">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Schedule</w:t>
            </w:r>
          </w:p>
        </w:tc>
      </w:tr>
      <w:tr w:rsidR="00852466" w:rsidRPr="001428E9" w14:paraId="247A26AF" w14:textId="77777777">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DE77B83" w14:textId="77777777" w:rsidR="00852466" w:rsidRPr="001428E9" w:rsidRDefault="00852466">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852466" w:rsidRPr="00D56F94" w14:paraId="6F6464B5" w14:textId="77777777">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D2AD618" w14:textId="77777777" w:rsidR="00852466" w:rsidRPr="00D56F94" w:rsidRDefault="00852466">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w:t>
            </w:r>
            <w:r>
              <w:rPr>
                <w:rFonts w:ascii="Arial Narrow" w:eastAsia="Calibri" w:hAnsi="Arial Narrow"/>
                <w:sz w:val="20"/>
                <w:szCs w:val="20"/>
              </w:rPr>
              <w:t>(HPOS/online)</w:t>
            </w:r>
          </w:p>
        </w:tc>
      </w:tr>
      <w:tr w:rsidR="00852466" w:rsidRPr="000E7012" w14:paraId="68B23D5A" w14:textId="77777777">
        <w:tblPrEx>
          <w:tblCellMar>
            <w:top w:w="15" w:type="dxa"/>
            <w:bottom w:w="15" w:type="dxa"/>
          </w:tblCellMar>
        </w:tblPrEx>
        <w:trPr>
          <w:trHeight w:val="20"/>
        </w:trPr>
        <w:tc>
          <w:tcPr>
            <w:tcW w:w="9029" w:type="dxa"/>
            <w:gridSpan w:val="7"/>
            <w:vAlign w:val="center"/>
          </w:tcPr>
          <w:p w14:paraId="797855AF" w14:textId="77777777" w:rsidR="00852466" w:rsidRDefault="00852466">
            <w:pPr>
              <w:rPr>
                <w:rFonts w:ascii="Arial Narrow" w:hAnsi="Arial Narrow"/>
                <w:b/>
                <w:bCs/>
                <w:sz w:val="20"/>
                <w:szCs w:val="20"/>
              </w:rPr>
            </w:pPr>
            <w:r>
              <w:rPr>
                <w:rFonts w:ascii="Arial Narrow" w:hAnsi="Arial Narrow"/>
                <w:b/>
                <w:bCs/>
                <w:sz w:val="20"/>
                <w:szCs w:val="20"/>
              </w:rPr>
              <w:t>Administrative Advice:</w:t>
            </w:r>
          </w:p>
          <w:p w14:paraId="187C0400" w14:textId="77777777" w:rsidR="00852466" w:rsidRPr="000E7012" w:rsidRDefault="00852466">
            <w:pPr>
              <w:rPr>
                <w:rFonts w:ascii="Arial Narrow" w:hAnsi="Arial Narrow"/>
                <w:sz w:val="20"/>
                <w:szCs w:val="20"/>
              </w:rPr>
            </w:pPr>
            <w:r>
              <w:rPr>
                <w:rFonts w:ascii="Arial Narrow" w:hAnsi="Arial Narrow"/>
                <w:sz w:val="20"/>
                <w:szCs w:val="20"/>
              </w:rPr>
              <w:t>As above</w:t>
            </w:r>
          </w:p>
        </w:tc>
      </w:tr>
      <w:tr w:rsidR="00852466" w:rsidRPr="000E7012" w14:paraId="5EF2120E" w14:textId="77777777">
        <w:tblPrEx>
          <w:tblCellMar>
            <w:top w:w="15" w:type="dxa"/>
            <w:bottom w:w="15" w:type="dxa"/>
          </w:tblCellMar>
        </w:tblPrEx>
        <w:trPr>
          <w:trHeight w:val="20"/>
        </w:trPr>
        <w:tc>
          <w:tcPr>
            <w:tcW w:w="9029" w:type="dxa"/>
            <w:gridSpan w:val="7"/>
            <w:vAlign w:val="center"/>
          </w:tcPr>
          <w:p w14:paraId="18E89F3B"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Administrative Advice:</w:t>
            </w:r>
          </w:p>
          <w:p w14:paraId="2F3165BD" w14:textId="77777777" w:rsidR="00852466" w:rsidRPr="00116AFD" w:rsidRDefault="00852466">
            <w:pPr>
              <w:rPr>
                <w:rFonts w:ascii="Arial Narrow" w:hAnsi="Arial Narrow"/>
                <w:sz w:val="20"/>
                <w:szCs w:val="20"/>
              </w:rPr>
            </w:pPr>
            <w:r w:rsidRPr="00116AFD">
              <w:rPr>
                <w:rFonts w:ascii="Arial Narrow" w:hAnsi="Arial Narrow"/>
                <w:sz w:val="20"/>
                <w:szCs w:val="20"/>
              </w:rPr>
              <w:t>Any queries concerning the arrangements to prescribe may be directed to Services Australia on 1800 700 270 (hours of operation 8 a.m. to 5 p.m. Monday to Friday).</w:t>
            </w:r>
          </w:p>
          <w:p w14:paraId="1518CC32" w14:textId="77777777" w:rsidR="00852466" w:rsidRPr="00116AFD" w:rsidRDefault="00852466">
            <w:pPr>
              <w:rPr>
                <w:rFonts w:ascii="Arial Narrow" w:hAnsi="Arial Narrow"/>
                <w:sz w:val="20"/>
                <w:szCs w:val="20"/>
              </w:rPr>
            </w:pPr>
          </w:p>
          <w:p w14:paraId="735E470B" w14:textId="77777777" w:rsidR="00852466" w:rsidRPr="00116AFD" w:rsidRDefault="00852466">
            <w:pPr>
              <w:rPr>
                <w:rFonts w:ascii="Arial Narrow" w:hAnsi="Arial Narrow"/>
                <w:sz w:val="20"/>
                <w:szCs w:val="20"/>
              </w:rPr>
            </w:pPr>
            <w:r w:rsidRPr="00116AF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02D869A2" w14:textId="77777777" w:rsidR="00852466" w:rsidRPr="00116AFD" w:rsidRDefault="00852466">
            <w:pPr>
              <w:rPr>
                <w:rFonts w:ascii="Arial Narrow" w:hAnsi="Arial Narrow"/>
                <w:sz w:val="20"/>
                <w:szCs w:val="20"/>
              </w:rPr>
            </w:pPr>
          </w:p>
          <w:p w14:paraId="43593069" w14:textId="77777777" w:rsidR="00852466" w:rsidRPr="00116AFD" w:rsidRDefault="00852466">
            <w:pPr>
              <w:rPr>
                <w:rFonts w:ascii="Arial Narrow" w:hAnsi="Arial Narrow"/>
                <w:sz w:val="20"/>
                <w:szCs w:val="20"/>
              </w:rPr>
            </w:pPr>
            <w:r w:rsidRPr="00116AFD">
              <w:rPr>
                <w:rFonts w:ascii="Arial Narrow" w:hAnsi="Arial Narrow"/>
                <w:sz w:val="20"/>
                <w:szCs w:val="20"/>
              </w:rPr>
              <w:t>Applications for authority to prescribe should be submitted online using the form upload facility in Health Professional Online Services (HPOS) at www.servicesaustralia.gov.au/hpos</w:t>
            </w:r>
          </w:p>
          <w:p w14:paraId="4FA30DB4" w14:textId="77777777" w:rsidR="00852466" w:rsidRPr="00116AFD" w:rsidRDefault="00852466">
            <w:pPr>
              <w:rPr>
                <w:rFonts w:ascii="Arial Narrow" w:hAnsi="Arial Narrow"/>
                <w:sz w:val="20"/>
                <w:szCs w:val="20"/>
              </w:rPr>
            </w:pPr>
          </w:p>
          <w:p w14:paraId="3D518FE7" w14:textId="77777777" w:rsidR="00852466" w:rsidRPr="00116AFD" w:rsidRDefault="00852466">
            <w:pPr>
              <w:rPr>
                <w:rFonts w:ascii="Arial Narrow" w:hAnsi="Arial Narrow"/>
                <w:sz w:val="20"/>
                <w:szCs w:val="20"/>
              </w:rPr>
            </w:pPr>
            <w:r w:rsidRPr="00116AFD">
              <w:rPr>
                <w:rFonts w:ascii="Arial Narrow" w:hAnsi="Arial Narrow"/>
                <w:sz w:val="20"/>
                <w:szCs w:val="20"/>
              </w:rPr>
              <w:t>Or mailed to:</w:t>
            </w:r>
          </w:p>
          <w:p w14:paraId="7D0A5EC4" w14:textId="77777777" w:rsidR="00852466" w:rsidRPr="00116AFD" w:rsidRDefault="00852466">
            <w:pPr>
              <w:rPr>
                <w:rFonts w:ascii="Arial Narrow" w:hAnsi="Arial Narrow"/>
                <w:sz w:val="20"/>
                <w:szCs w:val="20"/>
              </w:rPr>
            </w:pPr>
          </w:p>
          <w:p w14:paraId="11E27AD8" w14:textId="77777777" w:rsidR="00852466" w:rsidRPr="00116AFD" w:rsidRDefault="00852466">
            <w:pPr>
              <w:rPr>
                <w:rFonts w:ascii="Arial Narrow" w:hAnsi="Arial Narrow"/>
                <w:sz w:val="20"/>
                <w:szCs w:val="20"/>
              </w:rPr>
            </w:pPr>
            <w:r w:rsidRPr="00116AFD">
              <w:rPr>
                <w:rFonts w:ascii="Arial Narrow" w:hAnsi="Arial Narrow"/>
                <w:sz w:val="20"/>
                <w:szCs w:val="20"/>
              </w:rPr>
              <w:t>Services Australia</w:t>
            </w:r>
          </w:p>
          <w:p w14:paraId="388F6AD7" w14:textId="77777777" w:rsidR="00852466" w:rsidRPr="00116AFD" w:rsidRDefault="00852466">
            <w:pPr>
              <w:rPr>
                <w:rFonts w:ascii="Arial Narrow" w:hAnsi="Arial Narrow"/>
                <w:sz w:val="20"/>
                <w:szCs w:val="20"/>
              </w:rPr>
            </w:pPr>
            <w:r w:rsidRPr="00116AFD">
              <w:rPr>
                <w:rFonts w:ascii="Arial Narrow" w:hAnsi="Arial Narrow"/>
                <w:sz w:val="20"/>
                <w:szCs w:val="20"/>
              </w:rPr>
              <w:t>Complex Drugs</w:t>
            </w:r>
          </w:p>
          <w:p w14:paraId="710280AF" w14:textId="77777777" w:rsidR="00852466" w:rsidRPr="00116AFD" w:rsidRDefault="00852466">
            <w:pPr>
              <w:rPr>
                <w:rFonts w:ascii="Arial Narrow" w:hAnsi="Arial Narrow"/>
                <w:sz w:val="20"/>
                <w:szCs w:val="20"/>
              </w:rPr>
            </w:pPr>
            <w:r w:rsidRPr="00116AFD">
              <w:rPr>
                <w:rFonts w:ascii="Arial Narrow" w:hAnsi="Arial Narrow"/>
                <w:sz w:val="20"/>
                <w:szCs w:val="20"/>
              </w:rPr>
              <w:t>Reply Paid 9826</w:t>
            </w:r>
          </w:p>
          <w:p w14:paraId="080FBDD4" w14:textId="77777777" w:rsidR="00852466" w:rsidRPr="00116AFD" w:rsidRDefault="00852466">
            <w:pPr>
              <w:rPr>
                <w:rFonts w:ascii="Arial Narrow" w:hAnsi="Arial Narrow"/>
                <w:sz w:val="20"/>
                <w:szCs w:val="20"/>
              </w:rPr>
            </w:pPr>
            <w:r w:rsidRPr="00116AFD">
              <w:rPr>
                <w:rFonts w:ascii="Arial Narrow" w:hAnsi="Arial Narrow"/>
                <w:sz w:val="20"/>
                <w:szCs w:val="20"/>
              </w:rPr>
              <w:t>HOBART TAS 7001</w:t>
            </w:r>
          </w:p>
        </w:tc>
      </w:tr>
      <w:tr w:rsidR="00852466" w:rsidRPr="001428E9" w14:paraId="5B03A953" w14:textId="77777777">
        <w:tblPrEx>
          <w:tblCellMar>
            <w:top w:w="15" w:type="dxa"/>
            <w:bottom w:w="15" w:type="dxa"/>
          </w:tblCellMar>
        </w:tblPrEx>
        <w:trPr>
          <w:cantSplit/>
          <w:trHeight w:val="20"/>
        </w:trPr>
        <w:tc>
          <w:tcPr>
            <w:tcW w:w="9029" w:type="dxa"/>
            <w:gridSpan w:val="7"/>
            <w:vAlign w:val="center"/>
            <w:hideMark/>
          </w:tcPr>
          <w:p w14:paraId="07AB8B17" w14:textId="77777777" w:rsidR="00852466" w:rsidRPr="00116AFD" w:rsidRDefault="00852466">
            <w:pPr>
              <w:keepLines/>
              <w:rPr>
                <w:rFonts w:ascii="Arial Narrow" w:hAnsi="Arial Narrow"/>
                <w:sz w:val="20"/>
                <w:szCs w:val="20"/>
              </w:rPr>
            </w:pPr>
            <w:r w:rsidRPr="00116AFD">
              <w:rPr>
                <w:rFonts w:ascii="Arial Narrow" w:hAnsi="Arial Narrow"/>
                <w:b/>
                <w:bCs/>
                <w:sz w:val="20"/>
                <w:szCs w:val="20"/>
              </w:rPr>
              <w:t>Indication:</w:t>
            </w:r>
            <w:r w:rsidRPr="00116AFD">
              <w:rPr>
                <w:rFonts w:ascii="Arial Narrow" w:hAnsi="Arial Narrow"/>
                <w:sz w:val="20"/>
                <w:szCs w:val="20"/>
              </w:rPr>
              <w:t xml:space="preserve"> Severe Crohn disease</w:t>
            </w:r>
          </w:p>
        </w:tc>
      </w:tr>
      <w:tr w:rsidR="00852466" w:rsidRPr="001428E9" w14:paraId="78CE0A8C" w14:textId="77777777">
        <w:tblPrEx>
          <w:tblCellMar>
            <w:top w:w="15" w:type="dxa"/>
            <w:bottom w:w="15" w:type="dxa"/>
          </w:tblCellMar>
        </w:tblPrEx>
        <w:trPr>
          <w:cantSplit/>
          <w:trHeight w:val="20"/>
        </w:trPr>
        <w:tc>
          <w:tcPr>
            <w:tcW w:w="9029" w:type="dxa"/>
            <w:gridSpan w:val="7"/>
            <w:vAlign w:val="center"/>
            <w:hideMark/>
          </w:tcPr>
          <w:p w14:paraId="3683C94B" w14:textId="77777777" w:rsidR="00852466" w:rsidRPr="00116AFD" w:rsidRDefault="00852466">
            <w:pPr>
              <w:rPr>
                <w:rFonts w:ascii="Arial Narrow" w:hAnsi="Arial Narrow"/>
                <w:sz w:val="20"/>
                <w:szCs w:val="20"/>
              </w:rPr>
            </w:pPr>
            <w:r w:rsidRPr="00116AFD">
              <w:rPr>
                <w:rFonts w:ascii="Arial Narrow" w:hAnsi="Arial Narrow"/>
                <w:b/>
                <w:bCs/>
                <w:sz w:val="20"/>
                <w:szCs w:val="20"/>
              </w:rPr>
              <w:t>Treatment Phase:</w:t>
            </w:r>
            <w:r w:rsidRPr="00116AFD">
              <w:rPr>
                <w:rFonts w:ascii="Arial Narrow" w:hAnsi="Arial Narrow"/>
                <w:sz w:val="20"/>
                <w:szCs w:val="20"/>
              </w:rPr>
              <w:t xml:space="preserve"> First continuing treatment of Crohn disease in a paediatric patient </w:t>
            </w:r>
            <w:r w:rsidRPr="00116AFD">
              <w:rPr>
                <w:rFonts w:ascii="Arial Narrow" w:hAnsi="Arial Narrow"/>
                <w:strike/>
                <w:sz w:val="20"/>
                <w:szCs w:val="20"/>
              </w:rPr>
              <w:t>assessed by PCDAI</w:t>
            </w:r>
          </w:p>
        </w:tc>
      </w:tr>
      <w:tr w:rsidR="00852466" w:rsidRPr="001428E9" w14:paraId="70720DBB" w14:textId="77777777">
        <w:tblPrEx>
          <w:tblCellMar>
            <w:top w:w="15" w:type="dxa"/>
            <w:bottom w:w="15" w:type="dxa"/>
          </w:tblCellMar>
        </w:tblPrEx>
        <w:trPr>
          <w:cantSplit/>
          <w:trHeight w:val="20"/>
        </w:trPr>
        <w:tc>
          <w:tcPr>
            <w:tcW w:w="9029" w:type="dxa"/>
            <w:gridSpan w:val="7"/>
            <w:vAlign w:val="center"/>
            <w:hideMark/>
          </w:tcPr>
          <w:p w14:paraId="1377A7EE" w14:textId="77777777" w:rsidR="00852466" w:rsidRPr="00116AFD" w:rsidRDefault="00852466">
            <w:pPr>
              <w:rPr>
                <w:rFonts w:ascii="Arial Narrow" w:hAnsi="Arial Narrow"/>
                <w:sz w:val="20"/>
                <w:szCs w:val="20"/>
              </w:rPr>
            </w:pPr>
            <w:r w:rsidRPr="00116AFD">
              <w:rPr>
                <w:rFonts w:ascii="Arial Narrow" w:hAnsi="Arial Narrow"/>
                <w:b/>
                <w:bCs/>
                <w:sz w:val="20"/>
                <w:szCs w:val="20"/>
              </w:rPr>
              <w:t xml:space="preserve">Clinical criteria: </w:t>
            </w:r>
          </w:p>
        </w:tc>
      </w:tr>
      <w:tr w:rsidR="00852466" w:rsidRPr="001428E9" w14:paraId="3CA13A77" w14:textId="77777777">
        <w:tblPrEx>
          <w:tblCellMar>
            <w:top w:w="15" w:type="dxa"/>
            <w:bottom w:w="15" w:type="dxa"/>
          </w:tblCellMar>
        </w:tblPrEx>
        <w:trPr>
          <w:cantSplit/>
          <w:trHeight w:val="20"/>
        </w:trPr>
        <w:tc>
          <w:tcPr>
            <w:tcW w:w="9029" w:type="dxa"/>
            <w:gridSpan w:val="7"/>
            <w:vAlign w:val="center"/>
            <w:hideMark/>
          </w:tcPr>
          <w:p w14:paraId="6285A895" w14:textId="77777777" w:rsidR="00852466" w:rsidRPr="00116AFD" w:rsidRDefault="00852466">
            <w:pPr>
              <w:jc w:val="left"/>
              <w:rPr>
                <w:rFonts w:ascii="Arial Narrow" w:hAnsi="Arial Narrow"/>
                <w:sz w:val="20"/>
                <w:szCs w:val="20"/>
              </w:rPr>
            </w:pPr>
            <w:r w:rsidRPr="00116AFD">
              <w:rPr>
                <w:rFonts w:ascii="Arial Narrow" w:hAnsi="Arial Narrow"/>
                <w:sz w:val="20"/>
                <w:szCs w:val="20"/>
              </w:rPr>
              <w:t>Patient must have a documented history of severe Crohn disease</w:t>
            </w:r>
          </w:p>
        </w:tc>
      </w:tr>
      <w:tr w:rsidR="00852466" w:rsidRPr="00432EBF" w14:paraId="69C8D608" w14:textId="77777777">
        <w:tblPrEx>
          <w:tblCellMar>
            <w:top w:w="15" w:type="dxa"/>
            <w:bottom w:w="15" w:type="dxa"/>
          </w:tblCellMar>
        </w:tblPrEx>
        <w:trPr>
          <w:cantSplit/>
          <w:trHeight w:val="20"/>
        </w:trPr>
        <w:tc>
          <w:tcPr>
            <w:tcW w:w="9029" w:type="dxa"/>
            <w:gridSpan w:val="7"/>
            <w:vAlign w:val="center"/>
            <w:hideMark/>
          </w:tcPr>
          <w:p w14:paraId="104CB502" w14:textId="77777777" w:rsidR="00852466" w:rsidRPr="00116AFD" w:rsidRDefault="00852466">
            <w:pPr>
              <w:jc w:val="left"/>
              <w:rPr>
                <w:rFonts w:ascii="Arial Narrow" w:hAnsi="Arial Narrow"/>
                <w:sz w:val="20"/>
                <w:szCs w:val="20"/>
              </w:rPr>
            </w:pPr>
            <w:r w:rsidRPr="00116AFD">
              <w:rPr>
                <w:rFonts w:ascii="Arial Narrow" w:hAnsi="Arial Narrow"/>
                <w:b/>
                <w:bCs/>
                <w:sz w:val="20"/>
                <w:szCs w:val="20"/>
              </w:rPr>
              <w:t>AND</w:t>
            </w:r>
          </w:p>
        </w:tc>
      </w:tr>
      <w:tr w:rsidR="00852466" w:rsidRPr="00432EBF" w14:paraId="055AA04F" w14:textId="77777777">
        <w:tblPrEx>
          <w:tblCellMar>
            <w:top w:w="15" w:type="dxa"/>
            <w:bottom w:w="15" w:type="dxa"/>
          </w:tblCellMar>
        </w:tblPrEx>
        <w:trPr>
          <w:cantSplit/>
          <w:trHeight w:val="20"/>
        </w:trPr>
        <w:tc>
          <w:tcPr>
            <w:tcW w:w="9029" w:type="dxa"/>
            <w:gridSpan w:val="7"/>
            <w:vAlign w:val="center"/>
            <w:hideMark/>
          </w:tcPr>
          <w:p w14:paraId="58C7D59C" w14:textId="77777777" w:rsidR="00852466" w:rsidRPr="00116AFD" w:rsidRDefault="00852466">
            <w:pPr>
              <w:jc w:val="left"/>
              <w:rPr>
                <w:rFonts w:ascii="Arial Narrow" w:hAnsi="Arial Narrow"/>
                <w:sz w:val="20"/>
                <w:szCs w:val="20"/>
              </w:rPr>
            </w:pPr>
            <w:r w:rsidRPr="00116AFD">
              <w:rPr>
                <w:rFonts w:ascii="Arial Narrow" w:hAnsi="Arial Narrow"/>
                <w:b/>
                <w:bCs/>
                <w:sz w:val="20"/>
                <w:szCs w:val="20"/>
              </w:rPr>
              <w:t>Clinical criteria:</w:t>
            </w:r>
          </w:p>
        </w:tc>
      </w:tr>
      <w:tr w:rsidR="00852466" w:rsidRPr="001428E9" w14:paraId="161FD6BC" w14:textId="77777777">
        <w:tblPrEx>
          <w:tblCellMar>
            <w:top w:w="15" w:type="dxa"/>
            <w:bottom w:w="15" w:type="dxa"/>
          </w:tblCellMar>
        </w:tblPrEx>
        <w:trPr>
          <w:cantSplit/>
          <w:trHeight w:val="20"/>
        </w:trPr>
        <w:tc>
          <w:tcPr>
            <w:tcW w:w="9029" w:type="dxa"/>
            <w:gridSpan w:val="7"/>
            <w:vAlign w:val="center"/>
            <w:hideMark/>
          </w:tcPr>
          <w:p w14:paraId="00C4B9FD" w14:textId="77777777" w:rsidR="00852466" w:rsidRPr="00116AFD" w:rsidRDefault="00852466">
            <w:pPr>
              <w:rPr>
                <w:rFonts w:ascii="Arial Narrow" w:hAnsi="Arial Narrow"/>
                <w:sz w:val="20"/>
                <w:szCs w:val="20"/>
              </w:rPr>
            </w:pPr>
            <w:r w:rsidRPr="00116AFD">
              <w:rPr>
                <w:rFonts w:ascii="Arial Narrow" w:hAnsi="Arial Narrow"/>
                <w:sz w:val="20"/>
                <w:szCs w:val="20"/>
              </w:rPr>
              <w:t>Patient must have received this drug as their most recent course of PBS-subsidised biological medicine treatment for this condition</w:t>
            </w:r>
          </w:p>
        </w:tc>
      </w:tr>
      <w:tr w:rsidR="00852466" w:rsidRPr="00432EBF" w14:paraId="15F4DCC4" w14:textId="77777777">
        <w:tblPrEx>
          <w:tblCellMar>
            <w:top w:w="15" w:type="dxa"/>
            <w:bottom w:w="15" w:type="dxa"/>
          </w:tblCellMar>
        </w:tblPrEx>
        <w:trPr>
          <w:cantSplit/>
          <w:trHeight w:val="20"/>
        </w:trPr>
        <w:tc>
          <w:tcPr>
            <w:tcW w:w="9029" w:type="dxa"/>
            <w:gridSpan w:val="7"/>
            <w:vAlign w:val="center"/>
            <w:hideMark/>
          </w:tcPr>
          <w:p w14:paraId="5E7DAA23"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432EBF" w14:paraId="637FA013" w14:textId="77777777">
        <w:tblPrEx>
          <w:tblCellMar>
            <w:top w:w="15" w:type="dxa"/>
            <w:bottom w:w="15" w:type="dxa"/>
          </w:tblCellMar>
        </w:tblPrEx>
        <w:trPr>
          <w:cantSplit/>
          <w:trHeight w:val="20"/>
        </w:trPr>
        <w:tc>
          <w:tcPr>
            <w:tcW w:w="9029" w:type="dxa"/>
            <w:gridSpan w:val="7"/>
            <w:vAlign w:val="center"/>
            <w:hideMark/>
          </w:tcPr>
          <w:p w14:paraId="6DC6177A" w14:textId="77777777" w:rsidR="00852466" w:rsidRPr="00116AFD" w:rsidRDefault="00852466">
            <w:pPr>
              <w:rPr>
                <w:rFonts w:ascii="Arial Narrow" w:hAnsi="Arial Narrow"/>
                <w:sz w:val="20"/>
                <w:szCs w:val="20"/>
              </w:rPr>
            </w:pPr>
            <w:r w:rsidRPr="00116AFD">
              <w:rPr>
                <w:rFonts w:ascii="Arial Narrow" w:hAnsi="Arial Narrow"/>
                <w:b/>
                <w:bCs/>
                <w:strike/>
                <w:sz w:val="20"/>
                <w:szCs w:val="20"/>
              </w:rPr>
              <w:t>Clinical criteria:</w:t>
            </w:r>
          </w:p>
        </w:tc>
      </w:tr>
      <w:tr w:rsidR="00852466" w:rsidRPr="00432EBF" w14:paraId="7F1BB7FB" w14:textId="77777777">
        <w:tblPrEx>
          <w:tblCellMar>
            <w:top w:w="15" w:type="dxa"/>
            <w:bottom w:w="15" w:type="dxa"/>
          </w:tblCellMar>
        </w:tblPrEx>
        <w:trPr>
          <w:cantSplit/>
          <w:trHeight w:val="20"/>
        </w:trPr>
        <w:tc>
          <w:tcPr>
            <w:tcW w:w="9029" w:type="dxa"/>
            <w:gridSpan w:val="7"/>
            <w:vAlign w:val="center"/>
            <w:hideMark/>
          </w:tcPr>
          <w:p w14:paraId="322CE360" w14:textId="77777777" w:rsidR="00852466" w:rsidRPr="00116AFD" w:rsidRDefault="00852466">
            <w:pPr>
              <w:rPr>
                <w:rFonts w:ascii="Arial Narrow" w:hAnsi="Arial Narrow"/>
                <w:sz w:val="20"/>
                <w:szCs w:val="20"/>
              </w:rPr>
            </w:pPr>
            <w:r w:rsidRPr="00116AFD">
              <w:rPr>
                <w:rFonts w:ascii="Arial Narrow" w:hAnsi="Arial Narrow"/>
                <w:strike/>
                <w:sz w:val="20"/>
                <w:szCs w:val="20"/>
              </w:rPr>
              <w:t>Patient must have a reduction in PCDAI Score by at least 15 points from baseline value</w:t>
            </w:r>
          </w:p>
        </w:tc>
      </w:tr>
      <w:tr w:rsidR="00852466" w:rsidRPr="000E7012" w14:paraId="4C795666" w14:textId="77777777">
        <w:tblPrEx>
          <w:tblCellMar>
            <w:top w:w="15" w:type="dxa"/>
            <w:bottom w:w="15" w:type="dxa"/>
          </w:tblCellMar>
        </w:tblPrEx>
        <w:trPr>
          <w:cantSplit/>
          <w:trHeight w:val="20"/>
        </w:trPr>
        <w:tc>
          <w:tcPr>
            <w:tcW w:w="9029" w:type="dxa"/>
            <w:gridSpan w:val="7"/>
            <w:vAlign w:val="center"/>
          </w:tcPr>
          <w:p w14:paraId="656E1DC7" w14:textId="77777777" w:rsidR="00852466" w:rsidRPr="00116AFD" w:rsidRDefault="00852466">
            <w:pPr>
              <w:rPr>
                <w:rFonts w:ascii="Arial Narrow" w:hAnsi="Arial Narrow"/>
                <w:sz w:val="20"/>
                <w:szCs w:val="20"/>
              </w:rPr>
            </w:pPr>
            <w:r w:rsidRPr="00116AFD">
              <w:rPr>
                <w:rFonts w:ascii="Arial Narrow" w:hAnsi="Arial Narrow"/>
                <w:b/>
                <w:bCs/>
                <w:strike/>
                <w:sz w:val="20"/>
                <w:szCs w:val="20"/>
              </w:rPr>
              <w:t>AND</w:t>
            </w:r>
          </w:p>
        </w:tc>
      </w:tr>
      <w:tr w:rsidR="00852466" w:rsidRPr="000E7012" w14:paraId="6DB70605" w14:textId="77777777">
        <w:tblPrEx>
          <w:tblCellMar>
            <w:top w:w="15" w:type="dxa"/>
            <w:bottom w:w="15" w:type="dxa"/>
          </w:tblCellMar>
        </w:tblPrEx>
        <w:trPr>
          <w:cantSplit/>
          <w:trHeight w:val="20"/>
        </w:trPr>
        <w:tc>
          <w:tcPr>
            <w:tcW w:w="9029" w:type="dxa"/>
            <w:gridSpan w:val="7"/>
            <w:vAlign w:val="center"/>
          </w:tcPr>
          <w:p w14:paraId="65F4719A"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0E7012" w14:paraId="37DEE54A" w14:textId="77777777">
        <w:tblPrEx>
          <w:tblCellMar>
            <w:top w:w="15" w:type="dxa"/>
            <w:bottom w:w="15" w:type="dxa"/>
          </w:tblCellMar>
        </w:tblPrEx>
        <w:trPr>
          <w:cantSplit/>
          <w:trHeight w:val="20"/>
        </w:trPr>
        <w:tc>
          <w:tcPr>
            <w:tcW w:w="9029" w:type="dxa"/>
            <w:gridSpan w:val="7"/>
            <w:vAlign w:val="center"/>
          </w:tcPr>
          <w:p w14:paraId="216EEF4B"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Patient must have </w:t>
            </w:r>
            <w:r w:rsidRPr="00116AFD">
              <w:rPr>
                <w:rFonts w:ascii="Arial Narrow" w:hAnsi="Arial Narrow"/>
                <w:i/>
                <w:iCs/>
                <w:sz w:val="20"/>
                <w:szCs w:val="20"/>
              </w:rPr>
              <w:t>both: (i)</w:t>
            </w:r>
            <w:r w:rsidRPr="00116AFD">
              <w:rPr>
                <w:rFonts w:ascii="Arial Narrow" w:hAnsi="Arial Narrow"/>
                <w:sz w:val="20"/>
                <w:szCs w:val="20"/>
              </w:rPr>
              <w:t xml:space="preserve"> a total PCDAI score of 40 points or less </w:t>
            </w:r>
            <w:r w:rsidRPr="00116AFD">
              <w:rPr>
                <w:rFonts w:ascii="Arial Narrow" w:hAnsi="Arial Narrow"/>
                <w:i/>
                <w:iCs/>
                <w:sz w:val="20"/>
                <w:szCs w:val="20"/>
              </w:rPr>
              <w:t>and</w:t>
            </w:r>
            <w:r w:rsidRPr="00116AFD">
              <w:rPr>
                <w:rFonts w:ascii="Arial Narrow" w:hAnsi="Arial Narrow"/>
                <w:sz w:val="20"/>
                <w:szCs w:val="20"/>
              </w:rPr>
              <w:t xml:space="preserve"> (ii) </w:t>
            </w:r>
            <w:r w:rsidRPr="00116AFD">
              <w:rPr>
                <w:rFonts w:ascii="Arial Narrow" w:hAnsi="Arial Narrow"/>
                <w:i/>
                <w:iCs/>
                <w:sz w:val="20"/>
                <w:szCs w:val="20"/>
              </w:rPr>
              <w:t>a reduction in PCDAI Score by at least 15 points from baseline value;</w:t>
            </w:r>
            <w:r w:rsidRPr="00116AFD">
              <w:rPr>
                <w:rFonts w:ascii="Arial Narrow" w:hAnsi="Arial Narrow"/>
                <w:sz w:val="20"/>
                <w:szCs w:val="20"/>
              </w:rPr>
              <w:t xml:space="preserve"> </w:t>
            </w:r>
            <w:r w:rsidRPr="00116AFD">
              <w:rPr>
                <w:rFonts w:ascii="Arial Narrow" w:hAnsi="Arial Narrow"/>
                <w:i/>
                <w:iCs/>
                <w:sz w:val="20"/>
                <w:szCs w:val="20"/>
              </w:rPr>
              <w:t>or</w:t>
            </w:r>
          </w:p>
        </w:tc>
      </w:tr>
      <w:tr w:rsidR="00852466" w:rsidRPr="00817652" w14:paraId="497C1D25" w14:textId="77777777">
        <w:tblPrEx>
          <w:tblCellMar>
            <w:top w:w="15" w:type="dxa"/>
            <w:bottom w:w="15" w:type="dxa"/>
          </w:tblCellMar>
        </w:tblPrEx>
        <w:trPr>
          <w:cantSplit/>
          <w:trHeight w:val="20"/>
        </w:trPr>
        <w:tc>
          <w:tcPr>
            <w:tcW w:w="9029" w:type="dxa"/>
            <w:gridSpan w:val="7"/>
            <w:vAlign w:val="center"/>
          </w:tcPr>
          <w:p w14:paraId="7D0F27F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an adequate response to this drug defined as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w:t>
            </w:r>
          </w:p>
        </w:tc>
      </w:tr>
      <w:tr w:rsidR="00852466" w:rsidRPr="000E7012" w14:paraId="230D4CEA" w14:textId="77777777">
        <w:tblPrEx>
          <w:tblCellMar>
            <w:top w:w="15" w:type="dxa"/>
            <w:bottom w:w="15" w:type="dxa"/>
          </w:tblCellMar>
        </w:tblPrEx>
        <w:trPr>
          <w:cantSplit/>
          <w:trHeight w:val="20"/>
        </w:trPr>
        <w:tc>
          <w:tcPr>
            <w:tcW w:w="9029" w:type="dxa"/>
            <w:gridSpan w:val="7"/>
            <w:vAlign w:val="center"/>
          </w:tcPr>
          <w:p w14:paraId="3976F121"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0E7012" w14:paraId="22540AB7" w14:textId="77777777">
        <w:tblPrEx>
          <w:tblCellMar>
            <w:top w:w="15" w:type="dxa"/>
            <w:bottom w:w="15" w:type="dxa"/>
          </w:tblCellMar>
        </w:tblPrEx>
        <w:trPr>
          <w:cantSplit/>
          <w:trHeight w:val="20"/>
        </w:trPr>
        <w:tc>
          <w:tcPr>
            <w:tcW w:w="9029" w:type="dxa"/>
            <w:gridSpan w:val="7"/>
            <w:vAlign w:val="center"/>
          </w:tcPr>
          <w:p w14:paraId="504C8340"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0E7012" w14:paraId="63915C1B" w14:textId="77777777">
        <w:tblPrEx>
          <w:tblCellMar>
            <w:top w:w="15" w:type="dxa"/>
            <w:bottom w:w="15" w:type="dxa"/>
          </w:tblCellMar>
        </w:tblPrEx>
        <w:trPr>
          <w:cantSplit/>
          <w:trHeight w:val="20"/>
        </w:trPr>
        <w:tc>
          <w:tcPr>
            <w:tcW w:w="9029" w:type="dxa"/>
            <w:gridSpan w:val="7"/>
            <w:vAlign w:val="center"/>
          </w:tcPr>
          <w:p w14:paraId="0D2BC781" w14:textId="77777777" w:rsidR="00852466" w:rsidRPr="00116AFD" w:rsidRDefault="00852466">
            <w:pPr>
              <w:rPr>
                <w:rFonts w:ascii="Arial Narrow" w:hAnsi="Arial Narrow"/>
                <w:sz w:val="20"/>
                <w:szCs w:val="20"/>
              </w:rPr>
            </w:pPr>
            <w:r w:rsidRPr="00116AFD">
              <w:rPr>
                <w:rFonts w:ascii="Arial Narrow" w:hAnsi="Arial Narrow"/>
                <w:sz w:val="20"/>
                <w:szCs w:val="20"/>
              </w:rPr>
              <w:t>Patient must not receive more than 24 weeks of treatment under this restriction</w:t>
            </w:r>
          </w:p>
        </w:tc>
      </w:tr>
      <w:tr w:rsidR="00852466" w:rsidRPr="000E7012" w14:paraId="148D9C65" w14:textId="77777777">
        <w:tblPrEx>
          <w:tblCellMar>
            <w:top w:w="15" w:type="dxa"/>
            <w:bottom w:w="15" w:type="dxa"/>
          </w:tblCellMar>
        </w:tblPrEx>
        <w:trPr>
          <w:cantSplit/>
          <w:trHeight w:val="20"/>
        </w:trPr>
        <w:tc>
          <w:tcPr>
            <w:tcW w:w="9029" w:type="dxa"/>
            <w:gridSpan w:val="7"/>
            <w:vAlign w:val="center"/>
          </w:tcPr>
          <w:p w14:paraId="5A875325" w14:textId="77777777" w:rsidR="00852466" w:rsidRPr="00116AFD" w:rsidRDefault="00852466">
            <w:pPr>
              <w:rPr>
                <w:rFonts w:ascii="Arial Narrow" w:hAnsi="Arial Narrow"/>
                <w:sz w:val="20"/>
                <w:szCs w:val="20"/>
              </w:rPr>
            </w:pPr>
            <w:r w:rsidRPr="00116AFD">
              <w:rPr>
                <w:rFonts w:ascii="Arial Narrow" w:hAnsi="Arial Narrow"/>
                <w:b/>
                <w:bCs/>
                <w:sz w:val="20"/>
                <w:szCs w:val="20"/>
              </w:rPr>
              <w:t>Population criteria:</w:t>
            </w:r>
          </w:p>
        </w:tc>
      </w:tr>
      <w:tr w:rsidR="00852466" w:rsidRPr="000E7012" w14:paraId="2863C7E6" w14:textId="77777777">
        <w:tblPrEx>
          <w:tblCellMar>
            <w:top w:w="15" w:type="dxa"/>
            <w:bottom w:w="15" w:type="dxa"/>
          </w:tblCellMar>
        </w:tblPrEx>
        <w:trPr>
          <w:cantSplit/>
          <w:trHeight w:val="20"/>
        </w:trPr>
        <w:tc>
          <w:tcPr>
            <w:tcW w:w="9029" w:type="dxa"/>
            <w:gridSpan w:val="7"/>
            <w:vAlign w:val="center"/>
          </w:tcPr>
          <w:p w14:paraId="17B57C07" w14:textId="77777777" w:rsidR="00852466" w:rsidRPr="00116AFD" w:rsidRDefault="00852466">
            <w:pPr>
              <w:rPr>
                <w:rFonts w:ascii="Arial Narrow" w:hAnsi="Arial Narrow"/>
                <w:sz w:val="20"/>
                <w:szCs w:val="20"/>
              </w:rPr>
            </w:pPr>
            <w:r w:rsidRPr="00116AFD">
              <w:rPr>
                <w:rFonts w:ascii="Arial Narrow" w:hAnsi="Arial Narrow"/>
                <w:sz w:val="20"/>
                <w:szCs w:val="20"/>
              </w:rPr>
              <w:t>Patient must be aged 6 to 17 years inclusive</w:t>
            </w:r>
          </w:p>
        </w:tc>
      </w:tr>
      <w:tr w:rsidR="00852466" w:rsidRPr="00432EBF" w14:paraId="5969ADD0" w14:textId="77777777">
        <w:tblPrEx>
          <w:tblCellMar>
            <w:top w:w="15" w:type="dxa"/>
            <w:bottom w:w="15" w:type="dxa"/>
          </w:tblCellMar>
        </w:tblPrEx>
        <w:trPr>
          <w:cantSplit/>
          <w:trHeight w:val="20"/>
        </w:trPr>
        <w:tc>
          <w:tcPr>
            <w:tcW w:w="9029" w:type="dxa"/>
            <w:gridSpan w:val="7"/>
            <w:vAlign w:val="center"/>
            <w:hideMark/>
          </w:tcPr>
          <w:p w14:paraId="16F8949B" w14:textId="77777777" w:rsidR="00852466" w:rsidRPr="00116AFD" w:rsidRDefault="00852466">
            <w:pPr>
              <w:keepNext/>
              <w:rPr>
                <w:rFonts w:ascii="Arial Narrow" w:hAnsi="Arial Narrow"/>
                <w:sz w:val="20"/>
                <w:szCs w:val="20"/>
              </w:rPr>
            </w:pPr>
            <w:r w:rsidRPr="00116AFD">
              <w:rPr>
                <w:rFonts w:ascii="Arial Narrow" w:hAnsi="Arial Narrow"/>
                <w:b/>
                <w:bCs/>
                <w:sz w:val="20"/>
                <w:szCs w:val="20"/>
              </w:rPr>
              <w:t>Treatment criteria:</w:t>
            </w:r>
          </w:p>
        </w:tc>
      </w:tr>
      <w:tr w:rsidR="00852466" w:rsidRPr="00301861" w14:paraId="4F759C7C" w14:textId="77777777">
        <w:tblPrEx>
          <w:tblCellMar>
            <w:top w:w="15" w:type="dxa"/>
            <w:bottom w:w="15" w:type="dxa"/>
          </w:tblCellMar>
        </w:tblPrEx>
        <w:trPr>
          <w:cantSplit/>
          <w:trHeight w:val="20"/>
        </w:trPr>
        <w:tc>
          <w:tcPr>
            <w:tcW w:w="9029" w:type="dxa"/>
            <w:gridSpan w:val="7"/>
            <w:vAlign w:val="center"/>
            <w:hideMark/>
          </w:tcPr>
          <w:p w14:paraId="463DE48C" w14:textId="77777777" w:rsidR="00852466" w:rsidRPr="00116AFD" w:rsidRDefault="00852466">
            <w:pPr>
              <w:autoSpaceDE w:val="0"/>
              <w:autoSpaceDN w:val="0"/>
              <w:adjustRightInd w:val="0"/>
              <w:jc w:val="left"/>
              <w:rPr>
                <w:rFonts w:ascii="Arial Narrow" w:hAnsi="Arial Narrow" w:cs="Arial Narrow"/>
                <w:sz w:val="20"/>
                <w:szCs w:val="20"/>
              </w:rPr>
            </w:pPr>
            <w:r w:rsidRPr="00116AFD">
              <w:rPr>
                <w:rFonts w:ascii="Arial Narrow" w:hAnsi="Arial Narrow" w:cs="Arial Narrow"/>
                <w:sz w:val="20"/>
                <w:szCs w:val="20"/>
              </w:rPr>
              <w:t>Must be treated by a gastroenterologist (code 87); or</w:t>
            </w:r>
          </w:p>
        </w:tc>
      </w:tr>
      <w:tr w:rsidR="00852466" w:rsidRPr="00301861" w14:paraId="3C79BC3D" w14:textId="77777777">
        <w:tblPrEx>
          <w:tblCellMar>
            <w:top w:w="15" w:type="dxa"/>
            <w:bottom w:w="15" w:type="dxa"/>
          </w:tblCellMar>
        </w:tblPrEx>
        <w:trPr>
          <w:cantSplit/>
          <w:trHeight w:val="20"/>
        </w:trPr>
        <w:tc>
          <w:tcPr>
            <w:tcW w:w="9029" w:type="dxa"/>
            <w:gridSpan w:val="7"/>
            <w:vAlign w:val="center"/>
          </w:tcPr>
          <w:p w14:paraId="6E0121C7"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consultant physician [internal medicine specialising in gastroenterology (code 81)]; or</w:t>
            </w:r>
          </w:p>
        </w:tc>
      </w:tr>
      <w:tr w:rsidR="00852466" w:rsidRPr="00301861" w14:paraId="55BFAC6E" w14:textId="77777777">
        <w:tblPrEx>
          <w:tblCellMar>
            <w:top w:w="15" w:type="dxa"/>
            <w:bottom w:w="15" w:type="dxa"/>
          </w:tblCellMar>
        </w:tblPrEx>
        <w:trPr>
          <w:cantSplit/>
          <w:trHeight w:val="20"/>
        </w:trPr>
        <w:tc>
          <w:tcPr>
            <w:tcW w:w="9029" w:type="dxa"/>
            <w:gridSpan w:val="7"/>
            <w:vAlign w:val="center"/>
          </w:tcPr>
          <w:p w14:paraId="25374E32"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consultant physician [general medicine specialising in gastroenterology (code 82)]; or</w:t>
            </w:r>
          </w:p>
        </w:tc>
      </w:tr>
      <w:tr w:rsidR="00852466" w:rsidRPr="00301861" w14:paraId="78C338F4" w14:textId="77777777">
        <w:tblPrEx>
          <w:tblCellMar>
            <w:top w:w="15" w:type="dxa"/>
            <w:bottom w:w="15" w:type="dxa"/>
          </w:tblCellMar>
        </w:tblPrEx>
        <w:trPr>
          <w:cantSplit/>
          <w:trHeight w:val="20"/>
        </w:trPr>
        <w:tc>
          <w:tcPr>
            <w:tcW w:w="9029" w:type="dxa"/>
            <w:gridSpan w:val="7"/>
            <w:vAlign w:val="center"/>
          </w:tcPr>
          <w:p w14:paraId="3546D0C0"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paediatrician; or</w:t>
            </w:r>
          </w:p>
        </w:tc>
      </w:tr>
      <w:tr w:rsidR="00852466" w:rsidRPr="00301861" w14:paraId="0E4219D8" w14:textId="77777777">
        <w:tblPrEx>
          <w:tblCellMar>
            <w:top w:w="15" w:type="dxa"/>
            <w:bottom w:w="15" w:type="dxa"/>
          </w:tblCellMar>
        </w:tblPrEx>
        <w:trPr>
          <w:cantSplit/>
          <w:trHeight w:val="20"/>
        </w:trPr>
        <w:tc>
          <w:tcPr>
            <w:tcW w:w="9029" w:type="dxa"/>
            <w:gridSpan w:val="7"/>
            <w:vAlign w:val="center"/>
          </w:tcPr>
          <w:p w14:paraId="746CD55C"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specialist paediatric gastroenterologist</w:t>
            </w:r>
          </w:p>
        </w:tc>
      </w:tr>
      <w:tr w:rsidR="00852466" w:rsidRPr="00DC4595" w14:paraId="0E49522F" w14:textId="77777777">
        <w:tblPrEx>
          <w:tblCellMar>
            <w:top w:w="15" w:type="dxa"/>
            <w:bottom w:w="15" w:type="dxa"/>
          </w:tblCellMar>
        </w:tblPrEx>
        <w:trPr>
          <w:cantSplit/>
          <w:trHeight w:val="20"/>
        </w:trPr>
        <w:tc>
          <w:tcPr>
            <w:tcW w:w="9029" w:type="dxa"/>
            <w:gridSpan w:val="7"/>
            <w:vAlign w:val="center"/>
            <w:hideMark/>
          </w:tcPr>
          <w:p w14:paraId="18E62AD8" w14:textId="77777777" w:rsidR="00852466" w:rsidRPr="00116AFD" w:rsidRDefault="00852466">
            <w:pPr>
              <w:rPr>
                <w:rFonts w:ascii="Arial Narrow" w:hAnsi="Arial Narrow"/>
                <w:bCs/>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The authority application must be made in writing and must include:</w:t>
            </w:r>
          </w:p>
          <w:p w14:paraId="51065CDC" w14:textId="77777777" w:rsidR="00852466" w:rsidRPr="00116AFD" w:rsidRDefault="00852466">
            <w:pPr>
              <w:rPr>
                <w:rFonts w:ascii="Arial Narrow" w:hAnsi="Arial Narrow"/>
                <w:bCs/>
                <w:sz w:val="20"/>
                <w:szCs w:val="20"/>
              </w:rPr>
            </w:pPr>
          </w:p>
          <w:p w14:paraId="7C254D31" w14:textId="77777777" w:rsidR="00852466" w:rsidRPr="00116AFD" w:rsidRDefault="00852466">
            <w:pPr>
              <w:rPr>
                <w:rFonts w:ascii="Arial Narrow" w:hAnsi="Arial Narrow"/>
                <w:bCs/>
                <w:sz w:val="20"/>
                <w:szCs w:val="20"/>
              </w:rPr>
            </w:pPr>
            <w:r w:rsidRPr="00116AFD">
              <w:rPr>
                <w:rFonts w:ascii="Arial Narrow" w:hAnsi="Arial Narrow"/>
                <w:bCs/>
                <w:sz w:val="20"/>
                <w:szCs w:val="20"/>
              </w:rPr>
              <w:t xml:space="preserve">(1) </w:t>
            </w:r>
            <w:r w:rsidRPr="00116AFD">
              <w:rPr>
                <w:rFonts w:ascii="Arial Narrow" w:hAnsi="Arial Narrow"/>
                <w:bCs/>
                <w:i/>
                <w:iCs/>
                <w:sz w:val="20"/>
                <w:szCs w:val="20"/>
              </w:rPr>
              <w:t>details of the proposed</w:t>
            </w:r>
            <w:r w:rsidRPr="00116AFD">
              <w:rPr>
                <w:rFonts w:ascii="Arial Narrow" w:hAnsi="Arial Narrow"/>
                <w:bCs/>
                <w:sz w:val="20"/>
                <w:szCs w:val="20"/>
              </w:rPr>
              <w:t xml:space="preserve"> </w:t>
            </w:r>
            <w:r w:rsidRPr="00116AFD">
              <w:rPr>
                <w:rFonts w:ascii="Arial Narrow" w:hAnsi="Arial Narrow"/>
                <w:bCs/>
                <w:strike/>
                <w:sz w:val="20"/>
                <w:szCs w:val="20"/>
              </w:rPr>
              <w:t xml:space="preserve">a completed authority </w:t>
            </w:r>
            <w:r w:rsidRPr="00116AFD">
              <w:rPr>
                <w:rFonts w:ascii="Arial Narrow" w:hAnsi="Arial Narrow"/>
                <w:bCs/>
                <w:sz w:val="20"/>
                <w:szCs w:val="20"/>
              </w:rPr>
              <w:t>prescription</w:t>
            </w:r>
            <w:r w:rsidRPr="00116AFD">
              <w:rPr>
                <w:rFonts w:ascii="Arial Narrow" w:hAnsi="Arial Narrow"/>
                <w:bCs/>
                <w:i/>
                <w:iCs/>
                <w:sz w:val="20"/>
                <w:szCs w:val="20"/>
              </w:rPr>
              <w:t>(s)</w:t>
            </w:r>
            <w:r w:rsidRPr="00116AFD">
              <w:rPr>
                <w:rFonts w:ascii="Arial Narrow" w:hAnsi="Arial Narrow"/>
                <w:bCs/>
                <w:sz w:val="20"/>
                <w:szCs w:val="20"/>
              </w:rPr>
              <w:t xml:space="preserve"> </w:t>
            </w:r>
            <w:r w:rsidRPr="00116AFD">
              <w:rPr>
                <w:rFonts w:ascii="Arial Narrow" w:hAnsi="Arial Narrow"/>
                <w:bCs/>
                <w:strike/>
                <w:sz w:val="20"/>
                <w:szCs w:val="20"/>
              </w:rPr>
              <w:t>form</w:t>
            </w:r>
            <w:r w:rsidRPr="00116AFD">
              <w:rPr>
                <w:rFonts w:ascii="Arial Narrow" w:hAnsi="Arial Narrow"/>
                <w:bCs/>
                <w:sz w:val="20"/>
                <w:szCs w:val="20"/>
              </w:rPr>
              <w:t>; and</w:t>
            </w:r>
          </w:p>
          <w:p w14:paraId="3E0F58DF" w14:textId="77777777" w:rsidR="00852466" w:rsidRPr="00116AFD" w:rsidRDefault="00852466">
            <w:pPr>
              <w:rPr>
                <w:rFonts w:ascii="Arial Narrow" w:hAnsi="Arial Narrow"/>
                <w:bCs/>
                <w:sz w:val="20"/>
                <w:szCs w:val="20"/>
              </w:rPr>
            </w:pPr>
          </w:p>
          <w:p w14:paraId="6DD13774" w14:textId="77777777" w:rsidR="00852466" w:rsidRPr="00116AFD" w:rsidRDefault="00852466">
            <w:pPr>
              <w:rPr>
                <w:rFonts w:ascii="Arial Narrow" w:hAnsi="Arial Narrow"/>
                <w:sz w:val="20"/>
                <w:szCs w:val="20"/>
              </w:rPr>
            </w:pPr>
            <w:r w:rsidRPr="00116AFD">
              <w:rPr>
                <w:rFonts w:ascii="Arial Narrow" w:hAnsi="Arial Narrow"/>
                <w:bCs/>
                <w:sz w:val="20"/>
                <w:szCs w:val="20"/>
              </w:rPr>
              <w:t>(2) a completed authority application form relevant to the indication and treatment phase (the latest version is located on the website specified in the Administrative Advice).</w:t>
            </w:r>
          </w:p>
        </w:tc>
      </w:tr>
      <w:tr w:rsidR="00852466" w:rsidRPr="001428E9" w14:paraId="650AED00" w14:textId="77777777">
        <w:tblPrEx>
          <w:tblCellMar>
            <w:top w:w="15" w:type="dxa"/>
            <w:bottom w:w="15" w:type="dxa"/>
          </w:tblCellMar>
        </w:tblPrEx>
        <w:trPr>
          <w:cantSplit/>
          <w:trHeight w:val="20"/>
        </w:trPr>
        <w:tc>
          <w:tcPr>
            <w:tcW w:w="9029" w:type="dxa"/>
            <w:gridSpan w:val="7"/>
            <w:vAlign w:val="center"/>
            <w:hideMark/>
          </w:tcPr>
          <w:p w14:paraId="2DE27E10" w14:textId="77777777" w:rsidR="00852466" w:rsidRPr="00116AFD" w:rsidRDefault="00852466">
            <w:pPr>
              <w:rPr>
                <w:rFonts w:ascii="Arial Narrow" w:hAnsi="Arial Narrow"/>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The PCDAI assessment must be no more than 4 weeks old at the time of application.</w:t>
            </w:r>
          </w:p>
        </w:tc>
      </w:tr>
      <w:tr w:rsidR="00852466" w:rsidRPr="001428E9" w14:paraId="10C331F8" w14:textId="77777777">
        <w:tblPrEx>
          <w:tblCellMar>
            <w:top w:w="15" w:type="dxa"/>
            <w:bottom w:w="15" w:type="dxa"/>
          </w:tblCellMar>
        </w:tblPrEx>
        <w:trPr>
          <w:cantSplit/>
          <w:trHeight w:val="20"/>
        </w:trPr>
        <w:tc>
          <w:tcPr>
            <w:tcW w:w="9029" w:type="dxa"/>
            <w:gridSpan w:val="7"/>
            <w:vAlign w:val="center"/>
          </w:tcPr>
          <w:p w14:paraId="6F32F3E3" w14:textId="77777777" w:rsidR="00852466" w:rsidRPr="00116AFD" w:rsidRDefault="00852466">
            <w:pPr>
              <w:rPr>
                <w:rFonts w:ascii="Arial Narrow" w:hAnsi="Arial Narrow"/>
                <w:bCs/>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852466" w:rsidRPr="00432EBF" w14:paraId="394554A4" w14:textId="77777777">
        <w:tblPrEx>
          <w:tblCellMar>
            <w:top w:w="15" w:type="dxa"/>
            <w:bottom w:w="15" w:type="dxa"/>
          </w:tblCellMar>
        </w:tblPrEx>
        <w:trPr>
          <w:cantSplit/>
          <w:trHeight w:val="20"/>
        </w:trPr>
        <w:tc>
          <w:tcPr>
            <w:tcW w:w="9029" w:type="dxa"/>
            <w:gridSpan w:val="7"/>
            <w:vAlign w:val="center"/>
          </w:tcPr>
          <w:p w14:paraId="2B60BD27"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432EBF" w14:paraId="549652BD" w14:textId="77777777">
        <w:tblPrEx>
          <w:tblCellMar>
            <w:top w:w="15" w:type="dxa"/>
            <w:bottom w:w="15" w:type="dxa"/>
          </w:tblCellMar>
        </w:tblPrEx>
        <w:trPr>
          <w:cantSplit/>
          <w:trHeight w:val="20"/>
        </w:trPr>
        <w:tc>
          <w:tcPr>
            <w:tcW w:w="9029" w:type="dxa"/>
            <w:gridSpan w:val="7"/>
            <w:vAlign w:val="center"/>
            <w:hideMark/>
          </w:tcPr>
          <w:p w14:paraId="33CCD864"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Patients are only eligible to receive subsequent continuing PBS-subsidised treatment with this drug in courses of up to 24 weeks providing they continue to sustain the response.</w:t>
            </w:r>
          </w:p>
        </w:tc>
      </w:tr>
      <w:tr w:rsidR="00852466" w:rsidRPr="00432EBF" w14:paraId="1FB0BE50" w14:textId="77777777">
        <w:tblPrEx>
          <w:tblCellMar>
            <w:top w:w="15" w:type="dxa"/>
            <w:bottom w:w="15" w:type="dxa"/>
          </w:tblCellMar>
        </w:tblPrEx>
        <w:trPr>
          <w:cantSplit/>
          <w:trHeight w:val="20"/>
        </w:trPr>
        <w:tc>
          <w:tcPr>
            <w:tcW w:w="9029" w:type="dxa"/>
            <w:gridSpan w:val="7"/>
            <w:vAlign w:val="center"/>
          </w:tcPr>
          <w:p w14:paraId="25F0F168" w14:textId="77777777" w:rsidR="00852466" w:rsidRPr="00116AFD" w:rsidRDefault="00852466">
            <w:pPr>
              <w:rPr>
                <w:rFonts w:ascii="Arial Narrow" w:hAnsi="Arial Narrow"/>
                <w:i/>
                <w:i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trike/>
                <w:sz w:val="20"/>
                <w:szCs w:val="20"/>
              </w:rPr>
              <w:t xml:space="preserve">Where fewer than 5 repeats are requested at the time of the application, </w:t>
            </w:r>
            <w:proofErr w:type="spellStart"/>
            <w:r w:rsidRPr="00116AFD">
              <w:rPr>
                <w:rFonts w:ascii="Arial Narrow" w:hAnsi="Arial Narrow"/>
                <w:strike/>
                <w:sz w:val="20"/>
                <w:szCs w:val="20"/>
              </w:rPr>
              <w:t>a</w:t>
            </w:r>
            <w:r w:rsidRPr="00116AFD">
              <w:rPr>
                <w:rFonts w:ascii="Arial Narrow" w:hAnsi="Arial Narrow"/>
                <w:sz w:val="20"/>
                <w:szCs w:val="20"/>
              </w:rPr>
              <w:t>Authority</w:t>
            </w:r>
            <w:proofErr w:type="spellEnd"/>
            <w:r w:rsidRPr="00116AFD">
              <w:rPr>
                <w:rFonts w:ascii="Arial Narrow" w:hAnsi="Arial Narrow"/>
                <w:sz w:val="20"/>
                <w:szCs w:val="20"/>
              </w:rPr>
              <w:t xml:space="preserve"> approvals for sufficient repeats to complete a maximum of 24 weeks of treatment with this drug may be requested through the balance of supply restriction</w:t>
            </w:r>
            <w:r w:rsidRPr="00116AFD">
              <w:rPr>
                <w:rFonts w:ascii="Arial Narrow" w:hAnsi="Arial Narrow"/>
                <w:i/>
                <w:iCs/>
                <w:sz w:val="20"/>
                <w:szCs w:val="20"/>
              </w:rPr>
              <w:t xml:space="preserve"> for patients who:</w:t>
            </w:r>
          </w:p>
          <w:p w14:paraId="2769E6F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received fewer than 5 repeats at the time of application; and/or</w:t>
            </w:r>
          </w:p>
          <w:p w14:paraId="24CE76D0" w14:textId="77777777" w:rsidR="00852466" w:rsidRPr="00116AFD" w:rsidRDefault="00852466">
            <w:pPr>
              <w:rPr>
                <w:rFonts w:ascii="Arial Narrow" w:hAnsi="Arial Narrow"/>
                <w:b/>
                <w:bCs/>
                <w:sz w:val="20"/>
                <w:szCs w:val="20"/>
              </w:rPr>
            </w:pPr>
            <w:r w:rsidRPr="00116AFD">
              <w:rPr>
                <w:rFonts w:ascii="Arial Narrow" w:hAnsi="Arial Narrow"/>
                <w:i/>
                <w:iCs/>
                <w:sz w:val="20"/>
                <w:szCs w:val="20"/>
              </w:rPr>
              <w:t>(ii) required changes to their dosing regimen during this treatment phase</w:t>
            </w:r>
            <w:r w:rsidRPr="00116AFD">
              <w:rPr>
                <w:rFonts w:ascii="Arial Narrow" w:hAnsi="Arial Narrow"/>
                <w:sz w:val="20"/>
                <w:szCs w:val="20"/>
              </w:rPr>
              <w:t>.</w:t>
            </w:r>
          </w:p>
        </w:tc>
      </w:tr>
      <w:tr w:rsidR="00116AFD" w:rsidRPr="00116AFD" w14:paraId="07A0103F"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5A81D81B" w14:textId="77777777" w:rsidR="00852466" w:rsidRPr="00116AFD" w:rsidRDefault="00852466">
            <w:pPr>
              <w:rPr>
                <w:rFonts w:ascii="Arial Narrow" w:hAnsi="Arial Narrow"/>
                <w:b/>
                <w:bCs/>
                <w:sz w:val="20"/>
                <w:szCs w:val="20"/>
              </w:rPr>
            </w:pPr>
          </w:p>
          <w:p w14:paraId="424C63DE" w14:textId="77777777" w:rsidR="00852466" w:rsidRPr="00116AFD" w:rsidRDefault="00852466">
            <w:pPr>
              <w:rPr>
                <w:rFonts w:ascii="Arial Narrow" w:hAnsi="Arial Narrow"/>
                <w:b/>
                <w:bCs/>
                <w:sz w:val="20"/>
                <w:szCs w:val="20"/>
              </w:rPr>
            </w:pPr>
          </w:p>
        </w:tc>
      </w:tr>
      <w:tr w:rsidR="00852466" w:rsidRPr="001428E9" w14:paraId="5464C0AC" w14:textId="77777777">
        <w:tblPrEx>
          <w:tblCellMar>
            <w:top w:w="15" w:type="dxa"/>
            <w:bottom w:w="15" w:type="dxa"/>
          </w:tblCellMar>
        </w:tblPrEx>
        <w:trPr>
          <w:cantSplit/>
          <w:trHeight w:val="20"/>
        </w:trPr>
        <w:tc>
          <w:tcPr>
            <w:tcW w:w="9029" w:type="dxa"/>
            <w:gridSpan w:val="7"/>
            <w:vAlign w:val="center"/>
            <w:hideMark/>
          </w:tcPr>
          <w:p w14:paraId="229BF723" w14:textId="77777777" w:rsidR="00852466" w:rsidRPr="00116AFD" w:rsidRDefault="00852466">
            <w:pPr>
              <w:keepLines/>
              <w:rPr>
                <w:rFonts w:ascii="Arial Narrow" w:hAnsi="Arial Narrow"/>
                <w:sz w:val="20"/>
                <w:szCs w:val="20"/>
              </w:rPr>
            </w:pPr>
            <w:r w:rsidRPr="00116AFD">
              <w:rPr>
                <w:rFonts w:ascii="Arial Narrow" w:hAnsi="Arial Narrow"/>
                <w:b/>
                <w:bCs/>
                <w:sz w:val="20"/>
                <w:szCs w:val="20"/>
              </w:rPr>
              <w:t>Indication:</w:t>
            </w:r>
            <w:r w:rsidRPr="00116AFD">
              <w:rPr>
                <w:rFonts w:ascii="Arial Narrow" w:hAnsi="Arial Narrow"/>
                <w:sz w:val="20"/>
                <w:szCs w:val="20"/>
              </w:rPr>
              <w:t xml:space="preserve"> Severe Crohn disease</w:t>
            </w:r>
          </w:p>
        </w:tc>
      </w:tr>
      <w:tr w:rsidR="00852466" w:rsidRPr="001428E9" w14:paraId="18D040EC" w14:textId="77777777">
        <w:tblPrEx>
          <w:tblCellMar>
            <w:top w:w="15" w:type="dxa"/>
            <w:bottom w:w="15" w:type="dxa"/>
          </w:tblCellMar>
        </w:tblPrEx>
        <w:trPr>
          <w:cantSplit/>
          <w:trHeight w:val="20"/>
        </w:trPr>
        <w:tc>
          <w:tcPr>
            <w:tcW w:w="9029" w:type="dxa"/>
            <w:gridSpan w:val="7"/>
            <w:vAlign w:val="center"/>
            <w:hideMark/>
          </w:tcPr>
          <w:p w14:paraId="384060D9" w14:textId="77777777" w:rsidR="00852466" w:rsidRPr="00116AFD" w:rsidRDefault="00852466">
            <w:pPr>
              <w:rPr>
                <w:rFonts w:ascii="Arial Narrow" w:hAnsi="Arial Narrow"/>
                <w:sz w:val="20"/>
                <w:szCs w:val="20"/>
              </w:rPr>
            </w:pPr>
            <w:r w:rsidRPr="00116AFD">
              <w:rPr>
                <w:rFonts w:ascii="Arial Narrow" w:hAnsi="Arial Narrow"/>
                <w:b/>
                <w:bCs/>
                <w:sz w:val="20"/>
                <w:szCs w:val="20"/>
              </w:rPr>
              <w:t>Treatment Phase:</w:t>
            </w:r>
            <w:r w:rsidRPr="00116AFD">
              <w:rPr>
                <w:rFonts w:ascii="Arial Narrow" w:hAnsi="Arial Narrow"/>
                <w:sz w:val="20"/>
                <w:szCs w:val="20"/>
              </w:rPr>
              <w:t xml:space="preserve"> Subsequent continuing treatment of Crohn disease in a paediatric patient </w:t>
            </w:r>
            <w:r w:rsidRPr="00116AFD">
              <w:rPr>
                <w:rFonts w:ascii="Arial Narrow" w:hAnsi="Arial Narrow"/>
                <w:strike/>
                <w:sz w:val="20"/>
                <w:szCs w:val="20"/>
              </w:rPr>
              <w:t>assessed by PCDAI</w:t>
            </w:r>
          </w:p>
        </w:tc>
      </w:tr>
      <w:tr w:rsidR="00852466" w:rsidRPr="001428E9" w14:paraId="1A2F26A5" w14:textId="77777777">
        <w:tblPrEx>
          <w:tblCellMar>
            <w:top w:w="15" w:type="dxa"/>
            <w:bottom w:w="15" w:type="dxa"/>
          </w:tblCellMar>
        </w:tblPrEx>
        <w:trPr>
          <w:cantSplit/>
          <w:trHeight w:val="20"/>
        </w:trPr>
        <w:tc>
          <w:tcPr>
            <w:tcW w:w="9029" w:type="dxa"/>
            <w:gridSpan w:val="7"/>
            <w:vAlign w:val="center"/>
            <w:hideMark/>
          </w:tcPr>
          <w:p w14:paraId="08575A48" w14:textId="77777777" w:rsidR="00852466" w:rsidRPr="00116AFD" w:rsidRDefault="00852466">
            <w:pPr>
              <w:rPr>
                <w:rFonts w:ascii="Arial Narrow" w:hAnsi="Arial Narrow"/>
                <w:sz w:val="20"/>
                <w:szCs w:val="20"/>
              </w:rPr>
            </w:pPr>
            <w:r w:rsidRPr="00116AFD">
              <w:rPr>
                <w:rFonts w:ascii="Arial Narrow" w:hAnsi="Arial Narrow"/>
                <w:b/>
                <w:bCs/>
                <w:sz w:val="20"/>
                <w:szCs w:val="20"/>
              </w:rPr>
              <w:t xml:space="preserve">Clinical criteria: </w:t>
            </w:r>
          </w:p>
        </w:tc>
      </w:tr>
      <w:tr w:rsidR="00852466" w:rsidRPr="001428E9" w14:paraId="3DE7EA31" w14:textId="77777777">
        <w:tblPrEx>
          <w:tblCellMar>
            <w:top w:w="15" w:type="dxa"/>
            <w:bottom w:w="15" w:type="dxa"/>
          </w:tblCellMar>
        </w:tblPrEx>
        <w:trPr>
          <w:cantSplit/>
          <w:trHeight w:val="20"/>
        </w:trPr>
        <w:tc>
          <w:tcPr>
            <w:tcW w:w="9029" w:type="dxa"/>
            <w:gridSpan w:val="7"/>
            <w:vAlign w:val="center"/>
            <w:hideMark/>
          </w:tcPr>
          <w:p w14:paraId="1DEA3B0B" w14:textId="77777777" w:rsidR="00852466" w:rsidRPr="00116AFD" w:rsidRDefault="00852466">
            <w:pPr>
              <w:jc w:val="left"/>
              <w:rPr>
                <w:rFonts w:ascii="Arial Narrow" w:hAnsi="Arial Narrow"/>
                <w:sz w:val="20"/>
                <w:szCs w:val="20"/>
              </w:rPr>
            </w:pPr>
            <w:r w:rsidRPr="00116AFD">
              <w:rPr>
                <w:rFonts w:ascii="Arial Narrow" w:hAnsi="Arial Narrow"/>
                <w:sz w:val="20"/>
                <w:szCs w:val="20"/>
              </w:rPr>
              <w:t>Patient must have a documented history of severe Crohn disease</w:t>
            </w:r>
          </w:p>
        </w:tc>
      </w:tr>
      <w:tr w:rsidR="00852466" w:rsidRPr="00432EBF" w14:paraId="56DF6BAD" w14:textId="77777777">
        <w:tblPrEx>
          <w:tblCellMar>
            <w:top w:w="15" w:type="dxa"/>
            <w:bottom w:w="15" w:type="dxa"/>
          </w:tblCellMar>
        </w:tblPrEx>
        <w:trPr>
          <w:cantSplit/>
          <w:trHeight w:val="20"/>
        </w:trPr>
        <w:tc>
          <w:tcPr>
            <w:tcW w:w="9029" w:type="dxa"/>
            <w:gridSpan w:val="7"/>
            <w:vAlign w:val="center"/>
            <w:hideMark/>
          </w:tcPr>
          <w:p w14:paraId="05102170" w14:textId="77777777" w:rsidR="00852466" w:rsidRPr="00116AFD" w:rsidRDefault="00852466">
            <w:pPr>
              <w:jc w:val="left"/>
              <w:rPr>
                <w:rFonts w:ascii="Arial Narrow" w:hAnsi="Arial Narrow"/>
                <w:sz w:val="20"/>
                <w:szCs w:val="20"/>
              </w:rPr>
            </w:pPr>
            <w:r w:rsidRPr="00116AFD">
              <w:rPr>
                <w:rFonts w:ascii="Arial Narrow" w:hAnsi="Arial Narrow"/>
                <w:b/>
                <w:bCs/>
                <w:sz w:val="20"/>
                <w:szCs w:val="20"/>
              </w:rPr>
              <w:t>AND</w:t>
            </w:r>
          </w:p>
        </w:tc>
      </w:tr>
      <w:tr w:rsidR="00852466" w:rsidRPr="00432EBF" w14:paraId="36923C88" w14:textId="77777777">
        <w:tblPrEx>
          <w:tblCellMar>
            <w:top w:w="15" w:type="dxa"/>
            <w:bottom w:w="15" w:type="dxa"/>
          </w:tblCellMar>
        </w:tblPrEx>
        <w:trPr>
          <w:cantSplit/>
          <w:trHeight w:val="20"/>
        </w:trPr>
        <w:tc>
          <w:tcPr>
            <w:tcW w:w="9029" w:type="dxa"/>
            <w:gridSpan w:val="7"/>
            <w:vAlign w:val="center"/>
            <w:hideMark/>
          </w:tcPr>
          <w:p w14:paraId="5432A935" w14:textId="77777777" w:rsidR="00852466" w:rsidRPr="00116AFD" w:rsidRDefault="00852466">
            <w:pPr>
              <w:jc w:val="left"/>
              <w:rPr>
                <w:rFonts w:ascii="Arial Narrow" w:hAnsi="Arial Narrow"/>
                <w:sz w:val="20"/>
                <w:szCs w:val="20"/>
              </w:rPr>
            </w:pPr>
            <w:r w:rsidRPr="00116AFD">
              <w:rPr>
                <w:rFonts w:ascii="Arial Narrow" w:hAnsi="Arial Narrow"/>
                <w:b/>
                <w:bCs/>
                <w:sz w:val="20"/>
                <w:szCs w:val="20"/>
              </w:rPr>
              <w:t>Clinical criteria:</w:t>
            </w:r>
          </w:p>
        </w:tc>
      </w:tr>
      <w:tr w:rsidR="00852466" w:rsidRPr="001428E9" w14:paraId="77AEB191" w14:textId="77777777">
        <w:tblPrEx>
          <w:tblCellMar>
            <w:top w:w="15" w:type="dxa"/>
            <w:bottom w:w="15" w:type="dxa"/>
          </w:tblCellMar>
        </w:tblPrEx>
        <w:trPr>
          <w:cantSplit/>
          <w:trHeight w:val="20"/>
        </w:trPr>
        <w:tc>
          <w:tcPr>
            <w:tcW w:w="9029" w:type="dxa"/>
            <w:gridSpan w:val="7"/>
            <w:vAlign w:val="center"/>
            <w:hideMark/>
          </w:tcPr>
          <w:p w14:paraId="232904ED" w14:textId="77777777" w:rsidR="00852466" w:rsidRPr="00116AFD" w:rsidRDefault="00852466">
            <w:pPr>
              <w:rPr>
                <w:rFonts w:ascii="Arial Narrow" w:hAnsi="Arial Narrow"/>
                <w:sz w:val="20"/>
                <w:szCs w:val="20"/>
              </w:rPr>
            </w:pPr>
            <w:r w:rsidRPr="00116AFD">
              <w:rPr>
                <w:rFonts w:ascii="Arial Narrow" w:hAnsi="Arial Narrow"/>
                <w:sz w:val="20"/>
                <w:szCs w:val="20"/>
              </w:rPr>
              <w:t>Patient must have previously received PBS-subsidised treatment with this drug for this condition under the First continuing treatment restriction</w:t>
            </w:r>
          </w:p>
        </w:tc>
      </w:tr>
      <w:tr w:rsidR="00852466" w:rsidRPr="00432EBF" w14:paraId="1A52E1B3" w14:textId="77777777">
        <w:tblPrEx>
          <w:tblCellMar>
            <w:top w:w="15" w:type="dxa"/>
            <w:bottom w:w="15" w:type="dxa"/>
          </w:tblCellMar>
        </w:tblPrEx>
        <w:trPr>
          <w:cantSplit/>
          <w:trHeight w:val="20"/>
        </w:trPr>
        <w:tc>
          <w:tcPr>
            <w:tcW w:w="9029" w:type="dxa"/>
            <w:gridSpan w:val="7"/>
            <w:vAlign w:val="center"/>
            <w:hideMark/>
          </w:tcPr>
          <w:p w14:paraId="03DEEDBB"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432EBF" w14:paraId="0FA6A804" w14:textId="77777777">
        <w:tblPrEx>
          <w:tblCellMar>
            <w:top w:w="15" w:type="dxa"/>
            <w:bottom w:w="15" w:type="dxa"/>
          </w:tblCellMar>
        </w:tblPrEx>
        <w:trPr>
          <w:cantSplit/>
          <w:trHeight w:val="20"/>
        </w:trPr>
        <w:tc>
          <w:tcPr>
            <w:tcW w:w="9029" w:type="dxa"/>
            <w:gridSpan w:val="7"/>
            <w:vAlign w:val="center"/>
            <w:hideMark/>
          </w:tcPr>
          <w:p w14:paraId="78A93D6E" w14:textId="77777777" w:rsidR="00852466" w:rsidRPr="00116AFD" w:rsidRDefault="00852466">
            <w:pPr>
              <w:rPr>
                <w:rFonts w:ascii="Arial Narrow" w:hAnsi="Arial Narrow"/>
                <w:sz w:val="20"/>
                <w:szCs w:val="20"/>
              </w:rPr>
            </w:pPr>
            <w:r w:rsidRPr="00116AFD">
              <w:rPr>
                <w:rFonts w:ascii="Arial Narrow" w:hAnsi="Arial Narrow"/>
                <w:b/>
                <w:bCs/>
                <w:strike/>
                <w:sz w:val="20"/>
                <w:szCs w:val="20"/>
              </w:rPr>
              <w:t>Clinical criteria:</w:t>
            </w:r>
          </w:p>
        </w:tc>
      </w:tr>
      <w:tr w:rsidR="00852466" w:rsidRPr="00432EBF" w14:paraId="1268D492" w14:textId="77777777">
        <w:tblPrEx>
          <w:tblCellMar>
            <w:top w:w="15" w:type="dxa"/>
            <w:bottom w:w="15" w:type="dxa"/>
          </w:tblCellMar>
        </w:tblPrEx>
        <w:trPr>
          <w:cantSplit/>
          <w:trHeight w:val="20"/>
        </w:trPr>
        <w:tc>
          <w:tcPr>
            <w:tcW w:w="9029" w:type="dxa"/>
            <w:gridSpan w:val="7"/>
            <w:vAlign w:val="center"/>
            <w:hideMark/>
          </w:tcPr>
          <w:p w14:paraId="07884918" w14:textId="77777777" w:rsidR="00852466" w:rsidRPr="00116AFD" w:rsidRDefault="00852466">
            <w:pPr>
              <w:rPr>
                <w:rFonts w:ascii="Arial Narrow" w:hAnsi="Arial Narrow"/>
                <w:sz w:val="20"/>
                <w:szCs w:val="20"/>
              </w:rPr>
            </w:pPr>
            <w:r w:rsidRPr="00116AFD">
              <w:rPr>
                <w:rFonts w:ascii="Arial Narrow" w:hAnsi="Arial Narrow"/>
                <w:strike/>
                <w:sz w:val="20"/>
                <w:szCs w:val="20"/>
              </w:rPr>
              <w:t>Patient must have a reduction in PCDAI Score by at least 15 points from baseline value</w:t>
            </w:r>
          </w:p>
        </w:tc>
      </w:tr>
      <w:tr w:rsidR="00852466" w:rsidRPr="000E7012" w14:paraId="1D415437" w14:textId="77777777">
        <w:tblPrEx>
          <w:tblCellMar>
            <w:top w:w="15" w:type="dxa"/>
            <w:bottom w:w="15" w:type="dxa"/>
          </w:tblCellMar>
        </w:tblPrEx>
        <w:trPr>
          <w:cantSplit/>
          <w:trHeight w:val="20"/>
        </w:trPr>
        <w:tc>
          <w:tcPr>
            <w:tcW w:w="9029" w:type="dxa"/>
            <w:gridSpan w:val="7"/>
            <w:vAlign w:val="center"/>
          </w:tcPr>
          <w:p w14:paraId="5AAF9704" w14:textId="77777777" w:rsidR="00852466" w:rsidRPr="00116AFD" w:rsidRDefault="00852466">
            <w:pPr>
              <w:rPr>
                <w:rFonts w:ascii="Arial Narrow" w:hAnsi="Arial Narrow"/>
                <w:sz w:val="20"/>
                <w:szCs w:val="20"/>
              </w:rPr>
            </w:pPr>
            <w:r w:rsidRPr="00116AFD">
              <w:rPr>
                <w:rFonts w:ascii="Arial Narrow" w:hAnsi="Arial Narrow"/>
                <w:b/>
                <w:bCs/>
                <w:strike/>
                <w:sz w:val="20"/>
                <w:szCs w:val="20"/>
              </w:rPr>
              <w:t>AND</w:t>
            </w:r>
          </w:p>
        </w:tc>
      </w:tr>
      <w:tr w:rsidR="00852466" w:rsidRPr="000E7012" w14:paraId="6D98121F" w14:textId="77777777">
        <w:tblPrEx>
          <w:tblCellMar>
            <w:top w:w="15" w:type="dxa"/>
            <w:bottom w:w="15" w:type="dxa"/>
          </w:tblCellMar>
        </w:tblPrEx>
        <w:trPr>
          <w:cantSplit/>
          <w:trHeight w:val="20"/>
        </w:trPr>
        <w:tc>
          <w:tcPr>
            <w:tcW w:w="9029" w:type="dxa"/>
            <w:gridSpan w:val="7"/>
            <w:vAlign w:val="center"/>
          </w:tcPr>
          <w:p w14:paraId="6E487AB3"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0E7012" w14:paraId="4BA7DD27" w14:textId="77777777">
        <w:tblPrEx>
          <w:tblCellMar>
            <w:top w:w="15" w:type="dxa"/>
            <w:bottom w:w="15" w:type="dxa"/>
          </w:tblCellMar>
        </w:tblPrEx>
        <w:trPr>
          <w:cantSplit/>
          <w:trHeight w:val="20"/>
        </w:trPr>
        <w:tc>
          <w:tcPr>
            <w:tcW w:w="9029" w:type="dxa"/>
            <w:gridSpan w:val="7"/>
            <w:vAlign w:val="center"/>
          </w:tcPr>
          <w:p w14:paraId="7DFC1B15" w14:textId="77777777" w:rsidR="00852466" w:rsidRPr="00116AFD" w:rsidRDefault="00852466">
            <w:pPr>
              <w:rPr>
                <w:rFonts w:ascii="Arial Narrow" w:hAnsi="Arial Narrow"/>
                <w:sz w:val="20"/>
                <w:szCs w:val="20"/>
              </w:rPr>
            </w:pPr>
            <w:r w:rsidRPr="00116AFD">
              <w:rPr>
                <w:rFonts w:ascii="Arial Narrow" w:hAnsi="Arial Narrow"/>
                <w:sz w:val="20"/>
                <w:szCs w:val="20"/>
              </w:rPr>
              <w:t xml:space="preserve">Patient must have </w:t>
            </w:r>
            <w:r w:rsidRPr="00116AFD">
              <w:rPr>
                <w:rFonts w:ascii="Arial Narrow" w:hAnsi="Arial Narrow"/>
                <w:i/>
                <w:iCs/>
                <w:sz w:val="20"/>
                <w:szCs w:val="20"/>
              </w:rPr>
              <w:t>both: (i)</w:t>
            </w:r>
            <w:r w:rsidRPr="00116AFD">
              <w:rPr>
                <w:rFonts w:ascii="Arial Narrow" w:hAnsi="Arial Narrow"/>
                <w:sz w:val="20"/>
                <w:szCs w:val="20"/>
              </w:rPr>
              <w:t xml:space="preserve"> a total PCDAI score of 40 points or less </w:t>
            </w:r>
            <w:r w:rsidRPr="00116AFD">
              <w:rPr>
                <w:rFonts w:ascii="Arial Narrow" w:hAnsi="Arial Narrow"/>
                <w:i/>
                <w:iCs/>
                <w:sz w:val="20"/>
                <w:szCs w:val="20"/>
              </w:rPr>
              <w:t>and</w:t>
            </w:r>
            <w:r w:rsidRPr="00116AFD">
              <w:rPr>
                <w:rFonts w:ascii="Arial Narrow" w:hAnsi="Arial Narrow"/>
                <w:sz w:val="20"/>
                <w:szCs w:val="20"/>
              </w:rPr>
              <w:t xml:space="preserve"> (ii) </w:t>
            </w:r>
            <w:r w:rsidRPr="00116AFD">
              <w:rPr>
                <w:rFonts w:ascii="Arial Narrow" w:hAnsi="Arial Narrow"/>
                <w:i/>
                <w:iCs/>
                <w:sz w:val="20"/>
                <w:szCs w:val="20"/>
              </w:rPr>
              <w:t>a reduction in PCDAI Score by at least 15 points from baseline value;</w:t>
            </w:r>
            <w:r w:rsidRPr="00116AFD">
              <w:rPr>
                <w:rFonts w:ascii="Arial Narrow" w:hAnsi="Arial Narrow"/>
                <w:sz w:val="20"/>
                <w:szCs w:val="20"/>
              </w:rPr>
              <w:t xml:space="preserve"> </w:t>
            </w:r>
            <w:r w:rsidRPr="00116AFD">
              <w:rPr>
                <w:rFonts w:ascii="Arial Narrow" w:hAnsi="Arial Narrow"/>
                <w:i/>
                <w:iCs/>
                <w:sz w:val="20"/>
                <w:szCs w:val="20"/>
              </w:rPr>
              <w:t>or</w:t>
            </w:r>
          </w:p>
        </w:tc>
      </w:tr>
      <w:tr w:rsidR="00852466" w:rsidRPr="00817652" w14:paraId="71783388" w14:textId="77777777">
        <w:tblPrEx>
          <w:tblCellMar>
            <w:top w:w="15" w:type="dxa"/>
            <w:bottom w:w="15" w:type="dxa"/>
          </w:tblCellMar>
        </w:tblPrEx>
        <w:trPr>
          <w:cantSplit/>
          <w:trHeight w:val="20"/>
        </w:trPr>
        <w:tc>
          <w:tcPr>
            <w:tcW w:w="9029" w:type="dxa"/>
            <w:gridSpan w:val="7"/>
            <w:vAlign w:val="center"/>
          </w:tcPr>
          <w:p w14:paraId="01DC09F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an adequate response to this drug defined as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w:t>
            </w:r>
          </w:p>
        </w:tc>
      </w:tr>
      <w:tr w:rsidR="00852466" w:rsidRPr="000E7012" w14:paraId="49D77232" w14:textId="77777777">
        <w:tblPrEx>
          <w:tblCellMar>
            <w:top w:w="15" w:type="dxa"/>
            <w:bottom w:w="15" w:type="dxa"/>
          </w:tblCellMar>
        </w:tblPrEx>
        <w:trPr>
          <w:cantSplit/>
          <w:trHeight w:val="20"/>
        </w:trPr>
        <w:tc>
          <w:tcPr>
            <w:tcW w:w="9029" w:type="dxa"/>
            <w:gridSpan w:val="7"/>
            <w:vAlign w:val="center"/>
          </w:tcPr>
          <w:p w14:paraId="2B5DD595" w14:textId="77777777" w:rsidR="00852466" w:rsidRPr="00116AFD" w:rsidRDefault="00852466">
            <w:pPr>
              <w:rPr>
                <w:rFonts w:ascii="Arial Narrow" w:hAnsi="Arial Narrow"/>
                <w:sz w:val="20"/>
                <w:szCs w:val="20"/>
              </w:rPr>
            </w:pPr>
            <w:r w:rsidRPr="00116AFD">
              <w:rPr>
                <w:rFonts w:ascii="Arial Narrow" w:hAnsi="Arial Narrow"/>
                <w:b/>
                <w:bCs/>
                <w:sz w:val="20"/>
                <w:szCs w:val="20"/>
              </w:rPr>
              <w:t>AND</w:t>
            </w:r>
          </w:p>
        </w:tc>
      </w:tr>
      <w:tr w:rsidR="00852466" w:rsidRPr="000E7012" w14:paraId="0E0A0F95" w14:textId="77777777">
        <w:tblPrEx>
          <w:tblCellMar>
            <w:top w:w="15" w:type="dxa"/>
            <w:bottom w:w="15" w:type="dxa"/>
          </w:tblCellMar>
        </w:tblPrEx>
        <w:trPr>
          <w:cantSplit/>
          <w:trHeight w:val="20"/>
        </w:trPr>
        <w:tc>
          <w:tcPr>
            <w:tcW w:w="9029" w:type="dxa"/>
            <w:gridSpan w:val="7"/>
            <w:vAlign w:val="center"/>
          </w:tcPr>
          <w:p w14:paraId="6944C36D" w14:textId="77777777" w:rsidR="00852466" w:rsidRPr="00116AFD" w:rsidRDefault="00852466">
            <w:pPr>
              <w:rPr>
                <w:rFonts w:ascii="Arial Narrow" w:hAnsi="Arial Narrow"/>
                <w:sz w:val="20"/>
                <w:szCs w:val="20"/>
              </w:rPr>
            </w:pPr>
            <w:r w:rsidRPr="00116AFD">
              <w:rPr>
                <w:rFonts w:ascii="Arial Narrow" w:hAnsi="Arial Narrow"/>
                <w:b/>
                <w:bCs/>
                <w:sz w:val="20"/>
                <w:szCs w:val="20"/>
              </w:rPr>
              <w:t>Clinical criteria:</w:t>
            </w:r>
          </w:p>
        </w:tc>
      </w:tr>
      <w:tr w:rsidR="00852466" w:rsidRPr="000E7012" w14:paraId="4D92C179" w14:textId="77777777">
        <w:tblPrEx>
          <w:tblCellMar>
            <w:top w:w="15" w:type="dxa"/>
            <w:bottom w:w="15" w:type="dxa"/>
          </w:tblCellMar>
        </w:tblPrEx>
        <w:trPr>
          <w:cantSplit/>
          <w:trHeight w:val="20"/>
        </w:trPr>
        <w:tc>
          <w:tcPr>
            <w:tcW w:w="9029" w:type="dxa"/>
            <w:gridSpan w:val="7"/>
            <w:vAlign w:val="center"/>
          </w:tcPr>
          <w:p w14:paraId="33047895" w14:textId="77777777" w:rsidR="00852466" w:rsidRPr="00116AFD" w:rsidRDefault="00852466">
            <w:pPr>
              <w:rPr>
                <w:rFonts w:ascii="Arial Narrow" w:hAnsi="Arial Narrow"/>
                <w:sz w:val="20"/>
                <w:szCs w:val="20"/>
              </w:rPr>
            </w:pPr>
            <w:r w:rsidRPr="00116AFD">
              <w:rPr>
                <w:rFonts w:ascii="Arial Narrow" w:hAnsi="Arial Narrow"/>
                <w:sz w:val="20"/>
                <w:szCs w:val="20"/>
              </w:rPr>
              <w:t>Patient must not receive more than 24 weeks of treatment under this restriction</w:t>
            </w:r>
          </w:p>
        </w:tc>
      </w:tr>
      <w:tr w:rsidR="00852466" w:rsidRPr="000E7012" w14:paraId="4DC14327" w14:textId="77777777">
        <w:tblPrEx>
          <w:tblCellMar>
            <w:top w:w="15" w:type="dxa"/>
            <w:bottom w:w="15" w:type="dxa"/>
          </w:tblCellMar>
        </w:tblPrEx>
        <w:trPr>
          <w:cantSplit/>
          <w:trHeight w:val="20"/>
        </w:trPr>
        <w:tc>
          <w:tcPr>
            <w:tcW w:w="9029" w:type="dxa"/>
            <w:gridSpan w:val="7"/>
            <w:vAlign w:val="center"/>
          </w:tcPr>
          <w:p w14:paraId="12151487" w14:textId="77777777" w:rsidR="00852466" w:rsidRPr="00116AFD" w:rsidRDefault="00852466">
            <w:pPr>
              <w:rPr>
                <w:rFonts w:ascii="Arial Narrow" w:hAnsi="Arial Narrow"/>
                <w:sz w:val="20"/>
                <w:szCs w:val="20"/>
              </w:rPr>
            </w:pPr>
            <w:r w:rsidRPr="00116AFD">
              <w:rPr>
                <w:rFonts w:ascii="Arial Narrow" w:hAnsi="Arial Narrow"/>
                <w:b/>
                <w:bCs/>
                <w:sz w:val="20"/>
                <w:szCs w:val="20"/>
              </w:rPr>
              <w:t>Population criteria:</w:t>
            </w:r>
          </w:p>
        </w:tc>
      </w:tr>
      <w:tr w:rsidR="00852466" w:rsidRPr="000E7012" w14:paraId="701C3C06" w14:textId="77777777">
        <w:tblPrEx>
          <w:tblCellMar>
            <w:top w:w="15" w:type="dxa"/>
            <w:bottom w:w="15" w:type="dxa"/>
          </w:tblCellMar>
        </w:tblPrEx>
        <w:trPr>
          <w:cantSplit/>
          <w:trHeight w:val="20"/>
        </w:trPr>
        <w:tc>
          <w:tcPr>
            <w:tcW w:w="9029" w:type="dxa"/>
            <w:gridSpan w:val="7"/>
            <w:vAlign w:val="center"/>
          </w:tcPr>
          <w:p w14:paraId="0A3A0D48" w14:textId="77777777" w:rsidR="00852466" w:rsidRPr="00116AFD" w:rsidRDefault="00852466">
            <w:pPr>
              <w:rPr>
                <w:rFonts w:ascii="Arial Narrow" w:hAnsi="Arial Narrow"/>
                <w:sz w:val="20"/>
                <w:szCs w:val="20"/>
              </w:rPr>
            </w:pPr>
            <w:r w:rsidRPr="00116AFD">
              <w:rPr>
                <w:rFonts w:ascii="Arial Narrow" w:hAnsi="Arial Narrow"/>
                <w:sz w:val="20"/>
                <w:szCs w:val="20"/>
              </w:rPr>
              <w:t>Patient must be aged 6 to 17 years inclusive</w:t>
            </w:r>
          </w:p>
        </w:tc>
      </w:tr>
      <w:tr w:rsidR="00852466" w:rsidRPr="00432EBF" w14:paraId="20FCD459" w14:textId="77777777">
        <w:tblPrEx>
          <w:tblCellMar>
            <w:top w:w="15" w:type="dxa"/>
            <w:bottom w:w="15" w:type="dxa"/>
          </w:tblCellMar>
        </w:tblPrEx>
        <w:trPr>
          <w:cantSplit/>
          <w:trHeight w:val="20"/>
        </w:trPr>
        <w:tc>
          <w:tcPr>
            <w:tcW w:w="9029" w:type="dxa"/>
            <w:gridSpan w:val="7"/>
            <w:vAlign w:val="center"/>
            <w:hideMark/>
          </w:tcPr>
          <w:p w14:paraId="0637AD37" w14:textId="77777777" w:rsidR="00852466" w:rsidRPr="00116AFD" w:rsidRDefault="00852466">
            <w:pPr>
              <w:keepNext/>
              <w:rPr>
                <w:rFonts w:ascii="Arial Narrow" w:hAnsi="Arial Narrow"/>
                <w:sz w:val="20"/>
                <w:szCs w:val="20"/>
              </w:rPr>
            </w:pPr>
            <w:r w:rsidRPr="00116AFD">
              <w:rPr>
                <w:rFonts w:ascii="Arial Narrow" w:hAnsi="Arial Narrow"/>
                <w:b/>
                <w:bCs/>
                <w:sz w:val="20"/>
                <w:szCs w:val="20"/>
              </w:rPr>
              <w:t>Treatment criteria:</w:t>
            </w:r>
          </w:p>
        </w:tc>
      </w:tr>
      <w:tr w:rsidR="00852466" w:rsidRPr="00301861" w14:paraId="10617D4F" w14:textId="77777777">
        <w:tblPrEx>
          <w:tblCellMar>
            <w:top w:w="15" w:type="dxa"/>
            <w:bottom w:w="15" w:type="dxa"/>
          </w:tblCellMar>
        </w:tblPrEx>
        <w:trPr>
          <w:cantSplit/>
          <w:trHeight w:val="20"/>
        </w:trPr>
        <w:tc>
          <w:tcPr>
            <w:tcW w:w="9029" w:type="dxa"/>
            <w:gridSpan w:val="7"/>
            <w:vAlign w:val="center"/>
            <w:hideMark/>
          </w:tcPr>
          <w:p w14:paraId="1E6B2B1B" w14:textId="77777777" w:rsidR="00852466" w:rsidRPr="00116AFD" w:rsidRDefault="00852466">
            <w:pPr>
              <w:autoSpaceDE w:val="0"/>
              <w:autoSpaceDN w:val="0"/>
              <w:adjustRightInd w:val="0"/>
              <w:jc w:val="left"/>
              <w:rPr>
                <w:rFonts w:ascii="Arial Narrow" w:hAnsi="Arial Narrow" w:cs="Arial Narrow"/>
                <w:sz w:val="20"/>
                <w:szCs w:val="20"/>
              </w:rPr>
            </w:pPr>
            <w:r w:rsidRPr="00116AFD">
              <w:rPr>
                <w:rFonts w:ascii="Arial Narrow" w:hAnsi="Arial Narrow" w:cs="Arial Narrow"/>
                <w:sz w:val="20"/>
                <w:szCs w:val="20"/>
              </w:rPr>
              <w:t>Must be treated by a gastroenterologist (code 87); or</w:t>
            </w:r>
          </w:p>
        </w:tc>
      </w:tr>
      <w:tr w:rsidR="00852466" w:rsidRPr="00301861" w14:paraId="3039B7ED" w14:textId="77777777">
        <w:tblPrEx>
          <w:tblCellMar>
            <w:top w:w="15" w:type="dxa"/>
            <w:bottom w:w="15" w:type="dxa"/>
          </w:tblCellMar>
        </w:tblPrEx>
        <w:trPr>
          <w:cantSplit/>
          <w:trHeight w:val="20"/>
        </w:trPr>
        <w:tc>
          <w:tcPr>
            <w:tcW w:w="9029" w:type="dxa"/>
            <w:gridSpan w:val="7"/>
            <w:vAlign w:val="center"/>
          </w:tcPr>
          <w:p w14:paraId="0710F2A7"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consultant physician [internal medicine specialising in gastroenterology (code 81)]; or</w:t>
            </w:r>
          </w:p>
        </w:tc>
      </w:tr>
      <w:tr w:rsidR="00852466" w:rsidRPr="00301861" w14:paraId="2A7DF210" w14:textId="77777777">
        <w:tblPrEx>
          <w:tblCellMar>
            <w:top w:w="15" w:type="dxa"/>
            <w:bottom w:w="15" w:type="dxa"/>
          </w:tblCellMar>
        </w:tblPrEx>
        <w:trPr>
          <w:cantSplit/>
          <w:trHeight w:val="20"/>
        </w:trPr>
        <w:tc>
          <w:tcPr>
            <w:tcW w:w="9029" w:type="dxa"/>
            <w:gridSpan w:val="7"/>
            <w:vAlign w:val="center"/>
          </w:tcPr>
          <w:p w14:paraId="3151CEF9" w14:textId="77777777" w:rsidR="00852466" w:rsidRPr="00116AFD" w:rsidRDefault="00852466">
            <w:pPr>
              <w:autoSpaceDE w:val="0"/>
              <w:autoSpaceDN w:val="0"/>
              <w:adjustRightInd w:val="0"/>
              <w:rPr>
                <w:rFonts w:ascii="Arial Narrow" w:hAnsi="Arial Narrow" w:cs="Arial Narrow"/>
                <w:sz w:val="20"/>
                <w:szCs w:val="20"/>
              </w:rPr>
            </w:pPr>
            <w:r w:rsidRPr="00116AFD">
              <w:rPr>
                <w:rFonts w:ascii="Arial Narrow" w:hAnsi="Arial Narrow" w:cs="Arial Narrow"/>
                <w:sz w:val="20"/>
                <w:szCs w:val="20"/>
              </w:rPr>
              <w:t>Must be treated by a consultant physician [general medicine specialising in gastroenterology (code 82)]; or</w:t>
            </w:r>
          </w:p>
        </w:tc>
      </w:tr>
      <w:tr w:rsidR="00852466" w:rsidRPr="00301861" w14:paraId="156C4D53" w14:textId="77777777">
        <w:tblPrEx>
          <w:tblCellMar>
            <w:top w:w="15" w:type="dxa"/>
            <w:bottom w:w="15" w:type="dxa"/>
          </w:tblCellMar>
        </w:tblPrEx>
        <w:trPr>
          <w:cantSplit/>
          <w:trHeight w:val="20"/>
        </w:trPr>
        <w:tc>
          <w:tcPr>
            <w:tcW w:w="9029" w:type="dxa"/>
            <w:gridSpan w:val="7"/>
            <w:vAlign w:val="center"/>
          </w:tcPr>
          <w:p w14:paraId="3CBC0DDB" w14:textId="77777777" w:rsidR="00852466" w:rsidRPr="00301861" w:rsidRDefault="00852466">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paediatrician; or</w:t>
            </w:r>
          </w:p>
        </w:tc>
      </w:tr>
      <w:tr w:rsidR="00852466" w:rsidRPr="00301861" w14:paraId="677148A2" w14:textId="77777777">
        <w:tblPrEx>
          <w:tblCellMar>
            <w:top w:w="15" w:type="dxa"/>
            <w:bottom w:w="15" w:type="dxa"/>
          </w:tblCellMar>
        </w:tblPrEx>
        <w:trPr>
          <w:cantSplit/>
          <w:trHeight w:val="20"/>
        </w:trPr>
        <w:tc>
          <w:tcPr>
            <w:tcW w:w="9029" w:type="dxa"/>
            <w:gridSpan w:val="7"/>
            <w:vAlign w:val="center"/>
          </w:tcPr>
          <w:p w14:paraId="76DF168E" w14:textId="77777777" w:rsidR="00852466" w:rsidRPr="00301861" w:rsidRDefault="00852466">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specialist paediatric gastroenterologist</w:t>
            </w:r>
          </w:p>
        </w:tc>
      </w:tr>
      <w:tr w:rsidR="00852466" w:rsidRPr="00DC4595" w14:paraId="1603C1C0" w14:textId="77777777">
        <w:tblPrEx>
          <w:tblCellMar>
            <w:top w:w="15" w:type="dxa"/>
            <w:bottom w:w="15" w:type="dxa"/>
          </w:tblCellMar>
        </w:tblPrEx>
        <w:trPr>
          <w:cantSplit/>
          <w:trHeight w:val="20"/>
        </w:trPr>
        <w:tc>
          <w:tcPr>
            <w:tcW w:w="9029" w:type="dxa"/>
            <w:gridSpan w:val="7"/>
            <w:vAlign w:val="center"/>
            <w:hideMark/>
          </w:tcPr>
          <w:p w14:paraId="7FFC6336" w14:textId="77777777" w:rsidR="00852466" w:rsidRPr="00116AFD" w:rsidRDefault="00852466">
            <w:pPr>
              <w:rPr>
                <w:rFonts w:ascii="Arial Narrow" w:hAnsi="Arial Narrow"/>
                <w:bCs/>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The authority application must be made in writing and must include:</w:t>
            </w:r>
          </w:p>
          <w:p w14:paraId="10771232" w14:textId="77777777" w:rsidR="00852466" w:rsidRPr="00116AFD" w:rsidRDefault="00852466">
            <w:pPr>
              <w:rPr>
                <w:rFonts w:ascii="Arial Narrow" w:hAnsi="Arial Narrow"/>
                <w:bCs/>
                <w:sz w:val="20"/>
                <w:szCs w:val="20"/>
              </w:rPr>
            </w:pPr>
          </w:p>
          <w:p w14:paraId="4301BA24" w14:textId="77777777" w:rsidR="00852466" w:rsidRPr="00116AFD" w:rsidRDefault="00852466">
            <w:pPr>
              <w:rPr>
                <w:rFonts w:ascii="Arial Narrow" w:hAnsi="Arial Narrow"/>
                <w:bCs/>
                <w:sz w:val="20"/>
                <w:szCs w:val="20"/>
              </w:rPr>
            </w:pPr>
            <w:r w:rsidRPr="00116AFD">
              <w:rPr>
                <w:rFonts w:ascii="Arial Narrow" w:hAnsi="Arial Narrow"/>
                <w:bCs/>
                <w:sz w:val="20"/>
                <w:szCs w:val="20"/>
              </w:rPr>
              <w:t xml:space="preserve">(1) </w:t>
            </w:r>
            <w:r w:rsidRPr="00116AFD">
              <w:rPr>
                <w:rFonts w:ascii="Arial Narrow" w:hAnsi="Arial Narrow"/>
                <w:bCs/>
                <w:i/>
                <w:iCs/>
                <w:sz w:val="20"/>
                <w:szCs w:val="20"/>
              </w:rPr>
              <w:t>details of the proposed</w:t>
            </w:r>
            <w:r w:rsidRPr="00116AFD">
              <w:rPr>
                <w:rFonts w:ascii="Arial Narrow" w:hAnsi="Arial Narrow"/>
                <w:bCs/>
                <w:sz w:val="20"/>
                <w:szCs w:val="20"/>
              </w:rPr>
              <w:t xml:space="preserve"> </w:t>
            </w:r>
            <w:r w:rsidRPr="00116AFD">
              <w:rPr>
                <w:rFonts w:ascii="Arial Narrow" w:hAnsi="Arial Narrow"/>
                <w:bCs/>
                <w:strike/>
                <w:sz w:val="20"/>
                <w:szCs w:val="20"/>
              </w:rPr>
              <w:t>a completed authority</w:t>
            </w:r>
            <w:r w:rsidRPr="00116AFD">
              <w:rPr>
                <w:rFonts w:ascii="Arial Narrow" w:hAnsi="Arial Narrow"/>
                <w:bCs/>
                <w:sz w:val="20"/>
                <w:szCs w:val="20"/>
              </w:rPr>
              <w:t xml:space="preserve"> prescription</w:t>
            </w:r>
            <w:r w:rsidRPr="00116AFD">
              <w:rPr>
                <w:rFonts w:ascii="Arial Narrow" w:hAnsi="Arial Narrow"/>
                <w:bCs/>
                <w:i/>
                <w:iCs/>
                <w:sz w:val="20"/>
                <w:szCs w:val="20"/>
              </w:rPr>
              <w:t>(s)</w:t>
            </w:r>
            <w:r w:rsidRPr="00116AFD">
              <w:rPr>
                <w:rFonts w:ascii="Arial Narrow" w:hAnsi="Arial Narrow"/>
                <w:bCs/>
                <w:sz w:val="20"/>
                <w:szCs w:val="20"/>
              </w:rPr>
              <w:t xml:space="preserve"> </w:t>
            </w:r>
            <w:r w:rsidRPr="00116AFD">
              <w:rPr>
                <w:rFonts w:ascii="Arial Narrow" w:hAnsi="Arial Narrow"/>
                <w:bCs/>
                <w:strike/>
                <w:sz w:val="20"/>
                <w:szCs w:val="20"/>
              </w:rPr>
              <w:t>form</w:t>
            </w:r>
            <w:r w:rsidRPr="00116AFD">
              <w:rPr>
                <w:rFonts w:ascii="Arial Narrow" w:hAnsi="Arial Narrow"/>
                <w:bCs/>
                <w:sz w:val="20"/>
                <w:szCs w:val="20"/>
              </w:rPr>
              <w:t>; and</w:t>
            </w:r>
          </w:p>
          <w:p w14:paraId="344ED6D6" w14:textId="77777777" w:rsidR="00852466" w:rsidRPr="00116AFD" w:rsidRDefault="00852466">
            <w:pPr>
              <w:rPr>
                <w:rFonts w:ascii="Arial Narrow" w:hAnsi="Arial Narrow"/>
                <w:bCs/>
                <w:sz w:val="20"/>
                <w:szCs w:val="20"/>
              </w:rPr>
            </w:pPr>
          </w:p>
          <w:p w14:paraId="4F94AED3" w14:textId="77777777" w:rsidR="00852466" w:rsidRPr="00116AFD" w:rsidRDefault="00852466">
            <w:pPr>
              <w:rPr>
                <w:rFonts w:ascii="Arial Narrow" w:hAnsi="Arial Narrow"/>
                <w:sz w:val="20"/>
                <w:szCs w:val="20"/>
              </w:rPr>
            </w:pPr>
            <w:r w:rsidRPr="00116AFD">
              <w:rPr>
                <w:rFonts w:ascii="Arial Narrow" w:hAnsi="Arial Narrow"/>
                <w:bCs/>
                <w:sz w:val="20"/>
                <w:szCs w:val="20"/>
              </w:rPr>
              <w:t>(2) a completed authority application form relevant to the indication and treatment phase (the latest version is located on the website specified in the Administrative Advice).</w:t>
            </w:r>
          </w:p>
        </w:tc>
      </w:tr>
      <w:tr w:rsidR="00852466" w:rsidRPr="001428E9" w14:paraId="313DE1B5" w14:textId="77777777">
        <w:tblPrEx>
          <w:tblCellMar>
            <w:top w:w="15" w:type="dxa"/>
            <w:bottom w:w="15" w:type="dxa"/>
          </w:tblCellMar>
        </w:tblPrEx>
        <w:trPr>
          <w:cantSplit/>
          <w:trHeight w:val="20"/>
        </w:trPr>
        <w:tc>
          <w:tcPr>
            <w:tcW w:w="9029" w:type="dxa"/>
            <w:gridSpan w:val="7"/>
            <w:vAlign w:val="center"/>
            <w:hideMark/>
          </w:tcPr>
          <w:p w14:paraId="292CA836" w14:textId="77777777" w:rsidR="00852466" w:rsidRPr="00116AFD" w:rsidRDefault="00852466">
            <w:pPr>
              <w:rPr>
                <w:rFonts w:ascii="Arial Narrow" w:hAnsi="Arial Narrow"/>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The PCDAI assessment must be no more than 4 weeks old at the time of application.</w:t>
            </w:r>
          </w:p>
        </w:tc>
      </w:tr>
      <w:tr w:rsidR="00852466" w:rsidRPr="001428E9" w14:paraId="1AC2AB66" w14:textId="77777777">
        <w:tblPrEx>
          <w:tblCellMar>
            <w:top w:w="15" w:type="dxa"/>
            <w:bottom w:w="15" w:type="dxa"/>
          </w:tblCellMar>
        </w:tblPrEx>
        <w:trPr>
          <w:cantSplit/>
          <w:trHeight w:val="20"/>
        </w:trPr>
        <w:tc>
          <w:tcPr>
            <w:tcW w:w="9029" w:type="dxa"/>
            <w:gridSpan w:val="7"/>
            <w:vAlign w:val="center"/>
          </w:tcPr>
          <w:p w14:paraId="2E08982C" w14:textId="77777777" w:rsidR="00852466" w:rsidRPr="00116AFD" w:rsidRDefault="00852466">
            <w:pPr>
              <w:rPr>
                <w:rFonts w:ascii="Arial Narrow" w:hAnsi="Arial Narrow"/>
                <w:bCs/>
                <w:sz w:val="20"/>
                <w:szCs w:val="20"/>
              </w:rPr>
            </w:pPr>
            <w:r w:rsidRPr="00116AFD">
              <w:rPr>
                <w:rFonts w:ascii="Arial Narrow" w:hAnsi="Arial Narrow"/>
                <w:b/>
                <w:bCs/>
                <w:sz w:val="20"/>
                <w:szCs w:val="20"/>
              </w:rPr>
              <w:t xml:space="preserve">Prescribing Instructions: </w:t>
            </w:r>
            <w:r w:rsidRPr="00116AFD">
              <w:rPr>
                <w:rFonts w:ascii="Arial Narrow" w:hAnsi="Arial Narrow"/>
                <w:bC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852466" w:rsidRPr="00432EBF" w14:paraId="6F405A3E" w14:textId="77777777">
        <w:tblPrEx>
          <w:tblCellMar>
            <w:top w:w="15" w:type="dxa"/>
            <w:bottom w:w="15" w:type="dxa"/>
          </w:tblCellMar>
        </w:tblPrEx>
        <w:trPr>
          <w:cantSplit/>
          <w:trHeight w:val="20"/>
        </w:trPr>
        <w:tc>
          <w:tcPr>
            <w:tcW w:w="9029" w:type="dxa"/>
            <w:gridSpan w:val="7"/>
            <w:vAlign w:val="center"/>
          </w:tcPr>
          <w:p w14:paraId="3936329C" w14:textId="77777777" w:rsidR="00852466" w:rsidRPr="00116AFD" w:rsidRDefault="00852466">
            <w:pPr>
              <w:rPr>
                <w:rFonts w:ascii="Arial Narrow" w:hAnsi="Arial Narrow"/>
                <w:b/>
                <w:b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432EBF" w14:paraId="42A683C9" w14:textId="77777777">
        <w:tblPrEx>
          <w:tblCellMar>
            <w:top w:w="15" w:type="dxa"/>
            <w:bottom w:w="15" w:type="dxa"/>
          </w:tblCellMar>
        </w:tblPrEx>
        <w:trPr>
          <w:cantSplit/>
          <w:trHeight w:val="20"/>
        </w:trPr>
        <w:tc>
          <w:tcPr>
            <w:tcW w:w="9029" w:type="dxa"/>
            <w:gridSpan w:val="7"/>
            <w:vAlign w:val="center"/>
            <w:hideMark/>
          </w:tcPr>
          <w:p w14:paraId="12D2F8FB" w14:textId="77777777" w:rsidR="00852466" w:rsidRPr="00116AFD" w:rsidRDefault="00852466">
            <w:pPr>
              <w:rPr>
                <w:rFonts w:ascii="Arial Narrow" w:hAnsi="Arial Narrow"/>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z w:val="20"/>
                <w:szCs w:val="20"/>
              </w:rPr>
              <w:t>Patients are only eligible to receive subsequent continuing PBS-subsidised treatment with this drug in courses of up to 24 weeks providing they continue to sustain the response.</w:t>
            </w:r>
          </w:p>
        </w:tc>
      </w:tr>
      <w:tr w:rsidR="00852466" w:rsidRPr="00432EBF" w14:paraId="1F5C4B40" w14:textId="77777777">
        <w:tblPrEx>
          <w:tblCellMar>
            <w:top w:w="15" w:type="dxa"/>
            <w:bottom w:w="15" w:type="dxa"/>
          </w:tblCellMar>
        </w:tblPrEx>
        <w:trPr>
          <w:cantSplit/>
          <w:trHeight w:val="20"/>
        </w:trPr>
        <w:tc>
          <w:tcPr>
            <w:tcW w:w="9029" w:type="dxa"/>
            <w:gridSpan w:val="7"/>
            <w:vAlign w:val="center"/>
          </w:tcPr>
          <w:p w14:paraId="091A7E41" w14:textId="77777777" w:rsidR="00852466" w:rsidRPr="00116AFD" w:rsidRDefault="00852466">
            <w:pPr>
              <w:rPr>
                <w:rFonts w:ascii="Arial Narrow" w:hAnsi="Arial Narrow"/>
                <w:i/>
                <w:iCs/>
                <w:sz w:val="20"/>
                <w:szCs w:val="20"/>
              </w:rPr>
            </w:pPr>
            <w:r w:rsidRPr="00116AFD">
              <w:rPr>
                <w:rFonts w:ascii="Arial Narrow" w:hAnsi="Arial Narrow"/>
                <w:b/>
                <w:bCs/>
                <w:sz w:val="20"/>
                <w:szCs w:val="20"/>
              </w:rPr>
              <w:t>Prescribing Instructions:</w:t>
            </w:r>
            <w:r w:rsidRPr="00116AFD">
              <w:t xml:space="preserve"> </w:t>
            </w:r>
            <w:r w:rsidRPr="00116AFD">
              <w:rPr>
                <w:rFonts w:ascii="Arial Narrow" w:hAnsi="Arial Narrow"/>
                <w:strike/>
                <w:sz w:val="20"/>
                <w:szCs w:val="20"/>
              </w:rPr>
              <w:t xml:space="preserve">Where fewer than 5 repeats are requested at the time of the application, </w:t>
            </w:r>
            <w:proofErr w:type="spellStart"/>
            <w:r w:rsidRPr="00116AFD">
              <w:rPr>
                <w:rFonts w:ascii="Arial Narrow" w:hAnsi="Arial Narrow"/>
                <w:strike/>
                <w:sz w:val="20"/>
                <w:szCs w:val="20"/>
              </w:rPr>
              <w:t>a</w:t>
            </w:r>
            <w:r w:rsidRPr="00116AFD">
              <w:rPr>
                <w:rFonts w:ascii="Arial Narrow" w:hAnsi="Arial Narrow"/>
                <w:sz w:val="20"/>
                <w:szCs w:val="20"/>
              </w:rPr>
              <w:t>Authority</w:t>
            </w:r>
            <w:proofErr w:type="spellEnd"/>
            <w:r w:rsidRPr="00116AFD">
              <w:rPr>
                <w:rFonts w:ascii="Arial Narrow" w:hAnsi="Arial Narrow"/>
                <w:sz w:val="20"/>
                <w:szCs w:val="20"/>
              </w:rPr>
              <w:t xml:space="preserve"> approvals for sufficient repeats to complete a maximum of 24 weeks of treatment with this drug may be requested through the balance of supply restriction</w:t>
            </w:r>
            <w:r w:rsidRPr="00116AFD">
              <w:rPr>
                <w:rFonts w:ascii="Arial Narrow" w:hAnsi="Arial Narrow"/>
                <w:i/>
                <w:iCs/>
                <w:sz w:val="20"/>
                <w:szCs w:val="20"/>
              </w:rPr>
              <w:t xml:space="preserve"> for patients who:</w:t>
            </w:r>
          </w:p>
          <w:p w14:paraId="586A3AF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received fewer than 5 repeats at the time of application; and/or</w:t>
            </w:r>
          </w:p>
          <w:p w14:paraId="7E65B84D" w14:textId="77777777" w:rsidR="00852466" w:rsidRPr="00116AFD" w:rsidRDefault="00852466">
            <w:pPr>
              <w:rPr>
                <w:rFonts w:ascii="Arial Narrow" w:hAnsi="Arial Narrow"/>
                <w:b/>
                <w:bCs/>
                <w:sz w:val="20"/>
                <w:szCs w:val="20"/>
              </w:rPr>
            </w:pPr>
            <w:r w:rsidRPr="00116AFD">
              <w:rPr>
                <w:rFonts w:ascii="Arial Narrow" w:hAnsi="Arial Narrow"/>
                <w:i/>
                <w:iCs/>
                <w:sz w:val="20"/>
                <w:szCs w:val="20"/>
              </w:rPr>
              <w:t>(ii) required changes to their dosing regimen during this treatment phase</w:t>
            </w:r>
            <w:r w:rsidRPr="00116AFD">
              <w:rPr>
                <w:rFonts w:ascii="Arial Narrow" w:hAnsi="Arial Narrow"/>
                <w:sz w:val="20"/>
                <w:szCs w:val="20"/>
              </w:rPr>
              <w:t>.</w:t>
            </w:r>
          </w:p>
        </w:tc>
      </w:tr>
    </w:tbl>
    <w:p w14:paraId="32BF91AB" w14:textId="77777777" w:rsidR="00852466" w:rsidRDefault="00852466" w:rsidP="00852466">
      <w:pPr>
        <w:pStyle w:val="5-SubsectionSubheading"/>
        <w:spacing w:before="120"/>
      </w:pPr>
      <w:r>
        <w:t>Summary of changes and matters for PBAC consideration</w:t>
      </w:r>
    </w:p>
    <w:p w14:paraId="7A442888" w14:textId="77777777" w:rsidR="00852466" w:rsidRDefault="00852466" w:rsidP="00852466">
      <w:pPr>
        <w:pStyle w:val="3-BodyText"/>
        <w:numPr>
          <w:ilvl w:val="1"/>
          <w:numId w:val="2"/>
        </w:numPr>
        <w:spacing w:before="120"/>
      </w:pPr>
      <w:r>
        <w:t>Based on feedback from clinical groups and clinicians, proposed amendments to the current PBS listings for adalimumab for the treatment of severe Crohn disease, to allow for flexible dosing/dose escalation, were provided to the PBAC for consideration. These were consistent with the proposed changes to the PBS listings for adalimumab for moderate to severe ulcerative colitis.</w:t>
      </w:r>
    </w:p>
    <w:p w14:paraId="23D3DA53" w14:textId="77777777" w:rsidR="00852466" w:rsidRPr="005F5850" w:rsidRDefault="00852466" w:rsidP="00852466">
      <w:pPr>
        <w:pStyle w:val="3-BodyText"/>
        <w:numPr>
          <w:ilvl w:val="1"/>
          <w:numId w:val="2"/>
        </w:numPr>
        <w:spacing w:before="120"/>
      </w:pPr>
      <w:r>
        <w:t>In addition, proposed amendments were made to the clinical criteria in the Initial therapy listings (Initial 1 - New patient and Initial 3 – Recommencement of therapy after a 5 year treatment break). These were proposed based on stakeholder feedback, to facilitate access to paediatric patients with Crohn disease who have extensive small intestinal inflammation. Clinical stakeholder input stated that the length of affected small bowel need not be specified and that the criteria should reflect objective markers only</w:t>
      </w:r>
      <w:r>
        <w:rPr>
          <w:rFonts w:cstheme="minorHAnsi"/>
        </w:rPr>
        <w:t>.</w:t>
      </w:r>
    </w:p>
    <w:p w14:paraId="116B71CE" w14:textId="77777777" w:rsidR="00852466" w:rsidRDefault="00852466" w:rsidP="00852466">
      <w:pPr>
        <w:pStyle w:val="3-BodyText"/>
        <w:numPr>
          <w:ilvl w:val="1"/>
          <w:numId w:val="2"/>
        </w:numPr>
        <w:spacing w:before="120"/>
      </w:pPr>
      <w:r>
        <w:t>The proposed changes to the adalimumab listings for this condition are inconsistent with the current PBS listings for infliximab for</w:t>
      </w:r>
      <w:r w:rsidRPr="000A1A3E">
        <w:t xml:space="preserve"> </w:t>
      </w:r>
      <w:r>
        <w:t>s</w:t>
      </w:r>
      <w:r w:rsidRPr="000A1A3E">
        <w:t>evere Crohn disease</w:t>
      </w:r>
      <w:r>
        <w:t>.</w:t>
      </w:r>
    </w:p>
    <w:p w14:paraId="61F9A288" w14:textId="77777777" w:rsidR="00852466" w:rsidRDefault="00852466" w:rsidP="00852466">
      <w:pPr>
        <w:pStyle w:val="4-SubsectionHeading"/>
      </w:pPr>
      <w:r>
        <w:t>Change to existing listing - Severe active juvenile idiopathic arthritis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Severe active juvenile idiopathic arthritis"/>
      </w:tblPr>
      <w:tblGrid>
        <w:gridCol w:w="3937"/>
        <w:gridCol w:w="811"/>
        <w:gridCol w:w="812"/>
        <w:gridCol w:w="812"/>
        <w:gridCol w:w="812"/>
        <w:gridCol w:w="1882"/>
      </w:tblGrid>
      <w:tr w:rsidR="00852466" w:rsidRPr="000F1D45" w14:paraId="2E5A3A17" w14:textId="77777777">
        <w:trPr>
          <w:cantSplit/>
          <w:trHeight w:val="20"/>
        </w:trPr>
        <w:tc>
          <w:tcPr>
            <w:tcW w:w="3938" w:type="dxa"/>
            <w:vAlign w:val="center"/>
          </w:tcPr>
          <w:p w14:paraId="40DD2C2C" w14:textId="77777777" w:rsidR="00852466" w:rsidRPr="000F1D45" w:rsidRDefault="00852466">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7FF47BFB"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11" w:type="dxa"/>
            <w:vAlign w:val="center"/>
          </w:tcPr>
          <w:p w14:paraId="614550E1"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812" w:type="dxa"/>
            <w:vAlign w:val="center"/>
          </w:tcPr>
          <w:p w14:paraId="3B3CBBF4"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2" w:type="dxa"/>
            <w:vAlign w:val="center"/>
          </w:tcPr>
          <w:p w14:paraId="24034EEB"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2DF74798"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02824ADE"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82" w:type="dxa"/>
            <w:vAlign w:val="center"/>
          </w:tcPr>
          <w:p w14:paraId="5B7EE669" w14:textId="77777777" w:rsidR="00852466" w:rsidRPr="000F1D45" w:rsidRDefault="00852466">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852466" w:rsidRPr="000F1D45" w14:paraId="22C657C7" w14:textId="77777777">
        <w:trPr>
          <w:cantSplit/>
          <w:trHeight w:val="20"/>
        </w:trPr>
        <w:tc>
          <w:tcPr>
            <w:tcW w:w="9067" w:type="dxa"/>
            <w:gridSpan w:val="6"/>
            <w:vAlign w:val="center"/>
          </w:tcPr>
          <w:p w14:paraId="56735D12"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852466" w:rsidRPr="000F1D45" w14:paraId="0403BAFB" w14:textId="77777777">
        <w:trPr>
          <w:cantSplit/>
          <w:trHeight w:val="20"/>
        </w:trPr>
        <w:tc>
          <w:tcPr>
            <w:tcW w:w="3938" w:type="dxa"/>
            <w:vAlign w:val="center"/>
          </w:tcPr>
          <w:p w14:paraId="2E2237C6"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71C26F88"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12406Y</w:t>
            </w:r>
          </w:p>
        </w:tc>
        <w:tc>
          <w:tcPr>
            <w:tcW w:w="812" w:type="dxa"/>
            <w:vAlign w:val="center"/>
          </w:tcPr>
          <w:p w14:paraId="4B3DB4FC"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1954F5B3"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6B6298CF"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408D33A9"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05F457B" w14:textId="77777777">
        <w:trPr>
          <w:cantSplit/>
          <w:trHeight w:val="20"/>
        </w:trPr>
        <w:tc>
          <w:tcPr>
            <w:tcW w:w="3938" w:type="dxa"/>
            <w:vAlign w:val="center"/>
          </w:tcPr>
          <w:p w14:paraId="1E28E7D5"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22529625"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12443X</w:t>
            </w:r>
          </w:p>
        </w:tc>
        <w:tc>
          <w:tcPr>
            <w:tcW w:w="812" w:type="dxa"/>
            <w:vAlign w:val="center"/>
          </w:tcPr>
          <w:p w14:paraId="5556D305"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7EEA4EE3"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7DE1662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4B17F001"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5E06404" w14:textId="77777777">
        <w:trPr>
          <w:cantSplit/>
          <w:trHeight w:val="20"/>
        </w:trPr>
        <w:tc>
          <w:tcPr>
            <w:tcW w:w="3938" w:type="dxa"/>
            <w:vAlign w:val="center"/>
          </w:tcPr>
          <w:p w14:paraId="11F967D6"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281142CD"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12335F</w:t>
            </w:r>
          </w:p>
        </w:tc>
        <w:tc>
          <w:tcPr>
            <w:tcW w:w="812" w:type="dxa"/>
            <w:vAlign w:val="center"/>
          </w:tcPr>
          <w:p w14:paraId="393C85F2"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61EB55BA"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1C449EFC"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0F93D7EE"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35CF89A6" w14:textId="77777777" w:rsidR="00852466" w:rsidRPr="000F1D45" w:rsidRDefault="00852466">
            <w:pPr>
              <w:keepLines/>
              <w:rPr>
                <w:rFonts w:ascii="Arial Narrow" w:hAnsi="Arial Narrow"/>
                <w:sz w:val="20"/>
                <w:szCs w:val="20"/>
                <w14:ligatures w14:val="standardContextual"/>
              </w:rPr>
            </w:pPr>
          </w:p>
        </w:tc>
      </w:tr>
      <w:tr w:rsidR="00852466" w:rsidRPr="000F1D45" w14:paraId="27EC8048" w14:textId="77777777">
        <w:trPr>
          <w:cantSplit/>
          <w:trHeight w:val="20"/>
        </w:trPr>
        <w:tc>
          <w:tcPr>
            <w:tcW w:w="3938" w:type="dxa"/>
            <w:vAlign w:val="center"/>
          </w:tcPr>
          <w:p w14:paraId="3C69EEEE"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46FFF58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12444Y</w:t>
            </w:r>
          </w:p>
        </w:tc>
        <w:tc>
          <w:tcPr>
            <w:tcW w:w="812" w:type="dxa"/>
            <w:vAlign w:val="center"/>
          </w:tcPr>
          <w:p w14:paraId="647A35EB"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3F737354"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B1C3A20"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14EECAF3"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2B3D191" w14:textId="77777777">
        <w:trPr>
          <w:cantSplit/>
          <w:trHeight w:val="20"/>
        </w:trPr>
        <w:tc>
          <w:tcPr>
            <w:tcW w:w="3938" w:type="dxa"/>
            <w:vAlign w:val="center"/>
          </w:tcPr>
          <w:p w14:paraId="3701FFE1"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62C23DA4"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12431G</w:t>
            </w:r>
          </w:p>
        </w:tc>
        <w:tc>
          <w:tcPr>
            <w:tcW w:w="812" w:type="dxa"/>
            <w:vAlign w:val="center"/>
          </w:tcPr>
          <w:p w14:paraId="50C3B3CA"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7ED525D8"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219CB06"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428E9340"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49935642" w14:textId="77777777">
        <w:trPr>
          <w:cantSplit/>
          <w:trHeight w:val="20"/>
        </w:trPr>
        <w:tc>
          <w:tcPr>
            <w:tcW w:w="3938" w:type="dxa"/>
            <w:vAlign w:val="center"/>
          </w:tcPr>
          <w:p w14:paraId="777BA747"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5DCD3585"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12396K</w:t>
            </w:r>
          </w:p>
        </w:tc>
        <w:tc>
          <w:tcPr>
            <w:tcW w:w="812" w:type="dxa"/>
            <w:vAlign w:val="center"/>
          </w:tcPr>
          <w:p w14:paraId="248B0A5B"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05191323"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2DFFE388"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4CC8ACA0"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07EB6FA0" w14:textId="77777777">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3460FD8A" w14:textId="77777777" w:rsidR="00852466" w:rsidRPr="000F1D45" w:rsidRDefault="00852466">
            <w:pPr>
              <w:rPr>
                <w:rFonts w:ascii="Arial Narrow" w:hAnsi="Arial Narrow"/>
                <w:sz w:val="20"/>
                <w:szCs w:val="20"/>
                <w14:ligatures w14:val="standardContextual"/>
              </w:rPr>
            </w:pPr>
          </w:p>
        </w:tc>
      </w:tr>
      <w:tr w:rsidR="00852466" w:rsidRPr="000F1D45" w14:paraId="45EBA359" w14:textId="77777777">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E261474"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852466" w:rsidRPr="000F1D45" w14:paraId="4E537436" w14:textId="77777777">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7BE654E3"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36D4EDBA" w14:textId="77777777">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729E1D3F" w14:textId="77777777" w:rsidR="00852466" w:rsidRPr="000F1D45" w:rsidRDefault="00852466">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Authority Required (telephone/online PBS Authorities system)</w:t>
            </w:r>
          </w:p>
        </w:tc>
      </w:tr>
      <w:tr w:rsidR="00852466" w:rsidRPr="000F1D45" w14:paraId="167C63B8" w14:textId="77777777">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1B0CB85" w14:textId="77777777" w:rsidR="00852466" w:rsidRPr="000F1D45" w:rsidRDefault="00852466">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6AB28F57" w14:textId="77777777">
        <w:tblPrEx>
          <w:tblCellMar>
            <w:top w:w="15" w:type="dxa"/>
            <w:bottom w:w="15" w:type="dxa"/>
          </w:tblCellMar>
        </w:tblPrEx>
        <w:trPr>
          <w:trHeight w:val="20"/>
        </w:trPr>
        <w:tc>
          <w:tcPr>
            <w:tcW w:w="9067" w:type="dxa"/>
            <w:gridSpan w:val="6"/>
            <w:vAlign w:val="center"/>
          </w:tcPr>
          <w:p w14:paraId="3D0A3860"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Administrative Advice:</w:t>
            </w:r>
          </w:p>
          <w:p w14:paraId="4C218CFF"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TREATMENT OF PATIENTS WITH SEVERE ACTIVE JUVENILE IDIOPATHIC ARTHRITIS</w:t>
            </w:r>
          </w:p>
          <w:p w14:paraId="3E2AEF79" w14:textId="77777777" w:rsidR="00852466" w:rsidRPr="000F1D45" w:rsidRDefault="00852466">
            <w:pPr>
              <w:rPr>
                <w:rFonts w:ascii="Arial Narrow" w:hAnsi="Arial Narrow"/>
                <w:sz w:val="20"/>
                <w:szCs w:val="20"/>
                <w14:ligatures w14:val="standardContextual"/>
              </w:rPr>
            </w:pPr>
          </w:p>
          <w:p w14:paraId="1031D0D3"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The following information applies to Pharmaceutical Benefits Scheme (PBS) benefits listed with the indication of severe active juvenile idiopathic arthritis.</w:t>
            </w:r>
          </w:p>
          <w:p w14:paraId="6224D64A" w14:textId="77777777" w:rsidR="00852466" w:rsidRPr="000F1D45" w:rsidRDefault="00852466">
            <w:pPr>
              <w:rPr>
                <w:rFonts w:ascii="Arial Narrow" w:hAnsi="Arial Narrow"/>
                <w:sz w:val="20"/>
                <w:szCs w:val="20"/>
                <w14:ligatures w14:val="standardContextual"/>
              </w:rPr>
            </w:pPr>
          </w:p>
          <w:p w14:paraId="3A3DB218"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Where the term 'biological medicine' appears in notes and restrictions, it refers to any PBS benefit where the PBS indication specifies: Severe active juvenile idiopathic arthritis. Some benefits are not biological medicines, but are small molecules. However, for administrative purposes, these benefits are included within the term "biological medicine".</w:t>
            </w:r>
          </w:p>
          <w:p w14:paraId="6BE61B0F" w14:textId="77777777" w:rsidR="00852466" w:rsidRPr="000F1D45" w:rsidRDefault="00852466">
            <w:pPr>
              <w:rPr>
                <w:rFonts w:ascii="Arial Narrow" w:hAnsi="Arial Narrow"/>
                <w:sz w:val="20"/>
                <w:szCs w:val="20"/>
                <w14:ligatures w14:val="standardContextual"/>
              </w:rPr>
            </w:pPr>
          </w:p>
          <w:p w14:paraId="75A8EE34"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Treatment cycles:</w:t>
            </w:r>
          </w:p>
          <w:p w14:paraId="6CC7467C" w14:textId="77777777" w:rsidR="00852466" w:rsidRPr="000F1D45" w:rsidRDefault="00852466">
            <w:pPr>
              <w:rPr>
                <w:rFonts w:ascii="Arial Narrow" w:hAnsi="Arial Narrow"/>
                <w:sz w:val="20"/>
                <w:szCs w:val="20"/>
                <w14:ligatures w14:val="standardContextual"/>
              </w:rPr>
            </w:pPr>
          </w:p>
          <w:p w14:paraId="33E7FE28"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From 1 December 2023, a patient receiving PBS-subsidised biological medicine </w:t>
            </w:r>
            <w:proofErr w:type="gramStart"/>
            <w:r w:rsidRPr="000F1D45">
              <w:rPr>
                <w:rFonts w:ascii="Arial Narrow" w:hAnsi="Arial Narrow"/>
                <w:sz w:val="20"/>
                <w:szCs w:val="20"/>
                <w14:ligatures w14:val="standardContextual"/>
              </w:rPr>
              <w:t>is considered to be</w:t>
            </w:r>
            <w:proofErr w:type="gramEnd"/>
            <w:r w:rsidRPr="000F1D45">
              <w:rPr>
                <w:rFonts w:ascii="Arial Narrow" w:hAnsi="Arial Narrow"/>
                <w:sz w:val="20"/>
                <w:szCs w:val="20"/>
                <w14:ligatures w14:val="standardContextual"/>
              </w:rPr>
              <w:t xml:space="preserve"> in a treatment cycle where they may switch to an alternate biological medicine without having to experience a disease flare. Under these interchangeability arrangements, within a single treatment cycle, a patient may:</w:t>
            </w:r>
          </w:p>
          <w:p w14:paraId="660E08CA" w14:textId="77777777" w:rsidR="00852466" w:rsidRPr="000F1D45" w:rsidRDefault="00852466">
            <w:pPr>
              <w:rPr>
                <w:rFonts w:ascii="Arial Narrow" w:hAnsi="Arial Narrow"/>
                <w:sz w:val="20"/>
                <w:szCs w:val="20"/>
                <w14:ligatures w14:val="standardContextual"/>
              </w:rPr>
            </w:pPr>
          </w:p>
          <w:p w14:paraId="4374196E"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(i) continue to receive long-term treatment with a PBS-subsidised biological medicine while they continue to show a response to therapy; and</w:t>
            </w:r>
          </w:p>
          <w:p w14:paraId="580067F4" w14:textId="77777777" w:rsidR="00852466" w:rsidRPr="000F1D45" w:rsidRDefault="00852466">
            <w:pPr>
              <w:rPr>
                <w:rFonts w:ascii="Arial Narrow" w:hAnsi="Arial Narrow"/>
                <w:sz w:val="20"/>
                <w:szCs w:val="20"/>
                <w14:ligatures w14:val="standardContextual"/>
              </w:rPr>
            </w:pPr>
          </w:p>
          <w:p w14:paraId="22A0D110"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(ii) fail to respond or to sustain a response to each PBS-subsidised biological medicine once only. Therefore, once a patient fails to meet the response criteria for a PBS-subsidised biological medicine, they must change to an alternate biological medicine if they wish to continue PBS-subsidised biological treatment.</w:t>
            </w:r>
          </w:p>
          <w:p w14:paraId="0E8108FD" w14:textId="77777777" w:rsidR="00852466" w:rsidRPr="000F1D45" w:rsidRDefault="00852466">
            <w:pPr>
              <w:rPr>
                <w:rFonts w:ascii="Arial Narrow" w:hAnsi="Arial Narrow"/>
                <w:sz w:val="20"/>
                <w:szCs w:val="20"/>
                <w14:ligatures w14:val="standardContextual"/>
              </w:rPr>
            </w:pPr>
          </w:p>
          <w:p w14:paraId="074291E7"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1FE4030B" w14:textId="77777777" w:rsidR="00852466" w:rsidRPr="000F1D45" w:rsidRDefault="00852466">
            <w:pPr>
              <w:rPr>
                <w:rFonts w:ascii="Arial Narrow" w:hAnsi="Arial Narrow"/>
                <w:sz w:val="20"/>
                <w:szCs w:val="20"/>
                <w14:ligatures w14:val="standardContextual"/>
              </w:rPr>
            </w:pPr>
          </w:p>
          <w:p w14:paraId="09557259"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3 occasions a treatment cycle is considered to have been completed and there must be a 12-month break in PBS-subsidy from all biological medicines with the PBS indication 'severe active juvenile idiopathic arthritis' before starting a new treatment cycle.</w:t>
            </w:r>
          </w:p>
          <w:p w14:paraId="2E108066" w14:textId="77777777" w:rsidR="00852466" w:rsidRPr="000F1D45" w:rsidRDefault="00852466">
            <w:pPr>
              <w:rPr>
                <w:rFonts w:ascii="Arial Narrow" w:hAnsi="Arial Narrow"/>
                <w:sz w:val="20"/>
                <w:szCs w:val="20"/>
                <w14:ligatures w14:val="standardContextual"/>
              </w:rPr>
            </w:pPr>
          </w:p>
          <w:p w14:paraId="4A1A8825"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The length of a treatment break is measured from the date the most recent treatment with PBS-subsidised biological medicine was prescribed to the date of the first application for initial treatment with a biological medicine under the new treatment cycle.</w:t>
            </w:r>
          </w:p>
          <w:p w14:paraId="76E5CB08" w14:textId="77777777" w:rsidR="00852466" w:rsidRPr="000F1D45" w:rsidRDefault="00852466">
            <w:pPr>
              <w:rPr>
                <w:rFonts w:ascii="Arial Narrow" w:hAnsi="Arial Narrow"/>
                <w:sz w:val="20"/>
                <w:szCs w:val="20"/>
                <w14:ligatures w14:val="standardContextual"/>
              </w:rPr>
            </w:pPr>
          </w:p>
          <w:p w14:paraId="68AAD8B5"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A patient who received PBS-subsidised biological medicine immediately prior to 1 December 2023 </w:t>
            </w:r>
            <w:proofErr w:type="gramStart"/>
            <w:r w:rsidRPr="000F1D45">
              <w:rPr>
                <w:rFonts w:ascii="Arial Narrow" w:hAnsi="Arial Narrow"/>
                <w:sz w:val="20"/>
                <w:szCs w:val="20"/>
                <w14:ligatures w14:val="standardContextual"/>
              </w:rPr>
              <w:t>is considered to be</w:t>
            </w:r>
            <w:proofErr w:type="gramEnd"/>
            <w:r w:rsidRPr="000F1D45">
              <w:rPr>
                <w:rFonts w:ascii="Arial Narrow" w:hAnsi="Arial Narrow"/>
                <w:sz w:val="20"/>
                <w:szCs w:val="20"/>
                <w14:ligatures w14:val="standardContextual"/>
              </w:rPr>
              <w:t xml:space="preserve"> in their first cycle as of 1 December 2023. A patient who has had a break in biological medicine treatment of at least 12 months immediately prior to making a new application, on or after 1 December 2023, will commence a new treatment cycle under the Initial 3 treatment restriction.</w:t>
            </w:r>
          </w:p>
          <w:p w14:paraId="7D4879AF" w14:textId="77777777" w:rsidR="00852466" w:rsidRPr="000F1D45" w:rsidRDefault="00852466">
            <w:pPr>
              <w:rPr>
                <w:rFonts w:ascii="Arial Narrow" w:hAnsi="Arial Narrow"/>
                <w:sz w:val="20"/>
                <w:szCs w:val="20"/>
                <w14:ligatures w14:val="standardContextual"/>
              </w:rPr>
            </w:pPr>
          </w:p>
          <w:p w14:paraId="607117EC"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fewer than 3 occasions in a treatment cycle and where a break in therapy of less than 12 months has occurred a further course of treatment may be commenced within the same treatment cycle.</w:t>
            </w:r>
          </w:p>
          <w:p w14:paraId="6DAFA18E" w14:textId="77777777" w:rsidR="00852466" w:rsidRPr="000F1D45" w:rsidRDefault="00852466">
            <w:pPr>
              <w:rPr>
                <w:rFonts w:ascii="Arial Narrow" w:hAnsi="Arial Narrow"/>
                <w:sz w:val="20"/>
                <w:szCs w:val="20"/>
                <w14:ligatures w14:val="standardContextual"/>
              </w:rPr>
            </w:pPr>
          </w:p>
          <w:p w14:paraId="05D5C937"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fewer than 3 occasions in a treatment cycle and where a break in therapy of more than 12 months has occurred a new treatment cycle must be commenced.</w:t>
            </w:r>
          </w:p>
          <w:p w14:paraId="7594E392" w14:textId="77777777" w:rsidR="00852466" w:rsidRPr="000F1D45" w:rsidRDefault="00852466">
            <w:pPr>
              <w:rPr>
                <w:rFonts w:ascii="Arial Narrow" w:hAnsi="Arial Narrow"/>
                <w:sz w:val="20"/>
                <w:szCs w:val="20"/>
                <w14:ligatures w14:val="standardContextual"/>
              </w:rPr>
            </w:pPr>
          </w:p>
          <w:p w14:paraId="6BEB58C3"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There is no limit to the number of treatment cycles a patient may undertake in their lifetime.</w:t>
            </w:r>
          </w:p>
          <w:p w14:paraId="3EB93371" w14:textId="77777777" w:rsidR="00852466" w:rsidRPr="000F1D45" w:rsidRDefault="00852466">
            <w:pPr>
              <w:rPr>
                <w:rFonts w:ascii="Arial Narrow" w:hAnsi="Arial Narrow"/>
                <w:sz w:val="20"/>
                <w:szCs w:val="20"/>
                <w14:ligatures w14:val="standardContextual"/>
              </w:rPr>
            </w:pPr>
          </w:p>
          <w:p w14:paraId="61F7409A"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Prescribing under the correct 'Treatment Phase' listing for the authority application:</w:t>
            </w:r>
          </w:p>
          <w:p w14:paraId="657649E1" w14:textId="77777777" w:rsidR="00852466" w:rsidRPr="000F1D45" w:rsidRDefault="00852466">
            <w:pPr>
              <w:rPr>
                <w:rFonts w:ascii="Arial Narrow" w:hAnsi="Arial Narrow"/>
                <w:sz w:val="20"/>
                <w:szCs w:val="20"/>
                <w14:ligatures w14:val="standardContextual"/>
              </w:rPr>
            </w:pPr>
          </w:p>
          <w:p w14:paraId="05FD3933"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(1) Initial treatment.</w:t>
            </w:r>
          </w:p>
          <w:p w14:paraId="5E8801B0" w14:textId="77777777" w:rsidR="00852466" w:rsidRPr="000F1D45" w:rsidRDefault="00852466">
            <w:pPr>
              <w:rPr>
                <w:rFonts w:ascii="Arial Narrow" w:hAnsi="Arial Narrow"/>
                <w:sz w:val="20"/>
                <w:szCs w:val="20"/>
                <w14:ligatures w14:val="standardContextual"/>
              </w:rPr>
            </w:pPr>
          </w:p>
          <w:p w14:paraId="22B5A491"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1' treatment listing where the patient has never received a biological medicine for 'severe active juvenile idiopathic arthritis'.</w:t>
            </w:r>
          </w:p>
          <w:p w14:paraId="2D770A2C" w14:textId="77777777" w:rsidR="00852466" w:rsidRPr="000F1D45" w:rsidRDefault="00852466">
            <w:pPr>
              <w:rPr>
                <w:rFonts w:ascii="Arial Narrow" w:hAnsi="Arial Narrow"/>
                <w:sz w:val="20"/>
                <w:szCs w:val="20"/>
                <w14:ligatures w14:val="standardContextual"/>
              </w:rPr>
            </w:pPr>
          </w:p>
          <w:p w14:paraId="4ACDF600"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(2) Grandfather patients (tofacitinib only).</w:t>
            </w:r>
          </w:p>
          <w:p w14:paraId="5A634ACB" w14:textId="77777777" w:rsidR="00852466" w:rsidRPr="000F1D45" w:rsidRDefault="00852466">
            <w:pPr>
              <w:rPr>
                <w:rFonts w:ascii="Arial Narrow" w:hAnsi="Arial Narrow"/>
                <w:sz w:val="20"/>
                <w:szCs w:val="20"/>
                <w14:ligatures w14:val="standardContextual"/>
              </w:rPr>
            </w:pPr>
          </w:p>
          <w:p w14:paraId="2E39440F"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 patient who commenced treatment with tofacitinib for severe active juvenile idiopathic arthritis prior to 1 December 2023 and who continues to receive treatment at the time of application, may qualify for treatment under the 'Grandfather' treatment restriction.</w:t>
            </w:r>
          </w:p>
          <w:p w14:paraId="65F4C605" w14:textId="77777777" w:rsidR="00852466" w:rsidRPr="000F1D45" w:rsidRDefault="00852466">
            <w:pPr>
              <w:rPr>
                <w:rFonts w:ascii="Arial Narrow" w:hAnsi="Arial Narrow"/>
                <w:sz w:val="20"/>
                <w:szCs w:val="20"/>
                <w14:ligatures w14:val="standardContextual"/>
              </w:rPr>
            </w:pPr>
          </w:p>
          <w:p w14:paraId="7A5D8E19"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14:paraId="72213E94" w14:textId="77777777" w:rsidR="00852466" w:rsidRPr="000F1D45" w:rsidRDefault="00852466">
            <w:pPr>
              <w:rPr>
                <w:rFonts w:ascii="Arial Narrow" w:hAnsi="Arial Narrow"/>
                <w:sz w:val="20"/>
                <w:szCs w:val="20"/>
                <w14:ligatures w14:val="standardContextual"/>
              </w:rPr>
            </w:pPr>
          </w:p>
          <w:p w14:paraId="006AAA62"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For the second and subsequent cycles, a 'grandfather' patient must qualify for continuing treatment under the criteria that apply to a continuing patient.</w:t>
            </w:r>
          </w:p>
          <w:p w14:paraId="17171366" w14:textId="77777777" w:rsidR="00852466" w:rsidRPr="000F1D45" w:rsidRDefault="00852466">
            <w:pPr>
              <w:rPr>
                <w:rFonts w:ascii="Arial Narrow" w:hAnsi="Arial Narrow"/>
                <w:sz w:val="20"/>
                <w:szCs w:val="20"/>
                <w14:ligatures w14:val="standardContextual"/>
              </w:rPr>
            </w:pPr>
          </w:p>
          <w:p w14:paraId="6B4FE075"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(3) Continuing treatment.</w:t>
            </w:r>
          </w:p>
          <w:p w14:paraId="7262DAE1" w14:textId="77777777" w:rsidR="00852466" w:rsidRPr="000F1D45" w:rsidRDefault="00852466">
            <w:pPr>
              <w:rPr>
                <w:rFonts w:ascii="Arial Narrow" w:hAnsi="Arial Narrow"/>
                <w:sz w:val="20"/>
                <w:szCs w:val="20"/>
                <w14:ligatures w14:val="standardContextual"/>
              </w:rPr>
            </w:pPr>
          </w:p>
          <w:p w14:paraId="5573E166"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'Continuing treatment' listing where the patient is experiencing an adequate response as defined in the restriction where there has been no change in prescribed biological medicine. Under no circumstance is continuing treatment to precede initial treatment. An authority application for continuing treatment is not to be made on the same day as initial treatment.</w:t>
            </w:r>
          </w:p>
          <w:p w14:paraId="599AE30A" w14:textId="77777777" w:rsidR="00852466" w:rsidRPr="000F1D45" w:rsidRDefault="00852466">
            <w:pPr>
              <w:rPr>
                <w:rFonts w:ascii="Arial Narrow" w:hAnsi="Arial Narrow"/>
                <w:sz w:val="20"/>
                <w:szCs w:val="20"/>
                <w14:ligatures w14:val="standardContextual"/>
              </w:rPr>
            </w:pPr>
          </w:p>
          <w:p w14:paraId="2604E06F"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(4) Changing therapy.</w:t>
            </w:r>
          </w:p>
          <w:p w14:paraId="2422C816" w14:textId="77777777" w:rsidR="00852466" w:rsidRPr="000F1D45" w:rsidRDefault="00852466">
            <w:pPr>
              <w:rPr>
                <w:rFonts w:ascii="Arial Narrow" w:hAnsi="Arial Narrow"/>
                <w:sz w:val="20"/>
                <w:szCs w:val="20"/>
                <w14:ligatures w14:val="standardContextual"/>
              </w:rPr>
            </w:pPr>
          </w:p>
          <w:p w14:paraId="6562AB96"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2' treatment listing. The indices of disease severity (joint count) or the prior non-biological medicine therapy requirements will not need to be restated, except if the patient has had a break in therapy of more than 12 months who would then need to requalify under the initial 3 restrictions with respect to the indices of disease severity.</w:t>
            </w:r>
          </w:p>
          <w:p w14:paraId="155D9128" w14:textId="77777777" w:rsidR="00852466" w:rsidRPr="000F1D45" w:rsidRDefault="00852466">
            <w:pPr>
              <w:rPr>
                <w:rFonts w:ascii="Arial Narrow" w:hAnsi="Arial Narrow"/>
                <w:sz w:val="20"/>
                <w:szCs w:val="20"/>
                <w14:ligatures w14:val="standardContextual"/>
              </w:rPr>
            </w:pPr>
          </w:p>
          <w:p w14:paraId="41966214"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 patient may trial an alternate biological medicine at any time, regardless of whether they are receiving therapy (initial or continuing) with a biological medicine at the time of the application.</w:t>
            </w:r>
          </w:p>
          <w:p w14:paraId="413D7C19" w14:textId="77777777" w:rsidR="00852466" w:rsidRPr="000F1D45" w:rsidRDefault="00852466">
            <w:pPr>
              <w:rPr>
                <w:rFonts w:ascii="Arial Narrow" w:hAnsi="Arial Narrow"/>
                <w:sz w:val="20"/>
                <w:szCs w:val="20"/>
                <w14:ligatures w14:val="standardContextual"/>
              </w:rPr>
            </w:pPr>
          </w:p>
          <w:p w14:paraId="6ECE94F5"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However, they cannot change to a particular biological medicine if it has failed to provide the patient with an adequate response within the same treatment cycle. A response assessment to the preceding supply of biological medicine must accompany the initial 2 authority application.</w:t>
            </w:r>
          </w:p>
          <w:p w14:paraId="06357EF5" w14:textId="77777777" w:rsidR="00852466" w:rsidRPr="000F1D45" w:rsidRDefault="00852466">
            <w:pPr>
              <w:rPr>
                <w:rFonts w:ascii="Arial Narrow" w:hAnsi="Arial Narrow"/>
                <w:sz w:val="20"/>
                <w:szCs w:val="20"/>
                <w14:ligatures w14:val="standardContextual"/>
              </w:rPr>
            </w:pPr>
          </w:p>
          <w:p w14:paraId="4D542B89"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(5) Baseline measurements to determine response.</w:t>
            </w:r>
          </w:p>
          <w:p w14:paraId="3116F8E4" w14:textId="77777777" w:rsidR="00852466" w:rsidRPr="000F1D45" w:rsidRDefault="00852466">
            <w:pPr>
              <w:rPr>
                <w:rFonts w:ascii="Arial Narrow" w:hAnsi="Arial Narrow"/>
                <w:sz w:val="20"/>
                <w:szCs w:val="20"/>
                <w14:ligatures w14:val="standardContextual"/>
              </w:rPr>
            </w:pPr>
          </w:p>
          <w:p w14:paraId="59571FAA"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 response to treatment is to be determined by comparison of current disease activity measurements relative to the baseline measurements of the joint count provided with the first authority application for a biological medicine. However, prescribers may provide a new baseline measurement any time that an initial treatment authority application is provided within a treatment cycle and the eligibility for continuing treatment should be assessed according to the revised baseline measurement.</w:t>
            </w:r>
          </w:p>
          <w:p w14:paraId="7E66989E" w14:textId="77777777" w:rsidR="00852466" w:rsidRPr="000F1D45" w:rsidRDefault="00852466">
            <w:pPr>
              <w:rPr>
                <w:rFonts w:ascii="Arial Narrow" w:hAnsi="Arial Narrow"/>
                <w:sz w:val="20"/>
                <w:szCs w:val="20"/>
                <w14:ligatures w14:val="standardContextual"/>
              </w:rPr>
            </w:pPr>
          </w:p>
          <w:p w14:paraId="40F9D9C3"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(6) Recommencement of treatment after a 12-month break in PBS-subsidised therapy.</w:t>
            </w:r>
          </w:p>
          <w:p w14:paraId="4C23EB20" w14:textId="77777777" w:rsidR="00852466" w:rsidRPr="000F1D45" w:rsidRDefault="00852466">
            <w:pPr>
              <w:rPr>
                <w:rFonts w:ascii="Arial Narrow" w:hAnsi="Arial Narrow"/>
                <w:sz w:val="20"/>
                <w:szCs w:val="20"/>
                <w14:ligatures w14:val="standardContextual"/>
              </w:rPr>
            </w:pPr>
          </w:p>
          <w:p w14:paraId="190009F0"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3' treatment listing.</w:t>
            </w:r>
          </w:p>
          <w:p w14:paraId="3189F176" w14:textId="77777777" w:rsidR="00852466" w:rsidRPr="000F1D45" w:rsidRDefault="00852466">
            <w:pPr>
              <w:rPr>
                <w:rFonts w:ascii="Arial Narrow" w:hAnsi="Arial Narrow"/>
                <w:sz w:val="20"/>
                <w:szCs w:val="20"/>
                <w14:ligatures w14:val="standardContextual"/>
              </w:rPr>
            </w:pPr>
          </w:p>
          <w:p w14:paraId="14011B54"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(7) Withdrawal of treatment after sustained remission.</w:t>
            </w:r>
          </w:p>
          <w:p w14:paraId="098228BB" w14:textId="77777777" w:rsidR="00852466" w:rsidRPr="000F1D45" w:rsidRDefault="00852466">
            <w:pPr>
              <w:rPr>
                <w:rFonts w:ascii="Arial Narrow" w:hAnsi="Arial Narrow"/>
                <w:sz w:val="20"/>
                <w:szCs w:val="20"/>
                <w14:ligatures w14:val="standardContextual"/>
              </w:rPr>
            </w:pPr>
          </w:p>
          <w:p w14:paraId="61613EC9"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Withdrawal of treatment with biological medicine should be considered in a patient who has achieved and sustained complete remission of disease for 12 months. An assessment of demonstration of response to the current treatment should be conducted at the time treatment is ceased and the results retained in the patient's records. These results must be provided to Services Australia if subsequent authority applications are required.</w:t>
            </w:r>
          </w:p>
        </w:tc>
      </w:tr>
      <w:tr w:rsidR="00852466" w:rsidRPr="000F1D45" w14:paraId="13AE8282" w14:textId="77777777">
        <w:tblPrEx>
          <w:tblCellMar>
            <w:top w:w="15" w:type="dxa"/>
            <w:bottom w:w="15" w:type="dxa"/>
          </w:tblCellMar>
        </w:tblPrEx>
        <w:trPr>
          <w:trHeight w:val="20"/>
        </w:trPr>
        <w:tc>
          <w:tcPr>
            <w:tcW w:w="9067" w:type="dxa"/>
            <w:gridSpan w:val="6"/>
            <w:vAlign w:val="center"/>
          </w:tcPr>
          <w:p w14:paraId="5F31F324"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1A49938F" w14:textId="77777777" w:rsidR="00852466" w:rsidRPr="000F1D45" w:rsidRDefault="00852466">
            <w:pPr>
              <w:jc w:val="left"/>
              <w:textAlignment w:val="baseline"/>
              <w:rPr>
                <w:rFonts w:ascii="Arial Narrow" w:hAnsi="Arial Narrow" w:cs="Open Sans"/>
                <w:color w:val="333333"/>
                <w:sz w:val="20"/>
                <w:szCs w:val="20"/>
                <w14:ligatures w14:val="standardContextual"/>
              </w:rPr>
            </w:pPr>
            <w:r w:rsidRPr="000F1D45">
              <w:rPr>
                <w:rFonts w:ascii="Arial Narrow" w:hAnsi="Arial Narrow" w:cs="Open Sans"/>
                <w:color w:val="333333"/>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52466" w:rsidRPr="000F1D45" w14:paraId="072E7619" w14:textId="77777777">
        <w:tblPrEx>
          <w:tblCellMar>
            <w:top w:w="15" w:type="dxa"/>
            <w:bottom w:w="15" w:type="dxa"/>
          </w:tblCellMar>
        </w:tblPrEx>
        <w:trPr>
          <w:cantSplit/>
          <w:trHeight w:val="20"/>
        </w:trPr>
        <w:tc>
          <w:tcPr>
            <w:tcW w:w="9067" w:type="dxa"/>
            <w:gridSpan w:val="6"/>
            <w:vAlign w:val="center"/>
            <w:hideMark/>
          </w:tcPr>
          <w:p w14:paraId="28D1797D" w14:textId="77777777" w:rsidR="00852466" w:rsidRPr="000F1D45" w:rsidRDefault="00852466">
            <w:pPr>
              <w:keepLines/>
              <w:rPr>
                <w:rFonts w:ascii="Arial Narrow" w:hAnsi="Arial Narrow"/>
                <w:color w:val="333333"/>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5B331489" w14:textId="77777777">
        <w:tblPrEx>
          <w:tblCellMar>
            <w:top w:w="15" w:type="dxa"/>
            <w:bottom w:w="15" w:type="dxa"/>
          </w:tblCellMar>
        </w:tblPrEx>
        <w:trPr>
          <w:cantSplit/>
          <w:trHeight w:val="20"/>
        </w:trPr>
        <w:tc>
          <w:tcPr>
            <w:tcW w:w="9067" w:type="dxa"/>
            <w:gridSpan w:val="6"/>
            <w:vAlign w:val="center"/>
            <w:hideMark/>
          </w:tcPr>
          <w:p w14:paraId="1C754DB7"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1 (new patient)</w:t>
            </w:r>
          </w:p>
        </w:tc>
      </w:tr>
      <w:tr w:rsidR="00852466" w:rsidRPr="000F1D45" w14:paraId="27F09EB1" w14:textId="77777777">
        <w:tblPrEx>
          <w:tblCellMar>
            <w:top w:w="15" w:type="dxa"/>
            <w:bottom w:w="15" w:type="dxa"/>
          </w:tblCellMar>
        </w:tblPrEx>
        <w:trPr>
          <w:cantSplit/>
          <w:trHeight w:val="20"/>
        </w:trPr>
        <w:tc>
          <w:tcPr>
            <w:tcW w:w="9067" w:type="dxa"/>
            <w:gridSpan w:val="6"/>
            <w:vAlign w:val="center"/>
            <w:hideMark/>
          </w:tcPr>
          <w:p w14:paraId="51A7A84E"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852466" w:rsidRPr="000F1D45" w14:paraId="2E249EF3" w14:textId="77777777">
        <w:tblPrEx>
          <w:tblCellMar>
            <w:top w:w="15" w:type="dxa"/>
            <w:bottom w:w="15" w:type="dxa"/>
          </w:tblCellMar>
        </w:tblPrEx>
        <w:trPr>
          <w:cantSplit/>
          <w:trHeight w:val="20"/>
        </w:trPr>
        <w:tc>
          <w:tcPr>
            <w:tcW w:w="9067" w:type="dxa"/>
            <w:gridSpan w:val="6"/>
            <w:vAlign w:val="center"/>
            <w:hideMark/>
          </w:tcPr>
          <w:p w14:paraId="5504A46C" w14:textId="77777777" w:rsidR="00852466" w:rsidRPr="000F1D45" w:rsidRDefault="00852466">
            <w:pPr>
              <w:jc w:val="left"/>
              <w:rPr>
                <w:rFonts w:ascii="Arial Narrow" w:hAnsi="Arial Narrow"/>
                <w:color w:val="333333"/>
                <w:sz w:val="20"/>
                <w:szCs w:val="20"/>
                <w14:ligatures w14:val="standardContextual"/>
              </w:rPr>
            </w:pPr>
            <w:r w:rsidRPr="000F1D45">
              <w:rPr>
                <w:rFonts w:ascii="Arial Narrow" w:hAnsi="Arial Narrow"/>
                <w:sz w:val="20"/>
                <w:szCs w:val="20"/>
                <w14:ligatures w14:val="standardContextual"/>
              </w:rPr>
              <w:t>Patient must not have received PBS-subsidised treatment with a biological medicine for this condition</w:t>
            </w:r>
          </w:p>
        </w:tc>
      </w:tr>
      <w:tr w:rsidR="00852466" w:rsidRPr="000F1D45" w14:paraId="6D983F0E" w14:textId="77777777">
        <w:tblPrEx>
          <w:tblCellMar>
            <w:top w:w="15" w:type="dxa"/>
            <w:bottom w:w="15" w:type="dxa"/>
          </w:tblCellMar>
        </w:tblPrEx>
        <w:trPr>
          <w:cantSplit/>
          <w:trHeight w:val="20"/>
        </w:trPr>
        <w:tc>
          <w:tcPr>
            <w:tcW w:w="9067" w:type="dxa"/>
            <w:gridSpan w:val="6"/>
            <w:vAlign w:val="center"/>
            <w:hideMark/>
          </w:tcPr>
          <w:p w14:paraId="4DF29057" w14:textId="77777777" w:rsidR="00852466" w:rsidRPr="000F1D45" w:rsidRDefault="00852466">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21003883" w14:textId="77777777">
        <w:tblPrEx>
          <w:tblCellMar>
            <w:top w:w="15" w:type="dxa"/>
            <w:bottom w:w="15" w:type="dxa"/>
          </w:tblCellMar>
        </w:tblPrEx>
        <w:trPr>
          <w:cantSplit/>
          <w:trHeight w:val="20"/>
        </w:trPr>
        <w:tc>
          <w:tcPr>
            <w:tcW w:w="9067" w:type="dxa"/>
            <w:gridSpan w:val="6"/>
            <w:vAlign w:val="center"/>
            <w:hideMark/>
          </w:tcPr>
          <w:p w14:paraId="04B7FA0B" w14:textId="77777777" w:rsidR="00852466" w:rsidRPr="000F1D45" w:rsidRDefault="00852466">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852466" w:rsidRPr="000F1D45" w14:paraId="1F31FCDB" w14:textId="77777777">
        <w:tblPrEx>
          <w:tblCellMar>
            <w:top w:w="15" w:type="dxa"/>
            <w:bottom w:w="15" w:type="dxa"/>
          </w:tblCellMar>
        </w:tblPrEx>
        <w:trPr>
          <w:cantSplit/>
          <w:trHeight w:val="20"/>
        </w:trPr>
        <w:tc>
          <w:tcPr>
            <w:tcW w:w="9067" w:type="dxa"/>
            <w:gridSpan w:val="6"/>
            <w:vAlign w:val="center"/>
            <w:hideMark/>
          </w:tcPr>
          <w:p w14:paraId="2084BC21"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have demonstrated severe intolerance of, or toxicity due to, methotrexate; or</w:t>
            </w:r>
          </w:p>
        </w:tc>
      </w:tr>
      <w:tr w:rsidR="00852466" w:rsidRPr="000F1D45" w14:paraId="27E7DDB1" w14:textId="77777777">
        <w:tblPrEx>
          <w:tblCellMar>
            <w:top w:w="15" w:type="dxa"/>
            <w:bottom w:w="15" w:type="dxa"/>
          </w:tblCellMar>
        </w:tblPrEx>
        <w:trPr>
          <w:cantSplit/>
          <w:trHeight w:val="20"/>
        </w:trPr>
        <w:tc>
          <w:tcPr>
            <w:tcW w:w="9067" w:type="dxa"/>
            <w:gridSpan w:val="6"/>
            <w:vAlign w:val="center"/>
          </w:tcPr>
          <w:p w14:paraId="5BBE203E"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Patient must have demonstrated failure to achieve an adequate response to 1 or more of the following treatment regimens: (i) oral or parenteral methotrexate at a dose of at least </w:t>
            </w:r>
            <w:r w:rsidRPr="000F1D45">
              <w:rPr>
                <w:rFonts w:ascii="Arial Narrow" w:hAnsi="Arial Narrow"/>
                <w:strike/>
                <w:sz w:val="20"/>
                <w:szCs w:val="20"/>
                <w14:ligatures w14:val="standardContextual"/>
              </w:rPr>
              <w:t xml:space="preserve">20 </w:t>
            </w:r>
            <w:r w:rsidRPr="000F1D45">
              <w:rPr>
                <w:rFonts w:ascii="Arial Narrow" w:hAnsi="Arial Narrow"/>
                <w:i/>
                <w:iCs/>
                <w:color w:val="00B0F0"/>
                <w:sz w:val="20"/>
                <w:szCs w:val="20"/>
                <w14:ligatures w14:val="standardContextual"/>
              </w:rPr>
              <w:t xml:space="preserve">15 </w:t>
            </w:r>
            <w:r w:rsidRPr="000F1D45">
              <w:rPr>
                <w:rFonts w:ascii="Arial Narrow" w:hAnsi="Arial Narrow"/>
                <w:sz w:val="20"/>
                <w:szCs w:val="20"/>
                <w14:ligatures w14:val="standardContextual"/>
              </w:rPr>
              <w:t>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w:t>
            </w:r>
          </w:p>
        </w:tc>
      </w:tr>
      <w:tr w:rsidR="00852466" w:rsidRPr="000F1D45" w14:paraId="322131F0" w14:textId="77777777">
        <w:tblPrEx>
          <w:tblCellMar>
            <w:top w:w="15" w:type="dxa"/>
            <w:bottom w:w="15" w:type="dxa"/>
          </w:tblCellMar>
        </w:tblPrEx>
        <w:trPr>
          <w:cantSplit/>
          <w:trHeight w:val="20"/>
        </w:trPr>
        <w:tc>
          <w:tcPr>
            <w:tcW w:w="9067" w:type="dxa"/>
            <w:gridSpan w:val="6"/>
            <w:vAlign w:val="center"/>
            <w:hideMark/>
          </w:tcPr>
          <w:p w14:paraId="053089C0"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27096459" w14:textId="77777777">
        <w:tblPrEx>
          <w:tblCellMar>
            <w:top w:w="15" w:type="dxa"/>
            <w:bottom w:w="15" w:type="dxa"/>
          </w:tblCellMar>
        </w:tblPrEx>
        <w:trPr>
          <w:cantSplit/>
          <w:trHeight w:val="20"/>
        </w:trPr>
        <w:tc>
          <w:tcPr>
            <w:tcW w:w="9067" w:type="dxa"/>
            <w:gridSpan w:val="6"/>
            <w:vAlign w:val="center"/>
            <w:hideMark/>
          </w:tcPr>
          <w:p w14:paraId="3E859DF4"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852466" w:rsidRPr="000F1D45" w14:paraId="02B7798A" w14:textId="77777777">
        <w:tblPrEx>
          <w:tblCellMar>
            <w:top w:w="15" w:type="dxa"/>
            <w:bottom w:w="15" w:type="dxa"/>
          </w:tblCellMar>
        </w:tblPrEx>
        <w:trPr>
          <w:cantSplit/>
          <w:trHeight w:val="20"/>
        </w:trPr>
        <w:tc>
          <w:tcPr>
            <w:tcW w:w="9067" w:type="dxa"/>
            <w:gridSpan w:val="6"/>
            <w:vAlign w:val="center"/>
            <w:hideMark/>
          </w:tcPr>
          <w:p w14:paraId="2E5B617B" w14:textId="77777777" w:rsidR="00852466" w:rsidRPr="000F1D45" w:rsidRDefault="00852466">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not receive more than 16 weeks of treatment under this restriction</w:t>
            </w:r>
          </w:p>
        </w:tc>
      </w:tr>
      <w:tr w:rsidR="00852466" w:rsidRPr="000F1D45" w14:paraId="46782295" w14:textId="77777777">
        <w:tblPrEx>
          <w:tblCellMar>
            <w:top w:w="15" w:type="dxa"/>
            <w:bottom w:w="15" w:type="dxa"/>
          </w:tblCellMar>
        </w:tblPrEx>
        <w:trPr>
          <w:cantSplit/>
          <w:trHeight w:val="20"/>
        </w:trPr>
        <w:tc>
          <w:tcPr>
            <w:tcW w:w="9067" w:type="dxa"/>
            <w:gridSpan w:val="6"/>
            <w:vAlign w:val="center"/>
          </w:tcPr>
          <w:p w14:paraId="53BE4C0B"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118D185B" w14:textId="77777777">
        <w:tblPrEx>
          <w:tblCellMar>
            <w:top w:w="15" w:type="dxa"/>
            <w:bottom w:w="15" w:type="dxa"/>
          </w:tblCellMar>
        </w:tblPrEx>
        <w:trPr>
          <w:cantSplit/>
          <w:trHeight w:val="20"/>
        </w:trPr>
        <w:tc>
          <w:tcPr>
            <w:tcW w:w="9067" w:type="dxa"/>
            <w:gridSpan w:val="6"/>
            <w:vAlign w:val="center"/>
            <w:hideMark/>
          </w:tcPr>
          <w:p w14:paraId="09D37DC8" w14:textId="77777777" w:rsidR="00852466" w:rsidRPr="000F1D45" w:rsidRDefault="00852466">
            <w:pPr>
              <w:keepNext/>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852466" w:rsidRPr="000F1D45" w14:paraId="3A6607DE" w14:textId="77777777">
        <w:tblPrEx>
          <w:tblCellMar>
            <w:top w:w="15" w:type="dxa"/>
            <w:bottom w:w="15" w:type="dxa"/>
          </w:tblCellMar>
        </w:tblPrEx>
        <w:trPr>
          <w:cantSplit/>
          <w:trHeight w:val="20"/>
        </w:trPr>
        <w:tc>
          <w:tcPr>
            <w:tcW w:w="9067" w:type="dxa"/>
            <w:gridSpan w:val="6"/>
            <w:vAlign w:val="center"/>
            <w:hideMark/>
          </w:tcPr>
          <w:p w14:paraId="6CEC2576" w14:textId="77777777" w:rsidR="00852466" w:rsidRPr="000F1D45" w:rsidRDefault="00852466">
            <w:pPr>
              <w:autoSpaceDE w:val="0"/>
              <w:autoSpaceDN w:val="0"/>
              <w:adjustRightInd w:val="0"/>
              <w:jc w:val="left"/>
              <w:rPr>
                <w:rFonts w:ascii="Arial Narrow" w:hAnsi="Arial Narrow" w:cs="Arial Narrow"/>
                <w:i/>
                <w:i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852466" w:rsidRPr="000F1D45" w14:paraId="3A476A53" w14:textId="77777777">
        <w:tblPrEx>
          <w:tblCellMar>
            <w:top w:w="15" w:type="dxa"/>
            <w:bottom w:w="15" w:type="dxa"/>
          </w:tblCellMar>
        </w:tblPrEx>
        <w:trPr>
          <w:cantSplit/>
          <w:trHeight w:val="20"/>
        </w:trPr>
        <w:tc>
          <w:tcPr>
            <w:tcW w:w="9067" w:type="dxa"/>
            <w:gridSpan w:val="6"/>
            <w:vAlign w:val="center"/>
          </w:tcPr>
          <w:p w14:paraId="7748ADFB" w14:textId="77777777" w:rsidR="00852466" w:rsidRPr="000F1D45" w:rsidRDefault="00852466">
            <w:pPr>
              <w:autoSpaceDE w:val="0"/>
              <w:autoSpaceDN w:val="0"/>
              <w:adjustRightInd w:val="0"/>
              <w:rPr>
                <w:rFonts w:ascii="Arial Narrow" w:hAnsi="Arial Narrow" w:cs="Arial Narrow"/>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r w:rsidR="00852466" w:rsidRPr="000F1D45" w14:paraId="42F1BEF3" w14:textId="77777777">
        <w:tblPrEx>
          <w:tblCellMar>
            <w:top w:w="15" w:type="dxa"/>
            <w:bottom w:w="15" w:type="dxa"/>
          </w:tblCellMar>
        </w:tblPrEx>
        <w:trPr>
          <w:cantSplit/>
          <w:trHeight w:val="20"/>
        </w:trPr>
        <w:tc>
          <w:tcPr>
            <w:tcW w:w="9067" w:type="dxa"/>
            <w:gridSpan w:val="6"/>
            <w:vAlign w:val="center"/>
          </w:tcPr>
          <w:p w14:paraId="60C6BA9B" w14:textId="77777777" w:rsidR="00852466" w:rsidRPr="000F1D45" w:rsidRDefault="00852466">
            <w:pPr>
              <w:autoSpaceDE w:val="0"/>
              <w:autoSpaceDN w:val="0"/>
              <w:adjustRightInd w:val="0"/>
              <w:rPr>
                <w:rFonts w:ascii="Arial Narrow" w:hAnsi="Arial Narrow" w:cs="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169EF886" w14:textId="77777777">
        <w:tblPrEx>
          <w:tblCellMar>
            <w:top w:w="15" w:type="dxa"/>
            <w:bottom w:w="15" w:type="dxa"/>
          </w:tblCellMar>
        </w:tblPrEx>
        <w:trPr>
          <w:cantSplit/>
          <w:trHeight w:val="20"/>
        </w:trPr>
        <w:tc>
          <w:tcPr>
            <w:tcW w:w="9067" w:type="dxa"/>
            <w:gridSpan w:val="6"/>
            <w:vAlign w:val="center"/>
            <w:hideMark/>
          </w:tcPr>
          <w:p w14:paraId="4F3746AB"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Population criteria:</w:t>
            </w:r>
          </w:p>
        </w:tc>
      </w:tr>
      <w:tr w:rsidR="00852466" w:rsidRPr="000F1D45" w14:paraId="7B2CB4DB" w14:textId="77777777">
        <w:tblPrEx>
          <w:tblCellMar>
            <w:top w:w="15" w:type="dxa"/>
            <w:bottom w:w="15" w:type="dxa"/>
          </w:tblCellMar>
        </w:tblPrEx>
        <w:trPr>
          <w:cantSplit/>
          <w:trHeight w:val="20"/>
        </w:trPr>
        <w:tc>
          <w:tcPr>
            <w:tcW w:w="9067" w:type="dxa"/>
            <w:gridSpan w:val="6"/>
            <w:vAlign w:val="center"/>
            <w:hideMark/>
          </w:tcPr>
          <w:p w14:paraId="6BB0DD75" w14:textId="77777777" w:rsidR="00852466" w:rsidRPr="000F1D45" w:rsidRDefault="00852466">
            <w:pPr>
              <w:jc w:val="left"/>
              <w:rPr>
                <w:rFonts w:ascii="Arial Narrow" w:hAnsi="Arial Narrow"/>
                <w:sz w:val="20"/>
                <w:szCs w:val="20"/>
                <w14:ligatures w14:val="standardContextual"/>
              </w:rPr>
            </w:pPr>
            <w:r w:rsidRPr="000F1D45">
              <w:rPr>
                <w:rFonts w:ascii="Arial Narrow" w:hAnsi="Arial Narrow"/>
                <w:sz w:val="20"/>
                <w:szCs w:val="20"/>
                <w14:ligatures w14:val="standardContextual"/>
              </w:rPr>
              <w:t>Patient must be under 18 years of age</w:t>
            </w:r>
          </w:p>
        </w:tc>
      </w:tr>
      <w:tr w:rsidR="00852466" w:rsidRPr="000F1D45" w14:paraId="4A0354E6" w14:textId="77777777">
        <w:tblPrEx>
          <w:tblCellMar>
            <w:top w:w="15" w:type="dxa"/>
            <w:bottom w:w="15" w:type="dxa"/>
          </w:tblCellMar>
        </w:tblPrEx>
        <w:trPr>
          <w:cantSplit/>
          <w:trHeight w:val="20"/>
        </w:trPr>
        <w:tc>
          <w:tcPr>
            <w:tcW w:w="9067" w:type="dxa"/>
            <w:gridSpan w:val="6"/>
            <w:vAlign w:val="center"/>
          </w:tcPr>
          <w:p w14:paraId="7D23305D"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tc>
      </w:tr>
      <w:tr w:rsidR="00852466" w:rsidRPr="000F1D45" w14:paraId="6AEACF92" w14:textId="77777777">
        <w:tblPrEx>
          <w:tblCellMar>
            <w:top w:w="15" w:type="dxa"/>
            <w:bottom w:w="15" w:type="dxa"/>
          </w:tblCellMar>
        </w:tblPrEx>
        <w:trPr>
          <w:cantSplit/>
          <w:trHeight w:val="20"/>
        </w:trPr>
        <w:tc>
          <w:tcPr>
            <w:tcW w:w="9067" w:type="dxa"/>
            <w:gridSpan w:val="6"/>
            <w:vAlign w:val="center"/>
          </w:tcPr>
          <w:p w14:paraId="7CDCD1CB"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3E695B92" w14:textId="77777777" w:rsidR="00852466" w:rsidRPr="000F1D45" w:rsidRDefault="00852466">
            <w:pPr>
              <w:rPr>
                <w:rFonts w:ascii="Arial Narrow" w:hAnsi="Arial Narrow"/>
                <w:sz w:val="20"/>
                <w:szCs w:val="20"/>
                <w14:ligatures w14:val="standardContextual"/>
              </w:rPr>
            </w:pPr>
            <w:r w:rsidRPr="000F1D45">
              <w:rPr>
                <w:rFonts w:ascii="Arial Narrow" w:hAnsi="Arial Narrow"/>
                <w:bCs/>
                <w:sz w:val="20"/>
                <w:szCs w:val="20"/>
                <w14:ligatures w14:val="standardContextual"/>
              </w:rPr>
              <w:t>Toxicity due to methotrexate is defined as evidence of hepatotoxicity with repeated elevations of transaminases, bone marrow suppression temporally related to methotrexate use, pneumonitis, or serious sepsis.</w:t>
            </w:r>
          </w:p>
        </w:tc>
      </w:tr>
      <w:tr w:rsidR="00852466" w:rsidRPr="000F1D45" w14:paraId="459B8425" w14:textId="77777777">
        <w:tblPrEx>
          <w:tblCellMar>
            <w:top w:w="15" w:type="dxa"/>
            <w:bottom w:w="15" w:type="dxa"/>
          </w:tblCellMar>
        </w:tblPrEx>
        <w:trPr>
          <w:cantSplit/>
          <w:trHeight w:val="20"/>
        </w:trPr>
        <w:tc>
          <w:tcPr>
            <w:tcW w:w="9067" w:type="dxa"/>
            <w:gridSpan w:val="6"/>
            <w:vAlign w:val="center"/>
          </w:tcPr>
          <w:p w14:paraId="4D2A0495"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5FFE9B5F" w14:textId="77777777" w:rsidR="00852466" w:rsidRPr="000F1D45" w:rsidRDefault="00852466">
            <w:pPr>
              <w:rPr>
                <w:rFonts w:ascii="Arial Narrow" w:hAnsi="Arial Narrow"/>
                <w:sz w:val="20"/>
                <w:szCs w:val="20"/>
                <w14:ligatures w14:val="standardContextual"/>
              </w:rPr>
            </w:pPr>
            <w:r w:rsidRPr="000F1D45">
              <w:rPr>
                <w:rFonts w:ascii="Arial Narrow" w:hAnsi="Arial Narrow"/>
                <w:bCs/>
                <w:sz w:val="20"/>
                <w:szCs w:val="20"/>
                <w14:ligatures w14:val="standardContextual"/>
              </w:rPr>
              <w:t>If treatment with methotrexate alone or in combination with another DMARD is contraindicated according to the relevant TGA-approved Product Information, details must be documented in the patient's medical records.</w:t>
            </w:r>
          </w:p>
        </w:tc>
      </w:tr>
      <w:tr w:rsidR="00852466" w:rsidRPr="000F1D45" w14:paraId="261749B2" w14:textId="77777777">
        <w:tblPrEx>
          <w:tblCellMar>
            <w:top w:w="15" w:type="dxa"/>
            <w:bottom w:w="15" w:type="dxa"/>
          </w:tblCellMar>
        </w:tblPrEx>
        <w:trPr>
          <w:cantSplit/>
          <w:trHeight w:val="20"/>
        </w:trPr>
        <w:tc>
          <w:tcPr>
            <w:tcW w:w="9067" w:type="dxa"/>
            <w:gridSpan w:val="6"/>
            <w:vAlign w:val="center"/>
            <w:hideMark/>
          </w:tcPr>
          <w:p w14:paraId="7A296A36"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21DC939A" w14:textId="77777777" w:rsidR="00852466" w:rsidRPr="000F1D45" w:rsidRDefault="00852466">
            <w:pPr>
              <w:rPr>
                <w:rFonts w:ascii="Arial Narrow" w:hAnsi="Arial Narrow"/>
                <w:sz w:val="20"/>
                <w:szCs w:val="20"/>
                <w14:ligatures w14:val="standardContextual"/>
              </w:rPr>
            </w:pPr>
            <w:r w:rsidRPr="000F1D45">
              <w:rPr>
                <w:rFonts w:ascii="Arial Narrow" w:hAnsi="Arial Narrow"/>
                <w:bCs/>
                <w:sz w:val="20"/>
                <w:szCs w:val="20"/>
                <w14:ligatures w14:val="standardContextual"/>
              </w:rPr>
              <w:t>If intolerance to treatment develops during the relevant period of use, which is of a severity necessitating permanent treatment withdrawal, details of this toxicity must be documented in the patient's medical records.</w:t>
            </w:r>
          </w:p>
        </w:tc>
      </w:tr>
      <w:tr w:rsidR="00852466" w:rsidRPr="000F1D45" w14:paraId="137A1A3F" w14:textId="77777777">
        <w:tblPrEx>
          <w:tblCellMar>
            <w:top w:w="15" w:type="dxa"/>
            <w:bottom w:w="15" w:type="dxa"/>
          </w:tblCellMar>
        </w:tblPrEx>
        <w:trPr>
          <w:trHeight w:val="20"/>
        </w:trPr>
        <w:tc>
          <w:tcPr>
            <w:tcW w:w="9067" w:type="dxa"/>
            <w:gridSpan w:val="6"/>
            <w:vAlign w:val="center"/>
          </w:tcPr>
          <w:p w14:paraId="667307D4"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 xml:space="preserve">Prescribing Instructions: </w:t>
            </w:r>
            <w:r w:rsidRPr="00116AFD">
              <w:rPr>
                <w:rFonts w:ascii="Arial Narrow" w:hAnsi="Arial Narrow"/>
                <w:sz w:val="20"/>
                <w:szCs w:val="20"/>
                <w14:ligatures w14:val="standardContextual"/>
              </w:rPr>
              <w:t>The following criteria indicate failure to achieve an adequate response and must be demonstrated in all patients at the time of the initial application:</w:t>
            </w:r>
          </w:p>
          <w:p w14:paraId="66004BDF" w14:textId="77777777" w:rsidR="00852466" w:rsidRPr="00116AFD" w:rsidRDefault="00852466">
            <w:pPr>
              <w:rPr>
                <w:rFonts w:ascii="Arial Narrow" w:hAnsi="Arial Narrow"/>
                <w:sz w:val="20"/>
                <w:szCs w:val="20"/>
                <w14:ligatures w14:val="standardContextual"/>
              </w:rPr>
            </w:pPr>
          </w:p>
          <w:p w14:paraId="346B8D84"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 xml:space="preserve">(a) an active joint count of at least </w:t>
            </w:r>
            <w:r w:rsidRPr="00116AFD">
              <w:rPr>
                <w:rFonts w:ascii="Arial Narrow" w:hAnsi="Arial Narrow"/>
                <w:strike/>
                <w:sz w:val="20"/>
                <w:szCs w:val="20"/>
                <w14:ligatures w14:val="standardContextual"/>
              </w:rPr>
              <w:t>20</w:t>
            </w:r>
            <w:r w:rsidRPr="00116AFD">
              <w:rPr>
                <w:rFonts w:ascii="Arial Narrow" w:hAnsi="Arial Narrow"/>
                <w:sz w:val="20"/>
                <w:szCs w:val="20"/>
                <w14:ligatures w14:val="standardContextual"/>
              </w:rPr>
              <w:t xml:space="preserve"> </w:t>
            </w:r>
            <w:r w:rsidRPr="00116AFD">
              <w:rPr>
                <w:rFonts w:ascii="Arial Narrow" w:hAnsi="Arial Narrow"/>
                <w:i/>
                <w:iCs/>
                <w:sz w:val="20"/>
                <w:szCs w:val="20"/>
                <w14:ligatures w14:val="standardContextual"/>
              </w:rPr>
              <w:t xml:space="preserve">10 </w:t>
            </w:r>
            <w:r w:rsidRPr="00116AFD">
              <w:rPr>
                <w:rFonts w:ascii="Arial Narrow" w:hAnsi="Arial Narrow"/>
                <w:sz w:val="20"/>
                <w:szCs w:val="20"/>
                <w14:ligatures w14:val="standardContextual"/>
              </w:rPr>
              <w:t>active (swollen and tender) joints; OR</w:t>
            </w:r>
          </w:p>
          <w:p w14:paraId="1D20E330" w14:textId="77777777" w:rsidR="00852466" w:rsidRPr="00116AFD" w:rsidRDefault="00852466">
            <w:pPr>
              <w:rPr>
                <w:rFonts w:ascii="Arial Narrow" w:hAnsi="Arial Narrow"/>
                <w:sz w:val="20"/>
                <w:szCs w:val="20"/>
                <w14:ligatures w14:val="standardContextual"/>
              </w:rPr>
            </w:pPr>
          </w:p>
          <w:p w14:paraId="11B860F0" w14:textId="77777777" w:rsidR="00852466" w:rsidRPr="00116AFD" w:rsidRDefault="00852466">
            <w:pPr>
              <w:rPr>
                <w:rFonts w:ascii="Arial Narrow" w:hAnsi="Arial Narrow"/>
                <w:sz w:val="20"/>
                <w:szCs w:val="20"/>
                <w14:ligatures w14:val="standardContextual"/>
              </w:rPr>
            </w:pPr>
            <w:r w:rsidRPr="00116AFD">
              <w:rPr>
                <w:rFonts w:ascii="Arial Narrow" w:hAnsi="Arial Narrow"/>
                <w:strike/>
                <w:sz w:val="20"/>
                <w:szCs w:val="20"/>
                <w14:ligatures w14:val="standardContextual"/>
              </w:rPr>
              <w:t>(b) at least 4 active joints from the following list:</w:t>
            </w:r>
          </w:p>
          <w:p w14:paraId="696B8903" w14:textId="77777777" w:rsidR="00852466" w:rsidRPr="00116AFD" w:rsidRDefault="00852466">
            <w:pPr>
              <w:rPr>
                <w:rFonts w:ascii="Arial Narrow" w:hAnsi="Arial Narrow"/>
                <w:sz w:val="20"/>
                <w:szCs w:val="20"/>
                <w14:ligatures w14:val="standardContextual"/>
              </w:rPr>
            </w:pPr>
          </w:p>
          <w:p w14:paraId="5D743046" w14:textId="77777777" w:rsidR="00852466" w:rsidRPr="00116AFD" w:rsidRDefault="00852466">
            <w:pPr>
              <w:rPr>
                <w:rFonts w:ascii="Arial Narrow" w:hAnsi="Arial Narrow"/>
                <w:strike/>
                <w:sz w:val="20"/>
                <w:szCs w:val="20"/>
                <w14:ligatures w14:val="standardContextual"/>
              </w:rPr>
            </w:pPr>
            <w:r w:rsidRPr="00116AFD">
              <w:rPr>
                <w:rFonts w:ascii="Arial Narrow" w:hAnsi="Arial Narrow"/>
                <w:strike/>
                <w:sz w:val="20"/>
                <w:szCs w:val="20"/>
                <w14:ligatures w14:val="standardContextual"/>
              </w:rPr>
              <w:t>(i) elbow, wrist, knee and/or ankle (assessed as swollen and tender); and/or</w:t>
            </w:r>
          </w:p>
          <w:p w14:paraId="4D6CD4C1" w14:textId="77777777" w:rsidR="00852466" w:rsidRPr="00116AFD" w:rsidRDefault="00852466">
            <w:pPr>
              <w:rPr>
                <w:rFonts w:ascii="Arial Narrow" w:hAnsi="Arial Narrow"/>
                <w:strike/>
                <w:sz w:val="20"/>
                <w:szCs w:val="20"/>
                <w14:ligatures w14:val="standardContextual"/>
              </w:rPr>
            </w:pPr>
            <w:r w:rsidRPr="00116AFD">
              <w:rPr>
                <w:rFonts w:ascii="Arial Narrow" w:hAnsi="Arial Narrow"/>
                <w:strike/>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632ADC75"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(b) an active joint count of at least 2, affecting the following joints: elbow, wrist, knee, ankle, shoulder, and hip; OR</w:t>
            </w:r>
          </w:p>
          <w:p w14:paraId="7E58675E" w14:textId="77777777" w:rsidR="00852466" w:rsidRPr="00116AFD" w:rsidRDefault="00852466">
            <w:pPr>
              <w:rPr>
                <w:rFonts w:ascii="Arial Narrow" w:hAnsi="Arial Narrow"/>
                <w:i/>
                <w:iCs/>
                <w:sz w:val="20"/>
                <w:szCs w:val="20"/>
                <w14:ligatures w14:val="standardContextual"/>
              </w:rPr>
            </w:pPr>
          </w:p>
          <w:p w14:paraId="20826C73"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(c) active arthritis affecting the cervical spine or temporomandibular joint; OR</w:t>
            </w:r>
          </w:p>
          <w:p w14:paraId="46872F73" w14:textId="77777777" w:rsidR="00852466" w:rsidRPr="00116AFD" w:rsidRDefault="00852466">
            <w:pPr>
              <w:rPr>
                <w:rFonts w:ascii="Arial Narrow" w:hAnsi="Arial Narrow"/>
                <w:i/>
                <w:iCs/>
                <w:sz w:val="20"/>
                <w:szCs w:val="20"/>
                <w14:ligatures w14:val="standardContextual"/>
              </w:rPr>
            </w:pPr>
          </w:p>
          <w:p w14:paraId="4B34270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(d) at least 2 separate episodes of oral or intra-articular corticosteroids use within 12 months to control flares of disease; OR</w:t>
            </w:r>
          </w:p>
          <w:p w14:paraId="2ACAA9CA" w14:textId="77777777" w:rsidR="00852466" w:rsidRPr="00116AFD" w:rsidRDefault="00852466">
            <w:pPr>
              <w:rPr>
                <w:rFonts w:ascii="Arial Narrow" w:hAnsi="Arial Narrow"/>
                <w:i/>
                <w:iCs/>
                <w:sz w:val="20"/>
                <w:szCs w:val="20"/>
                <w14:ligatures w14:val="standardContextual"/>
              </w:rPr>
            </w:pPr>
          </w:p>
          <w:p w14:paraId="3BE0673A"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(e) development/worsening of erosive disease due to active arthritis.</w:t>
            </w:r>
          </w:p>
          <w:p w14:paraId="2AE4E26E" w14:textId="77777777" w:rsidR="00852466" w:rsidRPr="00116AFD" w:rsidRDefault="00852466">
            <w:pPr>
              <w:rPr>
                <w:rFonts w:ascii="Arial Narrow" w:hAnsi="Arial Narrow"/>
                <w:sz w:val="20"/>
                <w:szCs w:val="20"/>
                <w14:ligatures w14:val="standardContextual"/>
              </w:rPr>
            </w:pPr>
          </w:p>
          <w:p w14:paraId="29CF5EF1"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The assessment of response to prior treatment must be documented in the patient's medical records.</w:t>
            </w:r>
          </w:p>
        </w:tc>
      </w:tr>
      <w:tr w:rsidR="00852466" w:rsidRPr="000F1D45" w14:paraId="7D6CC609" w14:textId="77777777">
        <w:tblPrEx>
          <w:tblCellMar>
            <w:top w:w="15" w:type="dxa"/>
            <w:bottom w:w="15" w:type="dxa"/>
          </w:tblCellMar>
        </w:tblPrEx>
        <w:trPr>
          <w:cantSplit/>
          <w:trHeight w:val="20"/>
        </w:trPr>
        <w:tc>
          <w:tcPr>
            <w:tcW w:w="9067" w:type="dxa"/>
            <w:gridSpan w:val="6"/>
            <w:vAlign w:val="center"/>
          </w:tcPr>
          <w:p w14:paraId="4E4D9C6E"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127714FC"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The joint count assessment must be performed preferably whilst still on DMARD treatment, but no longer than 4 weeks following cessation of the most recent prior treatment.</w:t>
            </w:r>
          </w:p>
        </w:tc>
      </w:tr>
      <w:tr w:rsidR="00852466" w:rsidRPr="000F1D45" w14:paraId="690F5A0E" w14:textId="77777777">
        <w:tblPrEx>
          <w:tblCellMar>
            <w:top w:w="15" w:type="dxa"/>
            <w:bottom w:w="15" w:type="dxa"/>
          </w:tblCellMar>
        </w:tblPrEx>
        <w:trPr>
          <w:cantSplit/>
          <w:trHeight w:val="20"/>
        </w:trPr>
        <w:tc>
          <w:tcPr>
            <w:tcW w:w="9067" w:type="dxa"/>
            <w:gridSpan w:val="6"/>
            <w:vAlign w:val="center"/>
          </w:tcPr>
          <w:p w14:paraId="50F633D7"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Prescribing Instructions:</w:t>
            </w:r>
            <w:r w:rsidRPr="00116AFD">
              <w:rPr>
                <w14:ligatures w14:val="standardContextual"/>
              </w:rPr>
              <w:t xml:space="preserve"> </w:t>
            </w:r>
            <w:r w:rsidRPr="00116AFD">
              <w:rPr>
                <w:rFonts w:ascii="Arial Narrow" w:hAnsi="Arial Narrow"/>
                <w:sz w:val="20"/>
                <w:szCs w:val="20"/>
                <w14:ligatures w14:val="standardContextual"/>
              </w:rPr>
              <w:t>The following information must be provided by the prescriber at the time of application and documented in the patient's medical records:</w:t>
            </w:r>
          </w:p>
          <w:p w14:paraId="102FA097" w14:textId="77777777" w:rsidR="00852466" w:rsidRPr="00116AFD" w:rsidRDefault="00852466">
            <w:pPr>
              <w:rPr>
                <w:rFonts w:ascii="Arial Narrow" w:hAnsi="Arial Narrow"/>
                <w:sz w:val="20"/>
                <w:szCs w:val="20"/>
                <w14:ligatures w14:val="standardContextual"/>
              </w:rPr>
            </w:pPr>
          </w:p>
          <w:p w14:paraId="0E308066"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 the date of assessment of severe active juvenile idiopathic arthritis; and</w:t>
            </w:r>
          </w:p>
          <w:p w14:paraId="75BA7DBA" w14:textId="77777777" w:rsidR="00852466" w:rsidRPr="00116AFD" w:rsidRDefault="00852466">
            <w:pPr>
              <w:rPr>
                <w:rFonts w:ascii="Arial Narrow" w:hAnsi="Arial Narrow"/>
                <w:sz w:val="20"/>
                <w:szCs w:val="20"/>
                <w14:ligatures w14:val="standardContextual"/>
              </w:rPr>
            </w:pPr>
          </w:p>
          <w:p w14:paraId="0E763D03"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(b) details of prior treatment including dose and duration of treatment.</w:t>
            </w:r>
          </w:p>
        </w:tc>
      </w:tr>
      <w:tr w:rsidR="00852466" w:rsidRPr="000F1D45" w14:paraId="07E1EDD3" w14:textId="77777777">
        <w:tblPrEx>
          <w:tblCellMar>
            <w:top w:w="15" w:type="dxa"/>
            <w:bottom w:w="15" w:type="dxa"/>
          </w:tblCellMar>
        </w:tblPrEx>
        <w:trPr>
          <w:cantSplit/>
          <w:trHeight w:val="20"/>
        </w:trPr>
        <w:tc>
          <w:tcPr>
            <w:tcW w:w="9067" w:type="dxa"/>
            <w:gridSpan w:val="6"/>
            <w:vAlign w:val="center"/>
          </w:tcPr>
          <w:p w14:paraId="0CFEAD3F"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2148FB6B"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116AFD">
              <w:rPr>
                <w:rFonts w:ascii="Arial Narrow" w:hAnsi="Arial Narrow"/>
                <w:sz w:val="20"/>
                <w:szCs w:val="20"/>
                <w14:ligatures w14:val="standardContextual"/>
              </w:rPr>
              <w:t>a sufficient amount</w:t>
            </w:r>
            <w:proofErr w:type="gramEnd"/>
            <w:r w:rsidRPr="00116AFD">
              <w:rPr>
                <w:rFonts w:ascii="Arial Narrow" w:hAnsi="Arial Narrow"/>
                <w:sz w:val="20"/>
                <w:szCs w:val="20"/>
                <w14:ligatures w14:val="standardContextual"/>
              </w:rPr>
              <w:t xml:space="preserve"> for two doses. Up to a maximum of 3 repeats will be authorised.</w:t>
            </w:r>
          </w:p>
        </w:tc>
      </w:tr>
      <w:tr w:rsidR="00852466" w:rsidRPr="000F1D45" w14:paraId="10A5B309" w14:textId="77777777">
        <w:tblPrEx>
          <w:tblCellMar>
            <w:top w:w="15" w:type="dxa"/>
            <w:bottom w:w="15" w:type="dxa"/>
          </w:tblCellMar>
        </w:tblPrEx>
        <w:trPr>
          <w:cantSplit/>
          <w:trHeight w:val="20"/>
        </w:trPr>
        <w:tc>
          <w:tcPr>
            <w:tcW w:w="9067" w:type="dxa"/>
            <w:gridSpan w:val="6"/>
            <w:vAlign w:val="center"/>
          </w:tcPr>
          <w:p w14:paraId="016D62BE"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5C71B125"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852466" w:rsidRPr="000F1D45" w14:paraId="771A624D" w14:textId="77777777">
        <w:tblPrEx>
          <w:tblCellMar>
            <w:top w:w="15" w:type="dxa"/>
            <w:bottom w:w="15" w:type="dxa"/>
          </w:tblCellMar>
        </w:tblPrEx>
        <w:trPr>
          <w:cantSplit/>
          <w:trHeight w:val="20"/>
        </w:trPr>
        <w:tc>
          <w:tcPr>
            <w:tcW w:w="9067" w:type="dxa"/>
            <w:gridSpan w:val="6"/>
            <w:vAlign w:val="center"/>
          </w:tcPr>
          <w:p w14:paraId="3FD21000"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78BC9E8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 xml:space="preserve">If a patient fails to demonstrate a response to treatment with this </w:t>
            </w:r>
            <w:proofErr w:type="gramStart"/>
            <w:r w:rsidRPr="00116AFD">
              <w:rPr>
                <w:rFonts w:ascii="Arial Narrow" w:hAnsi="Arial Narrow"/>
                <w:sz w:val="20"/>
                <w:szCs w:val="20"/>
                <w14:ligatures w14:val="standardContextual"/>
              </w:rPr>
              <w:t>drug</w:t>
            </w:r>
            <w:proofErr w:type="gramEnd"/>
            <w:r w:rsidRPr="00116AFD">
              <w:rPr>
                <w:rFonts w:ascii="Arial Narrow" w:hAnsi="Arial Narrow"/>
                <w:sz w:val="20"/>
                <w:szCs w:val="20"/>
                <w14:ligatures w14:val="standardContextual"/>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0F1D45" w14:paraId="6E7AB944" w14:textId="77777777">
        <w:tblPrEx>
          <w:tblCellMar>
            <w:top w:w="15" w:type="dxa"/>
            <w:bottom w:w="15" w:type="dxa"/>
          </w:tblCellMar>
        </w:tblPrEx>
        <w:trPr>
          <w:cantSplit/>
          <w:trHeight w:val="20"/>
        </w:trPr>
        <w:tc>
          <w:tcPr>
            <w:tcW w:w="9067" w:type="dxa"/>
            <w:gridSpan w:val="6"/>
            <w:vAlign w:val="center"/>
            <w:hideMark/>
          </w:tcPr>
          <w:p w14:paraId="4A3A2C44"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Administrative Advice:</w:t>
            </w:r>
          </w:p>
          <w:p w14:paraId="34C11621" w14:textId="77777777" w:rsidR="00852466" w:rsidRPr="00116AFD" w:rsidRDefault="00852466">
            <w:pPr>
              <w:rPr>
                <w:rFonts w:ascii="Arial Narrow" w:hAnsi="Arial Narrow"/>
                <w:sz w:val="20"/>
                <w:szCs w:val="20"/>
                <w14:ligatures w14:val="standardContextual"/>
              </w:rPr>
            </w:pPr>
            <w:r w:rsidRPr="00116AFD">
              <w:rPr>
                <w:rFonts w:ascii="Arial Narrow" w:hAnsi="Arial Narrow"/>
                <w:bCs/>
                <w:sz w:val="20"/>
                <w:szCs w:val="20"/>
                <w14:ligatures w14:val="standardContextual"/>
              </w:rPr>
              <w:t>Use of alternative DMARDs in children is dependent on approval by the Therapeutic Goods Administration as age restrictions may apply.</w:t>
            </w:r>
          </w:p>
        </w:tc>
      </w:tr>
      <w:tr w:rsidR="00852466" w:rsidRPr="000F1D45" w14:paraId="5D1E6FE0" w14:textId="77777777">
        <w:tblPrEx>
          <w:tblCellMar>
            <w:top w:w="15" w:type="dxa"/>
            <w:bottom w:w="15" w:type="dxa"/>
          </w:tblCellMar>
        </w:tblPrEx>
        <w:trPr>
          <w:cantSplit/>
          <w:trHeight w:val="20"/>
        </w:trPr>
        <w:tc>
          <w:tcPr>
            <w:tcW w:w="9067" w:type="dxa"/>
            <w:gridSpan w:val="6"/>
            <w:vAlign w:val="center"/>
          </w:tcPr>
          <w:p w14:paraId="75225844"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Administrative Advice:</w:t>
            </w:r>
          </w:p>
          <w:p w14:paraId="41A11E91"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Details of the toxicities, including severity, which will be accepted for the purposes of administering this restriction can be found on the Services Australia website at www.servicesaustralia.gov.au</w:t>
            </w:r>
          </w:p>
        </w:tc>
      </w:tr>
      <w:tr w:rsidR="00852466" w:rsidRPr="000F1D45" w14:paraId="4DF44376" w14:textId="77777777">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3B6BDFD" w14:textId="77777777" w:rsidR="00852466" w:rsidRPr="00116AFD" w:rsidRDefault="00852466">
            <w:pPr>
              <w:rPr>
                <w:rFonts w:ascii="Arial Narrow" w:hAnsi="Arial Narrow"/>
                <w:b/>
                <w:bCs/>
                <w:sz w:val="20"/>
                <w:szCs w:val="20"/>
                <w14:ligatures w14:val="standardContextual"/>
              </w:rPr>
            </w:pPr>
          </w:p>
          <w:p w14:paraId="44A3760A" w14:textId="77777777" w:rsidR="00852466" w:rsidRPr="00116AFD" w:rsidRDefault="00852466">
            <w:pPr>
              <w:rPr>
                <w:rFonts w:ascii="Arial Narrow" w:hAnsi="Arial Narrow"/>
                <w:b/>
                <w:bCs/>
                <w:sz w:val="20"/>
                <w:szCs w:val="20"/>
                <w14:ligatures w14:val="standardContextual"/>
              </w:rPr>
            </w:pPr>
          </w:p>
        </w:tc>
      </w:tr>
      <w:tr w:rsidR="00852466" w:rsidRPr="000F1D45" w14:paraId="03D19E63" w14:textId="77777777">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ECCD9F0"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b/>
                <w:sz w:val="20"/>
                <w:szCs w:val="20"/>
                <w14:ligatures w14:val="standardContextual"/>
              </w:rPr>
              <w:t>Category / Program:</w:t>
            </w:r>
            <w:r w:rsidRPr="00116AFD">
              <w:rPr>
                <w:rFonts w:ascii="Arial Narrow" w:hAnsi="Arial Narrow"/>
                <w:sz w:val="20"/>
                <w:szCs w:val="20"/>
                <w14:ligatures w14:val="standardContextual"/>
              </w:rPr>
              <w:t xml:space="preserv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2F2DE286" w14:textId="77777777">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BB5F969" w14:textId="77777777" w:rsidR="00852466" w:rsidRPr="00116AFD" w:rsidRDefault="00852466">
            <w:pPr>
              <w:keepLines/>
              <w:rPr>
                <w:rFonts w:ascii="Arial Narrow" w:hAnsi="Arial Narrow"/>
                <w:b/>
                <w:sz w:val="20"/>
                <w:szCs w:val="20"/>
                <w14:ligatures w14:val="standardContextual"/>
              </w:rPr>
            </w:pPr>
            <w:r w:rsidRPr="00116AFD">
              <w:rPr>
                <w:rFonts w:ascii="Arial Narrow" w:hAnsi="Arial Narrow"/>
                <w:b/>
                <w:sz w:val="20"/>
                <w:szCs w:val="20"/>
                <w14:ligatures w14:val="standardContextual"/>
              </w:rPr>
              <w:t xml:space="preserve">Prescriber type: </w:t>
            </w:r>
            <w:r w:rsidRPr="00116AFD">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sz w:val="20"/>
                <w:szCs w:val="20"/>
                <w14:ligatures w14:val="standardContextual"/>
              </w:rPr>
              <w:instrText xml:space="preserve"> FORMCHECKBOX </w:instrText>
            </w:r>
            <w:r w:rsidRPr="00116AFD">
              <w:rPr>
                <w:rFonts w:ascii="Arial Narrow" w:hAnsi="Arial Narrow"/>
                <w:sz w:val="20"/>
                <w:szCs w:val="20"/>
                <w14:ligatures w14:val="standardContextual"/>
              </w:rPr>
            </w:r>
            <w:r w:rsidRPr="00116AFD">
              <w:rPr>
                <w:rFonts w:ascii="Arial Narrow" w:hAnsi="Arial Narrow"/>
                <w:sz w:val="20"/>
                <w:szCs w:val="20"/>
                <w14:ligatures w14:val="standardContextual"/>
              </w:rPr>
              <w:fldChar w:fldCharType="separate"/>
            </w:r>
            <w:r w:rsidRPr="00116AFD">
              <w:rPr>
                <w:rFonts w:ascii="Arial Narrow" w:hAnsi="Arial Narrow"/>
                <w:sz w:val="20"/>
                <w:szCs w:val="20"/>
                <w14:ligatures w14:val="standardContextual"/>
              </w:rPr>
              <w:fldChar w:fldCharType="end"/>
            </w:r>
            <w:r w:rsidRPr="00116AFD">
              <w:rPr>
                <w:rFonts w:ascii="Arial Narrow" w:hAnsi="Arial Narrow"/>
                <w:sz w:val="20"/>
                <w:szCs w:val="20"/>
                <w14:ligatures w14:val="standardContextual"/>
              </w:rPr>
              <w:t xml:space="preserve">Medical Practitioners </w:t>
            </w:r>
          </w:p>
        </w:tc>
      </w:tr>
      <w:tr w:rsidR="00852466" w:rsidRPr="000F1D45" w14:paraId="6093DBC6" w14:textId="77777777">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E57FD0F" w14:textId="77777777" w:rsidR="00852466" w:rsidRPr="00116AFD" w:rsidRDefault="00852466">
            <w:pPr>
              <w:keepLines/>
              <w:rPr>
                <w:rFonts w:ascii="Arial Narrow" w:eastAsia="Calibri" w:hAnsi="Arial Narrow"/>
                <w:sz w:val="20"/>
                <w:szCs w:val="20"/>
                <w14:ligatures w14:val="standardContextual"/>
              </w:rPr>
            </w:pPr>
            <w:r w:rsidRPr="00116AFD">
              <w:rPr>
                <w:rFonts w:ascii="Arial Narrow" w:hAnsi="Arial Narrow"/>
                <w:b/>
                <w:sz w:val="20"/>
                <w:szCs w:val="20"/>
                <w14:ligatures w14:val="standardContextual"/>
              </w:rPr>
              <w:t xml:space="preserve">Restriction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Authority Required (telephone/online PBS Authorities system) </w:t>
            </w:r>
          </w:p>
        </w:tc>
      </w:tr>
      <w:tr w:rsidR="00852466" w:rsidRPr="000F1D45" w14:paraId="2D905F2D" w14:textId="77777777">
        <w:tblPrEx>
          <w:tblCellMar>
            <w:top w:w="15" w:type="dxa"/>
            <w:bottom w:w="15" w:type="dxa"/>
          </w:tblCellMar>
        </w:tblPrEx>
        <w:trPr>
          <w:cantSplit/>
          <w:trHeight w:val="20"/>
        </w:trPr>
        <w:tc>
          <w:tcPr>
            <w:tcW w:w="9067" w:type="dxa"/>
            <w:gridSpan w:val="6"/>
            <w:vAlign w:val="center"/>
          </w:tcPr>
          <w:p w14:paraId="23632508" w14:textId="77777777" w:rsidR="00852466" w:rsidRPr="00116AFD" w:rsidRDefault="00852466">
            <w:pPr>
              <w:keepLines/>
              <w:rPr>
                <w:rFonts w:ascii="Arial Narrow" w:hAnsi="Arial Narrow"/>
                <w:b/>
                <w:bCs/>
                <w:sz w:val="20"/>
                <w:szCs w:val="20"/>
                <w14:ligatures w14:val="standardContextual"/>
              </w:rPr>
            </w:pPr>
            <w:r w:rsidRPr="00116AFD">
              <w:rPr>
                <w:rFonts w:ascii="Arial Narrow" w:hAnsi="Arial Narrow"/>
                <w:b/>
                <w:sz w:val="20"/>
                <w:szCs w:val="20"/>
                <w14:ligatures w14:val="standardContextual"/>
              </w:rPr>
              <w:t xml:space="preserve">Authority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Complex Authority Required (CAR)</w:t>
            </w:r>
          </w:p>
        </w:tc>
      </w:tr>
      <w:tr w:rsidR="00852466" w:rsidRPr="000F1D45" w14:paraId="15658773" w14:textId="77777777">
        <w:tblPrEx>
          <w:tblCellMar>
            <w:top w:w="15" w:type="dxa"/>
            <w:bottom w:w="15" w:type="dxa"/>
          </w:tblCellMar>
        </w:tblPrEx>
        <w:trPr>
          <w:cantSplit/>
          <w:trHeight w:val="20"/>
        </w:trPr>
        <w:tc>
          <w:tcPr>
            <w:tcW w:w="9067" w:type="dxa"/>
            <w:gridSpan w:val="6"/>
            <w:vAlign w:val="center"/>
            <w:hideMark/>
          </w:tcPr>
          <w:p w14:paraId="16A00ED4"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Indication:</w:t>
            </w:r>
            <w:r w:rsidRPr="00116AFD">
              <w:rPr>
                <w:rFonts w:ascii="Arial Narrow" w:hAnsi="Arial Narrow"/>
                <w:sz w:val="20"/>
                <w:szCs w:val="20"/>
                <w14:ligatures w14:val="standardContextual"/>
              </w:rPr>
              <w:t xml:space="preserve"> Severe active juvenile idiopathic arthritis</w:t>
            </w:r>
          </w:p>
        </w:tc>
      </w:tr>
      <w:tr w:rsidR="00852466" w:rsidRPr="000F1D45" w14:paraId="64EB9214" w14:textId="77777777">
        <w:tblPrEx>
          <w:tblCellMar>
            <w:top w:w="15" w:type="dxa"/>
            <w:bottom w:w="15" w:type="dxa"/>
          </w:tblCellMar>
        </w:tblPrEx>
        <w:trPr>
          <w:cantSplit/>
          <w:trHeight w:val="20"/>
        </w:trPr>
        <w:tc>
          <w:tcPr>
            <w:tcW w:w="9067" w:type="dxa"/>
            <w:gridSpan w:val="6"/>
            <w:vAlign w:val="center"/>
            <w:hideMark/>
          </w:tcPr>
          <w:p w14:paraId="730A1599"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Phase:</w:t>
            </w:r>
            <w:r w:rsidRPr="00116AFD">
              <w:rPr>
                <w:rFonts w:ascii="Arial Narrow" w:hAnsi="Arial Narrow"/>
                <w:sz w:val="20"/>
                <w:szCs w:val="20"/>
                <w14:ligatures w14:val="standardContextual"/>
              </w:rPr>
              <w:t xml:space="preserve"> Initial treatment - Initial 2 (change or recommencement of treatment after a break in biological medicine of less than 12 months)</w:t>
            </w:r>
          </w:p>
        </w:tc>
      </w:tr>
      <w:tr w:rsidR="00852466" w:rsidRPr="000F1D45" w14:paraId="644620C0" w14:textId="77777777">
        <w:tblPrEx>
          <w:tblCellMar>
            <w:top w:w="15" w:type="dxa"/>
            <w:bottom w:w="15" w:type="dxa"/>
          </w:tblCellMar>
        </w:tblPrEx>
        <w:trPr>
          <w:cantSplit/>
          <w:trHeight w:val="20"/>
        </w:trPr>
        <w:tc>
          <w:tcPr>
            <w:tcW w:w="9067" w:type="dxa"/>
            <w:gridSpan w:val="6"/>
            <w:vAlign w:val="center"/>
          </w:tcPr>
          <w:p w14:paraId="3C500114"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 xml:space="preserve">Clinical criteria: </w:t>
            </w:r>
          </w:p>
        </w:tc>
      </w:tr>
      <w:tr w:rsidR="00852466" w:rsidRPr="000F1D45" w14:paraId="07A8143D" w14:textId="77777777">
        <w:tblPrEx>
          <w:tblCellMar>
            <w:top w:w="15" w:type="dxa"/>
            <w:bottom w:w="15" w:type="dxa"/>
          </w:tblCellMar>
        </w:tblPrEx>
        <w:trPr>
          <w:cantSplit/>
          <w:trHeight w:val="20"/>
        </w:trPr>
        <w:tc>
          <w:tcPr>
            <w:tcW w:w="9067" w:type="dxa"/>
            <w:gridSpan w:val="6"/>
            <w:vAlign w:val="center"/>
          </w:tcPr>
          <w:p w14:paraId="7163405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Patient must have received prior PBS-subsidised treatment with a biological medicine for this condition in this treatment cycle</w:t>
            </w:r>
          </w:p>
        </w:tc>
      </w:tr>
      <w:tr w:rsidR="00852466" w:rsidRPr="000F1D45" w14:paraId="353B9394" w14:textId="77777777">
        <w:tblPrEx>
          <w:tblCellMar>
            <w:top w:w="15" w:type="dxa"/>
            <w:bottom w:w="15" w:type="dxa"/>
          </w:tblCellMar>
        </w:tblPrEx>
        <w:trPr>
          <w:cantSplit/>
          <w:trHeight w:val="20"/>
        </w:trPr>
        <w:tc>
          <w:tcPr>
            <w:tcW w:w="9067" w:type="dxa"/>
            <w:gridSpan w:val="6"/>
            <w:vAlign w:val="center"/>
          </w:tcPr>
          <w:p w14:paraId="561D1857"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1C9154DD" w14:textId="77777777">
        <w:tblPrEx>
          <w:tblCellMar>
            <w:top w:w="15" w:type="dxa"/>
            <w:bottom w:w="15" w:type="dxa"/>
          </w:tblCellMar>
        </w:tblPrEx>
        <w:trPr>
          <w:cantSplit/>
          <w:trHeight w:val="20"/>
        </w:trPr>
        <w:tc>
          <w:tcPr>
            <w:tcW w:w="9067" w:type="dxa"/>
            <w:gridSpan w:val="6"/>
            <w:vAlign w:val="center"/>
          </w:tcPr>
          <w:p w14:paraId="499963AA"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30D0BF06" w14:textId="77777777">
        <w:tblPrEx>
          <w:tblCellMar>
            <w:top w:w="15" w:type="dxa"/>
            <w:bottom w:w="15" w:type="dxa"/>
          </w:tblCellMar>
        </w:tblPrEx>
        <w:trPr>
          <w:cantSplit/>
          <w:trHeight w:val="20"/>
        </w:trPr>
        <w:tc>
          <w:tcPr>
            <w:tcW w:w="9067" w:type="dxa"/>
            <w:gridSpan w:val="6"/>
            <w:vAlign w:val="center"/>
          </w:tcPr>
          <w:p w14:paraId="0E716F8A"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Patient must not have already failed, or ceased to respond to, PBS-subsidised treatment with this drug for this condition during the current treatment cycle</w:t>
            </w:r>
          </w:p>
        </w:tc>
      </w:tr>
      <w:tr w:rsidR="00852466" w:rsidRPr="000F1D45" w14:paraId="6BA90628" w14:textId="77777777">
        <w:tblPrEx>
          <w:tblCellMar>
            <w:top w:w="15" w:type="dxa"/>
            <w:bottom w:w="15" w:type="dxa"/>
          </w:tblCellMar>
        </w:tblPrEx>
        <w:trPr>
          <w:cantSplit/>
          <w:trHeight w:val="20"/>
        </w:trPr>
        <w:tc>
          <w:tcPr>
            <w:tcW w:w="9067" w:type="dxa"/>
            <w:gridSpan w:val="6"/>
            <w:vAlign w:val="center"/>
          </w:tcPr>
          <w:p w14:paraId="533D245E"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0E37766D" w14:textId="77777777">
        <w:tblPrEx>
          <w:tblCellMar>
            <w:top w:w="15" w:type="dxa"/>
            <w:bottom w:w="15" w:type="dxa"/>
          </w:tblCellMar>
        </w:tblPrEx>
        <w:trPr>
          <w:cantSplit/>
          <w:trHeight w:val="20"/>
        </w:trPr>
        <w:tc>
          <w:tcPr>
            <w:tcW w:w="9067" w:type="dxa"/>
            <w:gridSpan w:val="6"/>
            <w:vAlign w:val="center"/>
          </w:tcPr>
          <w:p w14:paraId="4E5E2ED5"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6A8A2AD6" w14:textId="77777777">
        <w:tblPrEx>
          <w:tblCellMar>
            <w:top w:w="15" w:type="dxa"/>
            <w:bottom w:w="15" w:type="dxa"/>
          </w:tblCellMar>
        </w:tblPrEx>
        <w:trPr>
          <w:cantSplit/>
          <w:trHeight w:val="20"/>
        </w:trPr>
        <w:tc>
          <w:tcPr>
            <w:tcW w:w="9067" w:type="dxa"/>
            <w:gridSpan w:val="6"/>
            <w:vAlign w:val="center"/>
          </w:tcPr>
          <w:p w14:paraId="00C6ED4C"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Patient must not receive more than 16 weeks of treatment under this restriction</w:t>
            </w:r>
          </w:p>
        </w:tc>
      </w:tr>
      <w:tr w:rsidR="00852466" w:rsidRPr="000F1D45" w14:paraId="28FDA344" w14:textId="77777777">
        <w:tblPrEx>
          <w:tblCellMar>
            <w:top w:w="15" w:type="dxa"/>
            <w:bottom w:w="15" w:type="dxa"/>
          </w:tblCellMar>
        </w:tblPrEx>
        <w:trPr>
          <w:cantSplit/>
          <w:trHeight w:val="20"/>
        </w:trPr>
        <w:tc>
          <w:tcPr>
            <w:tcW w:w="9067" w:type="dxa"/>
            <w:gridSpan w:val="6"/>
            <w:vAlign w:val="center"/>
          </w:tcPr>
          <w:p w14:paraId="519A56B8"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criteria:</w:t>
            </w:r>
          </w:p>
        </w:tc>
      </w:tr>
      <w:tr w:rsidR="00852466" w:rsidRPr="000F1D45" w14:paraId="6A58D019" w14:textId="77777777">
        <w:tblPrEx>
          <w:tblCellMar>
            <w:top w:w="15" w:type="dxa"/>
            <w:bottom w:w="15" w:type="dxa"/>
          </w:tblCellMar>
        </w:tblPrEx>
        <w:trPr>
          <w:cantSplit/>
          <w:trHeight w:val="20"/>
        </w:trPr>
        <w:tc>
          <w:tcPr>
            <w:tcW w:w="9067" w:type="dxa"/>
            <w:gridSpan w:val="6"/>
            <w:vAlign w:val="center"/>
          </w:tcPr>
          <w:p w14:paraId="256D3A0D"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cs="Arial Narrow"/>
                <w:iCs/>
                <w:sz w:val="20"/>
                <w:szCs w:val="20"/>
                <w14:ligatures w14:val="standardContextual"/>
              </w:rPr>
              <w:t>Must be treated by a paediatric rheumatologist; or</w:t>
            </w:r>
          </w:p>
        </w:tc>
      </w:tr>
      <w:tr w:rsidR="00852466" w:rsidRPr="000F1D45" w14:paraId="2C45C70A" w14:textId="77777777">
        <w:tblPrEx>
          <w:tblCellMar>
            <w:top w:w="15" w:type="dxa"/>
            <w:bottom w:w="15" w:type="dxa"/>
          </w:tblCellMar>
        </w:tblPrEx>
        <w:trPr>
          <w:cantSplit/>
          <w:trHeight w:val="20"/>
        </w:trPr>
        <w:tc>
          <w:tcPr>
            <w:tcW w:w="9067" w:type="dxa"/>
            <w:gridSpan w:val="6"/>
            <w:vAlign w:val="center"/>
          </w:tcPr>
          <w:p w14:paraId="6C3444F1" w14:textId="77777777" w:rsidR="00852466" w:rsidRPr="00116AFD" w:rsidRDefault="00852466">
            <w:pPr>
              <w:rPr>
                <w:rFonts w:ascii="Arial Narrow" w:hAnsi="Arial Narrow" w:cs="Arial Narrow"/>
                <w:iCs/>
                <w:sz w:val="20"/>
                <w:szCs w:val="20"/>
                <w14:ligatures w14:val="standardContextual"/>
              </w:rPr>
            </w:pPr>
            <w:r w:rsidRPr="00116AFD">
              <w:rPr>
                <w:rFonts w:ascii="Arial Narrow" w:hAnsi="Arial Narrow" w:cs="Arial Narrow"/>
                <w:sz w:val="20"/>
                <w:szCs w:val="20"/>
                <w14:ligatures w14:val="standardContextual"/>
              </w:rPr>
              <w:t>Patient must be undergoing treatment under the supervision of a paediatric rheumatology treatment centre</w:t>
            </w:r>
          </w:p>
        </w:tc>
      </w:tr>
      <w:tr w:rsidR="00852466" w:rsidRPr="000F1D45" w14:paraId="4190C1BA" w14:textId="77777777">
        <w:tblPrEx>
          <w:tblCellMar>
            <w:top w:w="15" w:type="dxa"/>
            <w:bottom w:w="15" w:type="dxa"/>
          </w:tblCellMar>
        </w:tblPrEx>
        <w:trPr>
          <w:cantSplit/>
          <w:trHeight w:val="20"/>
        </w:trPr>
        <w:tc>
          <w:tcPr>
            <w:tcW w:w="9067" w:type="dxa"/>
            <w:gridSpan w:val="6"/>
            <w:vAlign w:val="center"/>
          </w:tcPr>
          <w:p w14:paraId="0BF19D48" w14:textId="77777777" w:rsidR="00852466" w:rsidRPr="00116AFD" w:rsidRDefault="00852466">
            <w:pPr>
              <w:rPr>
                <w:rFonts w:ascii="Arial Narrow" w:hAnsi="Arial Narrow"/>
                <w:bCs/>
                <w:sz w:val="20"/>
                <w:szCs w:val="20"/>
                <w14:ligatures w14:val="standardContextual"/>
              </w:rPr>
            </w:pPr>
            <w:r w:rsidRPr="00116AFD">
              <w:rPr>
                <w:rFonts w:ascii="Arial Narrow" w:hAnsi="Arial Narrow"/>
                <w:b/>
                <w:bCs/>
                <w:sz w:val="20"/>
                <w:szCs w:val="20"/>
                <w14:ligatures w14:val="standardContextual"/>
              </w:rPr>
              <w:t xml:space="preserve">Prescribing Instructions: </w:t>
            </w:r>
            <w:r w:rsidRPr="00116AFD">
              <w:rPr>
                <w:rFonts w:ascii="Arial Narrow" w:hAnsi="Arial Narrow"/>
                <w:bCs/>
                <w:sz w:val="20"/>
                <w:szCs w:val="20"/>
                <w14:ligatures w14:val="standardContextual"/>
              </w:rPr>
              <w:t>An adequate response to treatment is defined as:</w:t>
            </w:r>
          </w:p>
          <w:p w14:paraId="4F2B940B" w14:textId="77777777" w:rsidR="00852466" w:rsidRPr="00116AFD" w:rsidRDefault="00852466">
            <w:pPr>
              <w:rPr>
                <w:rFonts w:ascii="Arial Narrow" w:hAnsi="Arial Narrow"/>
                <w:bCs/>
                <w:sz w:val="20"/>
                <w:szCs w:val="20"/>
                <w14:ligatures w14:val="standardContextual"/>
              </w:rPr>
            </w:pPr>
          </w:p>
          <w:p w14:paraId="55DB4F60"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 xml:space="preserve">(a) a reduction in the total active (swollen and tender) joint count by at least 50% from baseline, where baseline is at least </w:t>
            </w:r>
            <w:r w:rsidRPr="00116AFD">
              <w:rPr>
                <w:rFonts w:ascii="Arial Narrow" w:hAnsi="Arial Narrow"/>
                <w:bCs/>
                <w:strike/>
                <w:sz w:val="20"/>
                <w:szCs w:val="20"/>
                <w14:ligatures w14:val="standardContextual"/>
              </w:rPr>
              <w:t>20</w:t>
            </w:r>
            <w:r w:rsidRPr="00116AFD">
              <w:rPr>
                <w:rFonts w:ascii="Arial Narrow" w:hAnsi="Arial Narrow"/>
                <w:bCs/>
                <w:sz w:val="20"/>
                <w:szCs w:val="20"/>
                <w14:ligatures w14:val="standardContextual"/>
              </w:rPr>
              <w:t xml:space="preserve"> </w:t>
            </w:r>
            <w:r w:rsidRPr="00116AFD">
              <w:rPr>
                <w:rFonts w:ascii="Arial Narrow" w:hAnsi="Arial Narrow"/>
                <w:bCs/>
                <w:i/>
                <w:iCs/>
                <w:sz w:val="20"/>
                <w:szCs w:val="20"/>
                <w14:ligatures w14:val="standardContextual"/>
              </w:rPr>
              <w:t>10</w:t>
            </w:r>
            <w:r w:rsidRPr="00116AFD">
              <w:rPr>
                <w:rFonts w:ascii="Arial Narrow" w:hAnsi="Arial Narrow"/>
                <w:bCs/>
                <w:sz w:val="20"/>
                <w:szCs w:val="20"/>
                <w14:ligatures w14:val="standardContextual"/>
              </w:rPr>
              <w:t xml:space="preserve"> active joints; or</w:t>
            </w:r>
          </w:p>
          <w:p w14:paraId="5980E67F" w14:textId="77777777" w:rsidR="00852466" w:rsidRPr="00116AFD" w:rsidRDefault="00852466">
            <w:pPr>
              <w:rPr>
                <w:rFonts w:ascii="Arial Narrow" w:hAnsi="Arial Narrow"/>
                <w:bCs/>
                <w:sz w:val="20"/>
                <w:szCs w:val="20"/>
                <w14:ligatures w14:val="standardContextual"/>
              </w:rPr>
            </w:pPr>
          </w:p>
          <w:p w14:paraId="4117810F" w14:textId="77777777" w:rsidR="00852466" w:rsidRPr="00116AFD" w:rsidRDefault="00852466">
            <w:pPr>
              <w:rPr>
                <w:rFonts w:ascii="Arial Narrow" w:hAnsi="Arial Narrow"/>
                <w:bCs/>
                <w:i/>
                <w:iCs/>
                <w:sz w:val="20"/>
                <w:szCs w:val="20"/>
                <w14:ligatures w14:val="standardContextual"/>
              </w:rPr>
            </w:pPr>
            <w:r w:rsidRPr="00116AFD">
              <w:rPr>
                <w:rFonts w:ascii="Arial Narrow" w:hAnsi="Arial Narrow"/>
                <w:bCs/>
                <w:sz w:val="20"/>
                <w:szCs w:val="20"/>
                <w14:ligatures w14:val="standardContextual"/>
              </w:rPr>
              <w:t xml:space="preserve">(b) a reduction in the number of the following active joints, from at least </w:t>
            </w:r>
            <w:r w:rsidRPr="00116AFD">
              <w:rPr>
                <w:rFonts w:ascii="Arial Narrow" w:hAnsi="Arial Narrow"/>
                <w:bCs/>
                <w:strike/>
                <w:sz w:val="20"/>
                <w:szCs w:val="20"/>
                <w14:ligatures w14:val="standardContextual"/>
              </w:rPr>
              <w:t xml:space="preserve"> 4 </w:t>
            </w:r>
            <w:r w:rsidRPr="00116AFD">
              <w:rPr>
                <w:rFonts w:ascii="Arial Narrow" w:hAnsi="Arial Narrow"/>
                <w:bCs/>
                <w:sz w:val="20"/>
                <w:szCs w:val="20"/>
                <w14:ligatures w14:val="standardContextual"/>
              </w:rPr>
              <w:t xml:space="preserve"> </w:t>
            </w:r>
            <w:r w:rsidRPr="00116AFD">
              <w:rPr>
                <w:rFonts w:ascii="Arial Narrow" w:hAnsi="Arial Narrow"/>
                <w:bCs/>
                <w:i/>
                <w:iCs/>
                <w:sz w:val="20"/>
                <w:szCs w:val="20"/>
                <w14:ligatures w14:val="standardContextual"/>
              </w:rPr>
              <w:t>2</w:t>
            </w:r>
            <w:r w:rsidRPr="00116AFD">
              <w:rPr>
                <w:rFonts w:ascii="Arial Narrow" w:hAnsi="Arial Narrow"/>
                <w:bCs/>
                <w:sz w:val="20"/>
                <w:szCs w:val="20"/>
                <w14:ligatures w14:val="standardContextual"/>
              </w:rPr>
              <w:t xml:space="preserve">, by at least 50%: </w:t>
            </w:r>
            <w:r w:rsidRPr="00116AFD">
              <w:rPr>
                <w:rFonts w:ascii="Arial Narrow" w:hAnsi="Arial Narrow"/>
                <w:bCs/>
                <w:i/>
                <w:iCs/>
                <w:sz w:val="20"/>
                <w:szCs w:val="20"/>
                <w14:ligatures w14:val="standardContextual"/>
              </w:rPr>
              <w:t>elbow, wrist, knee, ankle, shoulder, and hip; OR</w:t>
            </w:r>
          </w:p>
          <w:p w14:paraId="3DBEFE02"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 elbow, wrist, knee and/or ankle (assessed as swollen and tender); and/or</w:t>
            </w:r>
          </w:p>
          <w:p w14:paraId="6323593B" w14:textId="77777777" w:rsidR="00852466" w:rsidRPr="00116AFD" w:rsidRDefault="00852466">
            <w:pPr>
              <w:rPr>
                <w:rFonts w:ascii="Arial Narrow" w:hAnsi="Arial Narrow"/>
                <w:bCs/>
                <w:strike/>
                <w:sz w:val="20"/>
                <w:szCs w:val="20"/>
                <w14:ligatures w14:val="standardContextual"/>
              </w:rPr>
            </w:pPr>
          </w:p>
          <w:p w14:paraId="5E2329B6"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06041FEF" w14:textId="77777777" w:rsidR="00852466" w:rsidRPr="00116AFD" w:rsidRDefault="00852466">
            <w:pPr>
              <w:rPr>
                <w:rFonts w:ascii="Arial Narrow" w:hAnsi="Arial Narrow"/>
                <w:bCs/>
                <w:sz w:val="20"/>
                <w:szCs w:val="20"/>
                <w14:ligatures w14:val="standardContextual"/>
              </w:rPr>
            </w:pPr>
          </w:p>
          <w:p w14:paraId="6749CE1E"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(c)</w:t>
            </w:r>
            <w:r w:rsidRPr="00116AFD">
              <w:rPr>
                <w14:ligatures w14:val="standardContextual"/>
              </w:rPr>
              <w:t xml:space="preserve"> </w:t>
            </w:r>
            <w:r w:rsidRPr="00116AFD">
              <w:rPr>
                <w:rFonts w:ascii="Arial Narrow" w:hAnsi="Arial Narrow"/>
                <w:i/>
                <w:iCs/>
                <w:sz w:val="20"/>
                <w:szCs w:val="20"/>
                <w14:ligatures w14:val="standardContextual"/>
              </w:rPr>
              <w:t>an improvement from baseline by at least 50% in the signs and symptoms attributable to active arthritis affecting the cervical spine or temporomandibular joint; OR</w:t>
            </w:r>
          </w:p>
          <w:p w14:paraId="15753AE1" w14:textId="77777777" w:rsidR="00852466" w:rsidRPr="00116AFD" w:rsidRDefault="00852466">
            <w:pPr>
              <w:rPr>
                <w:rFonts w:ascii="Arial Narrow" w:hAnsi="Arial Narrow"/>
                <w:i/>
                <w:iCs/>
                <w:sz w:val="20"/>
                <w:szCs w:val="20"/>
                <w14:ligatures w14:val="standardContextual"/>
              </w:rPr>
            </w:pPr>
          </w:p>
          <w:p w14:paraId="4D60856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(d) a 50% reduction from baseline on the frequency of oral or intra-articular corticosteroids use to control flares of disease associated with active arthritis; OR</w:t>
            </w:r>
          </w:p>
          <w:p w14:paraId="0AE9CA8F" w14:textId="77777777" w:rsidR="00852466" w:rsidRPr="00116AFD" w:rsidRDefault="00852466">
            <w:pPr>
              <w:rPr>
                <w:rFonts w:ascii="Arial Narrow" w:hAnsi="Arial Narrow"/>
                <w:i/>
                <w:iCs/>
                <w:sz w:val="20"/>
                <w:szCs w:val="20"/>
                <w14:ligatures w14:val="standardContextual"/>
              </w:rPr>
            </w:pPr>
          </w:p>
          <w:p w14:paraId="460C8E24" w14:textId="77777777" w:rsidR="00852466" w:rsidRPr="00116AFD" w:rsidRDefault="00852466">
            <w:pPr>
              <w:rPr>
                <w:rFonts w:ascii="Arial Narrow" w:hAnsi="Arial Narrow"/>
                <w:bCs/>
                <w:sz w:val="20"/>
                <w:szCs w:val="20"/>
                <w14:ligatures w14:val="standardContextual"/>
              </w:rPr>
            </w:pPr>
            <w:r w:rsidRPr="00116AFD">
              <w:rPr>
                <w:rFonts w:ascii="Arial Narrow" w:hAnsi="Arial Narrow"/>
                <w:i/>
                <w:iCs/>
                <w:sz w:val="20"/>
                <w:szCs w:val="20"/>
                <w14:ligatures w14:val="standardContextual"/>
              </w:rPr>
              <w:t>(e) an improvement from baseline by at least 50% in the signs and symptoms attributable to active arthritis affecting joint(s) with erosive disease.</w:t>
            </w:r>
          </w:p>
          <w:p w14:paraId="6AB5CBC6" w14:textId="77777777" w:rsidR="00852466" w:rsidRPr="00116AFD" w:rsidRDefault="00852466">
            <w:pPr>
              <w:rPr>
                <w:rFonts w:ascii="Arial Narrow" w:hAnsi="Arial Narrow"/>
                <w:bCs/>
                <w:sz w:val="20"/>
                <w:szCs w:val="20"/>
                <w14:ligatures w14:val="standardContextual"/>
              </w:rPr>
            </w:pPr>
          </w:p>
          <w:p w14:paraId="5B575CD2" w14:textId="77777777" w:rsidR="00852466" w:rsidRPr="00116AFD" w:rsidRDefault="00852466">
            <w:pPr>
              <w:rPr>
                <w:rFonts w:ascii="Arial Narrow" w:hAnsi="Arial Narrow"/>
                <w:sz w:val="20"/>
                <w:szCs w:val="20"/>
                <w14:ligatures w14:val="standardContextual"/>
              </w:rPr>
            </w:pPr>
            <w:r w:rsidRPr="00116AFD">
              <w:rPr>
                <w:rFonts w:ascii="Arial Narrow" w:hAnsi="Arial Narrow"/>
                <w:bCs/>
                <w:sz w:val="20"/>
                <w:szCs w:val="20"/>
                <w14:ligatures w14:val="standardContextual"/>
              </w:rPr>
              <w:t>The assessment of response to treatment must be documented in the patient's medical records.</w:t>
            </w:r>
          </w:p>
        </w:tc>
      </w:tr>
      <w:tr w:rsidR="00852466" w:rsidRPr="000F1D45" w14:paraId="120CC3FB" w14:textId="77777777">
        <w:tblPrEx>
          <w:tblCellMar>
            <w:top w:w="15" w:type="dxa"/>
            <w:bottom w:w="15" w:type="dxa"/>
          </w:tblCellMar>
        </w:tblPrEx>
        <w:trPr>
          <w:cantSplit/>
          <w:trHeight w:val="20"/>
        </w:trPr>
        <w:tc>
          <w:tcPr>
            <w:tcW w:w="9067" w:type="dxa"/>
            <w:gridSpan w:val="6"/>
            <w:vAlign w:val="center"/>
          </w:tcPr>
          <w:p w14:paraId="6964C373"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59AB0C89"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Cs/>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116AFD">
              <w:rPr>
                <w:rFonts w:ascii="Arial Narrow" w:hAnsi="Arial Narrow"/>
                <w:bCs/>
                <w:sz w:val="20"/>
                <w:szCs w:val="20"/>
                <w14:ligatures w14:val="standardContextual"/>
              </w:rPr>
              <w:t>a sufficient amount</w:t>
            </w:r>
            <w:proofErr w:type="gramEnd"/>
            <w:r w:rsidRPr="00116AFD">
              <w:rPr>
                <w:rFonts w:ascii="Arial Narrow" w:hAnsi="Arial Narrow"/>
                <w:bCs/>
                <w:sz w:val="20"/>
                <w:szCs w:val="20"/>
                <w14:ligatures w14:val="standardContextual"/>
              </w:rPr>
              <w:t xml:space="preserve"> for two doses. Up to a maximum of 3 repeats will be authorised.</w:t>
            </w:r>
          </w:p>
        </w:tc>
      </w:tr>
      <w:tr w:rsidR="00852466" w:rsidRPr="000F1D45" w14:paraId="547970E2" w14:textId="77777777">
        <w:tblPrEx>
          <w:tblCellMar>
            <w:top w:w="15" w:type="dxa"/>
            <w:bottom w:w="15" w:type="dxa"/>
          </w:tblCellMar>
        </w:tblPrEx>
        <w:trPr>
          <w:cantSplit/>
          <w:trHeight w:val="20"/>
        </w:trPr>
        <w:tc>
          <w:tcPr>
            <w:tcW w:w="9067" w:type="dxa"/>
            <w:gridSpan w:val="6"/>
            <w:vAlign w:val="center"/>
          </w:tcPr>
          <w:p w14:paraId="0EC7305B"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0A96C111"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tc>
      </w:tr>
      <w:tr w:rsidR="00852466" w:rsidRPr="000F1D45" w14:paraId="7910199B" w14:textId="77777777">
        <w:tblPrEx>
          <w:tblCellMar>
            <w:top w:w="15" w:type="dxa"/>
            <w:bottom w:w="15" w:type="dxa"/>
          </w:tblCellMar>
        </w:tblPrEx>
        <w:trPr>
          <w:cantSplit/>
          <w:trHeight w:val="20"/>
        </w:trPr>
        <w:tc>
          <w:tcPr>
            <w:tcW w:w="9067" w:type="dxa"/>
            <w:gridSpan w:val="6"/>
            <w:vAlign w:val="center"/>
          </w:tcPr>
          <w:p w14:paraId="51EC616C"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74624579"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852466" w:rsidRPr="000F1D45" w14:paraId="6A2A21FB" w14:textId="77777777">
        <w:tblPrEx>
          <w:tblCellMar>
            <w:top w:w="15" w:type="dxa"/>
            <w:bottom w:w="15" w:type="dxa"/>
          </w:tblCellMar>
        </w:tblPrEx>
        <w:trPr>
          <w:cantSplit/>
          <w:trHeight w:val="20"/>
        </w:trPr>
        <w:tc>
          <w:tcPr>
            <w:tcW w:w="9067" w:type="dxa"/>
            <w:gridSpan w:val="6"/>
            <w:vAlign w:val="center"/>
          </w:tcPr>
          <w:p w14:paraId="79B349D0" w14:textId="77777777" w:rsidR="00852466"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6E23B02A"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 xml:space="preserve">If a patient fails to demonstrate a response to treatment with this </w:t>
            </w:r>
            <w:proofErr w:type="gramStart"/>
            <w:r w:rsidRPr="000F1D45">
              <w:rPr>
                <w:rFonts w:ascii="Arial Narrow" w:hAnsi="Arial Narrow"/>
                <w:sz w:val="20"/>
                <w:szCs w:val="20"/>
                <w14:ligatures w14:val="standardContextual"/>
              </w:rPr>
              <w:t>drug</w:t>
            </w:r>
            <w:proofErr w:type="gramEnd"/>
            <w:r w:rsidRPr="000F1D45">
              <w:rPr>
                <w:rFonts w:ascii="Arial Narrow" w:hAnsi="Arial Narrow"/>
                <w:sz w:val="20"/>
                <w:szCs w:val="20"/>
                <w14:ligatures w14:val="standardContextual"/>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0F1D45" w14:paraId="7EA27A00" w14:textId="77777777">
        <w:tblPrEx>
          <w:tblCellMar>
            <w:top w:w="15" w:type="dxa"/>
            <w:bottom w:w="15" w:type="dxa"/>
          </w:tblCellMar>
        </w:tblPrEx>
        <w:trPr>
          <w:cantSplit/>
          <w:trHeight w:val="20"/>
        </w:trPr>
        <w:tc>
          <w:tcPr>
            <w:tcW w:w="9067" w:type="dxa"/>
            <w:gridSpan w:val="6"/>
            <w:vAlign w:val="center"/>
          </w:tcPr>
          <w:p w14:paraId="6D669B95" w14:textId="77777777" w:rsidR="00852466" w:rsidRDefault="00852466">
            <w:pPr>
              <w:rPr>
                <w14:ligatures w14:val="standardContextual"/>
              </w:rPr>
            </w:pPr>
            <w:r w:rsidRPr="000F1D45">
              <w:rPr>
                <w:rFonts w:ascii="Arial Narrow" w:hAnsi="Arial Narrow"/>
                <w:b/>
                <w:bCs/>
                <w:sz w:val="20"/>
                <w:szCs w:val="20"/>
                <w14:ligatures w14:val="standardContextual"/>
              </w:rPr>
              <w:t>Prescribing Instructions:</w:t>
            </w:r>
          </w:p>
          <w:p w14:paraId="146B9792"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852466" w:rsidRPr="000F1D45" w14:paraId="1E06254F" w14:textId="77777777">
        <w:tblPrEx>
          <w:tblCellMar>
            <w:top w:w="15" w:type="dxa"/>
            <w:bottom w:w="15" w:type="dxa"/>
          </w:tblCellMar>
        </w:tblPrEx>
        <w:trPr>
          <w:cantSplit/>
          <w:trHeight w:val="20"/>
        </w:trPr>
        <w:tc>
          <w:tcPr>
            <w:tcW w:w="9067" w:type="dxa"/>
            <w:gridSpan w:val="6"/>
            <w:vAlign w:val="center"/>
          </w:tcPr>
          <w:p w14:paraId="3A2F5A85"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45B0785B"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respond to PBS-subsidised biological medicine treatment 3 times they will not be eligible to receive further PBS-subsidised biological medicine therapy in this treatment cycle.</w:t>
            </w:r>
          </w:p>
        </w:tc>
      </w:tr>
      <w:tr w:rsidR="00852466" w:rsidRPr="000F1D45" w14:paraId="0079F081" w14:textId="77777777">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CD210E7" w14:textId="77777777" w:rsidR="00852466" w:rsidRPr="000F1D45" w:rsidRDefault="00852466">
            <w:pPr>
              <w:rPr>
                <w:rFonts w:ascii="Arial Narrow" w:hAnsi="Arial Narrow"/>
                <w:b/>
                <w:bCs/>
                <w:sz w:val="20"/>
                <w:szCs w:val="20"/>
                <w14:ligatures w14:val="standardContextual"/>
              </w:rPr>
            </w:pPr>
          </w:p>
          <w:p w14:paraId="51DF5984" w14:textId="77777777" w:rsidR="00852466" w:rsidRPr="000F1D45" w:rsidRDefault="00852466">
            <w:pPr>
              <w:rPr>
                <w:rFonts w:ascii="Arial Narrow" w:hAnsi="Arial Narrow"/>
                <w:b/>
                <w:bCs/>
                <w:sz w:val="20"/>
                <w:szCs w:val="20"/>
                <w14:ligatures w14:val="standardContextual"/>
              </w:rPr>
            </w:pPr>
          </w:p>
        </w:tc>
      </w:tr>
      <w:tr w:rsidR="00852466" w:rsidRPr="000F1D45" w14:paraId="2A257273" w14:textId="77777777">
        <w:tblPrEx>
          <w:tblCellMar>
            <w:top w:w="15" w:type="dxa"/>
            <w:bottom w:w="15" w:type="dxa"/>
          </w:tblCellMar>
        </w:tblPrEx>
        <w:trPr>
          <w:cantSplit/>
          <w:trHeight w:val="20"/>
        </w:trPr>
        <w:tc>
          <w:tcPr>
            <w:tcW w:w="9067" w:type="dxa"/>
            <w:gridSpan w:val="6"/>
            <w:vAlign w:val="center"/>
          </w:tcPr>
          <w:p w14:paraId="610C2648"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320398A6" w14:textId="77777777">
        <w:tblPrEx>
          <w:tblCellMar>
            <w:top w:w="15" w:type="dxa"/>
            <w:bottom w:w="15" w:type="dxa"/>
          </w:tblCellMar>
        </w:tblPrEx>
        <w:trPr>
          <w:cantSplit/>
          <w:trHeight w:val="20"/>
        </w:trPr>
        <w:tc>
          <w:tcPr>
            <w:tcW w:w="9067" w:type="dxa"/>
            <w:gridSpan w:val="6"/>
            <w:vAlign w:val="center"/>
          </w:tcPr>
          <w:p w14:paraId="79A45FFE"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6184F41E" w14:textId="77777777">
        <w:tblPrEx>
          <w:tblCellMar>
            <w:top w:w="15" w:type="dxa"/>
            <w:bottom w:w="15" w:type="dxa"/>
          </w:tblCellMar>
        </w:tblPrEx>
        <w:trPr>
          <w:cantSplit/>
          <w:trHeight w:val="20"/>
        </w:trPr>
        <w:tc>
          <w:tcPr>
            <w:tcW w:w="9067" w:type="dxa"/>
            <w:gridSpan w:val="6"/>
            <w:vAlign w:val="center"/>
          </w:tcPr>
          <w:p w14:paraId="4F03D811"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852466" w:rsidRPr="000F1D45" w14:paraId="4B2FD7C2" w14:textId="77777777">
        <w:tblPrEx>
          <w:tblCellMar>
            <w:top w:w="15" w:type="dxa"/>
            <w:bottom w:w="15" w:type="dxa"/>
          </w:tblCellMar>
        </w:tblPrEx>
        <w:trPr>
          <w:cantSplit/>
          <w:trHeight w:val="20"/>
        </w:trPr>
        <w:tc>
          <w:tcPr>
            <w:tcW w:w="9067" w:type="dxa"/>
            <w:gridSpan w:val="6"/>
            <w:vAlign w:val="center"/>
          </w:tcPr>
          <w:p w14:paraId="44960AF9"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78F959D0" w14:textId="77777777">
        <w:tblPrEx>
          <w:tblCellMar>
            <w:top w:w="15" w:type="dxa"/>
            <w:bottom w:w="15" w:type="dxa"/>
          </w:tblCellMar>
        </w:tblPrEx>
        <w:trPr>
          <w:cantSplit/>
          <w:trHeight w:val="20"/>
        </w:trPr>
        <w:tc>
          <w:tcPr>
            <w:tcW w:w="9067" w:type="dxa"/>
            <w:gridSpan w:val="6"/>
            <w:vAlign w:val="center"/>
          </w:tcPr>
          <w:p w14:paraId="05751D80"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7F6CC3EB" w14:textId="77777777">
        <w:tblPrEx>
          <w:tblCellMar>
            <w:top w:w="15" w:type="dxa"/>
            <w:bottom w:w="15" w:type="dxa"/>
          </w:tblCellMar>
        </w:tblPrEx>
        <w:trPr>
          <w:cantSplit/>
          <w:trHeight w:val="20"/>
        </w:trPr>
        <w:tc>
          <w:tcPr>
            <w:tcW w:w="9067" w:type="dxa"/>
            <w:gridSpan w:val="6"/>
            <w:vAlign w:val="center"/>
          </w:tcPr>
          <w:p w14:paraId="10F7881C" w14:textId="77777777" w:rsidR="00852466"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032D6448"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treatment - Initial 3 (recommencement of treatment after a break in biological medicine of more than 12 months)</w:t>
            </w:r>
          </w:p>
        </w:tc>
      </w:tr>
      <w:tr w:rsidR="00852466" w:rsidRPr="000F1D45" w14:paraId="76922414" w14:textId="77777777">
        <w:tblPrEx>
          <w:tblCellMar>
            <w:top w:w="15" w:type="dxa"/>
            <w:bottom w:w="15" w:type="dxa"/>
          </w:tblCellMar>
        </w:tblPrEx>
        <w:trPr>
          <w:cantSplit/>
          <w:trHeight w:val="20"/>
        </w:trPr>
        <w:tc>
          <w:tcPr>
            <w:tcW w:w="9067" w:type="dxa"/>
            <w:gridSpan w:val="6"/>
            <w:vAlign w:val="center"/>
          </w:tcPr>
          <w:p w14:paraId="0AA4FD32"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852466" w:rsidRPr="000F1D45" w14:paraId="273AA9DD" w14:textId="77777777">
        <w:tblPrEx>
          <w:tblCellMar>
            <w:top w:w="15" w:type="dxa"/>
            <w:bottom w:w="15" w:type="dxa"/>
          </w:tblCellMar>
        </w:tblPrEx>
        <w:trPr>
          <w:cantSplit/>
          <w:trHeight w:val="20"/>
        </w:trPr>
        <w:tc>
          <w:tcPr>
            <w:tcW w:w="9067" w:type="dxa"/>
            <w:gridSpan w:val="6"/>
            <w:vAlign w:val="center"/>
          </w:tcPr>
          <w:p w14:paraId="5F7F06F4"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have previously received PBS-subsidised treatment with a biological medicine for this condition</w:t>
            </w:r>
          </w:p>
        </w:tc>
      </w:tr>
      <w:tr w:rsidR="00852466" w:rsidRPr="000F1D45" w14:paraId="7FFE0B14" w14:textId="77777777">
        <w:tblPrEx>
          <w:tblCellMar>
            <w:top w:w="15" w:type="dxa"/>
            <w:bottom w:w="15" w:type="dxa"/>
          </w:tblCellMar>
        </w:tblPrEx>
        <w:trPr>
          <w:cantSplit/>
          <w:trHeight w:val="20"/>
        </w:trPr>
        <w:tc>
          <w:tcPr>
            <w:tcW w:w="9067" w:type="dxa"/>
            <w:gridSpan w:val="6"/>
            <w:vAlign w:val="center"/>
          </w:tcPr>
          <w:p w14:paraId="10935A5B"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112775BA" w14:textId="77777777">
        <w:tblPrEx>
          <w:tblCellMar>
            <w:top w:w="15" w:type="dxa"/>
            <w:bottom w:w="15" w:type="dxa"/>
          </w:tblCellMar>
        </w:tblPrEx>
        <w:trPr>
          <w:cantSplit/>
          <w:trHeight w:val="20"/>
        </w:trPr>
        <w:tc>
          <w:tcPr>
            <w:tcW w:w="9067" w:type="dxa"/>
            <w:gridSpan w:val="6"/>
            <w:vAlign w:val="center"/>
          </w:tcPr>
          <w:p w14:paraId="4FFBFD0B"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852466" w:rsidRPr="000F1D45" w14:paraId="63250017" w14:textId="77777777">
        <w:tblPrEx>
          <w:tblCellMar>
            <w:top w:w="15" w:type="dxa"/>
            <w:bottom w:w="15" w:type="dxa"/>
          </w:tblCellMar>
        </w:tblPrEx>
        <w:trPr>
          <w:cantSplit/>
          <w:trHeight w:val="20"/>
        </w:trPr>
        <w:tc>
          <w:tcPr>
            <w:tcW w:w="9067" w:type="dxa"/>
            <w:gridSpan w:val="6"/>
            <w:vAlign w:val="center"/>
          </w:tcPr>
          <w:p w14:paraId="31DC152C"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Patient must have had a break in treatment of 12 months or more from the most recently approved PBS-subsidised biological medicine for this condition</w:t>
            </w:r>
          </w:p>
        </w:tc>
      </w:tr>
      <w:tr w:rsidR="00852466" w:rsidRPr="000F1D45" w14:paraId="067FB2E1" w14:textId="77777777">
        <w:tblPrEx>
          <w:tblCellMar>
            <w:top w:w="15" w:type="dxa"/>
            <w:bottom w:w="15" w:type="dxa"/>
          </w:tblCellMar>
        </w:tblPrEx>
        <w:trPr>
          <w:cantSplit/>
          <w:trHeight w:val="20"/>
        </w:trPr>
        <w:tc>
          <w:tcPr>
            <w:tcW w:w="9067" w:type="dxa"/>
            <w:gridSpan w:val="6"/>
            <w:vAlign w:val="center"/>
          </w:tcPr>
          <w:p w14:paraId="1D815AA8"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0EF93FB7" w14:textId="77777777">
        <w:tblPrEx>
          <w:tblCellMar>
            <w:top w:w="15" w:type="dxa"/>
            <w:bottom w:w="15" w:type="dxa"/>
          </w:tblCellMar>
        </w:tblPrEx>
        <w:trPr>
          <w:cantSplit/>
          <w:trHeight w:val="20"/>
        </w:trPr>
        <w:tc>
          <w:tcPr>
            <w:tcW w:w="9067" w:type="dxa"/>
            <w:gridSpan w:val="6"/>
            <w:vAlign w:val="center"/>
          </w:tcPr>
          <w:p w14:paraId="6BFE1F07"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331B881C" w14:textId="77777777">
        <w:tblPrEx>
          <w:tblCellMar>
            <w:top w:w="15" w:type="dxa"/>
            <w:bottom w:w="15" w:type="dxa"/>
          </w:tblCellMar>
        </w:tblPrEx>
        <w:trPr>
          <w:cantSplit/>
          <w:trHeight w:val="20"/>
        </w:trPr>
        <w:tc>
          <w:tcPr>
            <w:tcW w:w="9067" w:type="dxa"/>
            <w:gridSpan w:val="6"/>
            <w:vAlign w:val="center"/>
          </w:tcPr>
          <w:p w14:paraId="0B0DFFD0"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 xml:space="preserve">The condition must have either: (a) a total active joint count of at least </w:t>
            </w:r>
            <w:r w:rsidRPr="00116AFD">
              <w:rPr>
                <w:rFonts w:ascii="Arial Narrow" w:hAnsi="Arial Narrow"/>
                <w:strike/>
                <w:sz w:val="20"/>
                <w:szCs w:val="20"/>
                <w14:ligatures w14:val="standardContextual"/>
              </w:rPr>
              <w:t>20</w:t>
            </w:r>
            <w:r w:rsidRPr="00116AFD">
              <w:rPr>
                <w:rFonts w:ascii="Arial Narrow" w:hAnsi="Arial Narrow"/>
                <w:i/>
                <w:iCs/>
                <w:sz w:val="20"/>
                <w:szCs w:val="20"/>
                <w14:ligatures w14:val="standardContextual"/>
              </w:rPr>
              <w:t>10</w:t>
            </w:r>
            <w:r w:rsidRPr="00116AFD">
              <w:rPr>
                <w:rFonts w:ascii="Arial Narrow" w:hAnsi="Arial Narrow"/>
                <w:sz w:val="20"/>
                <w:szCs w:val="20"/>
                <w14:ligatures w14:val="standardContextual"/>
              </w:rPr>
              <w:t xml:space="preserve"> active (swollen and tender) joints; (b) at least</w:t>
            </w:r>
            <w:r w:rsidRPr="00116AFD">
              <w:rPr>
                <w:rFonts w:ascii="Arial Narrow" w:hAnsi="Arial Narrow"/>
                <w:strike/>
                <w:sz w:val="20"/>
                <w:szCs w:val="20"/>
                <w14:ligatures w14:val="standardContextual"/>
              </w:rPr>
              <w:t xml:space="preserve"> 4 </w:t>
            </w:r>
            <w:r w:rsidRPr="00116AFD">
              <w:rPr>
                <w:rFonts w:ascii="Arial Narrow" w:hAnsi="Arial Narrow"/>
                <w:i/>
                <w:iCs/>
                <w:sz w:val="20"/>
                <w:szCs w:val="20"/>
                <w14:ligatures w14:val="standardContextual"/>
              </w:rPr>
              <w:t>2</w:t>
            </w:r>
            <w:r w:rsidRPr="00116AFD">
              <w:rPr>
                <w:rFonts w:ascii="Arial Narrow" w:hAnsi="Arial Narrow"/>
                <w:sz w:val="20"/>
                <w:szCs w:val="20"/>
                <w14:ligatures w14:val="standardContextual"/>
              </w:rPr>
              <w:t xml:space="preserve"> active major joints</w:t>
            </w:r>
            <w:r w:rsidRPr="00116AFD">
              <w:rPr>
                <w:rFonts w:ascii="Arial Narrow" w:hAnsi="Arial Narrow"/>
                <w:i/>
                <w:iCs/>
                <w:sz w:val="20"/>
                <w:szCs w:val="20"/>
                <w14:ligatures w14:val="standardContextual"/>
              </w:rPr>
              <w:t>; (c) active arthritis affecting the cervical spine or temporomandibular joint; (d) at least 2 separate episodes of oral or intra-articular corticosteroids use within 12 months to control flares of disease; (e) development/worsening of erosive disease due to active arthritis</w:t>
            </w:r>
          </w:p>
        </w:tc>
      </w:tr>
      <w:tr w:rsidR="00852466" w:rsidRPr="000F1D45" w14:paraId="612C89DE" w14:textId="77777777">
        <w:tblPrEx>
          <w:tblCellMar>
            <w:top w:w="15" w:type="dxa"/>
            <w:bottom w:w="15" w:type="dxa"/>
          </w:tblCellMar>
        </w:tblPrEx>
        <w:trPr>
          <w:cantSplit/>
          <w:trHeight w:val="20"/>
        </w:trPr>
        <w:tc>
          <w:tcPr>
            <w:tcW w:w="9067" w:type="dxa"/>
            <w:gridSpan w:val="6"/>
            <w:vAlign w:val="center"/>
          </w:tcPr>
          <w:p w14:paraId="424160D4"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3A3FA3C0" w14:textId="77777777">
        <w:tblPrEx>
          <w:tblCellMar>
            <w:top w:w="15" w:type="dxa"/>
            <w:bottom w:w="15" w:type="dxa"/>
          </w:tblCellMar>
        </w:tblPrEx>
        <w:trPr>
          <w:cantSplit/>
          <w:trHeight w:val="20"/>
        </w:trPr>
        <w:tc>
          <w:tcPr>
            <w:tcW w:w="9067" w:type="dxa"/>
            <w:gridSpan w:val="6"/>
            <w:vAlign w:val="center"/>
          </w:tcPr>
          <w:p w14:paraId="04B1F639"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7BEDA7BB" w14:textId="77777777">
        <w:tblPrEx>
          <w:tblCellMar>
            <w:top w:w="15" w:type="dxa"/>
            <w:bottom w:w="15" w:type="dxa"/>
          </w:tblCellMar>
        </w:tblPrEx>
        <w:trPr>
          <w:cantSplit/>
          <w:trHeight w:val="20"/>
        </w:trPr>
        <w:tc>
          <w:tcPr>
            <w:tcW w:w="9067" w:type="dxa"/>
            <w:gridSpan w:val="6"/>
            <w:vAlign w:val="center"/>
          </w:tcPr>
          <w:p w14:paraId="3679DBAF"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Patient must not receive more than 16 weeks of treatment under this restriction</w:t>
            </w:r>
          </w:p>
        </w:tc>
      </w:tr>
      <w:tr w:rsidR="00852466" w:rsidRPr="000F1D45" w14:paraId="68EEB269" w14:textId="77777777">
        <w:tblPrEx>
          <w:tblCellMar>
            <w:top w:w="15" w:type="dxa"/>
            <w:bottom w:w="15" w:type="dxa"/>
          </w:tblCellMar>
        </w:tblPrEx>
        <w:trPr>
          <w:cantSplit/>
          <w:trHeight w:val="20"/>
        </w:trPr>
        <w:tc>
          <w:tcPr>
            <w:tcW w:w="9067" w:type="dxa"/>
            <w:gridSpan w:val="6"/>
            <w:vAlign w:val="center"/>
          </w:tcPr>
          <w:p w14:paraId="6748A4FF"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criteria:</w:t>
            </w:r>
          </w:p>
        </w:tc>
      </w:tr>
      <w:tr w:rsidR="00852466" w:rsidRPr="000F1D45" w14:paraId="20D0B254" w14:textId="77777777">
        <w:tblPrEx>
          <w:tblCellMar>
            <w:top w:w="15" w:type="dxa"/>
            <w:bottom w:w="15" w:type="dxa"/>
          </w:tblCellMar>
        </w:tblPrEx>
        <w:trPr>
          <w:cantSplit/>
          <w:trHeight w:val="20"/>
        </w:trPr>
        <w:tc>
          <w:tcPr>
            <w:tcW w:w="9067" w:type="dxa"/>
            <w:gridSpan w:val="6"/>
            <w:vAlign w:val="center"/>
          </w:tcPr>
          <w:p w14:paraId="283F55F0"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cs="Arial Narrow"/>
                <w:iCs/>
                <w:sz w:val="20"/>
                <w:szCs w:val="20"/>
                <w14:ligatures w14:val="standardContextual"/>
              </w:rPr>
              <w:t>Must be treated by a paediatric rheumatologist; or</w:t>
            </w:r>
          </w:p>
        </w:tc>
      </w:tr>
      <w:tr w:rsidR="00852466" w:rsidRPr="000F1D45" w14:paraId="5C7226EE" w14:textId="77777777">
        <w:tblPrEx>
          <w:tblCellMar>
            <w:top w:w="15" w:type="dxa"/>
            <w:bottom w:w="15" w:type="dxa"/>
          </w:tblCellMar>
        </w:tblPrEx>
        <w:trPr>
          <w:cantSplit/>
          <w:trHeight w:val="20"/>
        </w:trPr>
        <w:tc>
          <w:tcPr>
            <w:tcW w:w="9067" w:type="dxa"/>
            <w:gridSpan w:val="6"/>
            <w:vAlign w:val="center"/>
          </w:tcPr>
          <w:p w14:paraId="015607B4" w14:textId="77777777" w:rsidR="00852466" w:rsidRPr="00116AFD" w:rsidRDefault="00852466">
            <w:pPr>
              <w:rPr>
                <w:rFonts w:ascii="Arial Narrow" w:hAnsi="Arial Narrow" w:cs="Arial Narrow"/>
                <w:iCs/>
                <w:sz w:val="20"/>
                <w:szCs w:val="20"/>
                <w14:ligatures w14:val="standardContextual"/>
              </w:rPr>
            </w:pPr>
            <w:r w:rsidRPr="00116AFD">
              <w:rPr>
                <w:rFonts w:ascii="Arial Narrow" w:hAnsi="Arial Narrow" w:cs="Arial Narrow"/>
                <w:sz w:val="20"/>
                <w:szCs w:val="20"/>
                <w14:ligatures w14:val="standardContextual"/>
              </w:rPr>
              <w:t>Patient must be undergoing treatment under the supervision of a paediatric rheumatology treatment centre</w:t>
            </w:r>
          </w:p>
        </w:tc>
      </w:tr>
      <w:tr w:rsidR="00852466" w:rsidRPr="000F1D45" w14:paraId="532DD0C5" w14:textId="77777777">
        <w:tblPrEx>
          <w:tblCellMar>
            <w:top w:w="15" w:type="dxa"/>
            <w:bottom w:w="15" w:type="dxa"/>
          </w:tblCellMar>
        </w:tblPrEx>
        <w:trPr>
          <w:trHeight w:val="20"/>
        </w:trPr>
        <w:tc>
          <w:tcPr>
            <w:tcW w:w="9067" w:type="dxa"/>
            <w:gridSpan w:val="6"/>
            <w:vAlign w:val="center"/>
          </w:tcPr>
          <w:p w14:paraId="224C6E8D" w14:textId="77777777" w:rsidR="00852466" w:rsidRPr="00116AFD" w:rsidRDefault="00852466">
            <w:pPr>
              <w:rPr>
                <w:rFonts w:ascii="Arial Narrow" w:hAnsi="Arial Narrow"/>
                <w:bCs/>
                <w:sz w:val="20"/>
                <w:szCs w:val="20"/>
                <w14:ligatures w14:val="standardContextual"/>
              </w:rPr>
            </w:pPr>
            <w:r w:rsidRPr="00116AFD">
              <w:rPr>
                <w:rFonts w:ascii="Arial Narrow" w:hAnsi="Arial Narrow"/>
                <w:b/>
                <w:bCs/>
                <w:sz w:val="20"/>
                <w:szCs w:val="20"/>
                <w14:ligatures w14:val="standardContextual"/>
              </w:rPr>
              <w:t xml:space="preserve">Prescribing Instructions: </w:t>
            </w:r>
            <w:r w:rsidRPr="00116AFD">
              <w:rPr>
                <w:rFonts w:ascii="Arial Narrow" w:hAnsi="Arial Narrow"/>
                <w:bCs/>
                <w:sz w:val="20"/>
                <w:szCs w:val="20"/>
                <w14:ligatures w14:val="standardContextual"/>
              </w:rPr>
              <w:t>Active joints are defined as</w:t>
            </w:r>
            <w:r w:rsidRPr="00116AFD">
              <w:rPr>
                <w:rFonts w:ascii="Arial Narrow" w:hAnsi="Arial Narrow"/>
                <w:bCs/>
                <w:i/>
                <w:iCs/>
                <w:sz w:val="20"/>
                <w:szCs w:val="20"/>
                <w14:ligatures w14:val="standardContextual"/>
              </w:rPr>
              <w:t xml:space="preserve"> elbow, wrist, knee, ankle, shoulder and hip.</w:t>
            </w:r>
          </w:p>
          <w:p w14:paraId="6939E05A" w14:textId="77777777" w:rsidR="00852466" w:rsidRPr="00116AFD" w:rsidRDefault="00852466">
            <w:pPr>
              <w:rPr>
                <w:rFonts w:ascii="Arial Narrow" w:hAnsi="Arial Narrow"/>
                <w:bCs/>
                <w:sz w:val="20"/>
                <w:szCs w:val="20"/>
                <w14:ligatures w14:val="standardContextual"/>
              </w:rPr>
            </w:pPr>
          </w:p>
          <w:p w14:paraId="6C60C152"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 elbow, wrist, knee and/or ankle (assessed as swollen and tender); and/or</w:t>
            </w:r>
          </w:p>
          <w:p w14:paraId="56E564D1" w14:textId="77777777" w:rsidR="00852466" w:rsidRPr="00116AFD" w:rsidRDefault="00852466">
            <w:pPr>
              <w:rPr>
                <w:rFonts w:ascii="Arial Narrow" w:hAnsi="Arial Narrow"/>
                <w:bCs/>
                <w:strike/>
                <w:sz w:val="20"/>
                <w:szCs w:val="20"/>
                <w14:ligatures w14:val="standardContextual"/>
              </w:rPr>
            </w:pPr>
          </w:p>
          <w:p w14:paraId="395993D9"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3C89B137" w14:textId="77777777" w:rsidR="00852466" w:rsidRPr="00116AFD" w:rsidRDefault="00852466">
            <w:pPr>
              <w:rPr>
                <w:rFonts w:ascii="Arial Narrow" w:hAnsi="Arial Narrow"/>
                <w:bCs/>
                <w:sz w:val="20"/>
                <w:szCs w:val="20"/>
                <w14:ligatures w14:val="standardContextual"/>
              </w:rPr>
            </w:pPr>
          </w:p>
          <w:p w14:paraId="09606C77" w14:textId="77777777" w:rsidR="00852466" w:rsidRPr="00116AFD" w:rsidRDefault="00852466">
            <w:pPr>
              <w:rPr>
                <w:rFonts w:ascii="Arial Narrow" w:hAnsi="Arial Narrow" w:cs="Arial Narrow"/>
                <w:sz w:val="20"/>
                <w:szCs w:val="20"/>
                <w14:ligatures w14:val="standardContextual"/>
              </w:rPr>
            </w:pPr>
            <w:r w:rsidRPr="00116AFD">
              <w:rPr>
                <w:rFonts w:ascii="Arial Narrow" w:hAnsi="Arial Narrow"/>
                <w:bCs/>
                <w:sz w:val="20"/>
                <w:szCs w:val="20"/>
                <w14:ligatures w14:val="standardContextual"/>
              </w:rPr>
              <w:t>All measurements must be no more than 4 weeks old at the time of this application and must be documented in the patient's medical records.</w:t>
            </w:r>
          </w:p>
        </w:tc>
      </w:tr>
      <w:tr w:rsidR="00852466" w:rsidRPr="000F1D45" w14:paraId="67ECEBC7" w14:textId="77777777">
        <w:tblPrEx>
          <w:tblCellMar>
            <w:top w:w="15" w:type="dxa"/>
            <w:bottom w:w="15" w:type="dxa"/>
          </w:tblCellMar>
        </w:tblPrEx>
        <w:trPr>
          <w:cantSplit/>
          <w:trHeight w:val="20"/>
        </w:trPr>
        <w:tc>
          <w:tcPr>
            <w:tcW w:w="9067" w:type="dxa"/>
            <w:gridSpan w:val="6"/>
            <w:vAlign w:val="center"/>
          </w:tcPr>
          <w:p w14:paraId="1FAEF09B"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15513863"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Cs/>
                <w:sz w:val="20"/>
                <w:szCs w:val="20"/>
                <w14:ligatures w14:val="standardContextual"/>
              </w:rPr>
              <w:t xml:space="preserve">Where the baseline active joint count is based on total active joints (i.e. more than </w:t>
            </w:r>
            <w:r w:rsidRPr="00116AFD">
              <w:rPr>
                <w:rFonts w:ascii="Arial Narrow" w:hAnsi="Arial Narrow"/>
                <w:bCs/>
                <w:strike/>
                <w:sz w:val="20"/>
                <w:szCs w:val="20"/>
                <w14:ligatures w14:val="standardContextual"/>
              </w:rPr>
              <w:t>20</w:t>
            </w:r>
            <w:r w:rsidRPr="00116AFD">
              <w:rPr>
                <w:rFonts w:ascii="Arial Narrow" w:hAnsi="Arial Narrow"/>
                <w:bCs/>
                <w:sz w:val="20"/>
                <w:szCs w:val="20"/>
                <w14:ligatures w14:val="standardContextual"/>
              </w:rPr>
              <w:t xml:space="preserve"> </w:t>
            </w:r>
            <w:r w:rsidRPr="00116AFD">
              <w:rPr>
                <w:rFonts w:ascii="Arial Narrow" w:hAnsi="Arial Narrow"/>
                <w:bCs/>
                <w:i/>
                <w:iCs/>
                <w:sz w:val="20"/>
                <w:szCs w:val="20"/>
                <w14:ligatures w14:val="standardContextual"/>
              </w:rPr>
              <w:t>10</w:t>
            </w:r>
            <w:r w:rsidRPr="00116AFD">
              <w:rPr>
                <w:rFonts w:ascii="Arial Narrow" w:hAnsi="Arial Narrow"/>
                <w:bCs/>
                <w:sz w:val="20"/>
                <w:szCs w:val="20"/>
                <w14:ligatures w14:val="standardContextual"/>
              </w:rPr>
              <w:t xml:space="preserve"> active joints), response will be determined according to the reduction in the total number of active joints. Where the baseline is determined on total number of active joints, the response must be demonstrated on the total number of active joints.</w:t>
            </w:r>
          </w:p>
        </w:tc>
      </w:tr>
      <w:tr w:rsidR="00852466" w:rsidRPr="000F1D45" w14:paraId="513426CA" w14:textId="77777777">
        <w:tblPrEx>
          <w:tblCellMar>
            <w:top w:w="15" w:type="dxa"/>
            <w:bottom w:w="15" w:type="dxa"/>
          </w:tblCellMar>
        </w:tblPrEx>
        <w:trPr>
          <w:cantSplit/>
          <w:trHeight w:val="20"/>
        </w:trPr>
        <w:tc>
          <w:tcPr>
            <w:tcW w:w="9067" w:type="dxa"/>
            <w:gridSpan w:val="6"/>
            <w:vAlign w:val="center"/>
          </w:tcPr>
          <w:p w14:paraId="071E2BE1"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2B861082"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Cs/>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116AFD">
              <w:rPr>
                <w:rFonts w:ascii="Arial Narrow" w:hAnsi="Arial Narrow"/>
                <w:bCs/>
                <w:sz w:val="20"/>
                <w:szCs w:val="20"/>
                <w14:ligatures w14:val="standardContextual"/>
              </w:rPr>
              <w:t>a sufficient amount</w:t>
            </w:r>
            <w:proofErr w:type="gramEnd"/>
            <w:r w:rsidRPr="00116AFD">
              <w:rPr>
                <w:rFonts w:ascii="Arial Narrow" w:hAnsi="Arial Narrow"/>
                <w:bCs/>
                <w:sz w:val="20"/>
                <w:szCs w:val="20"/>
                <w14:ligatures w14:val="standardContextual"/>
              </w:rPr>
              <w:t xml:space="preserve"> for two doses. Up to a maximum of 3 repeats will be authorised.</w:t>
            </w:r>
          </w:p>
        </w:tc>
      </w:tr>
      <w:tr w:rsidR="00852466" w:rsidRPr="000F1D45" w14:paraId="43012459" w14:textId="77777777">
        <w:tblPrEx>
          <w:tblCellMar>
            <w:top w:w="15" w:type="dxa"/>
            <w:bottom w:w="15" w:type="dxa"/>
          </w:tblCellMar>
        </w:tblPrEx>
        <w:trPr>
          <w:cantSplit/>
          <w:trHeight w:val="20"/>
        </w:trPr>
        <w:tc>
          <w:tcPr>
            <w:tcW w:w="9067" w:type="dxa"/>
            <w:gridSpan w:val="6"/>
            <w:vAlign w:val="center"/>
          </w:tcPr>
          <w:p w14:paraId="58C0EBDF" w14:textId="77777777" w:rsidR="00852466" w:rsidRPr="00116AFD" w:rsidRDefault="00852466">
            <w:pPr>
              <w:rPr>
                <w:rFonts w:ascii="Arial Narrow" w:hAnsi="Arial Narrow"/>
                <w:bCs/>
                <w:sz w:val="20"/>
                <w:szCs w:val="20"/>
                <w14:ligatures w14:val="standardContextual"/>
              </w:rPr>
            </w:pPr>
            <w:r w:rsidRPr="00116AFD">
              <w:rPr>
                <w:rFonts w:ascii="Arial Narrow" w:hAnsi="Arial Narrow"/>
                <w:b/>
                <w:bCs/>
                <w:sz w:val="20"/>
                <w:szCs w:val="20"/>
                <w14:ligatures w14:val="standardContextual"/>
              </w:rPr>
              <w:t xml:space="preserve">Prescribing Instructions: </w:t>
            </w:r>
            <w:r w:rsidRPr="00116AFD">
              <w:rPr>
                <w:rFonts w:ascii="Arial Narrow" w:hAnsi="Arial Narrow"/>
                <w:bCs/>
                <w:sz w:val="20"/>
                <w:szCs w:val="20"/>
                <w14:ligatures w14:val="standardContextual"/>
              </w:rPr>
              <w:t>The following information must be provided by the prescriber at the time of application and documented in the patient's medical records:</w:t>
            </w:r>
          </w:p>
          <w:p w14:paraId="7C25B7B4" w14:textId="77777777" w:rsidR="00852466" w:rsidRPr="00116AFD" w:rsidRDefault="00852466">
            <w:pPr>
              <w:rPr>
                <w:rFonts w:ascii="Arial Narrow" w:hAnsi="Arial Narrow"/>
                <w:bCs/>
                <w:sz w:val="20"/>
                <w:szCs w:val="20"/>
                <w14:ligatures w14:val="standardContextual"/>
              </w:rPr>
            </w:pPr>
          </w:p>
          <w:p w14:paraId="4E057198"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(a) the date of assessment of severe active juvenile idiopathic</w:t>
            </w:r>
            <w:r w:rsidRPr="00116AFD">
              <w:rPr>
                <w:rFonts w:ascii="Arial Narrow" w:hAnsi="Arial Narrow"/>
                <w:bCs/>
                <w:i/>
                <w:iCs/>
                <w:sz w:val="20"/>
                <w:szCs w:val="20"/>
                <w14:ligatures w14:val="standardContextual"/>
              </w:rPr>
              <w:t xml:space="preserve"> arthritis</w:t>
            </w:r>
            <w:r w:rsidRPr="00116AFD">
              <w:rPr>
                <w:rFonts w:ascii="Arial Narrow" w:hAnsi="Arial Narrow"/>
                <w:bCs/>
                <w:sz w:val="20"/>
                <w:szCs w:val="20"/>
                <w14:ligatures w14:val="standardContextual"/>
              </w:rPr>
              <w:t>; and</w:t>
            </w:r>
          </w:p>
          <w:p w14:paraId="41E3C224" w14:textId="77777777" w:rsidR="00852466" w:rsidRPr="00116AFD" w:rsidRDefault="00852466">
            <w:pPr>
              <w:rPr>
                <w:rFonts w:ascii="Arial Narrow" w:hAnsi="Arial Narrow"/>
                <w:bCs/>
                <w:sz w:val="20"/>
                <w:szCs w:val="20"/>
                <w14:ligatures w14:val="standardContextual"/>
              </w:rPr>
            </w:pPr>
          </w:p>
          <w:p w14:paraId="599BA47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Cs/>
                <w:sz w:val="20"/>
                <w:szCs w:val="20"/>
                <w14:ligatures w14:val="standardContextual"/>
              </w:rPr>
              <w:t>(b) the date of the last continuing prescription.</w:t>
            </w:r>
          </w:p>
        </w:tc>
      </w:tr>
      <w:tr w:rsidR="00852466" w:rsidRPr="000F1D45" w14:paraId="793727D0" w14:textId="77777777">
        <w:tblPrEx>
          <w:tblCellMar>
            <w:top w:w="15" w:type="dxa"/>
            <w:bottom w:w="15" w:type="dxa"/>
          </w:tblCellMar>
        </w:tblPrEx>
        <w:trPr>
          <w:cantSplit/>
          <w:trHeight w:val="20"/>
        </w:trPr>
        <w:tc>
          <w:tcPr>
            <w:tcW w:w="9067" w:type="dxa"/>
            <w:gridSpan w:val="6"/>
            <w:vAlign w:val="center"/>
          </w:tcPr>
          <w:p w14:paraId="1DDC503D"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27FEE8D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tc>
      </w:tr>
      <w:tr w:rsidR="00852466" w:rsidRPr="000F1D45" w14:paraId="4E92558C" w14:textId="77777777">
        <w:tblPrEx>
          <w:tblCellMar>
            <w:top w:w="15" w:type="dxa"/>
            <w:bottom w:w="15" w:type="dxa"/>
          </w:tblCellMar>
        </w:tblPrEx>
        <w:trPr>
          <w:cantSplit/>
          <w:trHeight w:val="20"/>
        </w:trPr>
        <w:tc>
          <w:tcPr>
            <w:tcW w:w="9067" w:type="dxa"/>
            <w:gridSpan w:val="6"/>
            <w:vAlign w:val="center"/>
          </w:tcPr>
          <w:p w14:paraId="53FF611B"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073D1D1B"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852466" w:rsidRPr="000F1D45" w14:paraId="6F7020EA" w14:textId="77777777">
        <w:tblPrEx>
          <w:tblCellMar>
            <w:top w:w="15" w:type="dxa"/>
            <w:bottom w:w="15" w:type="dxa"/>
          </w:tblCellMar>
        </w:tblPrEx>
        <w:trPr>
          <w:cantSplit/>
          <w:trHeight w:val="20"/>
        </w:trPr>
        <w:tc>
          <w:tcPr>
            <w:tcW w:w="9067" w:type="dxa"/>
            <w:gridSpan w:val="6"/>
            <w:vAlign w:val="center"/>
          </w:tcPr>
          <w:p w14:paraId="5EE8B34D"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203369D7"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 xml:space="preserve">If a patient fails to demonstrate a response to treatment with this </w:t>
            </w:r>
            <w:proofErr w:type="gramStart"/>
            <w:r w:rsidRPr="00116AFD">
              <w:rPr>
                <w:rFonts w:ascii="Arial Narrow" w:hAnsi="Arial Narrow"/>
                <w:sz w:val="20"/>
                <w:szCs w:val="20"/>
                <w14:ligatures w14:val="standardContextual"/>
              </w:rPr>
              <w:t>drug</w:t>
            </w:r>
            <w:proofErr w:type="gramEnd"/>
            <w:r w:rsidRPr="00116AFD">
              <w:rPr>
                <w:rFonts w:ascii="Arial Narrow" w:hAnsi="Arial Narrow"/>
                <w:sz w:val="20"/>
                <w:szCs w:val="20"/>
                <w14:ligatures w14:val="standardContextual"/>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0F1D45" w14:paraId="061D42B8" w14:textId="77777777">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BAB999C" w14:textId="77777777" w:rsidR="00852466" w:rsidRPr="00116AFD" w:rsidRDefault="00852466">
            <w:pPr>
              <w:rPr>
                <w:rFonts w:ascii="Arial Narrow" w:hAnsi="Arial Narrow"/>
                <w:b/>
                <w:bCs/>
                <w:sz w:val="20"/>
                <w:szCs w:val="20"/>
                <w14:ligatures w14:val="standardContextual"/>
              </w:rPr>
            </w:pPr>
          </w:p>
          <w:p w14:paraId="4130BF07" w14:textId="77777777" w:rsidR="00852466" w:rsidRPr="00116AFD" w:rsidRDefault="00852466">
            <w:pPr>
              <w:rPr>
                <w:rFonts w:ascii="Arial Narrow" w:hAnsi="Arial Narrow"/>
                <w:b/>
                <w:bCs/>
                <w:sz w:val="20"/>
                <w:szCs w:val="20"/>
                <w14:ligatures w14:val="standardContextual"/>
              </w:rPr>
            </w:pPr>
          </w:p>
        </w:tc>
      </w:tr>
      <w:tr w:rsidR="00852466" w:rsidRPr="000F1D45" w14:paraId="15A3B48E" w14:textId="77777777">
        <w:tblPrEx>
          <w:tblCellMar>
            <w:top w:w="15" w:type="dxa"/>
            <w:bottom w:w="15" w:type="dxa"/>
          </w:tblCellMar>
        </w:tblPrEx>
        <w:trPr>
          <w:cantSplit/>
          <w:trHeight w:val="20"/>
        </w:trPr>
        <w:tc>
          <w:tcPr>
            <w:tcW w:w="9067" w:type="dxa"/>
            <w:gridSpan w:val="6"/>
            <w:vAlign w:val="center"/>
          </w:tcPr>
          <w:p w14:paraId="2B9531C9"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sz w:val="20"/>
                <w:szCs w:val="20"/>
                <w14:ligatures w14:val="standardContextual"/>
              </w:rPr>
              <w:t>Category / Program:</w:t>
            </w:r>
            <w:r w:rsidRPr="00116AFD">
              <w:rPr>
                <w:rFonts w:ascii="Arial Narrow" w:hAnsi="Arial Narrow"/>
                <w:sz w:val="20"/>
                <w:szCs w:val="20"/>
                <w14:ligatures w14:val="standardContextual"/>
              </w:rPr>
              <w:t xml:space="preserv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2618C5DE" w14:textId="77777777">
        <w:tblPrEx>
          <w:tblCellMar>
            <w:top w:w="15" w:type="dxa"/>
            <w:bottom w:w="15" w:type="dxa"/>
          </w:tblCellMar>
        </w:tblPrEx>
        <w:trPr>
          <w:cantSplit/>
          <w:trHeight w:val="20"/>
        </w:trPr>
        <w:tc>
          <w:tcPr>
            <w:tcW w:w="9067" w:type="dxa"/>
            <w:gridSpan w:val="6"/>
            <w:vAlign w:val="center"/>
          </w:tcPr>
          <w:p w14:paraId="44525878"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sz w:val="20"/>
                <w:szCs w:val="20"/>
                <w14:ligatures w14:val="standardContextual"/>
              </w:rPr>
              <w:t xml:space="preserve">Prescriber type: </w:t>
            </w:r>
            <w:r w:rsidRPr="00116AFD">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sz w:val="20"/>
                <w:szCs w:val="20"/>
                <w14:ligatures w14:val="standardContextual"/>
              </w:rPr>
              <w:instrText xml:space="preserve"> FORMCHECKBOX </w:instrText>
            </w:r>
            <w:r w:rsidRPr="00116AFD">
              <w:rPr>
                <w:rFonts w:ascii="Arial Narrow" w:hAnsi="Arial Narrow"/>
                <w:sz w:val="20"/>
                <w:szCs w:val="20"/>
                <w14:ligatures w14:val="standardContextual"/>
              </w:rPr>
            </w:r>
            <w:r w:rsidRPr="00116AFD">
              <w:rPr>
                <w:rFonts w:ascii="Arial Narrow" w:hAnsi="Arial Narrow"/>
                <w:sz w:val="20"/>
                <w:szCs w:val="20"/>
                <w14:ligatures w14:val="standardContextual"/>
              </w:rPr>
              <w:fldChar w:fldCharType="separate"/>
            </w:r>
            <w:r w:rsidRPr="00116AFD">
              <w:rPr>
                <w:rFonts w:ascii="Arial Narrow" w:hAnsi="Arial Narrow"/>
                <w:sz w:val="20"/>
                <w:szCs w:val="20"/>
                <w14:ligatures w14:val="standardContextual"/>
              </w:rPr>
              <w:fldChar w:fldCharType="end"/>
            </w:r>
            <w:r w:rsidRPr="00116AFD">
              <w:rPr>
                <w:rFonts w:ascii="Arial Narrow" w:hAnsi="Arial Narrow"/>
                <w:sz w:val="20"/>
                <w:szCs w:val="20"/>
                <w14:ligatures w14:val="standardContextual"/>
              </w:rPr>
              <w:t xml:space="preserve">Medical Practitioners </w:t>
            </w:r>
          </w:p>
        </w:tc>
      </w:tr>
      <w:tr w:rsidR="00852466" w:rsidRPr="000F1D45" w14:paraId="7E020511" w14:textId="77777777">
        <w:tblPrEx>
          <w:tblCellMar>
            <w:top w:w="15" w:type="dxa"/>
            <w:bottom w:w="15" w:type="dxa"/>
          </w:tblCellMar>
        </w:tblPrEx>
        <w:trPr>
          <w:cantSplit/>
          <w:trHeight w:val="20"/>
        </w:trPr>
        <w:tc>
          <w:tcPr>
            <w:tcW w:w="9067" w:type="dxa"/>
            <w:gridSpan w:val="6"/>
            <w:vAlign w:val="center"/>
          </w:tcPr>
          <w:p w14:paraId="1F6B9A0F" w14:textId="77777777" w:rsidR="00852466" w:rsidRPr="00116AFD" w:rsidRDefault="00852466">
            <w:pPr>
              <w:rPr>
                <w:rFonts w:ascii="Arial Narrow" w:hAnsi="Arial Narrow"/>
                <w:b/>
                <w:sz w:val="20"/>
                <w:szCs w:val="20"/>
                <w14:ligatures w14:val="standardContextual"/>
              </w:rPr>
            </w:pPr>
            <w:r w:rsidRPr="00116AFD">
              <w:rPr>
                <w:rFonts w:ascii="Arial Narrow" w:hAnsi="Arial Narrow"/>
                <w:b/>
                <w:sz w:val="20"/>
                <w:szCs w:val="20"/>
                <w14:ligatures w14:val="standardContextual"/>
              </w:rPr>
              <w:t xml:space="preserve">Restriction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Authority Required (telephone/online PBS Authorities system) </w:t>
            </w:r>
          </w:p>
        </w:tc>
      </w:tr>
      <w:tr w:rsidR="00852466" w:rsidRPr="000F1D45" w14:paraId="6526B720" w14:textId="77777777">
        <w:tblPrEx>
          <w:tblCellMar>
            <w:top w:w="15" w:type="dxa"/>
            <w:bottom w:w="15" w:type="dxa"/>
          </w:tblCellMar>
        </w:tblPrEx>
        <w:trPr>
          <w:cantSplit/>
          <w:trHeight w:val="20"/>
        </w:trPr>
        <w:tc>
          <w:tcPr>
            <w:tcW w:w="9067" w:type="dxa"/>
            <w:gridSpan w:val="6"/>
            <w:vAlign w:val="center"/>
          </w:tcPr>
          <w:p w14:paraId="2E89524A" w14:textId="77777777" w:rsidR="00852466" w:rsidRPr="00116AFD" w:rsidRDefault="00852466">
            <w:pPr>
              <w:rPr>
                <w:rFonts w:ascii="Arial Narrow" w:hAnsi="Arial Narrow"/>
                <w:b/>
                <w:sz w:val="20"/>
                <w:szCs w:val="20"/>
                <w14:ligatures w14:val="standardContextual"/>
              </w:rPr>
            </w:pPr>
            <w:r w:rsidRPr="00116AFD">
              <w:rPr>
                <w:rFonts w:ascii="Arial Narrow" w:hAnsi="Arial Narrow"/>
                <w:b/>
                <w:sz w:val="20"/>
                <w:szCs w:val="20"/>
                <w14:ligatures w14:val="standardContextual"/>
              </w:rPr>
              <w:t xml:space="preserve">Authority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Complex Authority Required (CAR)</w:t>
            </w:r>
          </w:p>
        </w:tc>
      </w:tr>
      <w:tr w:rsidR="00852466" w:rsidRPr="000F1D45" w14:paraId="18EAE261" w14:textId="77777777">
        <w:tblPrEx>
          <w:tblCellMar>
            <w:top w:w="15" w:type="dxa"/>
            <w:bottom w:w="15" w:type="dxa"/>
          </w:tblCellMar>
        </w:tblPrEx>
        <w:trPr>
          <w:cantSplit/>
          <w:trHeight w:val="20"/>
        </w:trPr>
        <w:tc>
          <w:tcPr>
            <w:tcW w:w="9067" w:type="dxa"/>
            <w:gridSpan w:val="6"/>
            <w:vAlign w:val="center"/>
          </w:tcPr>
          <w:p w14:paraId="194C2317" w14:textId="77777777" w:rsidR="00852466" w:rsidRPr="00116AFD" w:rsidRDefault="00852466">
            <w:pPr>
              <w:rPr>
                <w:rFonts w:ascii="Arial Narrow" w:hAnsi="Arial Narrow"/>
                <w:b/>
                <w:sz w:val="20"/>
                <w:szCs w:val="20"/>
                <w14:ligatures w14:val="standardContextual"/>
              </w:rPr>
            </w:pPr>
            <w:r w:rsidRPr="00116AFD">
              <w:rPr>
                <w:rFonts w:ascii="Arial Narrow" w:hAnsi="Arial Narrow"/>
                <w:b/>
                <w:bCs/>
                <w:sz w:val="20"/>
                <w:szCs w:val="20"/>
                <w14:ligatures w14:val="standardContextual"/>
              </w:rPr>
              <w:t>Indication:</w:t>
            </w:r>
            <w:r w:rsidRPr="00116AFD">
              <w:rPr>
                <w:rFonts w:ascii="Arial Narrow" w:hAnsi="Arial Narrow"/>
                <w:sz w:val="20"/>
                <w:szCs w:val="20"/>
                <w14:ligatures w14:val="standardContextual"/>
              </w:rPr>
              <w:t xml:space="preserve"> Severe active juvenile idiopathic arthritis</w:t>
            </w:r>
          </w:p>
        </w:tc>
      </w:tr>
      <w:tr w:rsidR="00852466" w:rsidRPr="000F1D45" w14:paraId="42E822C4" w14:textId="77777777">
        <w:tblPrEx>
          <w:tblCellMar>
            <w:top w:w="15" w:type="dxa"/>
            <w:bottom w:w="15" w:type="dxa"/>
          </w:tblCellMar>
        </w:tblPrEx>
        <w:trPr>
          <w:cantSplit/>
          <w:trHeight w:val="20"/>
        </w:trPr>
        <w:tc>
          <w:tcPr>
            <w:tcW w:w="9067" w:type="dxa"/>
            <w:gridSpan w:val="6"/>
            <w:vAlign w:val="center"/>
          </w:tcPr>
          <w:p w14:paraId="05FB5F7C"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Phase:</w:t>
            </w:r>
          </w:p>
          <w:p w14:paraId="178ACD0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Initial 1 (new patient) or Initial 2 (change or recommencement of treatment after a break in biological medicine of less than 12 months) or Initial 3 (recommencement of treatment after a break in biological medicine of more than 12 months) - balance of supply</w:t>
            </w:r>
          </w:p>
        </w:tc>
      </w:tr>
      <w:tr w:rsidR="00852466" w:rsidRPr="000F1D45" w14:paraId="044C2947" w14:textId="77777777">
        <w:tblPrEx>
          <w:tblCellMar>
            <w:top w:w="15" w:type="dxa"/>
            <w:bottom w:w="15" w:type="dxa"/>
          </w:tblCellMar>
        </w:tblPrEx>
        <w:trPr>
          <w:cantSplit/>
          <w:trHeight w:val="20"/>
        </w:trPr>
        <w:tc>
          <w:tcPr>
            <w:tcW w:w="9067" w:type="dxa"/>
            <w:gridSpan w:val="6"/>
            <w:vAlign w:val="center"/>
          </w:tcPr>
          <w:p w14:paraId="5E8A8CE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 xml:space="preserve">Clinical criteria: </w:t>
            </w:r>
          </w:p>
        </w:tc>
      </w:tr>
      <w:tr w:rsidR="00852466" w:rsidRPr="000F1D45" w14:paraId="19620231" w14:textId="77777777">
        <w:tblPrEx>
          <w:tblCellMar>
            <w:top w:w="15" w:type="dxa"/>
            <w:bottom w:w="15" w:type="dxa"/>
          </w:tblCellMar>
        </w:tblPrEx>
        <w:trPr>
          <w:cantSplit/>
          <w:trHeight w:val="20"/>
        </w:trPr>
        <w:tc>
          <w:tcPr>
            <w:tcW w:w="9067" w:type="dxa"/>
            <w:gridSpan w:val="6"/>
            <w:vAlign w:val="center"/>
          </w:tcPr>
          <w:p w14:paraId="78D83479"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Patient must have received insufficient therapy with this drug for this condition under the Initial 1 (new patient) restriction to complete 16 weeks treatment; or</w:t>
            </w:r>
          </w:p>
        </w:tc>
      </w:tr>
      <w:tr w:rsidR="00852466" w:rsidRPr="000F1D45" w14:paraId="33607B9A" w14:textId="77777777">
        <w:tblPrEx>
          <w:tblCellMar>
            <w:top w:w="15" w:type="dxa"/>
            <w:bottom w:w="15" w:type="dxa"/>
          </w:tblCellMar>
        </w:tblPrEx>
        <w:trPr>
          <w:cantSplit/>
          <w:trHeight w:val="20"/>
        </w:trPr>
        <w:tc>
          <w:tcPr>
            <w:tcW w:w="9067" w:type="dxa"/>
            <w:gridSpan w:val="6"/>
            <w:vAlign w:val="center"/>
          </w:tcPr>
          <w:p w14:paraId="5FFACB92"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Patient must have received insufficient therapy with this drug for this condition under the Initial 2 (change or recommencement of treatment after a break in biological medicine of less than 12 months) restriction to complete 16 weeks treatment; or</w:t>
            </w:r>
          </w:p>
        </w:tc>
      </w:tr>
      <w:tr w:rsidR="00852466" w:rsidRPr="000F1D45" w14:paraId="22C1DF05" w14:textId="77777777">
        <w:tblPrEx>
          <w:tblCellMar>
            <w:top w:w="15" w:type="dxa"/>
            <w:bottom w:w="15" w:type="dxa"/>
          </w:tblCellMar>
        </w:tblPrEx>
        <w:trPr>
          <w:cantSplit/>
          <w:trHeight w:val="20"/>
        </w:trPr>
        <w:tc>
          <w:tcPr>
            <w:tcW w:w="9067" w:type="dxa"/>
            <w:gridSpan w:val="6"/>
            <w:vAlign w:val="center"/>
          </w:tcPr>
          <w:p w14:paraId="17729B70"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Patient must have received insufficient therapy with this drug for this condition under the Initial 3 (recommencement of treatment after a break in biological medicine of more than 12 months) restriction to complete 16 weeks treatment</w:t>
            </w:r>
          </w:p>
        </w:tc>
      </w:tr>
      <w:tr w:rsidR="00852466" w:rsidRPr="000F1D45" w14:paraId="4034AFE0" w14:textId="77777777">
        <w:tblPrEx>
          <w:tblCellMar>
            <w:top w:w="15" w:type="dxa"/>
            <w:bottom w:w="15" w:type="dxa"/>
          </w:tblCellMar>
        </w:tblPrEx>
        <w:trPr>
          <w:cantSplit/>
          <w:trHeight w:val="20"/>
        </w:trPr>
        <w:tc>
          <w:tcPr>
            <w:tcW w:w="9067" w:type="dxa"/>
            <w:gridSpan w:val="6"/>
            <w:vAlign w:val="center"/>
          </w:tcPr>
          <w:p w14:paraId="029599AA"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852466" w:rsidRPr="000F1D45" w14:paraId="400819C6" w14:textId="77777777">
        <w:tblPrEx>
          <w:tblCellMar>
            <w:top w:w="15" w:type="dxa"/>
            <w:bottom w:w="15" w:type="dxa"/>
          </w:tblCellMar>
        </w:tblPrEx>
        <w:trPr>
          <w:cantSplit/>
          <w:trHeight w:val="20"/>
        </w:trPr>
        <w:tc>
          <w:tcPr>
            <w:tcW w:w="9067" w:type="dxa"/>
            <w:gridSpan w:val="6"/>
            <w:vAlign w:val="center"/>
          </w:tcPr>
          <w:p w14:paraId="404C0928"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852466" w:rsidRPr="000F1D45" w14:paraId="318FE4B7" w14:textId="77777777">
        <w:tblPrEx>
          <w:tblCellMar>
            <w:top w:w="15" w:type="dxa"/>
            <w:bottom w:w="15" w:type="dxa"/>
          </w:tblCellMar>
        </w:tblPrEx>
        <w:trPr>
          <w:cantSplit/>
          <w:trHeight w:val="20"/>
        </w:trPr>
        <w:tc>
          <w:tcPr>
            <w:tcW w:w="9067" w:type="dxa"/>
            <w:gridSpan w:val="6"/>
            <w:vAlign w:val="center"/>
          </w:tcPr>
          <w:p w14:paraId="11D19D65"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treatment must provide no more than the balance of up to 16 weeks treatment available under the above restrictions</w:t>
            </w:r>
          </w:p>
        </w:tc>
      </w:tr>
      <w:tr w:rsidR="00852466" w:rsidRPr="000F1D45" w14:paraId="2FFD208C" w14:textId="77777777">
        <w:tblPrEx>
          <w:tblCellMar>
            <w:top w:w="15" w:type="dxa"/>
            <w:bottom w:w="15" w:type="dxa"/>
          </w:tblCellMar>
        </w:tblPrEx>
        <w:trPr>
          <w:cantSplit/>
          <w:trHeight w:val="20"/>
        </w:trPr>
        <w:tc>
          <w:tcPr>
            <w:tcW w:w="9067" w:type="dxa"/>
            <w:gridSpan w:val="6"/>
            <w:vAlign w:val="center"/>
          </w:tcPr>
          <w:p w14:paraId="7845FCB8" w14:textId="77777777" w:rsidR="00852466" w:rsidRPr="000F1D45"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852466" w:rsidRPr="000F1D45" w14:paraId="66F4EEFA" w14:textId="77777777">
        <w:tblPrEx>
          <w:tblCellMar>
            <w:top w:w="15" w:type="dxa"/>
            <w:bottom w:w="15" w:type="dxa"/>
          </w:tblCellMar>
        </w:tblPrEx>
        <w:trPr>
          <w:cantSplit/>
          <w:trHeight w:val="20"/>
        </w:trPr>
        <w:tc>
          <w:tcPr>
            <w:tcW w:w="9067" w:type="dxa"/>
            <w:gridSpan w:val="6"/>
            <w:vAlign w:val="center"/>
          </w:tcPr>
          <w:p w14:paraId="1CD65E86"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852466" w:rsidRPr="000F1D45" w14:paraId="34D59F14" w14:textId="77777777">
        <w:tblPrEx>
          <w:tblCellMar>
            <w:top w:w="15" w:type="dxa"/>
            <w:bottom w:w="15" w:type="dxa"/>
          </w:tblCellMar>
        </w:tblPrEx>
        <w:trPr>
          <w:cantSplit/>
          <w:trHeight w:val="20"/>
        </w:trPr>
        <w:tc>
          <w:tcPr>
            <w:tcW w:w="9067" w:type="dxa"/>
            <w:gridSpan w:val="6"/>
            <w:vAlign w:val="center"/>
          </w:tcPr>
          <w:p w14:paraId="5D80E4C7" w14:textId="77777777" w:rsidR="00852466" w:rsidRPr="000F1D45" w:rsidRDefault="00852466">
            <w:pPr>
              <w:rPr>
                <w:rFonts w:ascii="Arial Narrow" w:hAnsi="Arial Narrow" w:cs="Arial Narrow"/>
                <w:iCs/>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bl>
    <w:p w14:paraId="0244949E" w14:textId="77777777" w:rsidR="00852466" w:rsidRDefault="00852466" w:rsidP="0085246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nge to existing listing - Severe active juvenile idiopathic arthritis"/>
      </w:tblPr>
      <w:tblGrid>
        <w:gridCol w:w="3939"/>
        <w:gridCol w:w="876"/>
        <w:gridCol w:w="747"/>
        <w:gridCol w:w="811"/>
        <w:gridCol w:w="812"/>
        <w:gridCol w:w="1831"/>
        <w:gridCol w:w="7"/>
      </w:tblGrid>
      <w:tr w:rsidR="00116AFD" w:rsidRPr="00116AFD" w14:paraId="6ABE25BC" w14:textId="77777777">
        <w:trPr>
          <w:gridAfter w:val="1"/>
          <w:wAfter w:w="7" w:type="dxa"/>
          <w:cantSplit/>
          <w:trHeight w:val="20"/>
        </w:trPr>
        <w:tc>
          <w:tcPr>
            <w:tcW w:w="3940" w:type="dxa"/>
            <w:vAlign w:val="center"/>
          </w:tcPr>
          <w:p w14:paraId="1C06166A" w14:textId="77777777" w:rsidR="00852466" w:rsidRPr="00116AFD" w:rsidRDefault="00852466">
            <w:pPr>
              <w:keepLines/>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MEDICINAL PRODUCT</w:t>
            </w:r>
          </w:p>
          <w:p w14:paraId="3096B003" w14:textId="77777777" w:rsidR="00852466" w:rsidRPr="00116AFD" w:rsidRDefault="00852466">
            <w:pPr>
              <w:keepLines/>
              <w:rPr>
                <w:rFonts w:ascii="Arial Narrow" w:hAnsi="Arial Narrow"/>
                <w:b/>
                <w:sz w:val="20"/>
                <w:szCs w:val="20"/>
                <w14:ligatures w14:val="standardContextual"/>
              </w:rPr>
            </w:pPr>
            <w:r w:rsidRPr="00116AFD">
              <w:rPr>
                <w:rFonts w:ascii="Arial Narrow" w:hAnsi="Arial Narrow"/>
                <w:b/>
                <w:bCs/>
                <w:sz w:val="20"/>
                <w:szCs w:val="20"/>
                <w14:ligatures w14:val="standardContextual"/>
              </w:rPr>
              <w:t>medicinal product pack</w:t>
            </w:r>
          </w:p>
        </w:tc>
        <w:tc>
          <w:tcPr>
            <w:tcW w:w="876" w:type="dxa"/>
            <w:vAlign w:val="center"/>
          </w:tcPr>
          <w:p w14:paraId="1FEB22DB" w14:textId="77777777" w:rsidR="00852466" w:rsidRPr="00116AFD" w:rsidRDefault="00852466">
            <w:pPr>
              <w:keepLines/>
              <w:jc w:val="center"/>
              <w:rPr>
                <w:rFonts w:ascii="Arial Narrow" w:hAnsi="Arial Narrow"/>
                <w:b/>
                <w:sz w:val="20"/>
                <w:szCs w:val="20"/>
                <w14:ligatures w14:val="standardContextual"/>
              </w:rPr>
            </w:pPr>
            <w:r w:rsidRPr="00116AFD">
              <w:rPr>
                <w:rFonts w:ascii="Arial Narrow" w:hAnsi="Arial Narrow"/>
                <w:b/>
                <w:sz w:val="20"/>
                <w:szCs w:val="20"/>
                <w14:ligatures w14:val="standardContextual"/>
              </w:rPr>
              <w:t>PBS item code</w:t>
            </w:r>
          </w:p>
        </w:tc>
        <w:tc>
          <w:tcPr>
            <w:tcW w:w="747" w:type="dxa"/>
            <w:vAlign w:val="center"/>
          </w:tcPr>
          <w:p w14:paraId="1AA4F524" w14:textId="77777777" w:rsidR="00852466" w:rsidRPr="00116AFD" w:rsidRDefault="00852466">
            <w:pPr>
              <w:keepLines/>
              <w:jc w:val="center"/>
              <w:rPr>
                <w:rFonts w:ascii="Arial Narrow" w:hAnsi="Arial Narrow"/>
                <w:b/>
                <w:sz w:val="20"/>
                <w:szCs w:val="20"/>
                <w14:ligatures w14:val="standardContextual"/>
              </w:rPr>
            </w:pPr>
            <w:r w:rsidRPr="00116AFD">
              <w:rPr>
                <w:rFonts w:ascii="Arial Narrow" w:hAnsi="Arial Narrow"/>
                <w:b/>
                <w:sz w:val="20"/>
                <w:szCs w:val="20"/>
                <w14:ligatures w14:val="standardContextual"/>
              </w:rPr>
              <w:t>Max. qty packs</w:t>
            </w:r>
          </w:p>
        </w:tc>
        <w:tc>
          <w:tcPr>
            <w:tcW w:w="811" w:type="dxa"/>
            <w:vAlign w:val="center"/>
          </w:tcPr>
          <w:p w14:paraId="455D27CA" w14:textId="77777777" w:rsidR="00852466" w:rsidRPr="00116AFD" w:rsidRDefault="00852466">
            <w:pPr>
              <w:keepLines/>
              <w:jc w:val="center"/>
              <w:rPr>
                <w:rFonts w:ascii="Arial Narrow" w:hAnsi="Arial Narrow"/>
                <w:b/>
                <w:sz w:val="20"/>
                <w:szCs w:val="20"/>
                <w14:ligatures w14:val="standardContextual"/>
              </w:rPr>
            </w:pPr>
            <w:r w:rsidRPr="00116AFD">
              <w:rPr>
                <w:rFonts w:ascii="Arial Narrow" w:hAnsi="Arial Narrow"/>
                <w:b/>
                <w:sz w:val="20"/>
                <w:szCs w:val="20"/>
                <w14:ligatures w14:val="standardContextual"/>
              </w:rPr>
              <w:t>Max. qty units</w:t>
            </w:r>
          </w:p>
        </w:tc>
        <w:tc>
          <w:tcPr>
            <w:tcW w:w="812" w:type="dxa"/>
            <w:vAlign w:val="center"/>
          </w:tcPr>
          <w:p w14:paraId="21CC55B0" w14:textId="77777777" w:rsidR="00852466" w:rsidRPr="00116AFD" w:rsidRDefault="00852466">
            <w:pPr>
              <w:keepLines/>
              <w:jc w:val="center"/>
              <w:rPr>
                <w:rFonts w:ascii="Arial Narrow" w:hAnsi="Arial Narrow"/>
                <w:b/>
                <w:sz w:val="20"/>
                <w:szCs w:val="20"/>
                <w14:ligatures w14:val="standardContextual"/>
              </w:rPr>
            </w:pPr>
            <w:r w:rsidRPr="00116AFD">
              <w:rPr>
                <w:rFonts w:ascii="Arial Narrow" w:hAnsi="Arial Narrow"/>
                <w:b/>
                <w:sz w:val="20"/>
                <w:szCs w:val="20"/>
                <w14:ligatures w14:val="standardContextual"/>
              </w:rPr>
              <w:t>№.of</w:t>
            </w:r>
          </w:p>
          <w:p w14:paraId="37000A98" w14:textId="77777777" w:rsidR="00852466" w:rsidRPr="00116AFD" w:rsidRDefault="00852466">
            <w:pPr>
              <w:keepLines/>
              <w:jc w:val="center"/>
              <w:rPr>
                <w:rFonts w:ascii="Arial Narrow" w:hAnsi="Arial Narrow"/>
                <w:b/>
                <w:sz w:val="20"/>
                <w:szCs w:val="20"/>
                <w14:ligatures w14:val="standardContextual"/>
              </w:rPr>
            </w:pPr>
            <w:r w:rsidRPr="00116AFD">
              <w:rPr>
                <w:rFonts w:ascii="Arial Narrow" w:hAnsi="Arial Narrow"/>
                <w:b/>
                <w:sz w:val="20"/>
                <w:szCs w:val="20"/>
                <w14:ligatures w14:val="standardContextual"/>
              </w:rPr>
              <w:t>Rpts</w:t>
            </w:r>
          </w:p>
        </w:tc>
        <w:tc>
          <w:tcPr>
            <w:tcW w:w="1831" w:type="dxa"/>
            <w:vAlign w:val="center"/>
          </w:tcPr>
          <w:p w14:paraId="17A331E7" w14:textId="77777777" w:rsidR="00852466" w:rsidRPr="00116AFD" w:rsidRDefault="00852466">
            <w:pPr>
              <w:keepLines/>
              <w:rPr>
                <w:rFonts w:ascii="Arial Narrow" w:hAnsi="Arial Narrow"/>
                <w:b/>
                <w:sz w:val="20"/>
                <w:szCs w:val="20"/>
                <w:lang w:val="fr-FR"/>
                <w14:ligatures w14:val="standardContextual"/>
              </w:rPr>
            </w:pPr>
            <w:r w:rsidRPr="00116AFD">
              <w:rPr>
                <w:rFonts w:ascii="Arial Narrow" w:hAnsi="Arial Narrow"/>
                <w:b/>
                <w:sz w:val="20"/>
                <w:szCs w:val="20"/>
                <w14:ligatures w14:val="standardContextual"/>
              </w:rPr>
              <w:t>Available brands</w:t>
            </w:r>
          </w:p>
        </w:tc>
      </w:tr>
      <w:tr w:rsidR="00116AFD" w:rsidRPr="00116AFD" w14:paraId="5EDA8475" w14:textId="77777777">
        <w:trPr>
          <w:gridAfter w:val="1"/>
          <w:wAfter w:w="7" w:type="dxa"/>
          <w:cantSplit/>
          <w:trHeight w:val="20"/>
        </w:trPr>
        <w:tc>
          <w:tcPr>
            <w:tcW w:w="9017" w:type="dxa"/>
            <w:gridSpan w:val="6"/>
            <w:vAlign w:val="center"/>
          </w:tcPr>
          <w:p w14:paraId="1BBA8DB1"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sz w:val="20"/>
                <w:szCs w:val="20"/>
                <w14:ligatures w14:val="standardContextual"/>
              </w:rPr>
              <w:t>ADALIMUMAB</w:t>
            </w:r>
          </w:p>
        </w:tc>
      </w:tr>
      <w:tr w:rsidR="00116AFD" w:rsidRPr="00116AFD" w14:paraId="587B6F7C" w14:textId="77777777">
        <w:trPr>
          <w:gridAfter w:val="1"/>
          <w:wAfter w:w="7" w:type="dxa"/>
          <w:cantSplit/>
          <w:trHeight w:val="20"/>
        </w:trPr>
        <w:tc>
          <w:tcPr>
            <w:tcW w:w="3940" w:type="dxa"/>
            <w:vAlign w:val="center"/>
          </w:tcPr>
          <w:p w14:paraId="00186F73" w14:textId="77777777" w:rsidR="00852466" w:rsidRPr="00116AFD" w:rsidRDefault="00852466">
            <w:pPr>
              <w:keepLine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20 mg/0.2 mL injection, 2 x 0.2 mL syringes</w:t>
            </w:r>
          </w:p>
        </w:tc>
        <w:tc>
          <w:tcPr>
            <w:tcW w:w="876" w:type="dxa"/>
            <w:vAlign w:val="center"/>
          </w:tcPr>
          <w:p w14:paraId="44783451"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13292N</w:t>
            </w:r>
          </w:p>
        </w:tc>
        <w:tc>
          <w:tcPr>
            <w:tcW w:w="747" w:type="dxa"/>
            <w:vAlign w:val="center"/>
          </w:tcPr>
          <w:p w14:paraId="527BE157"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7580ACE1"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6475319E"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7EFD5A3A"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tc>
      </w:tr>
      <w:tr w:rsidR="00116AFD" w:rsidRPr="00116AFD" w14:paraId="49D686EC" w14:textId="77777777">
        <w:trPr>
          <w:gridAfter w:val="1"/>
          <w:wAfter w:w="7" w:type="dxa"/>
          <w:cantSplit/>
          <w:trHeight w:val="20"/>
        </w:trPr>
        <w:tc>
          <w:tcPr>
            <w:tcW w:w="3940" w:type="dxa"/>
            <w:vAlign w:val="center"/>
          </w:tcPr>
          <w:p w14:paraId="1270D12D" w14:textId="77777777" w:rsidR="00852466" w:rsidRPr="00116AFD" w:rsidRDefault="00852466">
            <w:pPr>
              <w:keepLine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20 mg/0.2 mL injection, 2 x 0.2 mL syringes</w:t>
            </w:r>
          </w:p>
        </w:tc>
        <w:tc>
          <w:tcPr>
            <w:tcW w:w="876" w:type="dxa"/>
            <w:vAlign w:val="center"/>
          </w:tcPr>
          <w:p w14:paraId="0D1558C2"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13293P</w:t>
            </w:r>
          </w:p>
        </w:tc>
        <w:tc>
          <w:tcPr>
            <w:tcW w:w="747" w:type="dxa"/>
            <w:vAlign w:val="center"/>
          </w:tcPr>
          <w:p w14:paraId="06FAC0CE"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5CC34666"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4A708D4C" w14:textId="77777777" w:rsidR="00852466" w:rsidRPr="00116AFD" w:rsidRDefault="00852466">
            <w:pPr>
              <w:keepLines/>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5AE97912"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tc>
      </w:tr>
      <w:tr w:rsidR="00116AFD" w:rsidRPr="00116AFD" w14:paraId="7B5CBFF7" w14:textId="77777777">
        <w:trPr>
          <w:gridAfter w:val="1"/>
          <w:wAfter w:w="7" w:type="dxa"/>
          <w:cantSplit/>
          <w:trHeight w:val="20"/>
        </w:trPr>
        <w:tc>
          <w:tcPr>
            <w:tcW w:w="3940" w:type="dxa"/>
            <w:vAlign w:val="center"/>
          </w:tcPr>
          <w:p w14:paraId="4602EE57" w14:textId="77777777" w:rsidR="00852466" w:rsidRPr="00116AFD" w:rsidRDefault="00852466">
            <w:pPr>
              <w:keepNext/>
              <w:tabs>
                <w:tab w:val="left" w:pos="1077"/>
              </w:tab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40 mg/0.4 mL injection, 2 x 0.4 mL syringes</w:t>
            </w:r>
          </w:p>
        </w:tc>
        <w:tc>
          <w:tcPr>
            <w:tcW w:w="876" w:type="dxa"/>
            <w:vAlign w:val="center"/>
          </w:tcPr>
          <w:p w14:paraId="797E5AF1"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13210G</w:t>
            </w:r>
          </w:p>
        </w:tc>
        <w:tc>
          <w:tcPr>
            <w:tcW w:w="747" w:type="dxa"/>
            <w:vAlign w:val="center"/>
          </w:tcPr>
          <w:p w14:paraId="7F73B97F"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15A03759"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3E780EB3"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1ED8B9CD" w14:textId="77777777" w:rsidR="00852466" w:rsidRPr="00116AFD" w:rsidRDefault="00852466">
            <w:pPr>
              <w:keepNext/>
              <w:jc w:val="left"/>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tc>
      </w:tr>
      <w:tr w:rsidR="00116AFD" w:rsidRPr="00116AFD" w14:paraId="44546E65" w14:textId="77777777">
        <w:trPr>
          <w:gridAfter w:val="1"/>
          <w:wAfter w:w="7" w:type="dxa"/>
          <w:cantSplit/>
          <w:trHeight w:val="20"/>
        </w:trPr>
        <w:tc>
          <w:tcPr>
            <w:tcW w:w="3940" w:type="dxa"/>
            <w:vAlign w:val="center"/>
          </w:tcPr>
          <w:p w14:paraId="303D6669" w14:textId="77777777" w:rsidR="00852466" w:rsidRPr="00116AFD" w:rsidRDefault="00852466">
            <w:pPr>
              <w:keepNext/>
              <w:tabs>
                <w:tab w:val="left" w:pos="1077"/>
              </w:tab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40 mg/0.4 mL injection, 2 x 0.4 mL pen devices</w:t>
            </w:r>
          </w:p>
        </w:tc>
        <w:tc>
          <w:tcPr>
            <w:tcW w:w="876" w:type="dxa"/>
            <w:vAlign w:val="center"/>
          </w:tcPr>
          <w:p w14:paraId="3E8E9167"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13229G</w:t>
            </w:r>
          </w:p>
        </w:tc>
        <w:tc>
          <w:tcPr>
            <w:tcW w:w="747" w:type="dxa"/>
            <w:vAlign w:val="center"/>
          </w:tcPr>
          <w:p w14:paraId="7E6CEC4A"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33B1C4DA"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45D99D50"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4874CFCB" w14:textId="77777777" w:rsidR="00852466" w:rsidRPr="00116AFD" w:rsidRDefault="00852466">
            <w:pPr>
              <w:keepNext/>
              <w:jc w:val="left"/>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tc>
      </w:tr>
      <w:tr w:rsidR="00116AFD" w:rsidRPr="00116AFD" w14:paraId="1A1B592A" w14:textId="77777777">
        <w:trPr>
          <w:gridAfter w:val="1"/>
          <w:wAfter w:w="7" w:type="dxa"/>
          <w:cantSplit/>
          <w:trHeight w:val="20"/>
        </w:trPr>
        <w:tc>
          <w:tcPr>
            <w:tcW w:w="3940" w:type="dxa"/>
            <w:vAlign w:val="center"/>
          </w:tcPr>
          <w:p w14:paraId="761BF5C0" w14:textId="77777777" w:rsidR="00852466" w:rsidRPr="00116AFD" w:rsidRDefault="00852466">
            <w:pPr>
              <w:keepNext/>
              <w:tabs>
                <w:tab w:val="left" w:pos="1077"/>
              </w:tab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40 mg/0.4 mL injection, 2 x 0.4 mL pen devices</w:t>
            </w:r>
          </w:p>
        </w:tc>
        <w:tc>
          <w:tcPr>
            <w:tcW w:w="876" w:type="dxa"/>
            <w:vAlign w:val="center"/>
          </w:tcPr>
          <w:p w14:paraId="29AFB785"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13212J</w:t>
            </w:r>
          </w:p>
        </w:tc>
        <w:tc>
          <w:tcPr>
            <w:tcW w:w="747" w:type="dxa"/>
            <w:vAlign w:val="center"/>
          </w:tcPr>
          <w:p w14:paraId="55202B07"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4E1F90D8"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2C049E7D"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4840EA17" w14:textId="77777777" w:rsidR="00852466" w:rsidRPr="00116AFD" w:rsidRDefault="00852466">
            <w:pPr>
              <w:keepNext/>
              <w:jc w:val="left"/>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p w14:paraId="7D615589" w14:textId="77777777" w:rsidR="00852466" w:rsidRPr="00116AFD" w:rsidRDefault="00852466">
            <w:pPr>
              <w:keepNext/>
              <w:jc w:val="left"/>
              <w:rPr>
                <w:rFonts w:ascii="Arial Narrow" w:hAnsi="Arial Narrow"/>
                <w:sz w:val="20"/>
                <w:szCs w:val="20"/>
                <w14:ligatures w14:val="standardContextual"/>
              </w:rPr>
            </w:pPr>
          </w:p>
        </w:tc>
      </w:tr>
      <w:tr w:rsidR="00116AFD" w:rsidRPr="00116AFD" w14:paraId="732BF9ED" w14:textId="77777777">
        <w:trPr>
          <w:gridAfter w:val="1"/>
          <w:wAfter w:w="7" w:type="dxa"/>
          <w:cantSplit/>
          <w:trHeight w:val="20"/>
        </w:trPr>
        <w:tc>
          <w:tcPr>
            <w:tcW w:w="3940" w:type="dxa"/>
            <w:vAlign w:val="center"/>
          </w:tcPr>
          <w:p w14:paraId="2638656B" w14:textId="77777777" w:rsidR="00852466" w:rsidRPr="00116AFD" w:rsidRDefault="00852466">
            <w:pPr>
              <w:keepNext/>
              <w:tabs>
                <w:tab w:val="left" w:pos="1077"/>
              </w:tabs>
              <w:jc w:val="left"/>
              <w:rPr>
                <w:rFonts w:ascii="Arial Narrow" w:hAnsi="Arial Narrow"/>
                <w:sz w:val="20"/>
                <w:szCs w:val="20"/>
                <w14:ligatures w14:val="standardContextual"/>
              </w:rPr>
            </w:pPr>
            <w:r w:rsidRPr="00116AFD">
              <w:rPr>
                <w:rFonts w:ascii="Arial Narrow" w:hAnsi="Arial Narrow"/>
                <w:sz w:val="20"/>
                <w:szCs w:val="20"/>
                <w14:ligatures w14:val="standardContextual"/>
              </w:rPr>
              <w:t>adalimumab 40 mg/0.4 mL injection, 2 x 0.4 mL syringes</w:t>
            </w:r>
          </w:p>
        </w:tc>
        <w:tc>
          <w:tcPr>
            <w:tcW w:w="876" w:type="dxa"/>
            <w:vAlign w:val="center"/>
          </w:tcPr>
          <w:p w14:paraId="5C978672"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13228F</w:t>
            </w:r>
          </w:p>
        </w:tc>
        <w:tc>
          <w:tcPr>
            <w:tcW w:w="747" w:type="dxa"/>
            <w:vAlign w:val="center"/>
          </w:tcPr>
          <w:p w14:paraId="3C0DB5AE"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1</w:t>
            </w:r>
          </w:p>
        </w:tc>
        <w:tc>
          <w:tcPr>
            <w:tcW w:w="811" w:type="dxa"/>
            <w:vAlign w:val="center"/>
          </w:tcPr>
          <w:p w14:paraId="74FFAE1F"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2</w:t>
            </w:r>
          </w:p>
        </w:tc>
        <w:tc>
          <w:tcPr>
            <w:tcW w:w="812" w:type="dxa"/>
            <w:vAlign w:val="center"/>
          </w:tcPr>
          <w:p w14:paraId="0FC7DA45" w14:textId="77777777" w:rsidR="00852466" w:rsidRPr="00116AFD" w:rsidRDefault="00852466">
            <w:pPr>
              <w:keepNext/>
              <w:jc w:val="center"/>
              <w:rPr>
                <w:rFonts w:ascii="Arial Narrow" w:hAnsi="Arial Narrow"/>
                <w:sz w:val="20"/>
                <w:szCs w:val="20"/>
                <w14:ligatures w14:val="standardContextual"/>
              </w:rPr>
            </w:pPr>
            <w:r w:rsidRPr="00116AFD">
              <w:rPr>
                <w:rFonts w:ascii="Arial Narrow" w:hAnsi="Arial Narrow"/>
                <w:sz w:val="20"/>
                <w:szCs w:val="20"/>
                <w14:ligatures w14:val="standardContextual"/>
              </w:rPr>
              <w:t>5</w:t>
            </w:r>
          </w:p>
        </w:tc>
        <w:tc>
          <w:tcPr>
            <w:tcW w:w="1831" w:type="dxa"/>
            <w:vAlign w:val="center"/>
          </w:tcPr>
          <w:p w14:paraId="010D380D" w14:textId="77777777" w:rsidR="00852466" w:rsidRPr="00116AFD" w:rsidRDefault="00852466">
            <w:pPr>
              <w:keepNext/>
              <w:jc w:val="left"/>
              <w:rPr>
                <w:rFonts w:ascii="Arial Narrow" w:hAnsi="Arial Narrow"/>
                <w:sz w:val="20"/>
                <w:szCs w:val="20"/>
                <w14:ligatures w14:val="standardContextual"/>
              </w:rPr>
            </w:pPr>
            <w:r w:rsidRPr="00116AFD">
              <w:rPr>
                <w:rFonts w:ascii="Arial Narrow" w:hAnsi="Arial Narrow"/>
                <w:sz w:val="20"/>
                <w:szCs w:val="20"/>
                <w14:ligatures w14:val="standardContextual"/>
              </w:rPr>
              <w:t>Humira</w:t>
            </w:r>
          </w:p>
        </w:tc>
      </w:tr>
      <w:tr w:rsidR="00116AFD" w:rsidRPr="00116AFD" w14:paraId="576A41C3" w14:textId="77777777">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791FE392" w14:textId="77777777" w:rsidR="00852466" w:rsidRPr="00116AFD" w:rsidRDefault="00852466">
            <w:pPr>
              <w:rPr>
                <w:rFonts w:ascii="Arial Narrow" w:hAnsi="Arial Narrow"/>
                <w:sz w:val="20"/>
                <w:szCs w:val="20"/>
                <w14:ligatures w14:val="standardContextual"/>
              </w:rPr>
            </w:pPr>
          </w:p>
        </w:tc>
      </w:tr>
      <w:tr w:rsidR="00852466" w:rsidRPr="000F1D45" w14:paraId="4D3A643A"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269BB12"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b/>
                <w:sz w:val="20"/>
                <w:szCs w:val="20"/>
                <w14:ligatures w14:val="standardContextual"/>
              </w:rPr>
              <w:t>Category / Program:</w:t>
            </w:r>
            <w:r w:rsidRPr="00116AFD">
              <w:rPr>
                <w:rFonts w:ascii="Arial Narrow" w:hAnsi="Arial Narrow"/>
                <w:sz w:val="20"/>
                <w:szCs w:val="20"/>
                <w14:ligatures w14:val="standardContextual"/>
              </w:rPr>
              <w:t xml:space="preserv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7D3738D1"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423D1DF" w14:textId="77777777" w:rsidR="00852466" w:rsidRPr="00116AFD" w:rsidRDefault="00852466">
            <w:pPr>
              <w:keepLines/>
              <w:rPr>
                <w:rFonts w:ascii="Arial Narrow" w:hAnsi="Arial Narrow"/>
                <w:b/>
                <w:sz w:val="20"/>
                <w:szCs w:val="20"/>
                <w14:ligatures w14:val="standardContextual"/>
              </w:rPr>
            </w:pPr>
            <w:r w:rsidRPr="00116AFD">
              <w:rPr>
                <w:rFonts w:ascii="Arial Narrow" w:hAnsi="Arial Narrow"/>
                <w:b/>
                <w:sz w:val="20"/>
                <w:szCs w:val="20"/>
                <w14:ligatures w14:val="standardContextual"/>
              </w:rPr>
              <w:t xml:space="preserve">Prescriber type: </w:t>
            </w:r>
            <w:r w:rsidRPr="00116AFD">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sz w:val="20"/>
                <w:szCs w:val="20"/>
                <w14:ligatures w14:val="standardContextual"/>
              </w:rPr>
              <w:instrText xml:space="preserve"> FORMCHECKBOX </w:instrText>
            </w:r>
            <w:r w:rsidRPr="00116AFD">
              <w:rPr>
                <w:rFonts w:ascii="Arial Narrow" w:hAnsi="Arial Narrow"/>
                <w:sz w:val="20"/>
                <w:szCs w:val="20"/>
                <w14:ligatures w14:val="standardContextual"/>
              </w:rPr>
            </w:r>
            <w:r w:rsidRPr="00116AFD">
              <w:rPr>
                <w:rFonts w:ascii="Arial Narrow" w:hAnsi="Arial Narrow"/>
                <w:sz w:val="20"/>
                <w:szCs w:val="20"/>
                <w14:ligatures w14:val="standardContextual"/>
              </w:rPr>
              <w:fldChar w:fldCharType="separate"/>
            </w:r>
            <w:r w:rsidRPr="00116AFD">
              <w:rPr>
                <w:rFonts w:ascii="Arial Narrow" w:hAnsi="Arial Narrow"/>
                <w:sz w:val="20"/>
                <w:szCs w:val="20"/>
                <w14:ligatures w14:val="standardContextual"/>
              </w:rPr>
              <w:fldChar w:fldCharType="end"/>
            </w:r>
            <w:r w:rsidRPr="00116AFD">
              <w:rPr>
                <w:rFonts w:ascii="Arial Narrow" w:hAnsi="Arial Narrow"/>
                <w:sz w:val="20"/>
                <w:szCs w:val="20"/>
                <w14:ligatures w14:val="standardContextual"/>
              </w:rPr>
              <w:t xml:space="preserve">Medical Practitioners </w:t>
            </w:r>
          </w:p>
        </w:tc>
      </w:tr>
      <w:tr w:rsidR="00852466" w:rsidRPr="000F1D45" w14:paraId="69331AF1"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A8B9DD7" w14:textId="77777777" w:rsidR="00852466" w:rsidRPr="00116AFD" w:rsidRDefault="00852466">
            <w:pPr>
              <w:keepLines/>
              <w:rPr>
                <w:rFonts w:ascii="Arial Narrow" w:eastAsia="Calibri" w:hAnsi="Arial Narrow"/>
                <w:sz w:val="20"/>
                <w:szCs w:val="20"/>
                <w14:ligatures w14:val="standardContextual"/>
              </w:rPr>
            </w:pPr>
            <w:r w:rsidRPr="00116AFD">
              <w:rPr>
                <w:rFonts w:ascii="Arial Narrow" w:hAnsi="Arial Narrow"/>
                <w:b/>
                <w:sz w:val="20"/>
                <w:szCs w:val="20"/>
                <w14:ligatures w14:val="standardContextual"/>
              </w:rPr>
              <w:t xml:space="preserve">Restriction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Authority Required (Streamlined) </w:t>
            </w:r>
          </w:p>
        </w:tc>
      </w:tr>
      <w:tr w:rsidR="00852466" w:rsidRPr="000F1D45" w14:paraId="7E675EE1" w14:textId="77777777">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89D8795" w14:textId="77777777" w:rsidR="00852466" w:rsidRPr="00116AFD" w:rsidRDefault="00852466">
            <w:pPr>
              <w:keepLines/>
              <w:jc w:val="left"/>
              <w:rPr>
                <w:rFonts w:ascii="Arial Narrow" w:hAnsi="Arial Narrow"/>
                <w:b/>
                <w:sz w:val="20"/>
                <w:szCs w:val="20"/>
                <w14:ligatures w14:val="standardContextual"/>
              </w:rPr>
            </w:pPr>
            <w:r w:rsidRPr="00116AFD">
              <w:rPr>
                <w:rFonts w:ascii="Arial Narrow" w:hAnsi="Arial Narrow"/>
                <w:b/>
                <w:sz w:val="20"/>
                <w:szCs w:val="20"/>
                <w14:ligatures w14:val="standardContextual"/>
              </w:rPr>
              <w:t xml:space="preserve">Authority type: </w:t>
            </w:r>
            <w:r w:rsidRPr="00116AFD">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sz w:val="20"/>
                <w:szCs w:val="20"/>
                <w14:ligatures w14:val="standardContextual"/>
              </w:rPr>
              <w:instrText xml:space="preserve"> FORMCHECKBOX </w:instrText>
            </w:r>
            <w:r w:rsidRPr="00116AFD">
              <w:rPr>
                <w:rFonts w:ascii="Arial Narrow" w:eastAsia="Calibri" w:hAnsi="Arial Narrow"/>
                <w:sz w:val="20"/>
                <w:szCs w:val="20"/>
                <w14:ligatures w14:val="standardContextual"/>
              </w:rPr>
            </w:r>
            <w:r w:rsidRPr="00116AFD">
              <w:rPr>
                <w:rFonts w:ascii="Arial Narrow" w:eastAsia="Calibri" w:hAnsi="Arial Narrow"/>
                <w:sz w:val="20"/>
                <w:szCs w:val="20"/>
                <w14:ligatures w14:val="standardContextual"/>
              </w:rPr>
              <w:fldChar w:fldCharType="separate"/>
            </w:r>
            <w:r w:rsidRPr="00116AFD">
              <w:rPr>
                <w:rFonts w:ascii="Arial Narrow" w:eastAsia="Calibri" w:hAnsi="Arial Narrow"/>
                <w:sz w:val="20"/>
                <w:szCs w:val="20"/>
                <w14:ligatures w14:val="standardContextual"/>
              </w:rPr>
              <w:fldChar w:fldCharType="end"/>
            </w:r>
            <w:r w:rsidRPr="00116AFD">
              <w:rPr>
                <w:rFonts w:ascii="Arial Narrow" w:eastAsia="Calibri" w:hAnsi="Arial Narrow"/>
                <w:sz w:val="20"/>
                <w:szCs w:val="20"/>
                <w14:ligatures w14:val="standardContextual"/>
              </w:rPr>
              <w:t xml:space="preserve"> Complex Authority Required (CAR)</w:t>
            </w:r>
          </w:p>
        </w:tc>
      </w:tr>
      <w:tr w:rsidR="00852466" w:rsidRPr="000F1D45" w14:paraId="1A24AC45"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5EAFD253"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As above</w:t>
            </w:r>
          </w:p>
        </w:tc>
      </w:tr>
      <w:tr w:rsidR="00852466" w:rsidRPr="000F1D45" w14:paraId="7B721141"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0BF19F0C"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Administrative Advice:</w:t>
            </w:r>
          </w:p>
          <w:p w14:paraId="4F6F49E1"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No increase in the maximum quantity or number of units may be authorised.</w:t>
            </w:r>
          </w:p>
        </w:tc>
      </w:tr>
      <w:tr w:rsidR="00852466" w:rsidRPr="000F1D45" w14:paraId="02DFEDF8"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620CE69E"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Administrative Advice:</w:t>
            </w:r>
          </w:p>
          <w:p w14:paraId="23F82CEB"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No increase in the maximum number of repeats may be authorised.</w:t>
            </w:r>
          </w:p>
        </w:tc>
      </w:tr>
      <w:tr w:rsidR="00852466" w:rsidRPr="000F1D45" w14:paraId="7B13201A"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63B8F837"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Administrative Advice:</w:t>
            </w:r>
          </w:p>
          <w:p w14:paraId="4A174DDE"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Any queries concerning the arrangements to prescribe may be directed to Services Australia on 1800 700 270 (hours of operation 8 a.m. to 5 p.m. Monday to Friday).</w:t>
            </w:r>
          </w:p>
        </w:tc>
      </w:tr>
      <w:tr w:rsidR="00852466" w:rsidRPr="000F1D45" w14:paraId="110DD886"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27C37936"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As above</w:t>
            </w:r>
          </w:p>
        </w:tc>
      </w:tr>
      <w:tr w:rsidR="00852466" w:rsidRPr="000F1D45" w14:paraId="1804F014"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5B38403B"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As above</w:t>
            </w:r>
          </w:p>
        </w:tc>
      </w:tr>
      <w:tr w:rsidR="00852466" w:rsidRPr="000F1D45" w14:paraId="54AA0C95"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107ADE2D"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As above</w:t>
            </w:r>
          </w:p>
        </w:tc>
      </w:tr>
      <w:tr w:rsidR="00852466" w:rsidRPr="000F1D45" w14:paraId="2B22FCF2" w14:textId="77777777">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1AB19EBA"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As above</w:t>
            </w:r>
          </w:p>
        </w:tc>
      </w:tr>
      <w:tr w:rsidR="00852466" w:rsidRPr="000F1D45" w14:paraId="7869759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84E8C4E" w14:textId="77777777" w:rsidR="00852466" w:rsidRPr="00116AFD" w:rsidRDefault="00852466">
            <w:pPr>
              <w:keepLines/>
              <w:rPr>
                <w:rFonts w:ascii="Arial Narrow" w:hAnsi="Arial Narrow"/>
                <w:sz w:val="20"/>
                <w:szCs w:val="20"/>
                <w14:ligatures w14:val="standardContextual"/>
              </w:rPr>
            </w:pPr>
            <w:r w:rsidRPr="00116AFD">
              <w:rPr>
                <w:rFonts w:ascii="Arial Narrow" w:hAnsi="Arial Narrow"/>
                <w:b/>
                <w:bCs/>
                <w:sz w:val="20"/>
                <w:szCs w:val="20"/>
                <w14:ligatures w14:val="standardContextual"/>
              </w:rPr>
              <w:t>Indication:</w:t>
            </w:r>
            <w:r w:rsidRPr="00116AFD">
              <w:rPr>
                <w:rFonts w:ascii="Arial Narrow" w:hAnsi="Arial Narrow"/>
                <w:sz w:val="20"/>
                <w:szCs w:val="20"/>
                <w14:ligatures w14:val="standardContextual"/>
              </w:rPr>
              <w:t xml:space="preserve"> Severe active juvenile idiopathic arthritis</w:t>
            </w:r>
          </w:p>
        </w:tc>
      </w:tr>
      <w:tr w:rsidR="00852466" w:rsidRPr="000F1D45" w14:paraId="0A4414A2"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0D1C375"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Phase:</w:t>
            </w:r>
            <w:r w:rsidRPr="00116AFD">
              <w:rPr>
                <w:rFonts w:ascii="Arial Narrow" w:hAnsi="Arial Narrow"/>
                <w:sz w:val="20"/>
                <w:szCs w:val="20"/>
                <w14:ligatures w14:val="standardContextual"/>
              </w:rPr>
              <w:t xml:space="preserve"> Continuing treatment</w:t>
            </w:r>
          </w:p>
        </w:tc>
      </w:tr>
      <w:tr w:rsidR="00852466" w:rsidRPr="000F1D45" w14:paraId="319CE80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0D83602"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 xml:space="preserve">Clinical criteria: </w:t>
            </w:r>
          </w:p>
        </w:tc>
      </w:tr>
      <w:tr w:rsidR="00852466" w:rsidRPr="000F1D45" w14:paraId="7B7A1AC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B7ED339" w14:textId="77777777" w:rsidR="00852466" w:rsidRPr="00116AFD" w:rsidRDefault="00852466">
            <w:pPr>
              <w:jc w:val="left"/>
              <w:rPr>
                <w:rFonts w:ascii="Arial Narrow" w:hAnsi="Arial Narrow"/>
                <w:sz w:val="20"/>
                <w:szCs w:val="20"/>
                <w14:ligatures w14:val="standardContextual"/>
              </w:rPr>
            </w:pPr>
            <w:r w:rsidRPr="00116AFD">
              <w:rPr>
                <w:rFonts w:ascii="Arial Narrow" w:hAnsi="Arial Narrow"/>
                <w:sz w:val="20"/>
                <w:szCs w:val="20"/>
                <w14:ligatures w14:val="standardContextual"/>
              </w:rPr>
              <w:t>Patient must have received this drug as their most recent course of PBS-subsidised biological medicine treatment for this condition</w:t>
            </w:r>
          </w:p>
        </w:tc>
      </w:tr>
      <w:tr w:rsidR="00852466" w:rsidRPr="000F1D45" w14:paraId="2E7DB16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661516E" w14:textId="77777777" w:rsidR="00852466" w:rsidRPr="00116AFD" w:rsidRDefault="00852466">
            <w:pPr>
              <w:jc w:val="left"/>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1786E233"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70C2226" w14:textId="77777777" w:rsidR="00852466" w:rsidRPr="00116AFD" w:rsidRDefault="00852466">
            <w:pPr>
              <w:jc w:val="left"/>
              <w:rPr>
                <w:rFonts w:ascii="Arial Narrow" w:hAnsi="Arial Narrow"/>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24BDA575"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CA08290"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Patient must have demonstrated an adequate response to treatment with this drug</w:t>
            </w:r>
          </w:p>
        </w:tc>
      </w:tr>
      <w:tr w:rsidR="00852466" w:rsidRPr="000F1D45" w14:paraId="6A147A6E"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A813680"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AND</w:t>
            </w:r>
          </w:p>
        </w:tc>
      </w:tr>
      <w:tr w:rsidR="00852466" w:rsidRPr="000F1D45" w14:paraId="3F93FE41"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EA9B510" w14:textId="77777777" w:rsidR="00852466" w:rsidRPr="00116AFD" w:rsidRDefault="00852466">
            <w:pPr>
              <w:rPr>
                <w:rFonts w:ascii="Arial Narrow" w:hAnsi="Arial Narrow"/>
                <w:sz w:val="20"/>
                <w:szCs w:val="20"/>
                <w14:ligatures w14:val="standardContextual"/>
              </w:rPr>
            </w:pPr>
            <w:r w:rsidRPr="00116AFD">
              <w:rPr>
                <w:rFonts w:ascii="Arial Narrow" w:hAnsi="Arial Narrow"/>
                <w:b/>
                <w:bCs/>
                <w:sz w:val="20"/>
                <w:szCs w:val="20"/>
                <w14:ligatures w14:val="standardContextual"/>
              </w:rPr>
              <w:t>Clinical criteria:</w:t>
            </w:r>
          </w:p>
        </w:tc>
      </w:tr>
      <w:tr w:rsidR="00852466" w:rsidRPr="000F1D45" w14:paraId="7C501E7E"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B8DDC7B"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Patient must not receive more than 24 weeks of treatment per continuing treatment course authorised under this restriction</w:t>
            </w:r>
          </w:p>
        </w:tc>
      </w:tr>
      <w:tr w:rsidR="00852466" w:rsidRPr="000F1D45" w14:paraId="50B11C3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8AEB060" w14:textId="77777777" w:rsidR="00852466" w:rsidRPr="00116AFD" w:rsidRDefault="00852466">
            <w:pPr>
              <w:keepNext/>
              <w:rPr>
                <w:rFonts w:ascii="Arial Narrow" w:hAnsi="Arial Narrow"/>
                <w:sz w:val="20"/>
                <w:szCs w:val="20"/>
                <w14:ligatures w14:val="standardContextual"/>
              </w:rPr>
            </w:pPr>
            <w:r w:rsidRPr="00116AFD">
              <w:rPr>
                <w:rFonts w:ascii="Arial Narrow" w:hAnsi="Arial Narrow"/>
                <w:b/>
                <w:bCs/>
                <w:sz w:val="20"/>
                <w:szCs w:val="20"/>
                <w14:ligatures w14:val="standardContextual"/>
              </w:rPr>
              <w:t>Treatment criteria:</w:t>
            </w:r>
          </w:p>
        </w:tc>
      </w:tr>
      <w:tr w:rsidR="00852466" w:rsidRPr="000F1D45" w14:paraId="29F9C39D"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594D69B" w14:textId="77777777" w:rsidR="00852466" w:rsidRPr="00116AFD" w:rsidRDefault="00852466">
            <w:pPr>
              <w:autoSpaceDE w:val="0"/>
              <w:autoSpaceDN w:val="0"/>
              <w:adjustRightInd w:val="0"/>
              <w:jc w:val="left"/>
              <w:rPr>
                <w:rFonts w:ascii="Arial Narrow" w:hAnsi="Arial Narrow" w:cs="Arial Narrow"/>
                <w:sz w:val="20"/>
                <w:szCs w:val="20"/>
                <w14:ligatures w14:val="standardContextual"/>
              </w:rPr>
            </w:pPr>
            <w:r w:rsidRPr="00116AFD">
              <w:rPr>
                <w:rFonts w:ascii="Arial Narrow" w:hAnsi="Arial Narrow" w:cs="Arial Narrow"/>
                <w:sz w:val="20"/>
                <w:szCs w:val="20"/>
                <w14:ligatures w14:val="standardContextual"/>
              </w:rPr>
              <w:t>Must be treated by a rheumatologist; or</w:t>
            </w:r>
          </w:p>
        </w:tc>
      </w:tr>
      <w:tr w:rsidR="00852466" w:rsidRPr="000F1D45" w14:paraId="321E5BEC"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DD22690" w14:textId="77777777" w:rsidR="00852466" w:rsidRPr="00116AFD" w:rsidRDefault="00852466">
            <w:pPr>
              <w:autoSpaceDE w:val="0"/>
              <w:autoSpaceDN w:val="0"/>
              <w:adjustRightInd w:val="0"/>
              <w:rPr>
                <w:rFonts w:ascii="Arial Narrow" w:hAnsi="Arial Narrow" w:cs="Arial Narrow"/>
                <w:sz w:val="20"/>
                <w:szCs w:val="20"/>
                <w14:ligatures w14:val="standardContextual"/>
              </w:rPr>
            </w:pPr>
            <w:r w:rsidRPr="00116AFD">
              <w:rPr>
                <w:rFonts w:ascii="Arial Narrow" w:hAnsi="Arial Narrow" w:cs="Arial Narrow"/>
                <w:sz w:val="20"/>
                <w:szCs w:val="20"/>
                <w14:ligatures w14:val="standardContextual"/>
              </w:rPr>
              <w:t>Patient must be undergoing treatment under the supervision of a paediatric rheumatology treatment centre</w:t>
            </w:r>
          </w:p>
        </w:tc>
      </w:tr>
      <w:tr w:rsidR="00852466" w:rsidRPr="000F1D45" w14:paraId="20BECBF4"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1B93F14" w14:textId="77777777" w:rsidR="00852466" w:rsidRPr="00116AFD" w:rsidRDefault="00852466">
            <w:pPr>
              <w:rPr>
                <w:rFonts w:ascii="Arial Narrow" w:hAnsi="Arial Narrow"/>
                <w:bCs/>
                <w:sz w:val="20"/>
                <w:szCs w:val="20"/>
                <w14:ligatures w14:val="standardContextual"/>
              </w:rPr>
            </w:pPr>
            <w:r w:rsidRPr="00116AFD">
              <w:rPr>
                <w:rFonts w:ascii="Arial Narrow" w:hAnsi="Arial Narrow"/>
                <w:b/>
                <w:bCs/>
                <w:sz w:val="20"/>
                <w:szCs w:val="20"/>
                <w14:ligatures w14:val="standardContextual"/>
              </w:rPr>
              <w:t xml:space="preserve">Prescribing Instructions: </w:t>
            </w:r>
            <w:r w:rsidRPr="00116AFD">
              <w:rPr>
                <w:rFonts w:ascii="Arial Narrow" w:hAnsi="Arial Narrow"/>
                <w:bCs/>
                <w:sz w:val="20"/>
                <w:szCs w:val="20"/>
                <w14:ligatures w14:val="standardContextual"/>
              </w:rPr>
              <w:t>An adequate response to treatment is defined as:</w:t>
            </w:r>
          </w:p>
          <w:p w14:paraId="4AB5D402" w14:textId="77777777" w:rsidR="00852466" w:rsidRPr="00116AFD" w:rsidRDefault="00852466">
            <w:pPr>
              <w:rPr>
                <w:rFonts w:ascii="Arial Narrow" w:hAnsi="Arial Narrow"/>
                <w:bCs/>
                <w:sz w:val="20"/>
                <w:szCs w:val="20"/>
                <w14:ligatures w14:val="standardContextual"/>
              </w:rPr>
            </w:pPr>
          </w:p>
          <w:p w14:paraId="3C93203A"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 xml:space="preserve">(a) a reduction in the total active (swollen and tender) joint count by at least 50% from baseline, where baseline is at least </w:t>
            </w:r>
            <w:r w:rsidRPr="00116AFD">
              <w:rPr>
                <w:rFonts w:ascii="Arial Narrow" w:hAnsi="Arial Narrow"/>
                <w:bCs/>
                <w:strike/>
                <w:sz w:val="20"/>
                <w:szCs w:val="20"/>
                <w14:ligatures w14:val="standardContextual"/>
              </w:rPr>
              <w:t>20</w:t>
            </w:r>
            <w:r w:rsidRPr="00116AFD">
              <w:rPr>
                <w:rFonts w:ascii="Arial Narrow" w:hAnsi="Arial Narrow"/>
                <w:bCs/>
                <w:sz w:val="20"/>
                <w:szCs w:val="20"/>
                <w14:ligatures w14:val="standardContextual"/>
              </w:rPr>
              <w:t xml:space="preserve"> </w:t>
            </w:r>
            <w:r w:rsidRPr="00116AFD">
              <w:rPr>
                <w:rFonts w:ascii="Arial Narrow" w:hAnsi="Arial Narrow"/>
                <w:bCs/>
                <w:i/>
                <w:iCs/>
                <w:sz w:val="20"/>
                <w:szCs w:val="20"/>
                <w14:ligatures w14:val="standardContextual"/>
              </w:rPr>
              <w:t>10</w:t>
            </w:r>
            <w:r w:rsidRPr="00116AFD">
              <w:rPr>
                <w:rFonts w:ascii="Arial Narrow" w:hAnsi="Arial Narrow"/>
                <w:bCs/>
                <w:sz w:val="20"/>
                <w:szCs w:val="20"/>
                <w14:ligatures w14:val="standardContextual"/>
              </w:rPr>
              <w:t xml:space="preserve"> active joints; or</w:t>
            </w:r>
          </w:p>
          <w:p w14:paraId="73482031" w14:textId="77777777" w:rsidR="00852466" w:rsidRPr="00116AFD" w:rsidRDefault="00852466">
            <w:pPr>
              <w:rPr>
                <w:rFonts w:ascii="Arial Narrow" w:hAnsi="Arial Narrow"/>
                <w:bCs/>
                <w:sz w:val="20"/>
                <w:szCs w:val="20"/>
                <w14:ligatures w14:val="standardContextual"/>
              </w:rPr>
            </w:pPr>
          </w:p>
          <w:p w14:paraId="3107F0D0"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 xml:space="preserve">(b) a reduction in the number of the following active joints, from at least </w:t>
            </w:r>
            <w:r w:rsidRPr="00116AFD">
              <w:rPr>
                <w:rFonts w:ascii="Arial Narrow" w:hAnsi="Arial Narrow"/>
                <w:bCs/>
                <w:strike/>
                <w:sz w:val="20"/>
                <w:szCs w:val="20"/>
                <w14:ligatures w14:val="standardContextual"/>
              </w:rPr>
              <w:t xml:space="preserve">4 </w:t>
            </w:r>
            <w:r w:rsidRPr="00116AFD">
              <w:rPr>
                <w:rFonts w:ascii="Arial Narrow" w:hAnsi="Arial Narrow"/>
                <w:bCs/>
                <w:i/>
                <w:iCs/>
                <w:sz w:val="20"/>
                <w:szCs w:val="20"/>
                <w14:ligatures w14:val="standardContextual"/>
              </w:rPr>
              <w:t>2</w:t>
            </w:r>
            <w:r w:rsidRPr="00116AFD">
              <w:rPr>
                <w:rFonts w:ascii="Arial Narrow" w:hAnsi="Arial Narrow"/>
                <w:bCs/>
                <w:sz w:val="20"/>
                <w:szCs w:val="20"/>
                <w14:ligatures w14:val="standardContextual"/>
              </w:rPr>
              <w:t>, by at least 50</w:t>
            </w:r>
            <w:r w:rsidRPr="00116AFD">
              <w:rPr>
                <w:rFonts w:ascii="Arial Narrow" w:hAnsi="Arial Narrow"/>
                <w:bCs/>
                <w:i/>
                <w:iCs/>
                <w:sz w:val="20"/>
                <w:szCs w:val="20"/>
                <w14:ligatures w14:val="standardContextual"/>
              </w:rPr>
              <w:t>%: elbow, wrist, knee, ankle, shoulder, and hip</w:t>
            </w:r>
            <w:r w:rsidRPr="00116AFD">
              <w:rPr>
                <w:rFonts w:ascii="Arial Narrow" w:hAnsi="Arial Narrow"/>
                <w:bCs/>
                <w:sz w:val="20"/>
                <w:szCs w:val="20"/>
                <w14:ligatures w14:val="standardContextual"/>
              </w:rPr>
              <w:t>; or</w:t>
            </w:r>
          </w:p>
          <w:p w14:paraId="18AE1C87"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 elbow, wrist, knee and/or ankle (assessed as swollen and tender); and/or</w:t>
            </w:r>
          </w:p>
          <w:p w14:paraId="6A892D06" w14:textId="77777777" w:rsidR="00852466" w:rsidRPr="00116AFD" w:rsidRDefault="00852466">
            <w:pPr>
              <w:rPr>
                <w:rFonts w:ascii="Arial Narrow" w:hAnsi="Arial Narrow"/>
                <w:bCs/>
                <w:strike/>
                <w:sz w:val="20"/>
                <w:szCs w:val="20"/>
                <w14:ligatures w14:val="standardContextual"/>
              </w:rPr>
            </w:pPr>
          </w:p>
          <w:p w14:paraId="2B91320C" w14:textId="77777777" w:rsidR="00852466" w:rsidRPr="00116AFD" w:rsidRDefault="00852466">
            <w:pPr>
              <w:rPr>
                <w:rFonts w:ascii="Arial Narrow" w:hAnsi="Arial Narrow"/>
                <w:bCs/>
                <w:strike/>
                <w:sz w:val="20"/>
                <w:szCs w:val="20"/>
                <w14:ligatures w14:val="standardContextual"/>
              </w:rPr>
            </w:pPr>
            <w:r w:rsidRPr="00116AFD">
              <w:rPr>
                <w:rFonts w:ascii="Arial Narrow" w:hAnsi="Arial Narrow"/>
                <w:bCs/>
                <w:strike/>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7C39BB4A"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(c)</w:t>
            </w:r>
            <w:r w:rsidRPr="00116AFD">
              <w:rPr>
                <w14:ligatures w14:val="standardContextual"/>
              </w:rPr>
              <w:t xml:space="preserve"> </w:t>
            </w:r>
            <w:r w:rsidRPr="00116AFD">
              <w:rPr>
                <w:rFonts w:ascii="Arial Narrow" w:hAnsi="Arial Narrow"/>
                <w:i/>
                <w:iCs/>
                <w:sz w:val="20"/>
                <w:szCs w:val="20"/>
                <w14:ligatures w14:val="standardContextual"/>
              </w:rPr>
              <w:t>an improvement from baseline by at least 50% in the signs and symptoms attributable to active arthritis affecting the cervical spine or temporomandibular joint; OR</w:t>
            </w:r>
          </w:p>
          <w:p w14:paraId="4DD30A48" w14:textId="77777777" w:rsidR="00852466" w:rsidRPr="00116AFD" w:rsidRDefault="00852466">
            <w:pPr>
              <w:rPr>
                <w:rFonts w:ascii="Arial Narrow" w:hAnsi="Arial Narrow"/>
                <w:i/>
                <w:iCs/>
                <w:sz w:val="20"/>
                <w:szCs w:val="20"/>
                <w14:ligatures w14:val="standardContextual"/>
              </w:rPr>
            </w:pPr>
          </w:p>
          <w:p w14:paraId="343E447F"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(d) a 50% reduction from baseline on the frequency of oral or intra-articular corticosteroids use to control flares of disease associated with active arthritis; OR</w:t>
            </w:r>
          </w:p>
          <w:p w14:paraId="53D69BE5" w14:textId="77777777" w:rsidR="00852466" w:rsidRPr="00116AFD" w:rsidRDefault="00852466">
            <w:pPr>
              <w:rPr>
                <w:rFonts w:ascii="Arial Narrow" w:hAnsi="Arial Narrow"/>
                <w:i/>
                <w:iCs/>
                <w:sz w:val="20"/>
                <w:szCs w:val="20"/>
                <w14:ligatures w14:val="standardContextual"/>
              </w:rPr>
            </w:pPr>
          </w:p>
          <w:p w14:paraId="6B277F46" w14:textId="77777777" w:rsidR="00852466" w:rsidRPr="00116AFD" w:rsidRDefault="00852466">
            <w:pPr>
              <w:rPr>
                <w:rFonts w:ascii="Arial Narrow" w:hAnsi="Arial Narrow"/>
                <w:bCs/>
                <w:sz w:val="20"/>
                <w:szCs w:val="20"/>
                <w14:ligatures w14:val="standardContextual"/>
              </w:rPr>
            </w:pPr>
            <w:r w:rsidRPr="00116AFD">
              <w:rPr>
                <w:rFonts w:ascii="Arial Narrow" w:hAnsi="Arial Narrow"/>
                <w:i/>
                <w:iCs/>
                <w:sz w:val="20"/>
                <w:szCs w:val="20"/>
                <w14:ligatures w14:val="standardContextual"/>
              </w:rPr>
              <w:t>(e) an improvement from baseline by at least 50% in the signs and symptoms attributable to active arthritis affecting joint(s) with erosive disease.</w:t>
            </w:r>
          </w:p>
          <w:p w14:paraId="654A8D86" w14:textId="77777777" w:rsidR="00852466" w:rsidRPr="00116AFD" w:rsidRDefault="00852466">
            <w:pPr>
              <w:rPr>
                <w:rFonts w:ascii="Arial Narrow" w:hAnsi="Arial Narrow"/>
                <w:bCs/>
                <w:sz w:val="20"/>
                <w:szCs w:val="20"/>
                <w14:ligatures w14:val="standardContextual"/>
              </w:rPr>
            </w:pPr>
          </w:p>
          <w:p w14:paraId="78243980" w14:textId="77777777" w:rsidR="00852466" w:rsidRPr="00116AFD" w:rsidRDefault="00852466">
            <w:pPr>
              <w:rPr>
                <w:rFonts w:ascii="Arial Narrow" w:hAnsi="Arial Narrow"/>
                <w:sz w:val="20"/>
                <w:szCs w:val="20"/>
                <w14:ligatures w14:val="standardContextual"/>
              </w:rPr>
            </w:pPr>
            <w:r w:rsidRPr="00116AFD">
              <w:rPr>
                <w:rFonts w:ascii="Arial Narrow" w:hAnsi="Arial Narrow"/>
                <w:bCs/>
                <w:sz w:val="20"/>
                <w:szCs w:val="20"/>
                <w14:ligatures w14:val="standardContextual"/>
              </w:rPr>
              <w:t>The assessment of response to treatment must be documented in the patient's medical records.</w:t>
            </w:r>
          </w:p>
        </w:tc>
      </w:tr>
      <w:tr w:rsidR="00852466" w:rsidRPr="000F1D45" w14:paraId="0035D1A0"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2A30B35"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53F1D99A" w14:textId="77777777" w:rsidR="00852466" w:rsidRPr="00116AFD" w:rsidRDefault="00852466">
            <w:pPr>
              <w:rPr>
                <w:rFonts w:ascii="Arial Narrow" w:hAnsi="Arial Narrow"/>
                <w:sz w:val="20"/>
                <w:szCs w:val="20"/>
                <w14:ligatures w14:val="standardContextual"/>
              </w:rPr>
            </w:pPr>
            <w:r w:rsidRPr="00116AFD">
              <w:rPr>
                <w:rFonts w:ascii="Arial Narrow" w:hAnsi="Arial Narrow"/>
                <w:bCs/>
                <w:sz w:val="20"/>
                <w:szCs w:val="20"/>
                <w14:ligatures w14:val="standardContextual"/>
              </w:rPr>
              <w:t>Determination of whether a response has been demonstrated to initial and subsequent courses of treatment will be based on the baseline measurement of joint count provided with the initial treatment application.</w:t>
            </w:r>
          </w:p>
        </w:tc>
      </w:tr>
      <w:tr w:rsidR="00852466" w:rsidRPr="000F1D45" w14:paraId="5C18280F"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BB79116"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b/>
                <w:bCs/>
                <w:sz w:val="20"/>
                <w:szCs w:val="20"/>
                <w14:ligatures w14:val="standardContextual"/>
              </w:rPr>
              <w:t>Prescribing Instructions:</w:t>
            </w:r>
          </w:p>
          <w:p w14:paraId="3C45C80B" w14:textId="77777777" w:rsidR="00852466" w:rsidRPr="00116AFD" w:rsidRDefault="00852466">
            <w:pPr>
              <w:rPr>
                <w:rFonts w:ascii="Arial Narrow" w:hAnsi="Arial Narrow"/>
                <w:bCs/>
                <w:sz w:val="20"/>
                <w:szCs w:val="20"/>
                <w14:ligatures w14:val="standardContextual"/>
              </w:rPr>
            </w:pPr>
            <w:r w:rsidRPr="00116AFD">
              <w:rPr>
                <w:rFonts w:ascii="Arial Narrow" w:hAnsi="Arial Narrow"/>
                <w:bCs/>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852466" w:rsidRPr="000F1D45" w14:paraId="690C2363"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5C5AE07"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2BB20F92" w14:textId="77777777" w:rsidR="00852466" w:rsidRPr="00116AFD" w:rsidRDefault="00852466">
            <w:pPr>
              <w:rPr>
                <w:rFonts w:ascii="Arial Narrow" w:hAnsi="Arial Narrow"/>
                <w:b/>
                <w:bCs/>
                <w:sz w:val="20"/>
                <w:szCs w:val="20"/>
                <w14:ligatures w14:val="standardContextual"/>
              </w:rPr>
            </w:pPr>
            <w:r w:rsidRPr="00116AFD">
              <w:rPr>
                <w:rFonts w:ascii="Arial Narrow" w:hAnsi="Arial Narrow"/>
                <w:sz w:val="20"/>
                <w:szCs w:val="20"/>
                <w14:ligatures w14:val="standardContextual"/>
              </w:rPr>
              <w:t xml:space="preserve">If a patient fails to demonstrate a response to treatment with this </w:t>
            </w:r>
            <w:proofErr w:type="gramStart"/>
            <w:r w:rsidRPr="00116AFD">
              <w:rPr>
                <w:rFonts w:ascii="Arial Narrow" w:hAnsi="Arial Narrow"/>
                <w:sz w:val="20"/>
                <w:szCs w:val="20"/>
                <w14:ligatures w14:val="standardContextual"/>
              </w:rPr>
              <w:t>drug</w:t>
            </w:r>
            <w:proofErr w:type="gramEnd"/>
            <w:r w:rsidRPr="00116AFD">
              <w:rPr>
                <w:rFonts w:ascii="Arial Narrow" w:hAnsi="Arial Narrow"/>
                <w:sz w:val="20"/>
                <w:szCs w:val="20"/>
                <w14:ligatures w14:val="standardContextual"/>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52466" w:rsidRPr="000F1D45" w14:paraId="75F90C9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1B67485" w14:textId="77777777" w:rsidR="00852466" w:rsidRPr="00116AFD" w:rsidRDefault="00852466">
            <w:pPr>
              <w:rPr>
                <w14:ligatures w14:val="standardContextual"/>
              </w:rPr>
            </w:pPr>
            <w:r w:rsidRPr="00116AFD">
              <w:rPr>
                <w:rFonts w:ascii="Arial Narrow" w:hAnsi="Arial Narrow"/>
                <w:b/>
                <w:bCs/>
                <w:sz w:val="20"/>
                <w:szCs w:val="20"/>
                <w14:ligatures w14:val="standardContextual"/>
              </w:rPr>
              <w:t>Prescribing Instructions:</w:t>
            </w:r>
          </w:p>
          <w:p w14:paraId="1FA0C6D8" w14:textId="77777777" w:rsidR="00852466" w:rsidRPr="00116AFD" w:rsidRDefault="00852466">
            <w:pPr>
              <w:rPr>
                <w:rFonts w:ascii="Arial Narrow" w:hAnsi="Arial Narrow"/>
                <w:sz w:val="20"/>
                <w:szCs w:val="20"/>
                <w14:ligatures w14:val="standardContextual"/>
              </w:rPr>
            </w:pPr>
            <w:r w:rsidRPr="00116AFD">
              <w:rPr>
                <w:rFonts w:ascii="Arial Narrow" w:hAnsi="Arial Narrow"/>
                <w:sz w:val="20"/>
                <w:szCs w:val="20"/>
                <w14:ligatures w14:val="standardContextual"/>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852466" w:rsidRPr="000F1D45" w14:paraId="25D91D8B" w14:textId="77777777">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E6582BA" w14:textId="77777777" w:rsidR="00852466" w:rsidRDefault="00852466">
            <w:pPr>
              <w:rPr>
                <w14:ligatures w14:val="standardContextual"/>
              </w:rPr>
            </w:pPr>
            <w:r w:rsidRPr="000F1D45">
              <w:rPr>
                <w:rFonts w:ascii="Arial Narrow" w:hAnsi="Arial Narrow"/>
                <w:b/>
                <w:bCs/>
                <w:sz w:val="20"/>
                <w:szCs w:val="20"/>
                <w14:ligatures w14:val="standardContextual"/>
              </w:rPr>
              <w:t>Prescribing Instructions:</w:t>
            </w:r>
          </w:p>
          <w:p w14:paraId="4755137B"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respond to PBS-subsidised biological medicine treatment 3 times they will not be eligible to receive further PBS-subsidised biological medicine therapy in this treatment cycle.</w:t>
            </w:r>
          </w:p>
        </w:tc>
      </w:tr>
    </w:tbl>
    <w:p w14:paraId="154F1865" w14:textId="77777777" w:rsidR="00852466" w:rsidRDefault="00852466" w:rsidP="00852466">
      <w:pPr>
        <w:pStyle w:val="5-SubsectionSubheading"/>
        <w:spacing w:before="120"/>
      </w:pPr>
      <w:r>
        <w:t>Summary of changes and matters for PBAC consideration – JIA</w:t>
      </w:r>
    </w:p>
    <w:p w14:paraId="16678554" w14:textId="77777777" w:rsidR="00852466" w:rsidRDefault="00852466" w:rsidP="00852466">
      <w:pPr>
        <w:pStyle w:val="3-BodyText"/>
        <w:numPr>
          <w:ilvl w:val="1"/>
          <w:numId w:val="2"/>
        </w:numPr>
        <w:spacing w:before="120"/>
      </w:pPr>
      <w:r>
        <w:t>Based on stakeholder input, proposed amendments were made to the PBS listings for adalimumab for severe active JIA for the PBAC to consider:</w:t>
      </w:r>
    </w:p>
    <w:p w14:paraId="1C72A88E" w14:textId="77777777" w:rsidR="00852466" w:rsidRPr="002563B5" w:rsidRDefault="00852466" w:rsidP="00852466">
      <w:pPr>
        <w:pStyle w:val="ListParagraph"/>
        <w:ind w:hanging="360"/>
        <w:jc w:val="both"/>
      </w:pPr>
      <w:r w:rsidRPr="002563B5">
        <w:t xml:space="preserve">The dose per metre square for prior oral or parenteral methotrexate </w:t>
      </w:r>
      <w:r>
        <w:t xml:space="preserve">was changed </w:t>
      </w:r>
      <w:r w:rsidRPr="002563B5">
        <w:t>to 15 mg</w:t>
      </w:r>
      <w:r>
        <w:t xml:space="preserve"> (down </w:t>
      </w:r>
      <w:r w:rsidRPr="002563B5">
        <w:t>from 20 mg</w:t>
      </w:r>
      <w:r>
        <w:t>)</w:t>
      </w:r>
      <w:r w:rsidRPr="002563B5">
        <w:t>.</w:t>
      </w:r>
    </w:p>
    <w:p w14:paraId="75B91C89" w14:textId="77777777" w:rsidR="00852466" w:rsidRDefault="00852466" w:rsidP="00852466">
      <w:pPr>
        <w:pStyle w:val="ListParagraph"/>
        <w:ind w:hanging="360"/>
        <w:jc w:val="both"/>
      </w:pPr>
      <w:r w:rsidRPr="002563B5">
        <w:t xml:space="preserve">The parameters in the </w:t>
      </w:r>
      <w:r>
        <w:t xml:space="preserve">definition of an inadequate response to prior DMARD therapy, and the corresponding definition of an adequate response to adalimumab, were amended. Proposed changes allowing for </w:t>
      </w:r>
      <w:r w:rsidRPr="008664D0">
        <w:t>improvement from baseline by at least 50% in the signs and symptoms attributable to active arthritis affecting joint(s) with erosive disease</w:t>
      </w:r>
      <w:r>
        <w:t xml:space="preserve">, or </w:t>
      </w:r>
      <w:r w:rsidRPr="008664D0">
        <w:t>active arthritis affecting the cervical spine or temporomandibular joint</w:t>
      </w:r>
      <w:r>
        <w:t>, introduce subjectivity into the assessment of response.</w:t>
      </w:r>
    </w:p>
    <w:p w14:paraId="5988A283" w14:textId="77777777" w:rsidR="00852466" w:rsidRDefault="00852466" w:rsidP="00852466">
      <w:pPr>
        <w:pStyle w:val="3-BodyText"/>
        <w:numPr>
          <w:ilvl w:val="1"/>
          <w:numId w:val="2"/>
        </w:numPr>
        <w:spacing w:before="120"/>
      </w:pPr>
      <w:r>
        <w:t>The pre-PBAC response requested the PBAC consider a Grandfather listing for JIA to account for patients with JIA who do not meet the current PBS criteria and are accessing adalimumab through private funding or compassionate supply, but who would meet the proposed new criteria, if recommended by the PBAC.</w:t>
      </w:r>
    </w:p>
    <w:p w14:paraId="69CF6769" w14:textId="77777777" w:rsidR="00852466" w:rsidRDefault="00852466" w:rsidP="00852466">
      <w:pPr>
        <w:pStyle w:val="3-BodyText"/>
        <w:numPr>
          <w:ilvl w:val="1"/>
          <w:numId w:val="2"/>
        </w:numPr>
        <w:spacing w:before="120"/>
      </w:pPr>
      <w:r>
        <w:t>P</w:t>
      </w:r>
      <w:r w:rsidRPr="002563B5">
        <w:t xml:space="preserve">roposed changes to </w:t>
      </w:r>
      <w:r>
        <w:t xml:space="preserve">the </w:t>
      </w:r>
      <w:r w:rsidRPr="002563B5">
        <w:t>adalimumab</w:t>
      </w:r>
      <w:r>
        <w:t xml:space="preserve"> listing</w:t>
      </w:r>
      <w:r w:rsidRPr="002563B5">
        <w:t xml:space="preserve"> </w:t>
      </w:r>
      <w:r>
        <w:t>are</w:t>
      </w:r>
      <w:r w:rsidRPr="002563B5">
        <w:t xml:space="preserve"> inconsistent with the</w:t>
      </w:r>
      <w:r>
        <w:t xml:space="preserve"> current</w:t>
      </w:r>
      <w:r w:rsidRPr="002563B5">
        <w:t xml:space="preserve"> PBS listing</w:t>
      </w:r>
      <w:r>
        <w:t>s</w:t>
      </w:r>
      <w:r w:rsidRPr="002563B5">
        <w:t xml:space="preserve"> for paediatric severe active </w:t>
      </w:r>
      <w:r>
        <w:t>JIA</w:t>
      </w:r>
      <w:r w:rsidRPr="002563B5">
        <w:t xml:space="preserve"> for etanercept, tocilizumab and tofacitinib. </w:t>
      </w:r>
      <w:r>
        <w:t>If there are different listings and criteria, p</w:t>
      </w:r>
      <w:r w:rsidRPr="002563B5">
        <w:t>atients may not be able to qualify for continuing therapy if switching between medicines, as the baseline parameters for disease severity are not aligned.</w:t>
      </w:r>
    </w:p>
    <w:p w14:paraId="54BF0F98" w14:textId="77777777" w:rsidR="00852466" w:rsidRDefault="00852466" w:rsidP="00852466">
      <w:pPr>
        <w:pStyle w:val="4-SubsectionHeading"/>
      </w:pPr>
      <w:r>
        <w:t xml:space="preserve">New listing - </w:t>
      </w:r>
      <w:r w:rsidRPr="00201878">
        <w:t>Enthesitis/spondylitis related</w:t>
      </w:r>
      <w:r>
        <w:t xml:space="preserve"> juvenile idiopathic arthritis</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ew listing - Enthesitis/spondylitis related juvenile idiopathic arthritis"/>
      </w:tblPr>
      <w:tblGrid>
        <w:gridCol w:w="3945"/>
        <w:gridCol w:w="811"/>
        <w:gridCol w:w="812"/>
        <w:gridCol w:w="811"/>
        <w:gridCol w:w="812"/>
        <w:gridCol w:w="1831"/>
        <w:gridCol w:w="7"/>
      </w:tblGrid>
      <w:tr w:rsidR="00116AFD" w:rsidRPr="00116AFD" w14:paraId="2F8480A2" w14:textId="77777777">
        <w:trPr>
          <w:gridAfter w:val="1"/>
          <w:wAfter w:w="7" w:type="dxa"/>
          <w:cantSplit/>
          <w:trHeight w:val="20"/>
        </w:trPr>
        <w:tc>
          <w:tcPr>
            <w:tcW w:w="3945" w:type="dxa"/>
            <w:vAlign w:val="center"/>
          </w:tcPr>
          <w:p w14:paraId="40C61C00"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MEDICINAL PRODUCT</w:t>
            </w:r>
          </w:p>
          <w:p w14:paraId="0B2D076B" w14:textId="77777777" w:rsidR="00852466" w:rsidRPr="00116AFD" w:rsidRDefault="00852466">
            <w:pPr>
              <w:keepLines/>
              <w:rPr>
                <w:rFonts w:ascii="Arial Narrow" w:hAnsi="Arial Narrow"/>
                <w:b/>
                <w:i/>
                <w:iCs/>
                <w:sz w:val="20"/>
                <w:szCs w:val="20"/>
                <w14:ligatures w14:val="standardContextual"/>
              </w:rPr>
            </w:pPr>
            <w:r w:rsidRPr="00116AFD">
              <w:rPr>
                <w:rFonts w:ascii="Arial Narrow" w:hAnsi="Arial Narrow"/>
                <w:b/>
                <w:bCs/>
                <w:i/>
                <w:iCs/>
                <w:sz w:val="20"/>
                <w:szCs w:val="20"/>
                <w14:ligatures w14:val="standardContextual"/>
              </w:rPr>
              <w:t>medicinal product pack</w:t>
            </w:r>
          </w:p>
        </w:tc>
        <w:tc>
          <w:tcPr>
            <w:tcW w:w="811" w:type="dxa"/>
            <w:vAlign w:val="center"/>
          </w:tcPr>
          <w:p w14:paraId="5982380F"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PBS item code</w:t>
            </w:r>
          </w:p>
        </w:tc>
        <w:tc>
          <w:tcPr>
            <w:tcW w:w="812" w:type="dxa"/>
            <w:vAlign w:val="center"/>
          </w:tcPr>
          <w:p w14:paraId="73AD8D62"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Max. qty packs</w:t>
            </w:r>
          </w:p>
        </w:tc>
        <w:tc>
          <w:tcPr>
            <w:tcW w:w="811" w:type="dxa"/>
            <w:vAlign w:val="center"/>
          </w:tcPr>
          <w:p w14:paraId="6415E50E"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Max. qty units</w:t>
            </w:r>
          </w:p>
        </w:tc>
        <w:tc>
          <w:tcPr>
            <w:tcW w:w="812" w:type="dxa"/>
            <w:vAlign w:val="center"/>
          </w:tcPr>
          <w:p w14:paraId="37013F0D"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№.of</w:t>
            </w:r>
          </w:p>
          <w:p w14:paraId="45DC9DF4"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Rpts</w:t>
            </w:r>
          </w:p>
        </w:tc>
        <w:tc>
          <w:tcPr>
            <w:tcW w:w="1831" w:type="dxa"/>
            <w:vAlign w:val="center"/>
          </w:tcPr>
          <w:p w14:paraId="3BA47760" w14:textId="77777777" w:rsidR="00852466" w:rsidRPr="00116AFD" w:rsidRDefault="00852466">
            <w:pPr>
              <w:keepLines/>
              <w:rPr>
                <w:rFonts w:ascii="Arial Narrow" w:hAnsi="Arial Narrow"/>
                <w:b/>
                <w:i/>
                <w:iCs/>
                <w:sz w:val="20"/>
                <w:szCs w:val="20"/>
                <w:lang w:val="fr-FR"/>
                <w14:ligatures w14:val="standardContextual"/>
              </w:rPr>
            </w:pPr>
            <w:r w:rsidRPr="00116AFD">
              <w:rPr>
                <w:rFonts w:ascii="Arial Narrow" w:hAnsi="Arial Narrow"/>
                <w:b/>
                <w:i/>
                <w:iCs/>
                <w:sz w:val="20"/>
                <w:szCs w:val="20"/>
                <w14:ligatures w14:val="standardContextual"/>
              </w:rPr>
              <w:t>Available brands</w:t>
            </w:r>
          </w:p>
        </w:tc>
      </w:tr>
      <w:tr w:rsidR="00116AFD" w:rsidRPr="00116AFD" w14:paraId="187CDF8D" w14:textId="77777777">
        <w:trPr>
          <w:gridAfter w:val="1"/>
          <w:wAfter w:w="7" w:type="dxa"/>
          <w:cantSplit/>
          <w:trHeight w:val="20"/>
        </w:trPr>
        <w:tc>
          <w:tcPr>
            <w:tcW w:w="9022" w:type="dxa"/>
            <w:gridSpan w:val="6"/>
            <w:vAlign w:val="center"/>
          </w:tcPr>
          <w:p w14:paraId="094789C4"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w:t>
            </w:r>
          </w:p>
        </w:tc>
      </w:tr>
      <w:tr w:rsidR="00116AFD" w:rsidRPr="00116AFD" w14:paraId="612A7D9A" w14:textId="77777777">
        <w:trPr>
          <w:gridAfter w:val="1"/>
          <w:wAfter w:w="7" w:type="dxa"/>
          <w:cantSplit/>
          <w:trHeight w:val="20"/>
        </w:trPr>
        <w:tc>
          <w:tcPr>
            <w:tcW w:w="3945" w:type="dxa"/>
            <w:vAlign w:val="center"/>
          </w:tcPr>
          <w:p w14:paraId="0998D24F"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20 mg/0.2 mL injection, 2 x 0.2 mL syringes</w:t>
            </w:r>
          </w:p>
        </w:tc>
        <w:tc>
          <w:tcPr>
            <w:tcW w:w="811" w:type="dxa"/>
            <w:vAlign w:val="center"/>
          </w:tcPr>
          <w:p w14:paraId="46C8C903"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1FD4474B"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2DBFBB8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2F88DA45"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3</w:t>
            </w:r>
          </w:p>
        </w:tc>
        <w:tc>
          <w:tcPr>
            <w:tcW w:w="1831" w:type="dxa"/>
            <w:vAlign w:val="center"/>
          </w:tcPr>
          <w:p w14:paraId="302A4875"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4CFC4396" w14:textId="77777777">
        <w:trPr>
          <w:gridAfter w:val="1"/>
          <w:wAfter w:w="7" w:type="dxa"/>
          <w:cantSplit/>
          <w:trHeight w:val="20"/>
        </w:trPr>
        <w:tc>
          <w:tcPr>
            <w:tcW w:w="3945" w:type="dxa"/>
            <w:vAlign w:val="center"/>
          </w:tcPr>
          <w:p w14:paraId="362179A0"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40 mg/0.4 mL injection, 2 x 0.4 mL syringes</w:t>
            </w:r>
          </w:p>
        </w:tc>
        <w:tc>
          <w:tcPr>
            <w:tcW w:w="811" w:type="dxa"/>
            <w:vAlign w:val="center"/>
          </w:tcPr>
          <w:p w14:paraId="3D43D28E"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6DF16CD9"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61E9A3D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5B3E3A74"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3</w:t>
            </w:r>
          </w:p>
        </w:tc>
        <w:tc>
          <w:tcPr>
            <w:tcW w:w="1831" w:type="dxa"/>
            <w:vAlign w:val="center"/>
          </w:tcPr>
          <w:p w14:paraId="7D555073"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5ACDF6C3" w14:textId="77777777">
        <w:trPr>
          <w:gridAfter w:val="1"/>
          <w:wAfter w:w="7" w:type="dxa"/>
          <w:cantSplit/>
          <w:trHeight w:val="20"/>
        </w:trPr>
        <w:tc>
          <w:tcPr>
            <w:tcW w:w="3945" w:type="dxa"/>
            <w:vAlign w:val="center"/>
          </w:tcPr>
          <w:p w14:paraId="04B9BC6B"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40 mg/0.4 mL injection, 2 x 0.4 mL pen devices</w:t>
            </w:r>
          </w:p>
        </w:tc>
        <w:tc>
          <w:tcPr>
            <w:tcW w:w="811" w:type="dxa"/>
            <w:vAlign w:val="center"/>
          </w:tcPr>
          <w:p w14:paraId="647E101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533B22AF"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1EAE6A7E"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2438323A"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3</w:t>
            </w:r>
          </w:p>
        </w:tc>
        <w:tc>
          <w:tcPr>
            <w:tcW w:w="1831" w:type="dxa"/>
            <w:vAlign w:val="center"/>
          </w:tcPr>
          <w:p w14:paraId="1AEB955E"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1DA8E6CA"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2A8078D9" w14:textId="77777777" w:rsidR="00852466" w:rsidRPr="00116AFD" w:rsidRDefault="00852466">
            <w:pPr>
              <w:rPr>
                <w:rFonts w:ascii="Arial Narrow" w:hAnsi="Arial Narrow"/>
                <w:i/>
                <w:iCs/>
                <w:sz w:val="20"/>
                <w:szCs w:val="20"/>
                <w14:ligatures w14:val="standardContextual"/>
              </w:rPr>
            </w:pPr>
          </w:p>
        </w:tc>
      </w:tr>
      <w:tr w:rsidR="00116AFD" w:rsidRPr="00116AFD" w14:paraId="719F8519"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3AA9192"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b/>
                <w:i/>
                <w:iCs/>
                <w:sz w:val="20"/>
                <w:szCs w:val="20"/>
                <w14:ligatures w14:val="standardContextual"/>
              </w:rPr>
              <w:t>Category / Program:</w:t>
            </w:r>
            <w:r w:rsidRPr="00116AFD">
              <w:rPr>
                <w:rFonts w:ascii="Arial Narrow" w:hAnsi="Arial Narrow"/>
                <w:i/>
                <w:iCs/>
                <w:sz w:val="20"/>
                <w:szCs w:val="20"/>
                <w14:ligatures w14:val="standardContextual"/>
              </w:rPr>
              <w:t xml:space="preserv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 GENERAL - General Schedule (Code GE) </w:t>
            </w:r>
          </w:p>
        </w:tc>
      </w:tr>
      <w:tr w:rsidR="00116AFD" w:rsidRPr="00116AFD" w14:paraId="20D56AD7"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FC2020D" w14:textId="77777777" w:rsidR="00852466" w:rsidRPr="00116AFD" w:rsidRDefault="00852466">
            <w:pPr>
              <w:keepLines/>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 xml:space="preserve">Prescriber type: </w:t>
            </w:r>
            <w:r w:rsidRPr="00116AFD">
              <w:rPr>
                <w:rFonts w:ascii="Arial Narrow"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i/>
                <w:iCs/>
                <w:sz w:val="20"/>
                <w:szCs w:val="20"/>
                <w14:ligatures w14:val="standardContextual"/>
              </w:rPr>
              <w:instrText xml:space="preserve"> FORMCHECKBOX </w:instrText>
            </w:r>
            <w:r w:rsidRPr="00116AFD">
              <w:rPr>
                <w:rFonts w:ascii="Arial Narrow" w:hAnsi="Arial Narrow"/>
                <w:i/>
                <w:iCs/>
                <w:sz w:val="20"/>
                <w:szCs w:val="20"/>
                <w14:ligatures w14:val="standardContextual"/>
              </w:rPr>
            </w:r>
            <w:r w:rsidRPr="00116AFD">
              <w:rPr>
                <w:rFonts w:ascii="Arial Narrow" w:hAnsi="Arial Narrow"/>
                <w:i/>
                <w:iCs/>
                <w:sz w:val="20"/>
                <w:szCs w:val="20"/>
                <w14:ligatures w14:val="standardContextual"/>
              </w:rPr>
              <w:fldChar w:fldCharType="separate"/>
            </w:r>
            <w:r w:rsidRPr="00116AFD">
              <w:rPr>
                <w:rFonts w:ascii="Arial Narrow" w:hAnsi="Arial Narrow"/>
                <w:i/>
                <w:iCs/>
                <w:sz w:val="20"/>
                <w:szCs w:val="20"/>
                <w14:ligatures w14:val="standardContextual"/>
              </w:rPr>
              <w:fldChar w:fldCharType="end"/>
            </w:r>
            <w:r w:rsidRPr="00116AFD">
              <w:rPr>
                <w:rFonts w:ascii="Arial Narrow" w:hAnsi="Arial Narrow"/>
                <w:i/>
                <w:iCs/>
                <w:sz w:val="20"/>
                <w:szCs w:val="20"/>
                <w14:ligatures w14:val="standardContextual"/>
              </w:rPr>
              <w:t xml:space="preserve">Medical Practitioners </w:t>
            </w:r>
          </w:p>
        </w:tc>
      </w:tr>
      <w:tr w:rsidR="00116AFD" w:rsidRPr="00116AFD" w14:paraId="157E7865"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67083D6" w14:textId="77777777" w:rsidR="00852466" w:rsidRPr="00116AFD" w:rsidRDefault="00852466">
            <w:pPr>
              <w:keepLines/>
              <w:rPr>
                <w:rFonts w:ascii="Arial Narrow" w:eastAsia="Calibri" w:hAnsi="Arial Narrow"/>
                <w:i/>
                <w:iCs/>
                <w:sz w:val="20"/>
                <w:szCs w:val="20"/>
                <w14:ligatures w14:val="standardContextual"/>
              </w:rPr>
            </w:pPr>
            <w:r w:rsidRPr="00116AFD">
              <w:rPr>
                <w:rFonts w:ascii="Arial Narrow" w:hAnsi="Arial Narrow"/>
                <w:b/>
                <w:i/>
                <w:iCs/>
                <w:sz w:val="20"/>
                <w:szCs w:val="20"/>
                <w14:ligatures w14:val="standardContextual"/>
              </w:rPr>
              <w:t xml:space="preserve">Restriction type: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Authority Required (in writing only via post/HPOS upload)</w:t>
            </w:r>
          </w:p>
        </w:tc>
      </w:tr>
      <w:tr w:rsidR="00116AFD" w:rsidRPr="00116AFD" w14:paraId="5D53D3BB"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FDD7164"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r w:rsidRPr="00116AFD">
              <w:rPr>
                <w:i/>
                <w:iCs/>
                <w14:ligatures w14:val="standardContextual"/>
              </w:rPr>
              <w:t xml:space="preserve"> </w:t>
            </w:r>
            <w:r w:rsidRPr="00116AFD">
              <w:rPr>
                <w:rFonts w:ascii="Arial Narrow" w:hAnsi="Arial Narrow"/>
                <w:i/>
                <w:iCs/>
                <w:sz w:val="20"/>
                <w:szCs w:val="20"/>
                <w14:ligatures w14:val="standardContextual"/>
              </w:rPr>
              <w:t>No increase in the maximum quantity or number of units may be authorised.</w:t>
            </w:r>
          </w:p>
        </w:tc>
      </w:tr>
      <w:tr w:rsidR="00116AFD" w:rsidRPr="00116AFD" w14:paraId="22D47329"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3EE94EE"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r w:rsidRPr="00116AFD">
              <w:rPr>
                <w:i/>
                <w:iCs/>
                <w14:ligatures w14:val="standardContextual"/>
              </w:rPr>
              <w:t xml:space="preserve"> </w:t>
            </w:r>
            <w:r w:rsidRPr="00116AFD">
              <w:rPr>
                <w:rFonts w:ascii="Arial Narrow" w:hAnsi="Arial Narrow"/>
                <w:i/>
                <w:iCs/>
                <w:sz w:val="20"/>
                <w:szCs w:val="20"/>
                <w14:ligatures w14:val="standardContextual"/>
              </w:rPr>
              <w:t>No increase in the maximum number of repeats may be authorised.</w:t>
            </w:r>
          </w:p>
        </w:tc>
      </w:tr>
      <w:tr w:rsidR="00116AFD" w:rsidRPr="00116AFD" w14:paraId="5D0F6AFA" w14:textId="7777777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B52B9B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3FACA3A9"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 xml:space="preserve">The assessment for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 is available at: </w:t>
            </w:r>
            <w:hyperlink r:id="rId11" w:history="1">
              <w:r w:rsidRPr="00116AFD">
                <w:rPr>
                  <w:rFonts w:ascii="Arial Narrow" w:hAnsi="Arial Narrow"/>
                  <w:i/>
                  <w:iCs/>
                  <w:sz w:val="20"/>
                  <w:szCs w:val="20"/>
                  <w:u w:val="single"/>
                  <w14:ligatures w14:val="standardContextual"/>
                </w:rPr>
                <w:t>https://pmc.ncbi.nlm.nih.gov/articles/PMC4245319/table/T2/</w:t>
              </w:r>
            </w:hyperlink>
            <w:r w:rsidRPr="00116AFD">
              <w:rPr>
                <w:rFonts w:ascii="Arial Narrow" w:hAnsi="Arial Narrow"/>
                <w:i/>
                <w:iCs/>
                <w:sz w:val="20"/>
                <w:szCs w:val="20"/>
                <w14:ligatures w14:val="standardContextual"/>
              </w:rPr>
              <w:t>.</w:t>
            </w:r>
          </w:p>
        </w:tc>
      </w:tr>
      <w:tr w:rsidR="00116AFD" w:rsidRPr="00116AFD" w14:paraId="7D6FC62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87D7D5"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Episodicity: </w:t>
            </w:r>
            <w:r w:rsidRPr="00116AFD">
              <w:rPr>
                <w:rFonts w:ascii="Arial Narrow" w:hAnsi="Arial Narrow"/>
                <w:i/>
                <w:iCs/>
                <w:sz w:val="20"/>
                <w:szCs w:val="20"/>
                <w14:ligatures w14:val="standardContextual"/>
              </w:rPr>
              <w:t>[blank]</w:t>
            </w:r>
          </w:p>
        </w:tc>
      </w:tr>
      <w:tr w:rsidR="00116AFD" w:rsidRPr="00116AFD" w14:paraId="6544FF0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4114305"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Severity: </w:t>
            </w:r>
            <w:r w:rsidRPr="00116AFD">
              <w:rPr>
                <w:rFonts w:ascii="Arial Narrow" w:hAnsi="Arial Narrow"/>
                <w:i/>
                <w:iCs/>
                <w:sz w:val="20"/>
                <w:szCs w:val="20"/>
                <w14:ligatures w14:val="standardContextual"/>
              </w:rPr>
              <w:t>[blank]</w:t>
            </w:r>
          </w:p>
        </w:tc>
      </w:tr>
      <w:tr w:rsidR="00116AFD" w:rsidRPr="00116AFD" w14:paraId="48C8F3C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F915E0"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Condition: </w:t>
            </w:r>
            <w:r w:rsidRPr="00116AFD">
              <w:rPr>
                <w:rFonts w:ascii="Arial Narrow" w:hAnsi="Arial Narrow"/>
                <w:i/>
                <w:iCs/>
                <w:sz w:val="20"/>
                <w:szCs w:val="20"/>
                <w14:ligatures w14:val="standardContextual"/>
              </w:rPr>
              <w:t>Enthesitis/spondylitis related juvenile idiopathic arthritis</w:t>
            </w:r>
          </w:p>
        </w:tc>
      </w:tr>
      <w:tr w:rsidR="00116AFD" w:rsidRPr="00116AFD" w14:paraId="2C11E6B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03D55D0"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Indication:</w:t>
            </w:r>
            <w:r w:rsidRPr="00116AFD">
              <w:rPr>
                <w:rFonts w:ascii="Arial Narrow" w:hAnsi="Arial Narrow"/>
                <w:i/>
                <w:iCs/>
                <w:sz w:val="20"/>
                <w:szCs w:val="20"/>
                <w14:ligatures w14:val="standardContextual"/>
              </w:rPr>
              <w:t xml:space="preserve"> Enthesitis/spondylitis related juvenile idiopathic arthritis</w:t>
            </w:r>
          </w:p>
        </w:tc>
      </w:tr>
      <w:tr w:rsidR="00116AFD" w:rsidRPr="00116AFD" w14:paraId="49EF264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5CC4E93"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Phase:</w:t>
            </w:r>
            <w:r w:rsidRPr="00116AFD">
              <w:rPr>
                <w:rFonts w:ascii="Arial Narrow" w:hAnsi="Arial Narrow"/>
                <w:i/>
                <w:iCs/>
                <w:sz w:val="20"/>
                <w:szCs w:val="20"/>
                <w14:ligatures w14:val="standardContextual"/>
              </w:rPr>
              <w:t xml:space="preserve"> Initial treatment </w:t>
            </w:r>
          </w:p>
        </w:tc>
      </w:tr>
      <w:tr w:rsidR="00116AFD" w:rsidRPr="00116AFD" w14:paraId="1188374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9D746B" w14:textId="77777777" w:rsidR="00852466" w:rsidRPr="00116AFD" w:rsidRDefault="00852466">
            <w:pPr>
              <w:jc w:val="left"/>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389F18C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BCF210"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Patient must have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in a first-degree relative</w:t>
            </w:r>
          </w:p>
        </w:tc>
      </w:tr>
      <w:tr w:rsidR="00116AFD" w:rsidRPr="00116AFD" w14:paraId="37427A9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86FA70" w14:textId="77777777" w:rsidR="00852466" w:rsidRPr="00116AFD" w:rsidRDefault="00852466">
            <w:pPr>
              <w:jc w:val="left"/>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410A370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C66063E"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0FBBE6C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FED5AA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Patient must not have received PBS-subsidised treatment with a biological medicine for this condition-; or </w:t>
            </w:r>
          </w:p>
        </w:tc>
      </w:tr>
      <w:tr w:rsidR="00116AFD" w:rsidRPr="00116AFD" w14:paraId="1FB1E5F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692256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Patient must have had a break in treatment of at least 2 years from the most recently approved PBS-subsidised biological medicine for this condition. </w:t>
            </w:r>
          </w:p>
        </w:tc>
      </w:tr>
      <w:tr w:rsidR="00116AFD" w:rsidRPr="00116AFD" w14:paraId="527BAAF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6CF1C4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33E864B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D5A151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5415327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56C3AB5"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have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116AFD" w:rsidRPr="00116AFD" w14:paraId="13184C3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C3E74E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have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p>
        </w:tc>
      </w:tr>
      <w:tr w:rsidR="00116AFD" w:rsidRPr="00116AFD" w14:paraId="32DA2EB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630A296"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3922C01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73EA3E7"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7B6249A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2F1C6E"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not receive more than 16 weeks of treatment under this restriction.</w:t>
            </w:r>
          </w:p>
        </w:tc>
      </w:tr>
      <w:tr w:rsidR="00116AFD" w:rsidRPr="00116AFD" w14:paraId="24EFFFC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4B16803" w14:textId="77777777" w:rsidR="00852466" w:rsidRPr="00116AFD" w:rsidRDefault="00852466">
            <w:pPr>
              <w:keepNext/>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criteria:</w:t>
            </w:r>
          </w:p>
        </w:tc>
      </w:tr>
      <w:tr w:rsidR="00116AFD" w:rsidRPr="00116AFD" w14:paraId="5FCA0C9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635249B" w14:textId="77777777" w:rsidR="00852466" w:rsidRPr="00116AFD" w:rsidRDefault="00852466">
            <w:pPr>
              <w:autoSpaceDE w:val="0"/>
              <w:autoSpaceDN w:val="0"/>
              <w:adjustRightInd w:val="0"/>
              <w:jc w:val="left"/>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Must be treated by a paediatric rheumatologist; or</w:t>
            </w:r>
          </w:p>
        </w:tc>
      </w:tr>
      <w:tr w:rsidR="00116AFD" w:rsidRPr="00116AFD" w14:paraId="7853E8F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5513B11" w14:textId="77777777" w:rsidR="00852466" w:rsidRPr="00116AFD" w:rsidRDefault="00852466">
            <w:pPr>
              <w:autoSpaceDE w:val="0"/>
              <w:autoSpaceDN w:val="0"/>
              <w:adjustRightInd w:val="0"/>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Patient must be undergoing treatment under the supervision of a paediatric rheumatology treatment centre.</w:t>
            </w:r>
          </w:p>
        </w:tc>
      </w:tr>
      <w:tr w:rsidR="00116AFD" w:rsidRPr="00116AFD" w14:paraId="4B10C7E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61C69B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Population criteria:</w:t>
            </w:r>
          </w:p>
        </w:tc>
      </w:tr>
      <w:tr w:rsidR="00116AFD" w:rsidRPr="00116AFD" w14:paraId="7D199B1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DD2DA9D"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be under 18 years of age.</w:t>
            </w:r>
          </w:p>
        </w:tc>
      </w:tr>
      <w:tr w:rsidR="00116AFD" w:rsidRPr="00116AFD" w14:paraId="32E1E85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A609ED2"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47B9BEB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application must include details of the NSAIDs trialled, their doses and duration of treatment.</w:t>
            </w:r>
          </w:p>
          <w:p w14:paraId="3BD69048" w14:textId="77777777" w:rsidR="00852466" w:rsidRPr="00116AFD" w:rsidRDefault="00852466">
            <w:pPr>
              <w:rPr>
                <w:rFonts w:ascii="Arial Narrow" w:hAnsi="Arial Narrow"/>
                <w:i/>
                <w:iCs/>
                <w:sz w:val="20"/>
                <w:szCs w:val="20"/>
                <w14:ligatures w14:val="standardContextual"/>
              </w:rPr>
            </w:pPr>
          </w:p>
          <w:p w14:paraId="3169E22A"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If the NSAID dose is less than the maximum recommended dose in the relevant TGA-approved Product Information, the application must include the reason a higher dose cannot be used.</w:t>
            </w:r>
          </w:p>
          <w:p w14:paraId="46162E17" w14:textId="77777777" w:rsidR="00852466" w:rsidRPr="00116AFD" w:rsidRDefault="00852466">
            <w:pPr>
              <w:rPr>
                <w:rFonts w:ascii="Arial Narrow" w:hAnsi="Arial Narrow"/>
                <w:i/>
                <w:iCs/>
                <w:sz w:val="20"/>
                <w:szCs w:val="20"/>
                <w14:ligatures w14:val="standardContextual"/>
              </w:rPr>
            </w:pPr>
          </w:p>
          <w:p w14:paraId="5BF2F11C"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If treatment with NSAIDs is contraindicated according to the relevant TGA-approved Product Information, the application must provide details of the contraindication.</w:t>
            </w:r>
          </w:p>
          <w:p w14:paraId="1218A753" w14:textId="77777777" w:rsidR="00852466" w:rsidRPr="00116AFD" w:rsidRDefault="00852466">
            <w:pPr>
              <w:rPr>
                <w:rFonts w:ascii="Arial Narrow" w:hAnsi="Arial Narrow"/>
                <w:i/>
                <w:iCs/>
                <w:sz w:val="20"/>
                <w:szCs w:val="20"/>
                <w14:ligatures w14:val="standardContextual"/>
              </w:rPr>
            </w:pPr>
          </w:p>
          <w:p w14:paraId="56D7E10F"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If intolerance to NSAID treatment develops during the relevant period of use which is of a severity to necessitate permanent treatment withdrawal, the application must provide details of the nature and severity of this intolerance.</w:t>
            </w:r>
          </w:p>
        </w:tc>
      </w:tr>
      <w:tr w:rsidR="00116AFD" w:rsidRPr="00116AFD" w14:paraId="4CF7FAB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F9B6764"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27DA1EA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following criteria indicate failure to achieve an adequate response and must be demonstrated at the time of the initial application:</w:t>
            </w:r>
          </w:p>
          <w:p w14:paraId="75D5BBE9" w14:textId="77777777" w:rsidR="00852466" w:rsidRPr="00116AFD" w:rsidRDefault="00852466">
            <w:pPr>
              <w:rPr>
                <w:rFonts w:ascii="Arial Narrow" w:hAnsi="Arial Narrow"/>
                <w:i/>
                <w:iCs/>
                <w:sz w:val="20"/>
                <w:szCs w:val="20"/>
                <w14:ligatures w14:val="standardContextual"/>
              </w:rPr>
            </w:pPr>
          </w:p>
          <w:p w14:paraId="2396C70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(a) a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 greater than 2; or</w:t>
            </w:r>
          </w:p>
          <w:p w14:paraId="6A5EABF6"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(b) Persistent symptoms of axial spondylitis or sacroiliitis with prior confirmatory Magnetic Resonance Imaging (MRI) assessed by a clinician experienced with juvenile spondyloarthropathy.</w:t>
            </w:r>
          </w:p>
        </w:tc>
      </w:tr>
      <w:tr w:rsidR="00116AFD" w:rsidRPr="00116AFD" w14:paraId="38148EA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05961F1"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600F4E3D"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authority application must be made in writing and must include:</w:t>
            </w:r>
          </w:p>
          <w:p w14:paraId="46396562" w14:textId="77777777" w:rsidR="00852466" w:rsidRPr="00116AFD" w:rsidRDefault="00852466">
            <w:pPr>
              <w:rPr>
                <w:rFonts w:ascii="Arial Narrow" w:hAnsi="Arial Narrow"/>
                <w:i/>
                <w:iCs/>
                <w:sz w:val="20"/>
                <w:szCs w:val="20"/>
                <w14:ligatures w14:val="standardContextual"/>
              </w:rPr>
            </w:pPr>
          </w:p>
          <w:p w14:paraId="22F337AC"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 details of the proposed prescription; and</w:t>
            </w:r>
          </w:p>
          <w:p w14:paraId="67AB778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w:t>
            </w:r>
          </w:p>
        </w:tc>
      </w:tr>
      <w:tr w:rsidR="00116AFD" w:rsidRPr="00116AFD" w14:paraId="22DD97F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7B1104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2ECB5B4D"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following must be provided at the time of application and documented in the patient's medical records:</w:t>
            </w:r>
          </w:p>
          <w:p w14:paraId="4A7A6014" w14:textId="77777777" w:rsidR="00852466" w:rsidRPr="00116AFD" w:rsidRDefault="00852466">
            <w:pPr>
              <w:rPr>
                <w:rFonts w:ascii="Arial Narrow" w:hAnsi="Arial Narrow"/>
                <w:i/>
                <w:iCs/>
                <w:sz w:val="20"/>
                <w:szCs w:val="20"/>
                <w14:ligatures w14:val="standardContextual"/>
              </w:rPr>
            </w:pPr>
          </w:p>
          <w:p w14:paraId="53C4C79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(i) the baseline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w:t>
            </w:r>
          </w:p>
          <w:p w14:paraId="3F28D985" w14:textId="77777777" w:rsidR="00852466" w:rsidRPr="00116AFD" w:rsidRDefault="00852466">
            <w:pPr>
              <w:rPr>
                <w:rFonts w:ascii="Arial Narrow" w:hAnsi="Arial Narrow"/>
                <w:i/>
                <w:iCs/>
                <w:sz w:val="20"/>
                <w:szCs w:val="20"/>
                <w14:ligatures w14:val="standardContextual"/>
              </w:rPr>
            </w:pPr>
          </w:p>
          <w:p w14:paraId="1D2DA6F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(ii) If applicable, details (name of the report provider, date of the report and unique identifying number/code that links report to the individual patient) of the magnetic resonance imaging demonstrating inflammatory spondylitis or sacroiliitis; and</w:t>
            </w:r>
          </w:p>
          <w:p w14:paraId="7B6B6842" w14:textId="77777777" w:rsidR="00852466" w:rsidRPr="00116AFD" w:rsidRDefault="00852466">
            <w:pPr>
              <w:rPr>
                <w:rFonts w:ascii="Arial Narrow" w:hAnsi="Arial Narrow"/>
                <w:i/>
                <w:iCs/>
                <w:sz w:val="20"/>
                <w:szCs w:val="20"/>
                <w14:ligatures w14:val="standardContextual"/>
              </w:rPr>
            </w:pPr>
          </w:p>
          <w:p w14:paraId="628BA8F5"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(iii) If applicable, details (name of the report provider, date of the report and unique identifying number/code that links report to the individual patient) demonstrating the presence of HLA-B27. </w:t>
            </w:r>
          </w:p>
        </w:tc>
      </w:tr>
      <w:tr w:rsidR="00116AFD" w:rsidRPr="00116AFD" w14:paraId="165E356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1AE9B2"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65840FC7"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An assessment of a patient's response to this initial course of treatment must be conducted following a minimum of 12 weeks of therapy and no later than 4 weeks prior the completion of this course of treatment.</w:t>
            </w:r>
          </w:p>
        </w:tc>
      </w:tr>
      <w:tr w:rsidR="00116AFD" w:rsidRPr="00116AFD" w14:paraId="62E5737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732E69D"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36C5F21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Where a response assessment is not conducted within these timeframes, the patient will be deemed to have failed to respond to treatment with this drug.</w:t>
            </w:r>
          </w:p>
        </w:tc>
      </w:tr>
      <w:tr w:rsidR="00116AFD" w:rsidRPr="00116AFD" w14:paraId="640CA07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78C440D"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7B1B5EB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If a patient fails to demonstrate a response to treatment with this </w:t>
            </w:r>
            <w:proofErr w:type="gramStart"/>
            <w:r w:rsidRPr="00116AFD">
              <w:rPr>
                <w:rFonts w:ascii="Arial Narrow" w:hAnsi="Arial Narrow"/>
                <w:i/>
                <w:iCs/>
                <w:sz w:val="20"/>
                <w:szCs w:val="20"/>
                <w14:ligatures w14:val="standardContextual"/>
              </w:rPr>
              <w:t>drug</w:t>
            </w:r>
            <w:proofErr w:type="gramEnd"/>
            <w:r w:rsidRPr="00116AFD">
              <w:rPr>
                <w:rFonts w:ascii="Arial Narrow" w:hAnsi="Arial Narrow"/>
                <w:i/>
                <w:iCs/>
                <w:sz w:val="20"/>
                <w:szCs w:val="20"/>
                <w14:ligatures w14:val="standardContextual"/>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116AFD" w:rsidRPr="00116AFD" w14:paraId="3512C54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373D781"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1E1F6282"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Cs/>
                <w:i/>
                <w:iCs/>
                <w:sz w:val="20"/>
                <w:szCs w:val="20"/>
                <w14:ligatures w14:val="standardContextual"/>
              </w:rPr>
              <w:t>Details of the toxicities, including severity, which will be accepted for the purposes of administering this restriction can be found on the Services Australia website at www.servicesaustralia.gov.au</w:t>
            </w:r>
          </w:p>
        </w:tc>
      </w:tr>
      <w:tr w:rsidR="00116AFD" w:rsidRPr="00116AFD" w14:paraId="50FD5DC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C263903"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5165FF3B" w14:textId="77777777" w:rsidR="00852466" w:rsidRPr="00116AFD" w:rsidRDefault="00852466">
            <w:pPr>
              <w:rPr>
                <w:rFonts w:ascii="Arial Narrow" w:hAnsi="Arial Narrow"/>
                <w:bCs/>
                <w:i/>
                <w:iCs/>
                <w:sz w:val="20"/>
                <w:szCs w:val="20"/>
                <w14:ligatures w14:val="standardContextual"/>
              </w:rPr>
            </w:pPr>
            <w:r w:rsidRPr="00116AFD">
              <w:rPr>
                <w:rFonts w:ascii="Arial Narrow" w:hAnsi="Arial Narrow"/>
                <w:bCs/>
                <w:i/>
                <w:iCs/>
                <w:sz w:val="20"/>
                <w:szCs w:val="20"/>
                <w14:ligatures w14:val="standardContextual"/>
              </w:rPr>
              <w:t>For details on the appropriate minimum exercise program that will be accepted for the purposes of administering this restriction, please refer to the Services Australia website at www.servicesaustralia.gov.au</w:t>
            </w:r>
          </w:p>
        </w:tc>
      </w:tr>
      <w:tr w:rsidR="00116AFD" w:rsidRPr="00116AFD" w14:paraId="667E4FE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303E2AE"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671BEDF2"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Any queries concerning the arrangements to prescribe may be directed to Services Australia on 1800 700 270 (hours of operation 8 a.m. to 5 p.m. Monday to Friday).</w:t>
            </w:r>
          </w:p>
          <w:p w14:paraId="35845AB8" w14:textId="77777777" w:rsidR="00852466" w:rsidRPr="00116AFD" w:rsidRDefault="00852466">
            <w:pPr>
              <w:rPr>
                <w:rFonts w:ascii="Arial Narrow" w:hAnsi="Arial Narrow"/>
                <w:i/>
                <w:iCs/>
                <w:sz w:val="20"/>
                <w:szCs w:val="20"/>
                <w14:ligatures w14:val="standardContextual"/>
              </w:rPr>
            </w:pPr>
          </w:p>
          <w:p w14:paraId="31991DB6"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Prescribing information (including Authority Application forms and other relevant documentation as applicable) is available on the Services Australia website at www.servicesaustralia.gov.au</w:t>
            </w:r>
          </w:p>
          <w:p w14:paraId="5A1592ED" w14:textId="77777777" w:rsidR="00852466" w:rsidRPr="00116AFD" w:rsidRDefault="00852466">
            <w:pPr>
              <w:rPr>
                <w:rFonts w:ascii="Arial Narrow" w:hAnsi="Arial Narrow"/>
                <w:i/>
                <w:iCs/>
                <w:sz w:val="20"/>
                <w:szCs w:val="20"/>
                <w14:ligatures w14:val="standardContextual"/>
              </w:rPr>
            </w:pPr>
          </w:p>
          <w:p w14:paraId="08B276B4"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Applications for authority to prescribe should be submitted online using the form upload facility in Health Professional Online Services (HPOS) at www.servicesaustralia.gov.au/hpos</w:t>
            </w:r>
          </w:p>
          <w:p w14:paraId="41807A62" w14:textId="77777777" w:rsidR="00852466" w:rsidRPr="00116AFD" w:rsidRDefault="00852466">
            <w:pPr>
              <w:rPr>
                <w:rFonts w:ascii="Arial Narrow" w:hAnsi="Arial Narrow"/>
                <w:i/>
                <w:iCs/>
                <w:sz w:val="20"/>
                <w:szCs w:val="20"/>
                <w14:ligatures w14:val="standardContextual"/>
              </w:rPr>
            </w:pPr>
          </w:p>
          <w:p w14:paraId="78E3D4C5"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Or mailed to:</w:t>
            </w:r>
          </w:p>
          <w:p w14:paraId="57667B3B" w14:textId="77777777" w:rsidR="00852466" w:rsidRPr="00116AFD" w:rsidRDefault="00852466">
            <w:pPr>
              <w:rPr>
                <w:rFonts w:ascii="Arial Narrow" w:hAnsi="Arial Narrow"/>
                <w:i/>
                <w:iCs/>
                <w:sz w:val="20"/>
                <w:szCs w:val="20"/>
                <w14:ligatures w14:val="standardContextual"/>
              </w:rPr>
            </w:pPr>
          </w:p>
          <w:p w14:paraId="1192756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Services Australia</w:t>
            </w:r>
          </w:p>
          <w:p w14:paraId="3AAECAA2"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Complex Drugs</w:t>
            </w:r>
          </w:p>
          <w:p w14:paraId="5EA07700"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Reply Paid 9826</w:t>
            </w:r>
          </w:p>
          <w:p w14:paraId="4D022626"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HOBART TAS 7001</w:t>
            </w:r>
          </w:p>
        </w:tc>
      </w:tr>
      <w:tr w:rsidR="00116AFD" w:rsidRPr="00116AFD" w14:paraId="7EEC2976"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16CC316E" w14:textId="77777777" w:rsidR="00852466" w:rsidRPr="00116AFD" w:rsidRDefault="00852466">
            <w:pPr>
              <w:rPr>
                <w:rFonts w:ascii="Arial Narrow" w:hAnsi="Arial Narrow"/>
                <w:bCs/>
                <w:i/>
                <w:iCs/>
                <w:sz w:val="20"/>
                <w:szCs w:val="20"/>
                <w14:ligatures w14:val="standardContextual"/>
              </w:rPr>
            </w:pPr>
          </w:p>
          <w:p w14:paraId="3290FAA4" w14:textId="77777777" w:rsidR="00852466" w:rsidRPr="00116AFD" w:rsidRDefault="00852466">
            <w:pPr>
              <w:rPr>
                <w:rFonts w:ascii="Arial Narrow" w:hAnsi="Arial Narrow"/>
                <w:bCs/>
                <w:i/>
                <w:iCs/>
                <w:sz w:val="20"/>
                <w:szCs w:val="20"/>
                <w14:ligatures w14:val="standardContextual"/>
              </w:rPr>
            </w:pPr>
          </w:p>
        </w:tc>
      </w:tr>
      <w:tr w:rsidR="00116AFD" w:rsidRPr="00116AFD" w14:paraId="1962250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4FF836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i/>
                <w:iCs/>
                <w:sz w:val="20"/>
                <w:szCs w:val="20"/>
                <w14:ligatures w14:val="standardContextual"/>
              </w:rPr>
              <w:t>Category / Program:</w:t>
            </w:r>
            <w:r w:rsidRPr="00116AFD">
              <w:rPr>
                <w:rFonts w:ascii="Arial Narrow" w:hAnsi="Arial Narrow"/>
                <w:i/>
                <w:iCs/>
                <w:sz w:val="20"/>
                <w:szCs w:val="20"/>
                <w14:ligatures w14:val="standardContextual"/>
              </w:rPr>
              <w:t xml:space="preserv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 GENERAL - General Schedule (Code GE) </w:t>
            </w:r>
          </w:p>
        </w:tc>
      </w:tr>
      <w:tr w:rsidR="00116AFD" w:rsidRPr="00116AFD" w14:paraId="4FC80CD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5322526" w14:textId="77777777" w:rsidR="00852466" w:rsidRPr="00116AFD" w:rsidRDefault="00852466">
            <w:pP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 xml:space="preserve">Prescriber type: </w:t>
            </w:r>
            <w:r w:rsidRPr="00116AFD">
              <w:rPr>
                <w:rFonts w:ascii="Arial Narrow"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i/>
                <w:iCs/>
                <w:sz w:val="20"/>
                <w:szCs w:val="20"/>
                <w14:ligatures w14:val="standardContextual"/>
              </w:rPr>
              <w:instrText xml:space="preserve"> FORMCHECKBOX </w:instrText>
            </w:r>
            <w:r w:rsidRPr="00116AFD">
              <w:rPr>
                <w:rFonts w:ascii="Arial Narrow" w:hAnsi="Arial Narrow"/>
                <w:i/>
                <w:iCs/>
                <w:sz w:val="20"/>
                <w:szCs w:val="20"/>
                <w14:ligatures w14:val="standardContextual"/>
              </w:rPr>
            </w:r>
            <w:r w:rsidRPr="00116AFD">
              <w:rPr>
                <w:rFonts w:ascii="Arial Narrow" w:hAnsi="Arial Narrow"/>
                <w:i/>
                <w:iCs/>
                <w:sz w:val="20"/>
                <w:szCs w:val="20"/>
                <w14:ligatures w14:val="standardContextual"/>
              </w:rPr>
              <w:fldChar w:fldCharType="separate"/>
            </w:r>
            <w:r w:rsidRPr="00116AFD">
              <w:rPr>
                <w:rFonts w:ascii="Arial Narrow" w:hAnsi="Arial Narrow"/>
                <w:i/>
                <w:iCs/>
                <w:sz w:val="20"/>
                <w:szCs w:val="20"/>
                <w14:ligatures w14:val="standardContextual"/>
              </w:rPr>
              <w:fldChar w:fldCharType="end"/>
            </w:r>
            <w:r w:rsidRPr="00116AFD">
              <w:rPr>
                <w:rFonts w:ascii="Arial Narrow" w:hAnsi="Arial Narrow"/>
                <w:i/>
                <w:iCs/>
                <w:sz w:val="20"/>
                <w:szCs w:val="20"/>
                <w14:ligatures w14:val="standardContextual"/>
              </w:rPr>
              <w:t xml:space="preserve">Medical Practitioners </w:t>
            </w:r>
          </w:p>
        </w:tc>
      </w:tr>
      <w:tr w:rsidR="00116AFD" w:rsidRPr="00116AFD" w14:paraId="62E413C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A0FBAE" w14:textId="77777777" w:rsidR="00852466" w:rsidRPr="00116AFD" w:rsidRDefault="00852466">
            <w:pP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 xml:space="preserve">Restriction type: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Authority Required (telephone/online PBS Authorities system) </w:t>
            </w:r>
          </w:p>
        </w:tc>
      </w:tr>
      <w:tr w:rsidR="00116AFD" w:rsidRPr="00116AFD" w14:paraId="3015AC1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2D8BE9E"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Episodicity: </w:t>
            </w:r>
            <w:r w:rsidRPr="00116AFD">
              <w:rPr>
                <w:rFonts w:ascii="Arial Narrow" w:hAnsi="Arial Narrow"/>
                <w:i/>
                <w:iCs/>
                <w:sz w:val="20"/>
                <w:szCs w:val="20"/>
                <w14:ligatures w14:val="standardContextual"/>
              </w:rPr>
              <w:t>[blank]</w:t>
            </w:r>
          </w:p>
        </w:tc>
      </w:tr>
      <w:tr w:rsidR="00116AFD" w:rsidRPr="00116AFD" w14:paraId="0ADBE5B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A78798D"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Severity: </w:t>
            </w:r>
            <w:r w:rsidRPr="00116AFD">
              <w:rPr>
                <w:rFonts w:ascii="Arial Narrow" w:hAnsi="Arial Narrow"/>
                <w:i/>
                <w:iCs/>
                <w:sz w:val="20"/>
                <w:szCs w:val="20"/>
                <w14:ligatures w14:val="standardContextual"/>
              </w:rPr>
              <w:t>[blank]</w:t>
            </w:r>
          </w:p>
        </w:tc>
      </w:tr>
      <w:tr w:rsidR="00116AFD" w:rsidRPr="00116AFD" w14:paraId="36BAC48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08B955"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Condition: </w:t>
            </w:r>
            <w:r w:rsidRPr="00116AFD">
              <w:rPr>
                <w:rFonts w:ascii="Arial Narrow" w:hAnsi="Arial Narrow"/>
                <w:i/>
                <w:iCs/>
                <w:sz w:val="20"/>
                <w:szCs w:val="20"/>
                <w14:ligatures w14:val="standardContextual"/>
              </w:rPr>
              <w:t>Enthesitis/spondylitis related juvenile idiopathic arthritis</w:t>
            </w:r>
          </w:p>
        </w:tc>
      </w:tr>
      <w:tr w:rsidR="00116AFD" w:rsidRPr="00116AFD" w14:paraId="72C5A2D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6122FEF" w14:textId="77777777" w:rsidR="00852466" w:rsidRPr="00116AFD" w:rsidRDefault="00852466">
            <w:pPr>
              <w:rPr>
                <w:rFonts w:ascii="Arial Narrow" w:hAnsi="Arial Narrow"/>
                <w:b/>
                <w:i/>
                <w:iCs/>
                <w:sz w:val="20"/>
                <w:szCs w:val="20"/>
                <w14:ligatures w14:val="standardContextual"/>
              </w:rPr>
            </w:pPr>
            <w:r w:rsidRPr="00116AFD">
              <w:rPr>
                <w:rFonts w:ascii="Arial Narrow" w:hAnsi="Arial Narrow"/>
                <w:b/>
                <w:bCs/>
                <w:i/>
                <w:iCs/>
                <w:sz w:val="20"/>
                <w:szCs w:val="20"/>
                <w14:ligatures w14:val="standardContextual"/>
              </w:rPr>
              <w:t>Indication:</w:t>
            </w:r>
            <w:r w:rsidRPr="00116AFD">
              <w:rPr>
                <w:rFonts w:ascii="Arial Narrow" w:hAnsi="Arial Narrow"/>
                <w:i/>
                <w:iCs/>
                <w:sz w:val="20"/>
                <w:szCs w:val="20"/>
                <w14:ligatures w14:val="standardContextual"/>
              </w:rPr>
              <w:t xml:space="preserve"> Enthesitis/spondylitis related juvenile idiopathic arthritis</w:t>
            </w:r>
          </w:p>
        </w:tc>
      </w:tr>
      <w:tr w:rsidR="00116AFD" w:rsidRPr="00116AFD" w14:paraId="0D7AE47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304E2BB"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Treatment Phase:</w:t>
            </w:r>
            <w:r w:rsidRPr="00116AFD">
              <w:rPr>
                <w:rFonts w:ascii="Arial Narrow" w:hAnsi="Arial Narrow"/>
                <w:i/>
                <w:iCs/>
                <w:sz w:val="20"/>
                <w:szCs w:val="20"/>
                <w14:ligatures w14:val="standardContextual"/>
              </w:rPr>
              <w:t xml:space="preserve"> Initial treatment - balance of supply</w:t>
            </w:r>
          </w:p>
        </w:tc>
      </w:tr>
      <w:tr w:rsidR="00116AFD" w:rsidRPr="00116AFD" w14:paraId="18665E6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E9C9755"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Clinical criteria: </w:t>
            </w:r>
          </w:p>
        </w:tc>
      </w:tr>
      <w:tr w:rsidR="00116AFD" w:rsidRPr="00116AFD" w14:paraId="6D89F68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3FD2E2"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Patient must have received insufficient therapy with this drug for this condition under the Initial treatment restriction to complete16 weeks treatment.</w:t>
            </w:r>
          </w:p>
        </w:tc>
      </w:tr>
      <w:tr w:rsidR="00116AFD" w:rsidRPr="00116AFD" w14:paraId="689F20D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0C45FE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5074CF2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BBCAE3B"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0705A00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C3BA3B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The treatment must provide no more than the balance of up to 16 weeks treatment available under the above restrictions.</w:t>
            </w:r>
          </w:p>
        </w:tc>
      </w:tr>
      <w:tr w:rsidR="00116AFD" w:rsidRPr="00116AFD" w14:paraId="1E43640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DD98EAC"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criteria:</w:t>
            </w:r>
          </w:p>
        </w:tc>
      </w:tr>
      <w:tr w:rsidR="00116AFD" w:rsidRPr="00116AFD" w14:paraId="226DAC3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A615103"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cs="Arial Narrow"/>
                <w:i/>
                <w:iCs/>
                <w:sz w:val="20"/>
                <w:szCs w:val="20"/>
                <w14:ligatures w14:val="standardContextual"/>
              </w:rPr>
              <w:t>Must be treated by a paediatric rheumatologist; or</w:t>
            </w:r>
          </w:p>
        </w:tc>
      </w:tr>
      <w:tr w:rsidR="00116AFD" w:rsidRPr="00116AFD" w14:paraId="6A7C8CBF"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474A8CC" w14:textId="77777777" w:rsidR="00852466" w:rsidRPr="00116AFD" w:rsidRDefault="00852466">
            <w:pPr>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Patient must be undergoing treatment under the supervision of a paediatric rheumatology treatment centre.</w:t>
            </w:r>
          </w:p>
        </w:tc>
      </w:tr>
      <w:tr w:rsidR="00116AFD" w:rsidRPr="00116AFD" w14:paraId="5E260A7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7307824"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297DE77A"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116AFD" w:rsidRPr="00116AFD" w14:paraId="35433E2D"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46C3438" w14:textId="77777777" w:rsidR="00852466" w:rsidRPr="00116AFD" w:rsidRDefault="00852466">
            <w:pPr>
              <w:rPr>
                <w:rFonts w:ascii="Arial Narrow" w:hAnsi="Arial Narrow"/>
                <w:b/>
                <w:bCs/>
                <w:i/>
                <w:iCs/>
                <w:sz w:val="20"/>
                <w:szCs w:val="20"/>
                <w14:ligatures w14:val="standardContextual"/>
              </w:rPr>
            </w:pPr>
          </w:p>
          <w:p w14:paraId="761C4300" w14:textId="77777777" w:rsidR="00852466" w:rsidRPr="00116AFD" w:rsidRDefault="00852466">
            <w:pPr>
              <w:rPr>
                <w:rFonts w:ascii="Arial Narrow" w:hAnsi="Arial Narrow"/>
                <w:b/>
                <w:bCs/>
                <w:i/>
                <w:iCs/>
                <w:sz w:val="20"/>
                <w:szCs w:val="20"/>
                <w14:ligatures w14:val="standardContextual"/>
              </w:rPr>
            </w:pPr>
          </w:p>
        </w:tc>
      </w:tr>
      <w:tr w:rsidR="00116AFD" w:rsidRPr="00116AFD" w14:paraId="4628E705" w14:textId="77777777">
        <w:trPr>
          <w:gridAfter w:val="1"/>
          <w:wAfter w:w="7" w:type="dxa"/>
          <w:cantSplit/>
          <w:trHeight w:val="20"/>
        </w:trPr>
        <w:tc>
          <w:tcPr>
            <w:tcW w:w="3945" w:type="dxa"/>
            <w:vAlign w:val="center"/>
          </w:tcPr>
          <w:p w14:paraId="6FB522D4"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MEDICINAL PRODUCT</w:t>
            </w:r>
          </w:p>
          <w:p w14:paraId="13062118" w14:textId="77777777" w:rsidR="00852466" w:rsidRPr="00116AFD" w:rsidRDefault="00852466">
            <w:pPr>
              <w:keepLines/>
              <w:rPr>
                <w:rFonts w:ascii="Arial Narrow" w:hAnsi="Arial Narrow"/>
                <w:b/>
                <w:i/>
                <w:iCs/>
                <w:sz w:val="20"/>
                <w:szCs w:val="20"/>
                <w14:ligatures w14:val="standardContextual"/>
              </w:rPr>
            </w:pPr>
            <w:r w:rsidRPr="00116AFD">
              <w:rPr>
                <w:rFonts w:ascii="Arial Narrow" w:hAnsi="Arial Narrow"/>
                <w:b/>
                <w:bCs/>
                <w:i/>
                <w:iCs/>
                <w:sz w:val="20"/>
                <w:szCs w:val="20"/>
                <w14:ligatures w14:val="standardContextual"/>
              </w:rPr>
              <w:t>medicinal product pack</w:t>
            </w:r>
          </w:p>
        </w:tc>
        <w:tc>
          <w:tcPr>
            <w:tcW w:w="811" w:type="dxa"/>
            <w:vAlign w:val="center"/>
          </w:tcPr>
          <w:p w14:paraId="6D3055C8"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PBS item code</w:t>
            </w:r>
          </w:p>
        </w:tc>
        <w:tc>
          <w:tcPr>
            <w:tcW w:w="812" w:type="dxa"/>
            <w:vAlign w:val="center"/>
          </w:tcPr>
          <w:p w14:paraId="7257BF1B"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Max. qty packs</w:t>
            </w:r>
          </w:p>
        </w:tc>
        <w:tc>
          <w:tcPr>
            <w:tcW w:w="811" w:type="dxa"/>
            <w:vAlign w:val="center"/>
          </w:tcPr>
          <w:p w14:paraId="2B4B6CEA"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Max. qty units</w:t>
            </w:r>
          </w:p>
        </w:tc>
        <w:tc>
          <w:tcPr>
            <w:tcW w:w="812" w:type="dxa"/>
            <w:vAlign w:val="center"/>
          </w:tcPr>
          <w:p w14:paraId="079E1B76"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№.of</w:t>
            </w:r>
          </w:p>
          <w:p w14:paraId="57903829" w14:textId="77777777" w:rsidR="00852466" w:rsidRPr="00116AFD" w:rsidRDefault="00852466">
            <w:pPr>
              <w:keepLines/>
              <w:jc w:val="center"/>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Rpts</w:t>
            </w:r>
          </w:p>
        </w:tc>
        <w:tc>
          <w:tcPr>
            <w:tcW w:w="1831" w:type="dxa"/>
            <w:vAlign w:val="center"/>
          </w:tcPr>
          <w:p w14:paraId="52C762DF" w14:textId="77777777" w:rsidR="00852466" w:rsidRPr="00116AFD" w:rsidRDefault="00852466">
            <w:pPr>
              <w:keepLines/>
              <w:rPr>
                <w:rFonts w:ascii="Arial Narrow" w:hAnsi="Arial Narrow"/>
                <w:b/>
                <w:i/>
                <w:iCs/>
                <w:sz w:val="20"/>
                <w:szCs w:val="20"/>
                <w:lang w:val="fr-FR"/>
                <w14:ligatures w14:val="standardContextual"/>
              </w:rPr>
            </w:pPr>
            <w:r w:rsidRPr="00116AFD">
              <w:rPr>
                <w:rFonts w:ascii="Arial Narrow" w:hAnsi="Arial Narrow"/>
                <w:b/>
                <w:i/>
                <w:iCs/>
                <w:sz w:val="20"/>
                <w:szCs w:val="20"/>
                <w14:ligatures w14:val="standardContextual"/>
              </w:rPr>
              <w:t>Available brands</w:t>
            </w:r>
          </w:p>
        </w:tc>
      </w:tr>
      <w:tr w:rsidR="00116AFD" w:rsidRPr="00116AFD" w14:paraId="13138E20" w14:textId="77777777">
        <w:trPr>
          <w:gridAfter w:val="1"/>
          <w:wAfter w:w="7" w:type="dxa"/>
          <w:cantSplit/>
          <w:trHeight w:val="20"/>
        </w:trPr>
        <w:tc>
          <w:tcPr>
            <w:tcW w:w="9022" w:type="dxa"/>
            <w:gridSpan w:val="6"/>
            <w:vAlign w:val="center"/>
          </w:tcPr>
          <w:p w14:paraId="2A3374C6"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w:t>
            </w:r>
          </w:p>
        </w:tc>
      </w:tr>
      <w:tr w:rsidR="00116AFD" w:rsidRPr="00116AFD" w14:paraId="166578BA" w14:textId="77777777">
        <w:trPr>
          <w:gridAfter w:val="1"/>
          <w:wAfter w:w="7" w:type="dxa"/>
          <w:cantSplit/>
          <w:trHeight w:val="20"/>
        </w:trPr>
        <w:tc>
          <w:tcPr>
            <w:tcW w:w="3945" w:type="dxa"/>
            <w:vAlign w:val="center"/>
          </w:tcPr>
          <w:p w14:paraId="70400BF5"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20 mg/0.2 mL injection, 2 x 0.2 mL syringes</w:t>
            </w:r>
          </w:p>
        </w:tc>
        <w:tc>
          <w:tcPr>
            <w:tcW w:w="811" w:type="dxa"/>
            <w:vAlign w:val="center"/>
          </w:tcPr>
          <w:p w14:paraId="6417A7E5"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7A90D9A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21F9BC5F"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04BC5C1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5</w:t>
            </w:r>
          </w:p>
        </w:tc>
        <w:tc>
          <w:tcPr>
            <w:tcW w:w="1831" w:type="dxa"/>
            <w:vAlign w:val="center"/>
          </w:tcPr>
          <w:p w14:paraId="4924733B"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1BBEB2B0" w14:textId="77777777">
        <w:trPr>
          <w:gridAfter w:val="1"/>
          <w:wAfter w:w="7" w:type="dxa"/>
          <w:cantSplit/>
          <w:trHeight w:val="20"/>
        </w:trPr>
        <w:tc>
          <w:tcPr>
            <w:tcW w:w="3945" w:type="dxa"/>
            <w:vAlign w:val="center"/>
          </w:tcPr>
          <w:p w14:paraId="4DD52653"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40 mg/0.4 mL injection, 2 x 0.4 mL syringes</w:t>
            </w:r>
          </w:p>
        </w:tc>
        <w:tc>
          <w:tcPr>
            <w:tcW w:w="811" w:type="dxa"/>
            <w:vAlign w:val="center"/>
          </w:tcPr>
          <w:p w14:paraId="052C252F"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099B263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2014B610"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5599473F"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5</w:t>
            </w:r>
          </w:p>
        </w:tc>
        <w:tc>
          <w:tcPr>
            <w:tcW w:w="1831" w:type="dxa"/>
            <w:vAlign w:val="center"/>
          </w:tcPr>
          <w:p w14:paraId="744F2801"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1DBC941F" w14:textId="77777777">
        <w:trPr>
          <w:gridAfter w:val="1"/>
          <w:wAfter w:w="7" w:type="dxa"/>
          <w:cantSplit/>
          <w:trHeight w:val="20"/>
        </w:trPr>
        <w:tc>
          <w:tcPr>
            <w:tcW w:w="3945" w:type="dxa"/>
            <w:vAlign w:val="center"/>
          </w:tcPr>
          <w:p w14:paraId="7DD9DB62"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adalimumab 40 mg/0.4 mL injection, 2 x 0.4 mL pen devices</w:t>
            </w:r>
          </w:p>
        </w:tc>
        <w:tc>
          <w:tcPr>
            <w:tcW w:w="811" w:type="dxa"/>
            <w:vAlign w:val="center"/>
          </w:tcPr>
          <w:p w14:paraId="29C22973"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NEW</w:t>
            </w:r>
          </w:p>
        </w:tc>
        <w:tc>
          <w:tcPr>
            <w:tcW w:w="812" w:type="dxa"/>
            <w:vAlign w:val="center"/>
          </w:tcPr>
          <w:p w14:paraId="18BCFB85"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w:t>
            </w:r>
          </w:p>
        </w:tc>
        <w:tc>
          <w:tcPr>
            <w:tcW w:w="811" w:type="dxa"/>
            <w:vAlign w:val="center"/>
          </w:tcPr>
          <w:p w14:paraId="2509CF85"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w:t>
            </w:r>
          </w:p>
        </w:tc>
        <w:tc>
          <w:tcPr>
            <w:tcW w:w="812" w:type="dxa"/>
            <w:vAlign w:val="center"/>
          </w:tcPr>
          <w:p w14:paraId="046AEF9F" w14:textId="77777777" w:rsidR="00852466" w:rsidRPr="00116AFD" w:rsidRDefault="00852466">
            <w:pPr>
              <w:keepLines/>
              <w:jc w:val="cente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5</w:t>
            </w:r>
          </w:p>
        </w:tc>
        <w:tc>
          <w:tcPr>
            <w:tcW w:w="1831" w:type="dxa"/>
            <w:vAlign w:val="center"/>
          </w:tcPr>
          <w:p w14:paraId="1577531F"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Humira</w:t>
            </w:r>
          </w:p>
        </w:tc>
      </w:tr>
      <w:tr w:rsidR="00116AFD" w:rsidRPr="00116AFD" w14:paraId="54839971" w14:textId="7777777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668B2427" w14:textId="77777777" w:rsidR="00852466" w:rsidRPr="00116AFD" w:rsidRDefault="00852466">
            <w:pPr>
              <w:rPr>
                <w:rFonts w:ascii="Arial Narrow" w:hAnsi="Arial Narrow"/>
                <w:i/>
                <w:iCs/>
                <w:sz w:val="20"/>
                <w:szCs w:val="20"/>
                <w14:ligatures w14:val="standardContextual"/>
              </w:rPr>
            </w:pPr>
          </w:p>
          <w:p w14:paraId="02F6E388" w14:textId="77777777" w:rsidR="00852466" w:rsidRPr="00116AFD" w:rsidRDefault="00852466">
            <w:pPr>
              <w:rPr>
                <w:rFonts w:ascii="Arial Narrow" w:hAnsi="Arial Narrow"/>
                <w:i/>
                <w:iCs/>
                <w:sz w:val="20"/>
                <w:szCs w:val="20"/>
                <w14:ligatures w14:val="standardContextual"/>
              </w:rPr>
            </w:pPr>
          </w:p>
        </w:tc>
      </w:tr>
      <w:tr w:rsidR="00116AFD" w:rsidRPr="00116AFD" w14:paraId="0ECA3089"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7A2775E"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b/>
                <w:i/>
                <w:iCs/>
                <w:sz w:val="20"/>
                <w:szCs w:val="20"/>
                <w14:ligatures w14:val="standardContextual"/>
              </w:rPr>
              <w:t>Category / Program:</w:t>
            </w:r>
            <w:r w:rsidRPr="00116AFD">
              <w:rPr>
                <w:rFonts w:ascii="Arial Narrow" w:hAnsi="Arial Narrow"/>
                <w:i/>
                <w:iCs/>
                <w:sz w:val="20"/>
                <w:szCs w:val="20"/>
                <w14:ligatures w14:val="standardContextual"/>
              </w:rPr>
              <w:t xml:space="preserv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 GENERAL - General Schedule (Code GE) </w:t>
            </w:r>
          </w:p>
        </w:tc>
      </w:tr>
      <w:tr w:rsidR="00116AFD" w:rsidRPr="00116AFD" w14:paraId="186AB26E"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DB4B402" w14:textId="77777777" w:rsidR="00852466" w:rsidRPr="00116AFD" w:rsidRDefault="00852466">
            <w:pPr>
              <w:keepLines/>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 xml:space="preserve">Prescriber type: </w:t>
            </w:r>
            <w:r w:rsidRPr="00116AFD">
              <w:rPr>
                <w:rFonts w:ascii="Arial Narrow"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i/>
                <w:iCs/>
                <w:sz w:val="20"/>
                <w:szCs w:val="20"/>
                <w14:ligatures w14:val="standardContextual"/>
              </w:rPr>
              <w:instrText xml:space="preserve"> FORMCHECKBOX </w:instrText>
            </w:r>
            <w:r w:rsidRPr="00116AFD">
              <w:rPr>
                <w:rFonts w:ascii="Arial Narrow" w:hAnsi="Arial Narrow"/>
                <w:i/>
                <w:iCs/>
                <w:sz w:val="20"/>
                <w:szCs w:val="20"/>
                <w14:ligatures w14:val="standardContextual"/>
              </w:rPr>
            </w:r>
            <w:r w:rsidRPr="00116AFD">
              <w:rPr>
                <w:rFonts w:ascii="Arial Narrow" w:hAnsi="Arial Narrow"/>
                <w:i/>
                <w:iCs/>
                <w:sz w:val="20"/>
                <w:szCs w:val="20"/>
                <w14:ligatures w14:val="standardContextual"/>
              </w:rPr>
              <w:fldChar w:fldCharType="separate"/>
            </w:r>
            <w:r w:rsidRPr="00116AFD">
              <w:rPr>
                <w:rFonts w:ascii="Arial Narrow" w:hAnsi="Arial Narrow"/>
                <w:i/>
                <w:iCs/>
                <w:sz w:val="20"/>
                <w:szCs w:val="20"/>
                <w14:ligatures w14:val="standardContextual"/>
              </w:rPr>
              <w:fldChar w:fldCharType="end"/>
            </w:r>
            <w:r w:rsidRPr="00116AFD">
              <w:rPr>
                <w:rFonts w:ascii="Arial Narrow" w:hAnsi="Arial Narrow"/>
                <w:i/>
                <w:iCs/>
                <w:sz w:val="20"/>
                <w:szCs w:val="20"/>
                <w14:ligatures w14:val="standardContextual"/>
              </w:rPr>
              <w:t xml:space="preserve">Medical Practitioners </w:t>
            </w:r>
          </w:p>
        </w:tc>
      </w:tr>
      <w:tr w:rsidR="00116AFD" w:rsidRPr="00116AFD" w14:paraId="0B4E536E" w14:textId="7777777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04BE99F" w14:textId="77777777" w:rsidR="00852466" w:rsidRPr="00116AFD" w:rsidRDefault="00852466">
            <w:pPr>
              <w:keepLines/>
              <w:rPr>
                <w:rFonts w:ascii="Arial Narrow" w:eastAsia="Calibri" w:hAnsi="Arial Narrow"/>
                <w:i/>
                <w:iCs/>
                <w:sz w:val="20"/>
                <w:szCs w:val="20"/>
                <w14:ligatures w14:val="standardContextual"/>
              </w:rPr>
            </w:pPr>
            <w:r w:rsidRPr="00116AFD">
              <w:rPr>
                <w:rFonts w:ascii="Arial Narrow" w:hAnsi="Arial Narrow"/>
                <w:b/>
                <w:i/>
                <w:iCs/>
                <w:sz w:val="20"/>
                <w:szCs w:val="20"/>
                <w14:ligatures w14:val="standardContextual"/>
              </w:rPr>
              <w:t xml:space="preserve">Restriction type: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Authority Required (in writing only via post/HPOS upload)</w:t>
            </w:r>
          </w:p>
        </w:tc>
      </w:tr>
      <w:tr w:rsidR="00116AFD" w:rsidRPr="00116AFD" w14:paraId="693BA695" w14:textId="77777777">
        <w:tblPrEx>
          <w:tblCellMar>
            <w:top w:w="15" w:type="dxa"/>
            <w:bottom w:w="15" w:type="dxa"/>
          </w:tblCellMar>
          <w:tblLook w:val="04A0" w:firstRow="1" w:lastRow="0" w:firstColumn="1" w:lastColumn="0" w:noHBand="0" w:noVBand="1"/>
        </w:tblPrEx>
        <w:trPr>
          <w:trHeight w:val="317"/>
        </w:trPr>
        <w:tc>
          <w:tcPr>
            <w:tcW w:w="9029" w:type="dxa"/>
            <w:gridSpan w:val="7"/>
            <w:vAlign w:val="center"/>
          </w:tcPr>
          <w:p w14:paraId="56E34E32"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r w:rsidRPr="00116AFD">
              <w:rPr>
                <w:i/>
                <w:iCs/>
                <w14:ligatures w14:val="standardContextual"/>
              </w:rPr>
              <w:t xml:space="preserve"> </w:t>
            </w:r>
            <w:r w:rsidRPr="00116AFD">
              <w:rPr>
                <w:rFonts w:ascii="Arial Narrow" w:hAnsi="Arial Narrow"/>
                <w:i/>
                <w:iCs/>
                <w:sz w:val="20"/>
                <w:szCs w:val="20"/>
                <w14:ligatures w14:val="standardContextual"/>
              </w:rPr>
              <w:t>No increase in the maximum quantity or number of units may be authorised.</w:t>
            </w:r>
          </w:p>
        </w:tc>
      </w:tr>
      <w:tr w:rsidR="00116AFD" w:rsidRPr="00116AFD" w14:paraId="37AAF57C" w14:textId="77777777">
        <w:tblPrEx>
          <w:tblCellMar>
            <w:top w:w="15" w:type="dxa"/>
            <w:bottom w:w="15" w:type="dxa"/>
          </w:tblCellMar>
          <w:tblLook w:val="04A0" w:firstRow="1" w:lastRow="0" w:firstColumn="1" w:lastColumn="0" w:noHBand="0" w:noVBand="1"/>
        </w:tblPrEx>
        <w:trPr>
          <w:trHeight w:val="462"/>
        </w:trPr>
        <w:tc>
          <w:tcPr>
            <w:tcW w:w="9029" w:type="dxa"/>
            <w:gridSpan w:val="7"/>
            <w:vAlign w:val="center"/>
          </w:tcPr>
          <w:p w14:paraId="30729AD7"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r w:rsidRPr="00116AFD">
              <w:rPr>
                <w:i/>
                <w:iCs/>
                <w14:ligatures w14:val="standardContextual"/>
              </w:rPr>
              <w:t xml:space="preserve"> </w:t>
            </w:r>
            <w:r w:rsidRPr="00116AFD">
              <w:rPr>
                <w:rFonts w:ascii="Arial Narrow" w:hAnsi="Arial Narrow"/>
                <w:i/>
                <w:iCs/>
                <w:sz w:val="20"/>
                <w:szCs w:val="20"/>
                <w14:ligatures w14:val="standardContextual"/>
              </w:rPr>
              <w:t>No increase in the maximum number of repeats may be authorised.</w:t>
            </w:r>
          </w:p>
        </w:tc>
      </w:tr>
      <w:tr w:rsidR="00116AFD" w:rsidRPr="00116AFD" w14:paraId="2386E832" w14:textId="77777777">
        <w:tblPrEx>
          <w:tblCellMar>
            <w:top w:w="15" w:type="dxa"/>
            <w:bottom w:w="15" w:type="dxa"/>
          </w:tblCellMar>
          <w:tblLook w:val="04A0" w:firstRow="1" w:lastRow="0" w:firstColumn="1" w:lastColumn="0" w:noHBand="0" w:noVBand="1"/>
        </w:tblPrEx>
        <w:trPr>
          <w:trHeight w:val="462"/>
        </w:trPr>
        <w:tc>
          <w:tcPr>
            <w:tcW w:w="9029" w:type="dxa"/>
            <w:gridSpan w:val="7"/>
            <w:vAlign w:val="center"/>
          </w:tcPr>
          <w:p w14:paraId="3498658C"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557C7AFC" w14:textId="77777777" w:rsidR="00852466" w:rsidRPr="00116AFD" w:rsidRDefault="00852466">
            <w:pPr>
              <w:jc w:val="left"/>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 xml:space="preserve">The assessment for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 is available at: </w:t>
            </w:r>
            <w:hyperlink r:id="rId12" w:history="1">
              <w:r w:rsidRPr="00116AFD">
                <w:rPr>
                  <w:rFonts w:ascii="Arial Narrow" w:hAnsi="Arial Narrow"/>
                  <w:i/>
                  <w:iCs/>
                  <w:sz w:val="20"/>
                  <w:szCs w:val="20"/>
                  <w:u w:val="single"/>
                  <w14:ligatures w14:val="standardContextual"/>
                </w:rPr>
                <w:t>https://pmc.ncbi.nlm.nih.gov/articles/PMC4245319/table/T2/</w:t>
              </w:r>
            </w:hyperlink>
            <w:r w:rsidRPr="00116AFD">
              <w:rPr>
                <w:rFonts w:ascii="Arial Narrow" w:hAnsi="Arial Narrow"/>
                <w:i/>
                <w:iCs/>
                <w:sz w:val="20"/>
                <w:szCs w:val="20"/>
                <w14:ligatures w14:val="standardContextual"/>
              </w:rPr>
              <w:t>.</w:t>
            </w:r>
          </w:p>
        </w:tc>
      </w:tr>
      <w:tr w:rsidR="00116AFD" w:rsidRPr="00116AFD" w14:paraId="08F7E31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86870E"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Episodicity: </w:t>
            </w:r>
            <w:r w:rsidRPr="00116AFD">
              <w:rPr>
                <w:rFonts w:ascii="Arial Narrow" w:hAnsi="Arial Narrow"/>
                <w:i/>
                <w:iCs/>
                <w:sz w:val="20"/>
                <w:szCs w:val="20"/>
                <w14:ligatures w14:val="standardContextual"/>
              </w:rPr>
              <w:t>[blank]</w:t>
            </w:r>
          </w:p>
        </w:tc>
      </w:tr>
      <w:tr w:rsidR="00116AFD" w:rsidRPr="00116AFD" w14:paraId="555DD01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8D02D12"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Severity: </w:t>
            </w:r>
            <w:r w:rsidRPr="00116AFD">
              <w:rPr>
                <w:rFonts w:ascii="Arial Narrow" w:hAnsi="Arial Narrow"/>
                <w:i/>
                <w:iCs/>
                <w:sz w:val="20"/>
                <w:szCs w:val="20"/>
                <w14:ligatures w14:val="standardContextual"/>
              </w:rPr>
              <w:t>[blank]</w:t>
            </w:r>
          </w:p>
        </w:tc>
      </w:tr>
      <w:tr w:rsidR="00116AFD" w:rsidRPr="00116AFD" w14:paraId="6127CA1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B0530A4" w14:textId="77777777" w:rsidR="00852466" w:rsidRPr="00116AFD" w:rsidRDefault="00852466">
            <w:pPr>
              <w:keepLines/>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Condition: </w:t>
            </w:r>
            <w:r w:rsidRPr="00116AFD">
              <w:rPr>
                <w:rFonts w:ascii="Arial Narrow" w:hAnsi="Arial Narrow"/>
                <w:i/>
                <w:iCs/>
                <w:sz w:val="20"/>
                <w:szCs w:val="20"/>
                <w14:ligatures w14:val="standardContextual"/>
              </w:rPr>
              <w:t>Enthesitis/spondylitis related juvenile idiopathic arthritis</w:t>
            </w:r>
          </w:p>
        </w:tc>
      </w:tr>
      <w:tr w:rsidR="00116AFD" w:rsidRPr="00116AFD" w14:paraId="3377AD1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E8084E9"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Indication:</w:t>
            </w:r>
            <w:r w:rsidRPr="00116AFD">
              <w:rPr>
                <w:rFonts w:ascii="Arial Narrow" w:hAnsi="Arial Narrow"/>
                <w:i/>
                <w:iCs/>
                <w:sz w:val="20"/>
                <w:szCs w:val="20"/>
                <w14:ligatures w14:val="standardContextual"/>
              </w:rPr>
              <w:t xml:space="preserve"> Enthesitis/spondylitis related juvenile idiopathic arthritis</w:t>
            </w:r>
          </w:p>
        </w:tc>
      </w:tr>
      <w:tr w:rsidR="00116AFD" w:rsidRPr="00116AFD" w14:paraId="38BD12D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138526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Phase:</w:t>
            </w:r>
            <w:r w:rsidRPr="00116AFD">
              <w:rPr>
                <w:rFonts w:ascii="Arial Narrow" w:hAnsi="Arial Narrow"/>
                <w:i/>
                <w:iCs/>
                <w:sz w:val="20"/>
                <w:szCs w:val="20"/>
                <w14:ligatures w14:val="standardContextual"/>
              </w:rPr>
              <w:t xml:space="preserve"> Continuing treatment</w:t>
            </w:r>
          </w:p>
        </w:tc>
      </w:tr>
      <w:tr w:rsidR="00116AFD" w:rsidRPr="00116AFD" w14:paraId="4E4BEFD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8891734"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 xml:space="preserve">Clinical criteria: </w:t>
            </w:r>
          </w:p>
        </w:tc>
      </w:tr>
      <w:tr w:rsidR="00116AFD" w:rsidRPr="00116AFD" w14:paraId="0C82B4E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23D1606"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Patient must have previously received PBS-subsidised treatment with this drug for this condition. </w:t>
            </w:r>
          </w:p>
        </w:tc>
      </w:tr>
      <w:tr w:rsidR="00116AFD" w:rsidRPr="00116AFD" w14:paraId="7FF1F92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D61E745"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03FED0E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0EFA0F7" w14:textId="77777777" w:rsidR="00852466" w:rsidRPr="00116AFD" w:rsidRDefault="00852466">
            <w:pPr>
              <w:jc w:val="left"/>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083DF32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1A168CA"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have demonstrated an adequate response to treatment with this drug.</w:t>
            </w:r>
          </w:p>
        </w:tc>
      </w:tr>
      <w:tr w:rsidR="00116AFD" w:rsidRPr="00116AFD" w14:paraId="50A6A68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BA694C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1859FE3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44F7C23"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00B64E5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F796F7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Patient must not receive more than 24 weeks of treatment under this restriction.</w:t>
            </w:r>
          </w:p>
        </w:tc>
      </w:tr>
      <w:tr w:rsidR="00116AFD" w:rsidRPr="00116AFD" w14:paraId="2DB28BB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CE87A8E" w14:textId="77777777" w:rsidR="00852466" w:rsidRPr="00116AFD" w:rsidRDefault="00852466">
            <w:pPr>
              <w:keepNext/>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criteria:</w:t>
            </w:r>
          </w:p>
        </w:tc>
      </w:tr>
      <w:tr w:rsidR="00116AFD" w:rsidRPr="00116AFD" w14:paraId="485736F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5A64FFC" w14:textId="77777777" w:rsidR="00852466" w:rsidRPr="00116AFD" w:rsidRDefault="00852466">
            <w:pPr>
              <w:autoSpaceDE w:val="0"/>
              <w:autoSpaceDN w:val="0"/>
              <w:adjustRightInd w:val="0"/>
              <w:jc w:val="left"/>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Must be treated by a paediatric rheumatologist; or</w:t>
            </w:r>
          </w:p>
        </w:tc>
      </w:tr>
      <w:tr w:rsidR="00116AFD" w:rsidRPr="00116AFD" w14:paraId="7A5A88A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4E5437A" w14:textId="77777777" w:rsidR="00852466" w:rsidRPr="00116AFD" w:rsidRDefault="00852466">
            <w:pPr>
              <w:autoSpaceDE w:val="0"/>
              <w:autoSpaceDN w:val="0"/>
              <w:adjustRightInd w:val="0"/>
              <w:jc w:val="left"/>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Must be treated by a rheumatologist; or</w:t>
            </w:r>
          </w:p>
        </w:tc>
      </w:tr>
      <w:tr w:rsidR="00116AFD" w:rsidRPr="00116AFD" w14:paraId="0FD7928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E39F0CB" w14:textId="77777777" w:rsidR="00852466" w:rsidRPr="00116AFD" w:rsidRDefault="00852466">
            <w:pPr>
              <w:autoSpaceDE w:val="0"/>
              <w:autoSpaceDN w:val="0"/>
              <w:adjustRightInd w:val="0"/>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Patient must be undergoing treatment under the supervision of a paediatric rheumatology treatment centre.</w:t>
            </w:r>
          </w:p>
        </w:tc>
      </w:tr>
      <w:tr w:rsidR="00116AFD" w:rsidRPr="00116AFD" w14:paraId="25DD043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C1C5B51"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46E82750"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authority application must be made in writing and must include:</w:t>
            </w:r>
          </w:p>
          <w:p w14:paraId="53390FB0" w14:textId="77777777" w:rsidR="00852466" w:rsidRPr="00116AFD" w:rsidRDefault="00852466">
            <w:pPr>
              <w:rPr>
                <w:rFonts w:ascii="Arial Narrow" w:hAnsi="Arial Narrow"/>
                <w:i/>
                <w:iCs/>
                <w:sz w:val="20"/>
                <w:szCs w:val="20"/>
                <w14:ligatures w14:val="standardContextual"/>
              </w:rPr>
            </w:pPr>
          </w:p>
          <w:p w14:paraId="4F1BB4C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(1) details of the proposed prescription; and</w:t>
            </w:r>
          </w:p>
          <w:p w14:paraId="74F3B220" w14:textId="77777777" w:rsidR="00852466" w:rsidRPr="00116AFD" w:rsidRDefault="00852466">
            <w:pPr>
              <w:rPr>
                <w:rFonts w:ascii="Arial Narrow" w:hAnsi="Arial Narrow"/>
                <w:i/>
                <w:iCs/>
                <w:sz w:val="20"/>
                <w:szCs w:val="20"/>
                <w14:ligatures w14:val="standardContextual"/>
              </w:rPr>
            </w:pPr>
          </w:p>
          <w:p w14:paraId="4405626C"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 and</w:t>
            </w:r>
          </w:p>
          <w:p w14:paraId="1D9D992F" w14:textId="77777777" w:rsidR="00852466" w:rsidRPr="00116AFD" w:rsidRDefault="00852466">
            <w:pPr>
              <w:rPr>
                <w:rFonts w:ascii="Arial Narrow" w:hAnsi="Arial Narrow"/>
                <w:i/>
                <w:iCs/>
                <w:sz w:val="20"/>
                <w:szCs w:val="20"/>
                <w14:ligatures w14:val="standardContextual"/>
              </w:rPr>
            </w:pPr>
          </w:p>
          <w:p w14:paraId="420A72A5"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(3) the current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w:t>
            </w:r>
          </w:p>
        </w:tc>
      </w:tr>
      <w:tr w:rsidR="00116AFD" w:rsidRPr="00116AFD" w14:paraId="613D61F1"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F7E835"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03940982" w14:textId="77777777" w:rsidR="00852466" w:rsidRPr="00116AFD" w:rsidRDefault="00852466">
            <w:pPr>
              <w:rPr>
                <w:rFonts w:ascii="Arial Narrow" w:hAnsi="Arial Narrow"/>
                <w:i/>
                <w:iCs/>
                <w:strike/>
                <w:sz w:val="20"/>
                <w:szCs w:val="20"/>
                <w14:ligatures w14:val="standardContextual"/>
              </w:rPr>
            </w:pPr>
            <w:r w:rsidRPr="00116AFD">
              <w:rPr>
                <w:rFonts w:ascii="Arial Narrow" w:hAnsi="Arial Narrow"/>
                <w:i/>
                <w:iCs/>
                <w:sz w:val="20"/>
                <w:szCs w:val="20"/>
                <w14:ligatures w14:val="standardContextual"/>
              </w:rPr>
              <w:t xml:space="preserve">An adequate response is defined as an improvement from baseline in the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 by at least 30%.</w:t>
            </w:r>
          </w:p>
        </w:tc>
      </w:tr>
      <w:tr w:rsidR="00116AFD" w:rsidRPr="00116AFD" w14:paraId="7E7ADE0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AE350B7"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4D9C411D"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The assessment of response to treatment must be provided at the time of application and documented in the patient's medical records.</w:t>
            </w:r>
          </w:p>
        </w:tc>
      </w:tr>
      <w:tr w:rsidR="00116AFD" w:rsidRPr="00116AFD" w14:paraId="33296FF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AA5CE33"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55E451F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116AFD" w:rsidRPr="00116AFD" w14:paraId="545415A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7B8F42D"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6D7C4AF2"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Where a response assessment is not conducted within these timeframes, the patient will be deemed to have failed to respond to treatment with this drug.</w:t>
            </w:r>
          </w:p>
        </w:tc>
      </w:tr>
      <w:tr w:rsidR="00116AFD" w:rsidRPr="00116AFD" w14:paraId="2504E77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8CEBB19"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6DEC805A"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 xml:space="preserve">If a patient fails to demonstrate a response to treatment with this </w:t>
            </w:r>
            <w:proofErr w:type="gramStart"/>
            <w:r w:rsidRPr="00116AFD">
              <w:rPr>
                <w:rFonts w:ascii="Arial Narrow" w:hAnsi="Arial Narrow"/>
                <w:i/>
                <w:iCs/>
                <w:sz w:val="20"/>
                <w:szCs w:val="20"/>
                <w14:ligatures w14:val="standardContextual"/>
              </w:rPr>
              <w:t>drug</w:t>
            </w:r>
            <w:proofErr w:type="gramEnd"/>
            <w:r w:rsidRPr="00116AFD">
              <w:rPr>
                <w:rFonts w:ascii="Arial Narrow" w:hAnsi="Arial Narrow"/>
                <w:i/>
                <w:iCs/>
                <w:sz w:val="20"/>
                <w:szCs w:val="20"/>
                <w14:ligatures w14:val="standardContextual"/>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116AFD" w:rsidRPr="00116AFD" w14:paraId="6D70ABF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830BA4A"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10677E9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Cs/>
                <w:i/>
                <w:iCs/>
                <w:sz w:val="20"/>
                <w:szCs w:val="20"/>
                <w14:ligatures w14:val="standardContextual"/>
              </w:rPr>
              <w:t>A patient may re-trial this drug after a minimum of 2 years have elapsed between the date the last prescription for a PBS-subsidised biological medicine was approved and the date of the first application submitted for approval.</w:t>
            </w:r>
          </w:p>
        </w:tc>
      </w:tr>
      <w:tr w:rsidR="00116AFD" w:rsidRPr="00116AFD" w14:paraId="4985F12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830525"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Prescribing Instructions:</w:t>
            </w:r>
          </w:p>
          <w:p w14:paraId="3B691636"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tc>
      </w:tr>
      <w:tr w:rsidR="00116AFD" w:rsidRPr="00116AFD" w14:paraId="3ABC6E9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2824A34"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4B65743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Any queries concerning the arrangements to prescribe may be directed to Services Australia on 1800 700 270 (hours of operation 8 a.m. to 5 p.m. Monday to Friday).</w:t>
            </w:r>
          </w:p>
          <w:p w14:paraId="0E28858D" w14:textId="77777777" w:rsidR="00852466" w:rsidRPr="00116AFD" w:rsidRDefault="00852466">
            <w:pPr>
              <w:rPr>
                <w:rFonts w:ascii="Arial Narrow" w:hAnsi="Arial Narrow"/>
                <w:i/>
                <w:iCs/>
                <w:sz w:val="20"/>
                <w:szCs w:val="20"/>
                <w14:ligatures w14:val="standardContextual"/>
              </w:rPr>
            </w:pPr>
          </w:p>
          <w:p w14:paraId="439839B4"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Prescribing information (including Authority Application forms and other relevant documentation as applicable) is available on the Services Australia website at www.servicesaustralia.gov.au</w:t>
            </w:r>
          </w:p>
          <w:p w14:paraId="41EA932B" w14:textId="77777777" w:rsidR="00852466" w:rsidRPr="00116AFD" w:rsidRDefault="00852466">
            <w:pPr>
              <w:rPr>
                <w:rFonts w:ascii="Arial Narrow" w:hAnsi="Arial Narrow"/>
                <w:i/>
                <w:iCs/>
                <w:sz w:val="20"/>
                <w:szCs w:val="20"/>
                <w14:ligatures w14:val="standardContextual"/>
              </w:rPr>
            </w:pPr>
          </w:p>
          <w:p w14:paraId="5F1CBE39"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Applications for authority to prescribe should be submitted online using the form upload facility in Health Professional Online Services (HPOS) at www.servicesaustralia.gov.au/hpos</w:t>
            </w:r>
          </w:p>
          <w:p w14:paraId="6CBA763C" w14:textId="77777777" w:rsidR="00852466" w:rsidRPr="00116AFD" w:rsidRDefault="00852466">
            <w:pPr>
              <w:rPr>
                <w:rFonts w:ascii="Arial Narrow" w:hAnsi="Arial Narrow"/>
                <w:i/>
                <w:iCs/>
                <w:sz w:val="20"/>
                <w:szCs w:val="20"/>
                <w14:ligatures w14:val="standardContextual"/>
              </w:rPr>
            </w:pPr>
          </w:p>
          <w:p w14:paraId="4856BA5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Or mailed to:</w:t>
            </w:r>
          </w:p>
          <w:p w14:paraId="423817E4" w14:textId="77777777" w:rsidR="00852466" w:rsidRPr="00116AFD" w:rsidRDefault="00852466">
            <w:pPr>
              <w:rPr>
                <w:rFonts w:ascii="Arial Narrow" w:hAnsi="Arial Narrow"/>
                <w:i/>
                <w:iCs/>
                <w:sz w:val="20"/>
                <w:szCs w:val="20"/>
                <w14:ligatures w14:val="standardContextual"/>
              </w:rPr>
            </w:pPr>
          </w:p>
          <w:p w14:paraId="7CF94FB4"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Services Australia</w:t>
            </w:r>
          </w:p>
          <w:p w14:paraId="0373B05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Complex Drugs</w:t>
            </w:r>
          </w:p>
          <w:p w14:paraId="0840CE81"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i/>
                <w:iCs/>
                <w:sz w:val="20"/>
                <w:szCs w:val="20"/>
                <w14:ligatures w14:val="standardContextual"/>
              </w:rPr>
              <w:t>Reply Paid 9826</w:t>
            </w:r>
          </w:p>
          <w:p w14:paraId="393ED69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HOBART TAS 7001</w:t>
            </w:r>
          </w:p>
        </w:tc>
      </w:tr>
      <w:tr w:rsidR="00116AFD" w:rsidRPr="00116AFD" w14:paraId="1BC62DB9"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9EBBF71" w14:textId="77777777" w:rsidR="00852466" w:rsidRPr="00116AFD" w:rsidRDefault="00852466">
            <w:pPr>
              <w:rPr>
                <w:rFonts w:ascii="Arial Narrow" w:hAnsi="Arial Narrow"/>
                <w:bCs/>
                <w:i/>
                <w:iCs/>
                <w:sz w:val="20"/>
                <w:szCs w:val="20"/>
                <w14:ligatures w14:val="standardContextual"/>
              </w:rPr>
            </w:pPr>
          </w:p>
          <w:p w14:paraId="141C466B" w14:textId="77777777" w:rsidR="00852466" w:rsidRPr="00116AFD" w:rsidRDefault="00852466">
            <w:pPr>
              <w:rPr>
                <w:rFonts w:ascii="Arial Narrow" w:hAnsi="Arial Narrow"/>
                <w:bCs/>
                <w:i/>
                <w:iCs/>
                <w:sz w:val="20"/>
                <w:szCs w:val="20"/>
                <w14:ligatures w14:val="standardContextual"/>
              </w:rPr>
            </w:pPr>
          </w:p>
        </w:tc>
      </w:tr>
      <w:tr w:rsidR="00116AFD" w:rsidRPr="00116AFD" w14:paraId="29771ED6"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CD4C430" w14:textId="77777777" w:rsidR="00852466" w:rsidRPr="00116AFD" w:rsidRDefault="00852466">
            <w:pPr>
              <w:keepLines/>
              <w:rPr>
                <w:rFonts w:ascii="Arial Narrow" w:hAnsi="Arial Narrow"/>
                <w:i/>
                <w:iCs/>
                <w:sz w:val="20"/>
                <w:szCs w:val="20"/>
                <w14:ligatures w14:val="standardContextual"/>
              </w:rPr>
            </w:pPr>
            <w:r w:rsidRPr="00116AFD">
              <w:rPr>
                <w:rFonts w:ascii="Arial Narrow" w:hAnsi="Arial Narrow"/>
                <w:b/>
                <w:i/>
                <w:iCs/>
                <w:sz w:val="20"/>
                <w:szCs w:val="20"/>
                <w14:ligatures w14:val="standardContextual"/>
              </w:rPr>
              <w:t>Category / Program:</w:t>
            </w:r>
            <w:r w:rsidRPr="00116AFD">
              <w:rPr>
                <w:rFonts w:ascii="Arial Narrow" w:hAnsi="Arial Narrow"/>
                <w:i/>
                <w:iCs/>
                <w:sz w:val="20"/>
                <w:szCs w:val="20"/>
                <w14:ligatures w14:val="standardContextual"/>
              </w:rPr>
              <w:t xml:space="preserv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 GENERAL - General Schedule (Code GE) </w:t>
            </w:r>
          </w:p>
        </w:tc>
      </w:tr>
      <w:tr w:rsidR="00116AFD" w:rsidRPr="00116AFD" w14:paraId="020C8BF8"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9E6B076" w14:textId="77777777" w:rsidR="00852466" w:rsidRPr="00116AFD" w:rsidRDefault="00852466">
            <w:pPr>
              <w:keepLines/>
              <w:rPr>
                <w:rFonts w:ascii="Arial Narrow" w:hAnsi="Arial Narrow"/>
                <w:b/>
                <w:i/>
                <w:iCs/>
                <w:sz w:val="20"/>
                <w:szCs w:val="20"/>
                <w14:ligatures w14:val="standardContextual"/>
              </w:rPr>
            </w:pPr>
            <w:r w:rsidRPr="00116AFD">
              <w:rPr>
                <w:rFonts w:ascii="Arial Narrow" w:hAnsi="Arial Narrow"/>
                <w:b/>
                <w:i/>
                <w:iCs/>
                <w:sz w:val="20"/>
                <w:szCs w:val="20"/>
                <w14:ligatures w14:val="standardContextual"/>
              </w:rPr>
              <w:t xml:space="preserve">Prescriber type: </w:t>
            </w:r>
            <w:r w:rsidRPr="00116AFD">
              <w:rPr>
                <w:rFonts w:ascii="Arial Narrow"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hAnsi="Arial Narrow"/>
                <w:i/>
                <w:iCs/>
                <w:sz w:val="20"/>
                <w:szCs w:val="20"/>
                <w14:ligatures w14:val="standardContextual"/>
              </w:rPr>
              <w:instrText xml:space="preserve"> FORMCHECKBOX </w:instrText>
            </w:r>
            <w:r w:rsidRPr="00116AFD">
              <w:rPr>
                <w:rFonts w:ascii="Arial Narrow" w:hAnsi="Arial Narrow"/>
                <w:i/>
                <w:iCs/>
                <w:sz w:val="20"/>
                <w:szCs w:val="20"/>
                <w14:ligatures w14:val="standardContextual"/>
              </w:rPr>
            </w:r>
            <w:r w:rsidRPr="00116AFD">
              <w:rPr>
                <w:rFonts w:ascii="Arial Narrow" w:hAnsi="Arial Narrow"/>
                <w:i/>
                <w:iCs/>
                <w:sz w:val="20"/>
                <w:szCs w:val="20"/>
                <w14:ligatures w14:val="standardContextual"/>
              </w:rPr>
              <w:fldChar w:fldCharType="separate"/>
            </w:r>
            <w:r w:rsidRPr="00116AFD">
              <w:rPr>
                <w:rFonts w:ascii="Arial Narrow" w:hAnsi="Arial Narrow"/>
                <w:i/>
                <w:iCs/>
                <w:sz w:val="20"/>
                <w:szCs w:val="20"/>
                <w14:ligatures w14:val="standardContextual"/>
              </w:rPr>
              <w:fldChar w:fldCharType="end"/>
            </w:r>
            <w:r w:rsidRPr="00116AFD">
              <w:rPr>
                <w:rFonts w:ascii="Arial Narrow" w:hAnsi="Arial Narrow"/>
                <w:i/>
                <w:iCs/>
                <w:sz w:val="20"/>
                <w:szCs w:val="20"/>
                <w14:ligatures w14:val="standardContextual"/>
              </w:rPr>
              <w:t xml:space="preserve">Medical Practitioners </w:t>
            </w:r>
          </w:p>
        </w:tc>
      </w:tr>
      <w:tr w:rsidR="00116AFD" w:rsidRPr="00116AFD" w14:paraId="737841E3"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6624831" w14:textId="77777777" w:rsidR="00852466" w:rsidRPr="00116AFD" w:rsidRDefault="00852466">
            <w:pPr>
              <w:keepLines/>
              <w:rPr>
                <w:rFonts w:ascii="Arial Narrow" w:eastAsia="Calibri" w:hAnsi="Arial Narrow"/>
                <w:i/>
                <w:iCs/>
                <w:sz w:val="20"/>
                <w:szCs w:val="20"/>
                <w14:ligatures w14:val="standardContextual"/>
              </w:rPr>
            </w:pPr>
            <w:r w:rsidRPr="00116AFD">
              <w:rPr>
                <w:rFonts w:ascii="Arial Narrow" w:hAnsi="Arial Narrow"/>
                <w:b/>
                <w:i/>
                <w:iCs/>
                <w:sz w:val="20"/>
                <w:szCs w:val="20"/>
                <w14:ligatures w14:val="standardContextual"/>
              </w:rPr>
              <w:t xml:space="preserve">Restriction type: </w:t>
            </w:r>
            <w:r w:rsidRPr="00116AFD">
              <w:rPr>
                <w:rFonts w:ascii="Arial Narrow" w:eastAsia="Calibri" w:hAnsi="Arial Narrow"/>
                <w:i/>
                <w:iCs/>
                <w:sz w:val="20"/>
                <w:szCs w:val="20"/>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14:ligatures w14:val="standardContextual"/>
              </w:rPr>
              <w:instrText xml:space="preserve"> FORMCHECKBOX </w:instrText>
            </w:r>
            <w:r w:rsidRPr="00116AFD">
              <w:rPr>
                <w:rFonts w:ascii="Arial Narrow" w:eastAsia="Calibri" w:hAnsi="Arial Narrow"/>
                <w:i/>
                <w:iCs/>
                <w:sz w:val="20"/>
                <w:szCs w:val="20"/>
                <w14:ligatures w14:val="standardContextual"/>
              </w:rPr>
            </w:r>
            <w:r w:rsidRPr="00116AFD">
              <w:rPr>
                <w:rFonts w:ascii="Arial Narrow" w:eastAsia="Calibri" w:hAnsi="Arial Narrow"/>
                <w:i/>
                <w:iCs/>
                <w:sz w:val="20"/>
                <w:szCs w:val="20"/>
                <w14:ligatures w14:val="standardContextual"/>
              </w:rPr>
              <w:fldChar w:fldCharType="separate"/>
            </w:r>
            <w:r w:rsidRPr="00116AFD">
              <w:rPr>
                <w:rFonts w:ascii="Arial Narrow" w:eastAsia="Calibri" w:hAnsi="Arial Narrow"/>
                <w:i/>
                <w:iCs/>
                <w:sz w:val="20"/>
                <w:szCs w:val="20"/>
                <w14:ligatures w14:val="standardContextual"/>
              </w:rPr>
              <w:fldChar w:fldCharType="end"/>
            </w:r>
            <w:r w:rsidRPr="00116AFD">
              <w:rPr>
                <w:rFonts w:ascii="Arial Narrow" w:eastAsia="Calibri" w:hAnsi="Arial Narrow"/>
                <w:i/>
                <w:iCs/>
                <w:sz w:val="20"/>
                <w:szCs w:val="20"/>
                <w14:ligatures w14:val="standardContextual"/>
              </w:rPr>
              <w:t xml:space="preserve">Authority Required (telephone/online PBS Authorities system) </w:t>
            </w:r>
          </w:p>
        </w:tc>
      </w:tr>
      <w:tr w:rsidR="00116AFD" w:rsidRPr="00116AFD" w14:paraId="651E5B9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7849A3F"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Episodicity: </w:t>
            </w:r>
            <w:r w:rsidRPr="00116AFD">
              <w:rPr>
                <w:rFonts w:ascii="Arial Narrow" w:hAnsi="Arial Narrow"/>
                <w:i/>
                <w:iCs/>
                <w:sz w:val="20"/>
                <w:szCs w:val="20"/>
                <w14:ligatures w14:val="standardContextual"/>
              </w:rPr>
              <w:t>[blank]</w:t>
            </w:r>
          </w:p>
        </w:tc>
      </w:tr>
      <w:tr w:rsidR="00116AFD" w:rsidRPr="00116AFD" w14:paraId="777FF7D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8ACC7F5"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Severity: </w:t>
            </w:r>
            <w:r w:rsidRPr="00116AFD">
              <w:rPr>
                <w:rFonts w:ascii="Arial Narrow" w:hAnsi="Arial Narrow"/>
                <w:i/>
                <w:iCs/>
                <w:sz w:val="20"/>
                <w:szCs w:val="20"/>
                <w14:ligatures w14:val="standardContextual"/>
              </w:rPr>
              <w:t>[blank]</w:t>
            </w:r>
          </w:p>
        </w:tc>
      </w:tr>
      <w:tr w:rsidR="00116AFD" w:rsidRPr="00116AFD" w14:paraId="678D549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354CEC7"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Condition: </w:t>
            </w:r>
            <w:r w:rsidRPr="00116AFD">
              <w:rPr>
                <w:rFonts w:ascii="Arial Narrow" w:hAnsi="Arial Narrow"/>
                <w:i/>
                <w:iCs/>
                <w:sz w:val="20"/>
                <w:szCs w:val="20"/>
                <w14:ligatures w14:val="standardContextual"/>
              </w:rPr>
              <w:t>Enthesitis/spondylitis related juvenile idiopathic arthritis</w:t>
            </w:r>
          </w:p>
        </w:tc>
      </w:tr>
      <w:tr w:rsidR="00116AFD" w:rsidRPr="00116AFD" w14:paraId="77256D0C"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3F272A8"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Indication:</w:t>
            </w:r>
            <w:r w:rsidRPr="00116AFD">
              <w:rPr>
                <w:rFonts w:ascii="Arial Narrow" w:hAnsi="Arial Narrow"/>
                <w:i/>
                <w:iCs/>
                <w:sz w:val="20"/>
                <w:szCs w:val="20"/>
                <w14:ligatures w14:val="standardContextual"/>
              </w:rPr>
              <w:t xml:space="preserve"> Enthesitis/spondylitis related juvenile idiopathic arthritis</w:t>
            </w:r>
          </w:p>
        </w:tc>
      </w:tr>
      <w:tr w:rsidR="00116AFD" w:rsidRPr="00116AFD" w14:paraId="1FE8B69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1D55347"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Phase:</w:t>
            </w:r>
            <w:r w:rsidRPr="00116AFD">
              <w:rPr>
                <w:rFonts w:ascii="Arial Narrow" w:hAnsi="Arial Narrow"/>
                <w:i/>
                <w:iCs/>
                <w:sz w:val="20"/>
                <w:szCs w:val="20"/>
                <w14:ligatures w14:val="standardContextual"/>
              </w:rPr>
              <w:t xml:space="preserve"> Continuing treatment - balance of supply</w:t>
            </w:r>
          </w:p>
        </w:tc>
      </w:tr>
      <w:tr w:rsidR="00116AFD" w:rsidRPr="00116AFD" w14:paraId="05ED8FB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DB28D90"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 xml:space="preserve">Clinical criteria: </w:t>
            </w:r>
          </w:p>
        </w:tc>
      </w:tr>
      <w:tr w:rsidR="00116AFD" w:rsidRPr="00116AFD" w14:paraId="16D61DB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AE9D53"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Patient must have received insufficient therapy with this drug for this condition under the continuing treatment restriction to complete 24 weeks treatment.</w:t>
            </w:r>
          </w:p>
        </w:tc>
      </w:tr>
      <w:tr w:rsidR="00116AFD" w:rsidRPr="00116AFD" w14:paraId="1B53240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F3EE7E6"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AND</w:t>
            </w:r>
          </w:p>
        </w:tc>
      </w:tr>
      <w:tr w:rsidR="00116AFD" w:rsidRPr="00116AFD" w14:paraId="46BC1AB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F9A8A64"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Clinical criteria:</w:t>
            </w:r>
          </w:p>
        </w:tc>
      </w:tr>
      <w:tr w:rsidR="00116AFD" w:rsidRPr="00116AFD" w14:paraId="3983D53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9597FAD"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The treatment must provide no more than the balance of up to 24 weeks treatment available under the above restrictions.</w:t>
            </w:r>
          </w:p>
        </w:tc>
      </w:tr>
      <w:tr w:rsidR="00116AFD" w:rsidRPr="00116AFD" w14:paraId="13270BE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9819EB" w14:textId="77777777" w:rsidR="00852466" w:rsidRPr="00116AFD" w:rsidRDefault="00852466">
            <w:pPr>
              <w:rPr>
                <w:rFonts w:ascii="Arial Narrow" w:hAnsi="Arial Narrow"/>
                <w:i/>
                <w:iCs/>
                <w:sz w:val="20"/>
                <w:szCs w:val="20"/>
                <w14:ligatures w14:val="standardContextual"/>
              </w:rPr>
            </w:pPr>
            <w:r w:rsidRPr="00116AFD">
              <w:rPr>
                <w:rFonts w:ascii="Arial Narrow" w:hAnsi="Arial Narrow"/>
                <w:b/>
                <w:bCs/>
                <w:i/>
                <w:iCs/>
                <w:sz w:val="20"/>
                <w:szCs w:val="20"/>
                <w14:ligatures w14:val="standardContextual"/>
              </w:rPr>
              <w:t>Treatment criteria:</w:t>
            </w:r>
          </w:p>
        </w:tc>
      </w:tr>
      <w:tr w:rsidR="00116AFD" w:rsidRPr="00116AFD" w14:paraId="24863BA7"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C00C4AE"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cs="Arial Narrow"/>
                <w:i/>
                <w:iCs/>
                <w:sz w:val="20"/>
                <w:szCs w:val="20"/>
                <w14:ligatures w14:val="standardContextual"/>
              </w:rPr>
              <w:t>Must be treated by a paediatric rheumatologist; or</w:t>
            </w:r>
          </w:p>
        </w:tc>
      </w:tr>
      <w:tr w:rsidR="00116AFD" w:rsidRPr="00116AFD" w14:paraId="5EE2F044"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CAB337C" w14:textId="77777777" w:rsidR="00852466" w:rsidRPr="00116AFD" w:rsidRDefault="00852466">
            <w:pPr>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Must be treated by a rheumatologist; or</w:t>
            </w:r>
          </w:p>
        </w:tc>
      </w:tr>
      <w:tr w:rsidR="00116AFD" w:rsidRPr="00116AFD" w14:paraId="7A4C2D4D"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32840D6" w14:textId="77777777" w:rsidR="00852466" w:rsidRPr="00116AFD" w:rsidRDefault="00852466">
            <w:pPr>
              <w:rPr>
                <w:rFonts w:ascii="Arial Narrow" w:hAnsi="Arial Narrow" w:cs="Arial Narrow"/>
                <w:i/>
                <w:iCs/>
                <w:sz w:val="20"/>
                <w:szCs w:val="20"/>
                <w14:ligatures w14:val="standardContextual"/>
              </w:rPr>
            </w:pPr>
            <w:r w:rsidRPr="00116AFD">
              <w:rPr>
                <w:rFonts w:ascii="Arial Narrow" w:hAnsi="Arial Narrow" w:cs="Arial Narrow"/>
                <w:i/>
                <w:iCs/>
                <w:sz w:val="20"/>
                <w:szCs w:val="20"/>
                <w14:ligatures w14:val="standardContextual"/>
              </w:rPr>
              <w:t>Patient must be undergoing treatment under the supervision of a paediatric rheumatology treatment centre.</w:t>
            </w:r>
          </w:p>
        </w:tc>
      </w:tr>
      <w:tr w:rsidR="00116AFD" w:rsidRPr="00116AFD" w14:paraId="6F63920B"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772E1D3"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b/>
                <w:bCs/>
                <w:i/>
                <w:iCs/>
                <w:sz w:val="20"/>
                <w:szCs w:val="20"/>
                <w14:ligatures w14:val="standardContextual"/>
              </w:rPr>
              <w:t>Administrative Advice:</w:t>
            </w:r>
          </w:p>
          <w:p w14:paraId="6D4E496B" w14:textId="77777777" w:rsidR="00852466" w:rsidRPr="00116AFD" w:rsidRDefault="00852466">
            <w:pPr>
              <w:rPr>
                <w:rFonts w:ascii="Arial Narrow" w:hAnsi="Arial Narrow"/>
                <w:b/>
                <w:bCs/>
                <w:i/>
                <w:iCs/>
                <w:sz w:val="20"/>
                <w:szCs w:val="20"/>
                <w14:ligatures w14:val="standardContextual"/>
              </w:rPr>
            </w:pPr>
            <w:r w:rsidRPr="00116AFD">
              <w:rPr>
                <w:rFonts w:ascii="Arial Narrow" w:hAnsi="Arial Narrow"/>
                <w:i/>
                <w:iCs/>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116AFD" w:rsidRPr="00116AFD" w14:paraId="76965496"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59E699B8" w14:textId="77777777" w:rsidR="00852466" w:rsidRPr="00116AFD" w:rsidRDefault="00852466">
            <w:pPr>
              <w:rPr>
                <w:rFonts w:ascii="Arial Narrow" w:hAnsi="Arial Narrow"/>
                <w:b/>
                <w:bCs/>
                <w:i/>
                <w:iCs/>
                <w:sz w:val="20"/>
                <w:szCs w:val="20"/>
                <w14:ligatures w14:val="standardContextual"/>
              </w:rPr>
            </w:pPr>
          </w:p>
          <w:p w14:paraId="7EA40D12" w14:textId="77777777" w:rsidR="00852466" w:rsidRPr="00116AFD" w:rsidRDefault="00852466">
            <w:pPr>
              <w:rPr>
                <w:rFonts w:ascii="Arial Narrow" w:hAnsi="Arial Narrow"/>
                <w:b/>
                <w:bCs/>
                <w:i/>
                <w:iCs/>
                <w:sz w:val="20"/>
                <w:szCs w:val="20"/>
                <w14:ligatures w14:val="standardContextual"/>
              </w:rPr>
            </w:pPr>
          </w:p>
        </w:tc>
      </w:tr>
      <w:tr w:rsidR="00116AFD" w:rsidRPr="00116AFD" w14:paraId="7D445AA7" w14:textId="7777777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7F1D0" w14:textId="77777777" w:rsidR="00852466" w:rsidRPr="00116AFD" w:rsidRDefault="00852466">
            <w:pPr>
              <w:keepLines/>
              <w:spacing w:line="256" w:lineRule="auto"/>
              <w:rPr>
                <w:rFonts w:ascii="Arial Narrow" w:hAnsi="Arial Narrow"/>
                <w:i/>
                <w:iCs/>
                <w:sz w:val="20"/>
                <w:szCs w:val="20"/>
                <w:lang w:eastAsia="en-US"/>
                <w14:ligatures w14:val="standardContextual"/>
              </w:rPr>
            </w:pPr>
            <w:r w:rsidRPr="00116AFD">
              <w:rPr>
                <w:rFonts w:ascii="Arial Narrow" w:hAnsi="Arial Narrow"/>
                <w:b/>
                <w:i/>
                <w:iCs/>
                <w:sz w:val="20"/>
                <w:szCs w:val="20"/>
                <w:lang w:eastAsia="en-US"/>
                <w14:ligatures w14:val="standardContextual"/>
              </w:rPr>
              <w:t>Category / Program:</w:t>
            </w:r>
            <w:r w:rsidRPr="00116AFD">
              <w:rPr>
                <w:rFonts w:ascii="Arial Narrow" w:hAnsi="Arial Narrow"/>
                <w:i/>
                <w:iCs/>
                <w:sz w:val="20"/>
                <w:szCs w:val="20"/>
                <w:lang w:eastAsia="en-US"/>
                <w14:ligatures w14:val="standardContextual"/>
              </w:rPr>
              <w:t xml:space="preserve"> </w:t>
            </w:r>
            <w:r w:rsidRPr="00116AFD">
              <w:rPr>
                <w:rFonts w:ascii="Arial Narrow" w:eastAsia="Calibri" w:hAnsi="Arial Narrow"/>
                <w:i/>
                <w:iCs/>
                <w:sz w:val="20"/>
                <w:szCs w:val="20"/>
                <w:lang w:eastAsia="en-US"/>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lang w:eastAsia="en-US"/>
                <w14:ligatures w14:val="standardContextual"/>
              </w:rPr>
              <w:instrText xml:space="preserve"> FORMCHECKBOX </w:instrText>
            </w:r>
            <w:r w:rsidRPr="00116AFD">
              <w:rPr>
                <w:rFonts w:ascii="Arial Narrow" w:eastAsia="Calibri" w:hAnsi="Arial Narrow"/>
                <w:i/>
                <w:iCs/>
                <w:sz w:val="20"/>
                <w:szCs w:val="20"/>
                <w:lang w:eastAsia="en-US"/>
                <w14:ligatures w14:val="standardContextual"/>
              </w:rPr>
            </w:r>
            <w:r w:rsidRPr="00116AFD">
              <w:rPr>
                <w:rFonts w:ascii="Arial Narrow" w:eastAsia="Calibri" w:hAnsi="Arial Narrow"/>
                <w:i/>
                <w:iCs/>
                <w:sz w:val="20"/>
                <w:szCs w:val="20"/>
                <w:lang w:eastAsia="en-US"/>
                <w14:ligatures w14:val="standardContextual"/>
              </w:rPr>
              <w:fldChar w:fldCharType="separate"/>
            </w:r>
            <w:r w:rsidRPr="00116AFD">
              <w:rPr>
                <w:rFonts w:ascii="Arial Narrow" w:eastAsia="Calibri" w:hAnsi="Arial Narrow"/>
                <w:i/>
                <w:iCs/>
                <w:sz w:val="20"/>
                <w:szCs w:val="20"/>
                <w:lang w:eastAsia="en-US"/>
                <w14:ligatures w14:val="standardContextual"/>
              </w:rPr>
              <w:fldChar w:fldCharType="end"/>
            </w:r>
            <w:r w:rsidRPr="00116AFD">
              <w:rPr>
                <w:rFonts w:ascii="Arial Narrow" w:eastAsia="Calibri" w:hAnsi="Arial Narrow"/>
                <w:i/>
                <w:iCs/>
                <w:sz w:val="20"/>
                <w:szCs w:val="20"/>
                <w:lang w:eastAsia="en-US"/>
                <w14:ligatures w14:val="standardContextual"/>
              </w:rPr>
              <w:t xml:space="preserve"> GENERAL - General Schedule (Code GE) </w:t>
            </w:r>
          </w:p>
        </w:tc>
      </w:tr>
      <w:tr w:rsidR="00116AFD" w:rsidRPr="00116AFD" w14:paraId="11F6DA7B" w14:textId="7777777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56AB4F" w14:textId="77777777" w:rsidR="00852466" w:rsidRPr="00116AFD" w:rsidRDefault="00852466">
            <w:pPr>
              <w:keepLines/>
              <w:spacing w:line="256" w:lineRule="auto"/>
              <w:rPr>
                <w:rFonts w:ascii="Arial Narrow" w:hAnsi="Arial Narrow"/>
                <w:b/>
                <w:i/>
                <w:iCs/>
                <w:sz w:val="20"/>
                <w:szCs w:val="20"/>
                <w:lang w:eastAsia="en-US"/>
                <w14:ligatures w14:val="standardContextual"/>
              </w:rPr>
            </w:pPr>
            <w:r w:rsidRPr="00116AFD">
              <w:rPr>
                <w:rFonts w:ascii="Arial Narrow" w:hAnsi="Arial Narrow"/>
                <w:b/>
                <w:i/>
                <w:iCs/>
                <w:sz w:val="20"/>
                <w:szCs w:val="20"/>
                <w:lang w:eastAsia="en-US"/>
                <w14:ligatures w14:val="standardContextual"/>
              </w:rPr>
              <w:t xml:space="preserve">Prescriber type: </w:t>
            </w:r>
            <w:r w:rsidRPr="00116AFD">
              <w:rPr>
                <w:rFonts w:ascii="Arial Narrow" w:hAnsi="Arial Narrow"/>
                <w:i/>
                <w:iCs/>
                <w:sz w:val="20"/>
                <w:szCs w:val="20"/>
                <w:lang w:eastAsia="en-US"/>
                <w14:ligatures w14:val="standardContextual"/>
              </w:rPr>
              <w:fldChar w:fldCharType="begin" w:fldLock="1">
                <w:ffData>
                  <w:name w:val=""/>
                  <w:enabled/>
                  <w:calcOnExit w:val="0"/>
                  <w:checkBox>
                    <w:sizeAuto/>
                    <w:default w:val="1"/>
                  </w:checkBox>
                </w:ffData>
              </w:fldChar>
            </w:r>
            <w:r w:rsidRPr="00116AFD">
              <w:rPr>
                <w:rFonts w:ascii="Arial Narrow" w:hAnsi="Arial Narrow"/>
                <w:i/>
                <w:iCs/>
                <w:sz w:val="20"/>
                <w:szCs w:val="20"/>
                <w:lang w:eastAsia="en-US"/>
                <w14:ligatures w14:val="standardContextual"/>
              </w:rPr>
              <w:instrText xml:space="preserve"> FORMCHECKBOX </w:instrText>
            </w:r>
            <w:r w:rsidRPr="00116AFD">
              <w:rPr>
                <w:rFonts w:ascii="Arial Narrow" w:hAnsi="Arial Narrow"/>
                <w:i/>
                <w:iCs/>
                <w:sz w:val="20"/>
                <w:szCs w:val="20"/>
                <w:lang w:eastAsia="en-US"/>
                <w14:ligatures w14:val="standardContextual"/>
              </w:rPr>
            </w:r>
            <w:r w:rsidRPr="00116AFD">
              <w:rPr>
                <w:rFonts w:ascii="Arial Narrow" w:hAnsi="Arial Narrow"/>
                <w:i/>
                <w:iCs/>
                <w:sz w:val="20"/>
                <w:szCs w:val="20"/>
                <w:lang w:eastAsia="en-US"/>
                <w14:ligatures w14:val="standardContextual"/>
              </w:rPr>
              <w:fldChar w:fldCharType="separate"/>
            </w:r>
            <w:r w:rsidRPr="00116AFD">
              <w:rPr>
                <w:rFonts w:ascii="Arial Narrow" w:hAnsi="Arial Narrow"/>
                <w:i/>
                <w:iCs/>
                <w:sz w:val="20"/>
                <w:szCs w:val="20"/>
                <w:lang w:eastAsia="en-US"/>
                <w14:ligatures w14:val="standardContextual"/>
              </w:rPr>
              <w:fldChar w:fldCharType="end"/>
            </w:r>
            <w:r w:rsidRPr="00116AFD">
              <w:rPr>
                <w:rFonts w:ascii="Arial Narrow" w:hAnsi="Arial Narrow"/>
                <w:i/>
                <w:iCs/>
                <w:sz w:val="20"/>
                <w:szCs w:val="20"/>
                <w:lang w:eastAsia="en-US"/>
                <w14:ligatures w14:val="standardContextual"/>
              </w:rPr>
              <w:t xml:space="preserve">Medical Practitioners </w:t>
            </w:r>
          </w:p>
        </w:tc>
      </w:tr>
      <w:tr w:rsidR="00116AFD" w:rsidRPr="00116AFD" w14:paraId="15F4C644" w14:textId="7777777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285FEC" w14:textId="77777777" w:rsidR="00852466" w:rsidRPr="00116AFD" w:rsidRDefault="00852466">
            <w:pPr>
              <w:keepLines/>
              <w:spacing w:line="256" w:lineRule="auto"/>
              <w:rPr>
                <w:rFonts w:ascii="Arial Narrow" w:eastAsia="Calibri" w:hAnsi="Arial Narrow"/>
                <w:i/>
                <w:iCs/>
                <w:sz w:val="20"/>
                <w:szCs w:val="20"/>
                <w:lang w:eastAsia="en-US"/>
                <w14:ligatures w14:val="standardContextual"/>
              </w:rPr>
            </w:pPr>
            <w:r w:rsidRPr="00116AFD">
              <w:rPr>
                <w:rFonts w:ascii="Arial Narrow" w:hAnsi="Arial Narrow"/>
                <w:b/>
                <w:i/>
                <w:iCs/>
                <w:sz w:val="20"/>
                <w:szCs w:val="20"/>
                <w:lang w:eastAsia="en-US"/>
                <w14:ligatures w14:val="standardContextual"/>
              </w:rPr>
              <w:t xml:space="preserve">Restriction type: </w:t>
            </w:r>
            <w:r w:rsidRPr="00116AFD">
              <w:rPr>
                <w:rFonts w:ascii="Arial Narrow" w:eastAsia="Calibri" w:hAnsi="Arial Narrow"/>
                <w:i/>
                <w:iCs/>
                <w:sz w:val="20"/>
                <w:szCs w:val="20"/>
                <w:lang w:eastAsia="en-US"/>
                <w14:ligatures w14:val="standardContextual"/>
              </w:rPr>
              <w:fldChar w:fldCharType="begin" w:fldLock="1">
                <w:ffData>
                  <w:name w:val=""/>
                  <w:enabled/>
                  <w:calcOnExit w:val="0"/>
                  <w:checkBox>
                    <w:sizeAuto/>
                    <w:default w:val="1"/>
                  </w:checkBox>
                </w:ffData>
              </w:fldChar>
            </w:r>
            <w:r w:rsidRPr="00116AFD">
              <w:rPr>
                <w:rFonts w:ascii="Arial Narrow" w:eastAsia="Calibri" w:hAnsi="Arial Narrow"/>
                <w:i/>
                <w:iCs/>
                <w:sz w:val="20"/>
                <w:szCs w:val="20"/>
                <w:lang w:eastAsia="en-US"/>
                <w14:ligatures w14:val="standardContextual"/>
              </w:rPr>
              <w:instrText xml:space="preserve"> FORMCHECKBOX </w:instrText>
            </w:r>
            <w:r w:rsidRPr="00116AFD">
              <w:rPr>
                <w:rFonts w:ascii="Arial Narrow" w:eastAsia="Calibri" w:hAnsi="Arial Narrow"/>
                <w:i/>
                <w:iCs/>
                <w:sz w:val="20"/>
                <w:szCs w:val="20"/>
                <w:lang w:eastAsia="en-US"/>
                <w14:ligatures w14:val="standardContextual"/>
              </w:rPr>
            </w:r>
            <w:r w:rsidRPr="00116AFD">
              <w:rPr>
                <w:rFonts w:ascii="Arial Narrow" w:eastAsia="Calibri" w:hAnsi="Arial Narrow"/>
                <w:i/>
                <w:iCs/>
                <w:sz w:val="20"/>
                <w:szCs w:val="20"/>
                <w:lang w:eastAsia="en-US"/>
                <w14:ligatures w14:val="standardContextual"/>
              </w:rPr>
              <w:fldChar w:fldCharType="separate"/>
            </w:r>
            <w:r w:rsidRPr="00116AFD">
              <w:rPr>
                <w:rFonts w:ascii="Arial Narrow" w:eastAsia="Calibri" w:hAnsi="Arial Narrow"/>
                <w:i/>
                <w:iCs/>
                <w:sz w:val="20"/>
                <w:szCs w:val="20"/>
                <w:lang w:eastAsia="en-US"/>
                <w14:ligatures w14:val="standardContextual"/>
              </w:rPr>
              <w:fldChar w:fldCharType="end"/>
            </w:r>
            <w:r w:rsidRPr="00116AFD">
              <w:rPr>
                <w:rFonts w:ascii="Arial Narrow" w:eastAsia="Calibri" w:hAnsi="Arial Narrow"/>
                <w:i/>
                <w:iCs/>
                <w:sz w:val="20"/>
                <w:szCs w:val="20"/>
                <w:lang w:eastAsia="en-US"/>
                <w14:ligatures w14:val="standardContextual"/>
              </w:rPr>
              <w:t>Authority Required (in writing only via post/HPOS upload)</w:t>
            </w:r>
          </w:p>
        </w:tc>
      </w:tr>
      <w:tr w:rsidR="00116AFD" w:rsidRPr="00116AFD" w14:paraId="064F183D"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66D6E6" w14:textId="77777777" w:rsidR="00852466" w:rsidRPr="00116AFD" w:rsidRDefault="00852466">
            <w:pPr>
              <w:keepLines/>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14:ligatures w14:val="standardContextual"/>
              </w:rPr>
              <w:t xml:space="preserve">Episodicity: </w:t>
            </w:r>
            <w:r w:rsidRPr="00116AFD">
              <w:rPr>
                <w:rFonts w:ascii="Arial Narrow" w:hAnsi="Arial Narrow"/>
                <w:i/>
                <w:iCs/>
                <w:sz w:val="20"/>
                <w:szCs w:val="20"/>
                <w14:ligatures w14:val="standardContextual"/>
              </w:rPr>
              <w:t>[blank]</w:t>
            </w:r>
          </w:p>
        </w:tc>
      </w:tr>
      <w:tr w:rsidR="00116AFD" w:rsidRPr="00116AFD" w14:paraId="72150345"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61981B" w14:textId="77777777" w:rsidR="00852466" w:rsidRPr="00116AFD" w:rsidRDefault="00852466">
            <w:pPr>
              <w:keepLines/>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14:ligatures w14:val="standardContextual"/>
              </w:rPr>
              <w:t xml:space="preserve">Severity: </w:t>
            </w:r>
            <w:r w:rsidRPr="00116AFD">
              <w:rPr>
                <w:rFonts w:ascii="Arial Narrow" w:hAnsi="Arial Narrow"/>
                <w:i/>
                <w:iCs/>
                <w:sz w:val="20"/>
                <w:szCs w:val="20"/>
                <w14:ligatures w14:val="standardContextual"/>
              </w:rPr>
              <w:t>[blank]</w:t>
            </w:r>
          </w:p>
        </w:tc>
      </w:tr>
      <w:tr w:rsidR="00116AFD" w:rsidRPr="00116AFD" w14:paraId="3B54C8D9"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2B6880" w14:textId="77777777" w:rsidR="00852466" w:rsidRPr="00116AFD" w:rsidRDefault="00852466">
            <w:pPr>
              <w:keepLines/>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14:ligatures w14:val="standardContextual"/>
              </w:rPr>
              <w:t xml:space="preserve">Condition: </w:t>
            </w:r>
            <w:r w:rsidRPr="00116AFD">
              <w:rPr>
                <w:rFonts w:ascii="Arial Narrow" w:hAnsi="Arial Narrow"/>
                <w:i/>
                <w:iCs/>
                <w:sz w:val="20"/>
                <w:szCs w:val="20"/>
                <w14:ligatures w14:val="standardContextual"/>
              </w:rPr>
              <w:t>Enthesitis/spondylitis related juvenile idiopathic arthritis</w:t>
            </w:r>
          </w:p>
        </w:tc>
      </w:tr>
      <w:tr w:rsidR="00116AFD" w:rsidRPr="00116AFD" w14:paraId="19A3FF1E"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A9F836" w14:textId="77777777" w:rsidR="00852466" w:rsidRPr="00116AFD" w:rsidRDefault="00852466">
            <w:pPr>
              <w:keepLines/>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Indication:</w:t>
            </w:r>
            <w:r w:rsidRPr="00116AFD">
              <w:rPr>
                <w:rFonts w:ascii="Arial Narrow" w:hAnsi="Arial Narrow"/>
                <w:i/>
                <w:iCs/>
                <w:sz w:val="20"/>
                <w:szCs w:val="20"/>
                <w:lang w:eastAsia="en-US"/>
                <w14:ligatures w14:val="standardContextual"/>
              </w:rPr>
              <w:t xml:space="preserve"> Enthesitis/spondylitis related juvenile idiopathic arthritis</w:t>
            </w:r>
          </w:p>
        </w:tc>
      </w:tr>
      <w:tr w:rsidR="00116AFD" w:rsidRPr="00116AFD" w14:paraId="77F145D3"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7EF106"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Treatment Phase:</w:t>
            </w:r>
            <w:r w:rsidRPr="00116AFD">
              <w:rPr>
                <w:rFonts w:ascii="Arial Narrow" w:hAnsi="Arial Narrow"/>
                <w:i/>
                <w:iCs/>
                <w:sz w:val="20"/>
                <w:szCs w:val="20"/>
                <w:lang w:eastAsia="en-US"/>
                <w14:ligatures w14:val="standardContextual"/>
              </w:rPr>
              <w:t xml:space="preserve"> Transitioning from non-PBS to PBS-subsidised treatment - Grandfather arrangements</w:t>
            </w:r>
          </w:p>
        </w:tc>
      </w:tr>
      <w:tr w:rsidR="00116AFD" w:rsidRPr="00116AFD" w14:paraId="5D7A0172"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1096E6" w14:textId="77777777" w:rsidR="00852466" w:rsidRPr="00116AFD" w:rsidRDefault="00852466">
            <w:pPr>
              <w:spacing w:line="256" w:lineRule="auto"/>
              <w:jc w:val="left"/>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Clinical criteria:</w:t>
            </w:r>
          </w:p>
        </w:tc>
      </w:tr>
      <w:tr w:rsidR="00116AFD" w:rsidRPr="00116AFD" w14:paraId="1DB02303"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6510D" w14:textId="77777777" w:rsidR="00852466" w:rsidRPr="00116AFD" w:rsidRDefault="00852466">
            <w:pPr>
              <w:spacing w:line="256" w:lineRule="auto"/>
              <w:jc w:val="left"/>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Patient must have received non-PBS-subsidised treatment with this drug for this PBS indication prior to [PBS listing date]. </w:t>
            </w:r>
          </w:p>
        </w:tc>
      </w:tr>
      <w:tr w:rsidR="00116AFD" w:rsidRPr="00116AFD" w14:paraId="59568DD8"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3BE1EA" w14:textId="77777777" w:rsidR="00852466" w:rsidRPr="00116AFD" w:rsidRDefault="00852466">
            <w:pPr>
              <w:spacing w:line="256" w:lineRule="auto"/>
              <w:jc w:val="left"/>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AND</w:t>
            </w:r>
          </w:p>
        </w:tc>
      </w:tr>
      <w:tr w:rsidR="00116AFD" w:rsidRPr="00116AFD" w14:paraId="733F0331"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8C8E61" w14:textId="77777777" w:rsidR="00852466" w:rsidRPr="00116AFD" w:rsidRDefault="00852466">
            <w:pPr>
              <w:spacing w:line="256" w:lineRule="auto"/>
              <w:jc w:val="left"/>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Clinical criteria:</w:t>
            </w:r>
          </w:p>
        </w:tc>
      </w:tr>
      <w:tr w:rsidR="00116AFD" w:rsidRPr="00116AFD" w14:paraId="3137B8E5"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6A547A" w14:textId="77777777" w:rsidR="00852466" w:rsidRPr="00116AFD" w:rsidRDefault="00852466">
            <w:pPr>
              <w:spacing w:line="256" w:lineRule="auto"/>
              <w:jc w:val="left"/>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Patient must have, prior to initiating treatment with this drug for this condition,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w:t>
            </w:r>
            <w:proofErr w:type="spellStart"/>
            <w:r w:rsidRPr="00116AFD">
              <w:rPr>
                <w:rFonts w:ascii="Arial Narrow" w:hAnsi="Arial Narrow"/>
                <w:i/>
                <w:iCs/>
                <w:sz w:val="20"/>
                <w:szCs w:val="20"/>
                <w:lang w:eastAsia="en-US"/>
                <w14:ligatures w14:val="standardContextual"/>
              </w:rPr>
              <w:t>spondyloarthritis</w:t>
            </w:r>
            <w:proofErr w:type="spellEnd"/>
            <w:r w:rsidRPr="00116AFD">
              <w:rPr>
                <w:rFonts w:ascii="Arial Narrow" w:hAnsi="Arial Narrow"/>
                <w:i/>
                <w:iCs/>
                <w:sz w:val="20"/>
                <w:szCs w:val="20"/>
                <w:lang w:eastAsia="en-US"/>
                <w14:ligatures w14:val="standardContextual"/>
              </w:rPr>
              <w:t xml:space="preserve"> in a first-degree relative</w:t>
            </w:r>
          </w:p>
        </w:tc>
      </w:tr>
      <w:tr w:rsidR="00116AFD" w:rsidRPr="00116AFD" w14:paraId="068CB0BC"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BCE43C"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AND</w:t>
            </w:r>
          </w:p>
        </w:tc>
      </w:tr>
      <w:tr w:rsidR="00116AFD" w:rsidRPr="00116AFD" w14:paraId="5D4FC76B"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64D517"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Clinical criteria:</w:t>
            </w:r>
          </w:p>
        </w:tc>
      </w:tr>
      <w:tr w:rsidR="00116AFD" w:rsidRPr="00116AFD" w14:paraId="62D438DD"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A23B92"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Patient must have, prior to initiating treatment with this drug for this condition,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116AFD" w:rsidRPr="00116AFD" w14:paraId="5C3645AA"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96548D"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Patient must have, prior to initiating treatment with this drug for this condition,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p>
        </w:tc>
      </w:tr>
      <w:tr w:rsidR="00116AFD" w:rsidRPr="00116AFD" w14:paraId="1EAC5F32"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1B7D8D"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AND</w:t>
            </w:r>
          </w:p>
        </w:tc>
      </w:tr>
      <w:tr w:rsidR="00116AFD" w:rsidRPr="00116AFD" w14:paraId="291E0A8C"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CCB3E4"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Clinical criteria:</w:t>
            </w:r>
          </w:p>
        </w:tc>
      </w:tr>
      <w:tr w:rsidR="00116AFD" w:rsidRPr="00116AFD" w14:paraId="627DC0C6"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8752BD"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Patient must have demonstrated an adequate response to treatment with this drug. </w:t>
            </w:r>
          </w:p>
        </w:tc>
      </w:tr>
      <w:tr w:rsidR="00116AFD" w:rsidRPr="00116AFD" w14:paraId="38010F3C"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595AE7"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AND</w:t>
            </w:r>
          </w:p>
        </w:tc>
      </w:tr>
      <w:tr w:rsidR="00116AFD" w:rsidRPr="00116AFD" w14:paraId="1EF222E7"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B236EF"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Clinical criteria:</w:t>
            </w:r>
          </w:p>
        </w:tc>
      </w:tr>
      <w:tr w:rsidR="00116AFD" w:rsidRPr="00116AFD" w14:paraId="6FEAA374"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31B49C"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Patient must not receive more than 24 weeks of treatment under this restriction.</w:t>
            </w:r>
          </w:p>
        </w:tc>
      </w:tr>
      <w:tr w:rsidR="00116AFD" w:rsidRPr="00116AFD" w14:paraId="2CF60584"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8D90BB" w14:textId="77777777" w:rsidR="00852466" w:rsidRPr="00116AFD" w:rsidRDefault="00852466">
            <w:pPr>
              <w:keepNext/>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Treatment criteria:</w:t>
            </w:r>
          </w:p>
        </w:tc>
      </w:tr>
      <w:tr w:rsidR="00116AFD" w:rsidRPr="00116AFD" w14:paraId="73FDF2FF"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3E598A" w14:textId="77777777" w:rsidR="00852466" w:rsidRPr="00116AFD" w:rsidRDefault="00852466">
            <w:pPr>
              <w:autoSpaceDE w:val="0"/>
              <w:autoSpaceDN w:val="0"/>
              <w:adjustRightInd w:val="0"/>
              <w:spacing w:line="256" w:lineRule="auto"/>
              <w:jc w:val="left"/>
              <w:rPr>
                <w:rFonts w:ascii="Arial Narrow" w:hAnsi="Arial Narrow" w:cs="Arial Narrow"/>
                <w:i/>
                <w:iCs/>
                <w:sz w:val="20"/>
                <w:szCs w:val="20"/>
                <w:lang w:eastAsia="en-US"/>
                <w14:ligatures w14:val="standardContextual"/>
              </w:rPr>
            </w:pPr>
            <w:r w:rsidRPr="00116AFD">
              <w:rPr>
                <w:rFonts w:ascii="Arial Narrow" w:hAnsi="Arial Narrow" w:cs="Arial Narrow"/>
                <w:i/>
                <w:iCs/>
                <w:sz w:val="20"/>
                <w:szCs w:val="20"/>
                <w:lang w:eastAsia="en-US"/>
                <w14:ligatures w14:val="standardContextual"/>
              </w:rPr>
              <w:t>Must be treated by a paediatric rheumatologist; or</w:t>
            </w:r>
          </w:p>
        </w:tc>
      </w:tr>
      <w:tr w:rsidR="00116AFD" w:rsidRPr="00116AFD" w14:paraId="33F25D2E"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60282E" w14:textId="77777777" w:rsidR="00852466" w:rsidRPr="00116AFD" w:rsidRDefault="00852466">
            <w:pPr>
              <w:autoSpaceDE w:val="0"/>
              <w:autoSpaceDN w:val="0"/>
              <w:adjustRightInd w:val="0"/>
              <w:spacing w:line="256" w:lineRule="auto"/>
              <w:jc w:val="left"/>
              <w:rPr>
                <w:rFonts w:ascii="Arial Narrow" w:hAnsi="Arial Narrow" w:cs="Arial Narrow"/>
                <w:i/>
                <w:iCs/>
                <w:sz w:val="20"/>
                <w:szCs w:val="20"/>
                <w:lang w:eastAsia="en-US"/>
                <w14:ligatures w14:val="standardContextual"/>
              </w:rPr>
            </w:pPr>
            <w:r w:rsidRPr="00116AFD">
              <w:rPr>
                <w:rFonts w:ascii="Arial Narrow" w:hAnsi="Arial Narrow" w:cs="Arial Narrow"/>
                <w:i/>
                <w:iCs/>
                <w:sz w:val="20"/>
                <w:szCs w:val="20"/>
                <w:lang w:eastAsia="en-US"/>
                <w14:ligatures w14:val="standardContextual"/>
              </w:rPr>
              <w:t>Must be treated by a rheumatologist; or</w:t>
            </w:r>
          </w:p>
        </w:tc>
      </w:tr>
      <w:tr w:rsidR="00116AFD" w:rsidRPr="00116AFD" w14:paraId="786AD56E"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ED79E9" w14:textId="77777777" w:rsidR="00852466" w:rsidRPr="00116AFD" w:rsidRDefault="00852466">
            <w:pPr>
              <w:autoSpaceDE w:val="0"/>
              <w:autoSpaceDN w:val="0"/>
              <w:adjustRightInd w:val="0"/>
              <w:spacing w:line="256" w:lineRule="auto"/>
              <w:rPr>
                <w:rFonts w:ascii="Arial Narrow" w:hAnsi="Arial Narrow" w:cs="Arial Narrow"/>
                <w:i/>
                <w:iCs/>
                <w:sz w:val="20"/>
                <w:szCs w:val="20"/>
                <w:lang w:eastAsia="en-US"/>
                <w14:ligatures w14:val="standardContextual"/>
              </w:rPr>
            </w:pPr>
            <w:r w:rsidRPr="00116AFD">
              <w:rPr>
                <w:rFonts w:ascii="Arial Narrow" w:hAnsi="Arial Narrow" w:cs="Arial Narrow"/>
                <w:i/>
                <w:iCs/>
                <w:sz w:val="20"/>
                <w:szCs w:val="20"/>
                <w:lang w:eastAsia="en-US"/>
                <w14:ligatures w14:val="standardContextual"/>
              </w:rPr>
              <w:t>Patient must be undergoing treatment under the supervision of a paediatric rheumatology treatment centre</w:t>
            </w:r>
          </w:p>
        </w:tc>
      </w:tr>
      <w:tr w:rsidR="00116AFD" w:rsidRPr="00116AFD" w14:paraId="28AD0487"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8ACB7B"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
                <w:bCs/>
                <w:i/>
                <w:iCs/>
                <w:sz w:val="20"/>
                <w:szCs w:val="20"/>
                <w:lang w:eastAsia="en-US"/>
                <w14:ligatures w14:val="standardContextual"/>
              </w:rPr>
              <w:t>Population criteria:</w:t>
            </w:r>
          </w:p>
        </w:tc>
      </w:tr>
      <w:tr w:rsidR="00116AFD" w:rsidRPr="00116AFD" w14:paraId="0436D776"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937687" w14:textId="77777777" w:rsidR="00852466" w:rsidRPr="00116AFD" w:rsidRDefault="00852466">
            <w:pPr>
              <w:spacing w:line="256" w:lineRule="auto"/>
              <w:jc w:val="left"/>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Patient must be under 18 years of age prior to commencement of this drug for this condition</w:t>
            </w:r>
          </w:p>
        </w:tc>
      </w:tr>
      <w:tr w:rsidR="00116AFD" w:rsidRPr="00116AFD" w14:paraId="0420C71B"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F4891B"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2E3CB656"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The application must include details of the NSAIDs trialled, their doses and duration of treatment.</w:t>
            </w:r>
          </w:p>
          <w:p w14:paraId="6A2BDFCD" w14:textId="77777777" w:rsidR="00852466" w:rsidRPr="00116AFD" w:rsidRDefault="00852466">
            <w:pPr>
              <w:spacing w:line="256" w:lineRule="auto"/>
              <w:rPr>
                <w:rFonts w:ascii="Arial Narrow" w:hAnsi="Arial Narrow"/>
                <w:i/>
                <w:iCs/>
                <w:sz w:val="20"/>
                <w:szCs w:val="20"/>
                <w:lang w:eastAsia="en-US"/>
                <w14:ligatures w14:val="standardContextual"/>
              </w:rPr>
            </w:pPr>
          </w:p>
          <w:p w14:paraId="30359E28"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If the NSAID dose is less than the maximum recommended dose in the relevant TGA-approved Product Information, the application must include the reason a higher dose cannot be used.</w:t>
            </w:r>
          </w:p>
          <w:p w14:paraId="1401207A" w14:textId="77777777" w:rsidR="00852466" w:rsidRPr="00116AFD" w:rsidRDefault="00852466">
            <w:pPr>
              <w:spacing w:line="256" w:lineRule="auto"/>
              <w:rPr>
                <w:rFonts w:ascii="Arial Narrow" w:hAnsi="Arial Narrow"/>
                <w:i/>
                <w:iCs/>
                <w:sz w:val="20"/>
                <w:szCs w:val="20"/>
                <w:lang w:eastAsia="en-US"/>
                <w14:ligatures w14:val="standardContextual"/>
              </w:rPr>
            </w:pPr>
          </w:p>
          <w:p w14:paraId="0A47A7C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If treatment with NSAIDs is contraindicated according to the relevant TGA-approved Product Information, the application must provide details of the contraindication.</w:t>
            </w:r>
          </w:p>
          <w:p w14:paraId="79FC9E16" w14:textId="77777777" w:rsidR="00852466" w:rsidRPr="00116AFD" w:rsidRDefault="00852466">
            <w:pPr>
              <w:spacing w:line="256" w:lineRule="auto"/>
              <w:rPr>
                <w:rFonts w:ascii="Arial Narrow" w:hAnsi="Arial Narrow"/>
                <w:i/>
                <w:iCs/>
                <w:sz w:val="20"/>
                <w:szCs w:val="20"/>
                <w:lang w:eastAsia="en-US"/>
                <w14:ligatures w14:val="standardContextual"/>
              </w:rPr>
            </w:pPr>
          </w:p>
          <w:p w14:paraId="6B49AA8D"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If intolerance to NSAID treatment develops during the relevant period of use which is of a severity to necessitate permanent treatment withdrawal, the application must provide details of the nature and severity of this intolerance.</w:t>
            </w:r>
          </w:p>
        </w:tc>
      </w:tr>
      <w:tr w:rsidR="00116AFD" w:rsidRPr="00116AFD" w14:paraId="5B355669"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830F3A"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56EC1BA8"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The following criteria indicate failure to achieve an adequate response and must be demonstrated at the time of the initial application:</w:t>
            </w:r>
          </w:p>
          <w:p w14:paraId="3AEDD1FA" w14:textId="77777777" w:rsidR="00852466" w:rsidRPr="00116AFD" w:rsidRDefault="00852466">
            <w:pPr>
              <w:spacing w:line="256" w:lineRule="auto"/>
              <w:rPr>
                <w:rFonts w:ascii="Arial Narrow" w:hAnsi="Arial Narrow"/>
                <w:i/>
                <w:iCs/>
                <w:sz w:val="20"/>
                <w:szCs w:val="20"/>
                <w:lang w:eastAsia="en-US"/>
                <w14:ligatures w14:val="standardContextual"/>
              </w:rPr>
            </w:pPr>
          </w:p>
          <w:p w14:paraId="509D2468"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(a) a Juvenile </w:t>
            </w:r>
            <w:proofErr w:type="spellStart"/>
            <w:r w:rsidRPr="00116AFD">
              <w:rPr>
                <w:rFonts w:ascii="Arial Narrow" w:hAnsi="Arial Narrow"/>
                <w:i/>
                <w:iCs/>
                <w:sz w:val="20"/>
                <w:szCs w:val="20"/>
                <w:lang w:eastAsia="en-US"/>
                <w14:ligatures w14:val="standardContextual"/>
              </w:rPr>
              <w:t>Spondyloarthritis</w:t>
            </w:r>
            <w:proofErr w:type="spellEnd"/>
            <w:r w:rsidRPr="00116AFD">
              <w:rPr>
                <w:rFonts w:ascii="Arial Narrow" w:hAnsi="Arial Narrow"/>
                <w:i/>
                <w:iCs/>
                <w:sz w:val="20"/>
                <w:szCs w:val="20"/>
                <w:lang w:eastAsia="en-US"/>
                <w14:ligatures w14:val="standardContextual"/>
              </w:rPr>
              <w:t xml:space="preserve"> Disease Activity Index score greater than 2; or</w:t>
            </w:r>
          </w:p>
          <w:p w14:paraId="378A99A6"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(b) Persistent symptoms of axial spondylitis or sacroiliitis with prior confirmatory Magnetic Resonance Imaging (MRI) assessed by a clinician experienced with juvenile spondyloarthropathy.</w:t>
            </w:r>
          </w:p>
        </w:tc>
      </w:tr>
      <w:tr w:rsidR="00116AFD" w:rsidRPr="00116AFD" w14:paraId="216BA1EB"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40E392"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5C672151"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The authority application must be made in writing and must include:</w:t>
            </w:r>
          </w:p>
          <w:p w14:paraId="7B7612FD" w14:textId="77777777" w:rsidR="00852466" w:rsidRPr="00116AFD" w:rsidRDefault="00852466">
            <w:pPr>
              <w:spacing w:line="256" w:lineRule="auto"/>
              <w:rPr>
                <w:rFonts w:ascii="Arial Narrow" w:hAnsi="Arial Narrow"/>
                <w:i/>
                <w:iCs/>
                <w:sz w:val="20"/>
                <w:szCs w:val="20"/>
                <w:lang w:eastAsia="en-US"/>
                <w14:ligatures w14:val="standardContextual"/>
              </w:rPr>
            </w:pPr>
          </w:p>
          <w:p w14:paraId="7BC369B2"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(1) details of the proposed prescription; and</w:t>
            </w:r>
          </w:p>
          <w:p w14:paraId="12BAC030"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(2) a completed authority application form relevant to the indication and treatment phase (the latest version is located on the website specified in the Administrative Advice).</w:t>
            </w:r>
          </w:p>
        </w:tc>
      </w:tr>
      <w:tr w:rsidR="00116AFD" w:rsidRPr="00116AFD" w14:paraId="762272A2"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2F7BDA"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6DAF3EF9"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The following must be provided at the time of application and documented in the patient's medical records:</w:t>
            </w:r>
          </w:p>
          <w:p w14:paraId="770FBC0F" w14:textId="77777777" w:rsidR="00852466" w:rsidRPr="00116AFD" w:rsidRDefault="00852466">
            <w:pPr>
              <w:spacing w:line="256" w:lineRule="auto"/>
              <w:rPr>
                <w:rFonts w:ascii="Arial Narrow" w:hAnsi="Arial Narrow"/>
                <w:i/>
                <w:iCs/>
                <w:sz w:val="20"/>
                <w:szCs w:val="20"/>
                <w:lang w:eastAsia="en-US"/>
                <w14:ligatures w14:val="standardContextual"/>
              </w:rPr>
            </w:pPr>
          </w:p>
          <w:p w14:paraId="31AE70F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(i) a baseline Juvenile </w:t>
            </w:r>
            <w:proofErr w:type="spellStart"/>
            <w:r w:rsidRPr="00116AFD">
              <w:rPr>
                <w:rFonts w:ascii="Arial Narrow" w:hAnsi="Arial Narrow"/>
                <w:i/>
                <w:iCs/>
                <w:sz w:val="20"/>
                <w:szCs w:val="20"/>
                <w:lang w:eastAsia="en-US"/>
                <w14:ligatures w14:val="standardContextual"/>
              </w:rPr>
              <w:t>Spondyloarthritis</w:t>
            </w:r>
            <w:proofErr w:type="spellEnd"/>
            <w:r w:rsidRPr="00116AFD">
              <w:rPr>
                <w:rFonts w:ascii="Arial Narrow" w:hAnsi="Arial Narrow"/>
                <w:i/>
                <w:iCs/>
                <w:sz w:val="20"/>
                <w:szCs w:val="20"/>
                <w:lang w:eastAsia="en-US"/>
                <w14:ligatures w14:val="standardContextual"/>
              </w:rPr>
              <w:t xml:space="preserve"> Disease Activity Index score;</w:t>
            </w:r>
          </w:p>
          <w:p w14:paraId="0C310575" w14:textId="77777777" w:rsidR="00852466" w:rsidRPr="00116AFD" w:rsidRDefault="00852466">
            <w:pPr>
              <w:spacing w:line="256" w:lineRule="auto"/>
              <w:rPr>
                <w:rFonts w:ascii="Arial Narrow" w:hAnsi="Arial Narrow"/>
                <w:i/>
                <w:iCs/>
                <w:sz w:val="20"/>
                <w:szCs w:val="20"/>
                <w:lang w:eastAsia="en-US"/>
                <w14:ligatures w14:val="standardContextual"/>
              </w:rPr>
            </w:pPr>
          </w:p>
          <w:p w14:paraId="4FAB1CC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14:ligatures w14:val="standardContextual"/>
              </w:rPr>
              <w:t xml:space="preserve">(ii) the current Juvenile </w:t>
            </w:r>
            <w:proofErr w:type="spellStart"/>
            <w:r w:rsidRPr="00116AFD">
              <w:rPr>
                <w:rFonts w:ascii="Arial Narrow" w:hAnsi="Arial Narrow"/>
                <w:i/>
                <w:iCs/>
                <w:sz w:val="20"/>
                <w:szCs w:val="20"/>
                <w14:ligatures w14:val="standardContextual"/>
              </w:rPr>
              <w:t>Spondyloarthritis</w:t>
            </w:r>
            <w:proofErr w:type="spellEnd"/>
            <w:r w:rsidRPr="00116AFD">
              <w:rPr>
                <w:rFonts w:ascii="Arial Narrow" w:hAnsi="Arial Narrow"/>
                <w:i/>
                <w:iCs/>
                <w:sz w:val="20"/>
                <w:szCs w:val="20"/>
                <w14:ligatures w14:val="standardContextual"/>
              </w:rPr>
              <w:t xml:space="preserve"> Disease Activity Index score;</w:t>
            </w:r>
          </w:p>
          <w:p w14:paraId="727C4F91" w14:textId="77777777" w:rsidR="00852466" w:rsidRPr="00116AFD" w:rsidRDefault="00852466">
            <w:pPr>
              <w:spacing w:line="256" w:lineRule="auto"/>
              <w:rPr>
                <w:rFonts w:ascii="Arial Narrow" w:hAnsi="Arial Narrow"/>
                <w:i/>
                <w:iCs/>
                <w:sz w:val="20"/>
                <w:szCs w:val="20"/>
                <w:lang w:eastAsia="en-US"/>
                <w14:ligatures w14:val="standardContextual"/>
              </w:rPr>
            </w:pPr>
          </w:p>
          <w:p w14:paraId="260553E1"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(iii) If applicable, details (name of the report provider, date of the report and unique identifying number/code that links report to the individual patient) of the magnetic resonance imaging demonstrating inflammatory spondylitis or sacroiliitis; and</w:t>
            </w:r>
          </w:p>
          <w:p w14:paraId="356FAF4A" w14:textId="77777777" w:rsidR="00852466" w:rsidRPr="00116AFD" w:rsidRDefault="00852466">
            <w:pPr>
              <w:spacing w:line="256" w:lineRule="auto"/>
              <w:rPr>
                <w:rFonts w:ascii="Arial Narrow" w:hAnsi="Arial Narrow"/>
                <w:i/>
                <w:iCs/>
                <w:sz w:val="20"/>
                <w:szCs w:val="20"/>
                <w:lang w:eastAsia="en-US"/>
                <w14:ligatures w14:val="standardContextual"/>
              </w:rPr>
            </w:pPr>
          </w:p>
          <w:p w14:paraId="18A4677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(iv) If applicable, details (name of the report provider, date of the report and unique identifying number/code that links report to the individual patient) demonstrating the presence of HLA-B27. </w:t>
            </w:r>
          </w:p>
        </w:tc>
      </w:tr>
      <w:tr w:rsidR="00116AFD" w:rsidRPr="00116AFD" w14:paraId="58661D9F"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949D5A"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3A6539C5"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An adequate response is defined as an improvement from baseline in the Juvenile </w:t>
            </w:r>
            <w:proofErr w:type="spellStart"/>
            <w:r w:rsidRPr="00116AFD">
              <w:rPr>
                <w:rFonts w:ascii="Arial Narrow" w:hAnsi="Arial Narrow"/>
                <w:i/>
                <w:iCs/>
                <w:sz w:val="20"/>
                <w:szCs w:val="20"/>
                <w:lang w:eastAsia="en-US"/>
                <w14:ligatures w14:val="standardContextual"/>
              </w:rPr>
              <w:t>Spondyloarthritis</w:t>
            </w:r>
            <w:proofErr w:type="spellEnd"/>
            <w:r w:rsidRPr="00116AFD">
              <w:rPr>
                <w:rFonts w:ascii="Arial Narrow" w:hAnsi="Arial Narrow"/>
                <w:i/>
                <w:iCs/>
                <w:sz w:val="20"/>
                <w:szCs w:val="20"/>
                <w:lang w:eastAsia="en-US"/>
                <w14:ligatures w14:val="standardContextual"/>
              </w:rPr>
              <w:t xml:space="preserve"> Disease Activity Index score by at least 30%.</w:t>
            </w:r>
          </w:p>
        </w:tc>
      </w:tr>
      <w:tr w:rsidR="00116AFD" w:rsidRPr="00116AFD" w14:paraId="177F6A93"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8B3B8B"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58783B15"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i/>
                <w:iCs/>
                <w:sz w:val="20"/>
                <w:szCs w:val="20"/>
                <w:lang w:eastAsia="en-US"/>
                <w14:ligatures w14:val="standardContextual"/>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116AFD" w:rsidRPr="00116AFD" w14:paraId="5B5FD966"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2849FE"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3AAB5EC7"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Where a response assessment is not conducted within these timeframes, the patient will be deemed to have failed to respond to treatment with this drug.</w:t>
            </w:r>
          </w:p>
        </w:tc>
      </w:tr>
      <w:tr w:rsidR="00116AFD" w:rsidRPr="00116AFD" w14:paraId="052749F0"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24077C"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Prescribing Instructions:</w:t>
            </w:r>
          </w:p>
          <w:p w14:paraId="0C3FC2F8"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 xml:space="preserve">If a patient fails to demonstrate a response to treatment with this </w:t>
            </w:r>
            <w:proofErr w:type="gramStart"/>
            <w:r w:rsidRPr="00116AFD">
              <w:rPr>
                <w:rFonts w:ascii="Arial Narrow" w:hAnsi="Arial Narrow"/>
                <w:i/>
                <w:iCs/>
                <w:sz w:val="20"/>
                <w:szCs w:val="20"/>
                <w:lang w:eastAsia="en-US"/>
                <w14:ligatures w14:val="standardContextual"/>
              </w:rPr>
              <w:t>drug</w:t>
            </w:r>
            <w:proofErr w:type="gramEnd"/>
            <w:r w:rsidRPr="00116AFD">
              <w:rPr>
                <w:rFonts w:ascii="Arial Narrow" w:hAnsi="Arial Narrow"/>
                <w:i/>
                <w:iCs/>
                <w:sz w:val="20"/>
                <w:szCs w:val="20"/>
                <w:lang w:eastAsia="en-US"/>
                <w14:ligatures w14:val="standardContextual"/>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116AFD" w:rsidRPr="00116AFD" w14:paraId="5970FC8C"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4C253F"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Administrative Advice:</w:t>
            </w:r>
          </w:p>
          <w:p w14:paraId="373DD068"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bCs/>
                <w:i/>
                <w:iCs/>
                <w:sz w:val="20"/>
                <w:szCs w:val="20"/>
                <w:lang w:eastAsia="en-US"/>
                <w14:ligatures w14:val="standardContextual"/>
              </w:rPr>
              <w:t>Details of the toxicities, including severity, which will be accepted for the purposes of administering this restriction can be found on the Services Australia website at www.servicesaustralia.gov.au</w:t>
            </w:r>
          </w:p>
        </w:tc>
      </w:tr>
      <w:tr w:rsidR="00116AFD" w:rsidRPr="00116AFD" w14:paraId="79EA9964"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956DBC" w14:textId="77777777" w:rsidR="00852466" w:rsidRPr="00116AFD" w:rsidRDefault="00852466">
            <w:pPr>
              <w:spacing w:line="256" w:lineRule="auto"/>
              <w:rPr>
                <w:rFonts w:ascii="Arial Narrow" w:hAnsi="Arial Narrow" w:cs="Open Sans"/>
                <w:b/>
                <w:bCs/>
                <w:i/>
                <w:iCs/>
                <w:sz w:val="20"/>
                <w:szCs w:val="20"/>
                <w:lang w:eastAsia="en-US"/>
                <w14:ligatures w14:val="standardContextual"/>
              </w:rPr>
            </w:pPr>
            <w:r w:rsidRPr="00116AFD">
              <w:rPr>
                <w:rFonts w:ascii="Arial Narrow" w:hAnsi="Arial Narrow" w:cs="Open Sans"/>
                <w:b/>
                <w:bCs/>
                <w:i/>
                <w:iCs/>
                <w:sz w:val="20"/>
                <w:szCs w:val="20"/>
                <w:lang w:eastAsia="en-US"/>
                <w14:ligatures w14:val="standardContextual"/>
              </w:rPr>
              <w:t>Administrative advice:</w:t>
            </w:r>
          </w:p>
          <w:p w14:paraId="259FAE33"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cs="Open Sans"/>
                <w:i/>
                <w:iCs/>
                <w:sz w:val="20"/>
                <w:szCs w:val="20"/>
                <w:lang w:eastAsia="en-US"/>
                <w14:ligatures w14:val="standardContextual"/>
              </w:rPr>
              <w:t>Patients may qualify for PBS-subsidised treatment under this restriction once only. For continuing PBS-subsidised treatment, a 'Grandfathered' patient must qualify under the 'Continuing treatment' criteria.</w:t>
            </w:r>
          </w:p>
        </w:tc>
      </w:tr>
      <w:tr w:rsidR="00116AFD" w:rsidRPr="00116AFD" w14:paraId="02DB2830"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0B7A61" w14:textId="77777777" w:rsidR="00852466" w:rsidRPr="00116AFD" w:rsidRDefault="00852466">
            <w:pPr>
              <w:spacing w:line="256" w:lineRule="auto"/>
              <w:rPr>
                <w:rFonts w:ascii="Arial Narrow" w:hAnsi="Arial Narrow" w:cs="Open Sans"/>
                <w:b/>
                <w:bCs/>
                <w:i/>
                <w:iCs/>
                <w:sz w:val="20"/>
                <w:szCs w:val="20"/>
                <w:lang w:eastAsia="en-US"/>
                <w14:ligatures w14:val="standardContextual"/>
              </w:rPr>
            </w:pPr>
            <w:r w:rsidRPr="00116AFD">
              <w:rPr>
                <w:rFonts w:ascii="Arial Narrow" w:hAnsi="Arial Narrow" w:cs="Open Sans"/>
                <w:b/>
                <w:bCs/>
                <w:i/>
                <w:iCs/>
                <w:sz w:val="20"/>
                <w:szCs w:val="20"/>
                <w:lang w:eastAsia="en-US"/>
                <w14:ligatures w14:val="standardContextual"/>
              </w:rPr>
              <w:t>Administrative advice:</w:t>
            </w:r>
          </w:p>
          <w:p w14:paraId="2B62A831"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cs="Open Sans"/>
                <w:i/>
                <w:iCs/>
                <w:sz w:val="20"/>
                <w:szCs w:val="20"/>
                <w:lang w:eastAsia="en-US"/>
                <w14:ligatures w14:val="standardContextual"/>
              </w:rPr>
              <w:t>This grandfather restriction will cease to operate from 12 months after the date specified in the clinical criteria.</w:t>
            </w:r>
          </w:p>
        </w:tc>
      </w:tr>
      <w:tr w:rsidR="00116AFD" w:rsidRPr="00116AFD" w14:paraId="5B34938F"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A15862"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Administrative Advice:</w:t>
            </w:r>
          </w:p>
          <w:p w14:paraId="44C8821E" w14:textId="77777777" w:rsidR="00852466" w:rsidRPr="00116AFD" w:rsidRDefault="00852466">
            <w:pPr>
              <w:spacing w:line="256" w:lineRule="auto"/>
              <w:rPr>
                <w:rFonts w:ascii="Arial Narrow" w:hAnsi="Arial Narrow"/>
                <w:bCs/>
                <w:i/>
                <w:iCs/>
                <w:sz w:val="20"/>
                <w:szCs w:val="20"/>
                <w:lang w:eastAsia="en-US"/>
                <w14:ligatures w14:val="standardContextual"/>
              </w:rPr>
            </w:pPr>
            <w:r w:rsidRPr="00116AFD">
              <w:rPr>
                <w:rFonts w:ascii="Arial Narrow" w:hAnsi="Arial Narrow"/>
                <w:bCs/>
                <w:i/>
                <w:iCs/>
                <w:sz w:val="20"/>
                <w:szCs w:val="20"/>
                <w:lang w:eastAsia="en-US"/>
                <w14:ligatures w14:val="standardContextual"/>
              </w:rPr>
              <w:t>For details on the appropriate minimum exercise program that will be accepted for the purposes of administering this restriction, please refer to the Services Australia website at www.servicesaustralia.gov.au</w:t>
            </w:r>
          </w:p>
        </w:tc>
      </w:tr>
      <w:tr w:rsidR="00116AFD" w:rsidRPr="00116AFD" w14:paraId="7F096C4F" w14:textId="7777777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0DCCEA"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b/>
                <w:bCs/>
                <w:i/>
                <w:iCs/>
                <w:sz w:val="20"/>
                <w:szCs w:val="20"/>
                <w:lang w:eastAsia="en-US"/>
                <w14:ligatures w14:val="standardContextual"/>
              </w:rPr>
              <w:t>Administrative Advice:</w:t>
            </w:r>
          </w:p>
          <w:p w14:paraId="2B7AD911"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Any queries concerning the arrangements to prescribe may be directed to Services Australia on 1800 700 270 (hours of operation 8 a.m. to 5 p.m. Monday to Friday).</w:t>
            </w:r>
          </w:p>
          <w:p w14:paraId="22E63386" w14:textId="77777777" w:rsidR="00852466" w:rsidRPr="00116AFD" w:rsidRDefault="00852466">
            <w:pPr>
              <w:spacing w:line="256" w:lineRule="auto"/>
              <w:rPr>
                <w:rFonts w:ascii="Arial Narrow" w:hAnsi="Arial Narrow"/>
                <w:i/>
                <w:iCs/>
                <w:sz w:val="20"/>
                <w:szCs w:val="20"/>
                <w:lang w:eastAsia="en-US"/>
                <w14:ligatures w14:val="standardContextual"/>
              </w:rPr>
            </w:pPr>
          </w:p>
          <w:p w14:paraId="7453670E"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Prescribing information (including Authority Application forms and other relevant documentation as applicable) is available on the Services Australia website at www.servicesaustralia.gov.au</w:t>
            </w:r>
          </w:p>
          <w:p w14:paraId="3EA579F3" w14:textId="77777777" w:rsidR="00852466" w:rsidRPr="00116AFD" w:rsidRDefault="00852466">
            <w:pPr>
              <w:spacing w:line="256" w:lineRule="auto"/>
              <w:rPr>
                <w:rFonts w:ascii="Arial Narrow" w:hAnsi="Arial Narrow"/>
                <w:i/>
                <w:iCs/>
                <w:sz w:val="20"/>
                <w:szCs w:val="20"/>
                <w:lang w:eastAsia="en-US"/>
                <w14:ligatures w14:val="standardContextual"/>
              </w:rPr>
            </w:pPr>
          </w:p>
          <w:p w14:paraId="6D442E79"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Applications for authority to prescribe should be submitted online using the form upload facility in Health Professional Online Services (HPOS) at www.servicesaustralia.gov.au/hpos</w:t>
            </w:r>
          </w:p>
          <w:p w14:paraId="6BB7D7EF" w14:textId="77777777" w:rsidR="00852466" w:rsidRPr="00116AFD" w:rsidRDefault="00852466">
            <w:pPr>
              <w:spacing w:line="256" w:lineRule="auto"/>
              <w:rPr>
                <w:rFonts w:ascii="Arial Narrow" w:hAnsi="Arial Narrow"/>
                <w:i/>
                <w:iCs/>
                <w:sz w:val="20"/>
                <w:szCs w:val="20"/>
                <w:lang w:eastAsia="en-US"/>
                <w14:ligatures w14:val="standardContextual"/>
              </w:rPr>
            </w:pPr>
          </w:p>
          <w:p w14:paraId="06E3CEF5"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Or mailed to:</w:t>
            </w:r>
          </w:p>
          <w:p w14:paraId="6C874C77" w14:textId="77777777" w:rsidR="00852466" w:rsidRPr="00116AFD" w:rsidRDefault="00852466">
            <w:pPr>
              <w:spacing w:line="256" w:lineRule="auto"/>
              <w:rPr>
                <w:rFonts w:ascii="Arial Narrow" w:hAnsi="Arial Narrow"/>
                <w:i/>
                <w:iCs/>
                <w:sz w:val="20"/>
                <w:szCs w:val="20"/>
                <w:lang w:eastAsia="en-US"/>
                <w14:ligatures w14:val="standardContextual"/>
              </w:rPr>
            </w:pPr>
          </w:p>
          <w:p w14:paraId="1D8D6BA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Services Australia</w:t>
            </w:r>
          </w:p>
          <w:p w14:paraId="55682B1A"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Complex Drugs</w:t>
            </w:r>
          </w:p>
          <w:p w14:paraId="184A7630" w14:textId="77777777" w:rsidR="00852466" w:rsidRPr="00116AFD" w:rsidRDefault="00852466">
            <w:pPr>
              <w:spacing w:line="256" w:lineRule="auto"/>
              <w:rPr>
                <w:rFonts w:ascii="Arial Narrow" w:hAnsi="Arial Narrow"/>
                <w:i/>
                <w:iCs/>
                <w:sz w:val="20"/>
                <w:szCs w:val="20"/>
                <w:lang w:eastAsia="en-US"/>
                <w14:ligatures w14:val="standardContextual"/>
              </w:rPr>
            </w:pPr>
            <w:r w:rsidRPr="00116AFD">
              <w:rPr>
                <w:rFonts w:ascii="Arial Narrow" w:hAnsi="Arial Narrow"/>
                <w:i/>
                <w:iCs/>
                <w:sz w:val="20"/>
                <w:szCs w:val="20"/>
                <w:lang w:eastAsia="en-US"/>
                <w14:ligatures w14:val="standardContextual"/>
              </w:rPr>
              <w:t>Reply Paid 9826</w:t>
            </w:r>
          </w:p>
          <w:p w14:paraId="7BA4DEEF" w14:textId="77777777" w:rsidR="00852466" w:rsidRPr="00116AFD" w:rsidRDefault="00852466">
            <w:pPr>
              <w:spacing w:line="256" w:lineRule="auto"/>
              <w:rPr>
                <w:rFonts w:ascii="Arial Narrow" w:hAnsi="Arial Narrow"/>
                <w:b/>
                <w:bCs/>
                <w:i/>
                <w:iCs/>
                <w:sz w:val="20"/>
                <w:szCs w:val="20"/>
                <w:lang w:eastAsia="en-US"/>
                <w14:ligatures w14:val="standardContextual"/>
              </w:rPr>
            </w:pPr>
            <w:r w:rsidRPr="00116AFD">
              <w:rPr>
                <w:rFonts w:ascii="Arial Narrow" w:hAnsi="Arial Narrow"/>
                <w:i/>
                <w:iCs/>
                <w:sz w:val="20"/>
                <w:szCs w:val="20"/>
                <w:lang w:eastAsia="en-US"/>
                <w14:ligatures w14:val="standardContextual"/>
              </w:rPr>
              <w:t>HOBART TAS 7001</w:t>
            </w:r>
          </w:p>
        </w:tc>
      </w:tr>
    </w:tbl>
    <w:p w14:paraId="278D0BB6" w14:textId="77777777" w:rsidR="00852466" w:rsidRDefault="00852466" w:rsidP="00852466">
      <w:pPr>
        <w:pStyle w:val="5-SubsectionSubheading"/>
        <w:spacing w:before="120"/>
      </w:pPr>
      <w:r>
        <w:t>Summary of matters for PBAC consideration – enthesitis/spondylitis related JIA</w:t>
      </w:r>
    </w:p>
    <w:p w14:paraId="69070614" w14:textId="77777777" w:rsidR="00852466" w:rsidRDefault="00852466" w:rsidP="00852466">
      <w:pPr>
        <w:pStyle w:val="3-BodyText"/>
        <w:numPr>
          <w:ilvl w:val="1"/>
          <w:numId w:val="2"/>
        </w:numPr>
        <w:spacing w:before="120"/>
      </w:pPr>
      <w:r>
        <w:t>Based on feedback from clinical groups and clinicians, and PBAC advice from its March 2024 consideration of this item, proposed new listings for adalimumab for the treatment of paediatric patients with enthesitis or spondylitis related to juvenile idiopathic arthritis (ERA) was provided to the PBAC for consideration. The proposed listings incorporate</w:t>
      </w:r>
      <w:r w:rsidRPr="00772EB2">
        <w:t xml:space="preserve"> </w:t>
      </w:r>
      <w:r>
        <w:t>stakeholder input</w:t>
      </w:r>
      <w:r w:rsidRPr="00772EB2">
        <w:t>s and the TGA</w:t>
      </w:r>
      <w:r>
        <w:t>-registered indication for adalimumab.</w:t>
      </w:r>
    </w:p>
    <w:p w14:paraId="4D81199D" w14:textId="77777777" w:rsidR="00852466" w:rsidRDefault="00852466" w:rsidP="00852466">
      <w:pPr>
        <w:pStyle w:val="3-BodyText"/>
        <w:numPr>
          <w:ilvl w:val="1"/>
          <w:numId w:val="2"/>
        </w:numPr>
        <w:spacing w:before="120"/>
      </w:pPr>
      <w:r w:rsidRPr="006E4C63">
        <w:t>T</w:t>
      </w:r>
      <w:r>
        <w:t>h</w:t>
      </w:r>
      <w:r w:rsidRPr="006E4C63">
        <w:t xml:space="preserve">e PBAC </w:t>
      </w:r>
      <w:r>
        <w:t xml:space="preserve">was </w:t>
      </w:r>
      <w:r w:rsidRPr="006E4C63">
        <w:t>asked to consider whether</w:t>
      </w:r>
      <w:r>
        <w:t xml:space="preserve"> the proposed eligibility criteria were suitable, including whether </w:t>
      </w:r>
      <w:r w:rsidRPr="006E4C63">
        <w:t xml:space="preserve">the Juvenile </w:t>
      </w:r>
      <w:proofErr w:type="spellStart"/>
      <w:r w:rsidRPr="006E4C63">
        <w:t>Spondyloarthritis</w:t>
      </w:r>
      <w:proofErr w:type="spellEnd"/>
      <w:r w:rsidRPr="006E4C63">
        <w:t xml:space="preserve"> Disease Activity Index scoring system</w:t>
      </w:r>
      <w:r>
        <w:t xml:space="preserve"> </w:t>
      </w:r>
      <w:r w:rsidRPr="006E4C63">
        <w:t>with a 30% improvement from baseline score</w:t>
      </w:r>
      <w:r>
        <w:t>, as proposed in the clinical advice received,</w:t>
      </w:r>
      <w:r w:rsidRPr="006E4C63">
        <w:t xml:space="preserve"> is an appropriate measure for adequate response to treatment</w:t>
      </w:r>
      <w:r>
        <w:t>.</w:t>
      </w:r>
    </w:p>
    <w:p w14:paraId="6CC06889" w14:textId="77777777" w:rsidR="00852466" w:rsidRDefault="00852466" w:rsidP="00852466">
      <w:pPr>
        <w:pStyle w:val="3-BodyText"/>
        <w:numPr>
          <w:ilvl w:val="1"/>
          <w:numId w:val="2"/>
        </w:numPr>
        <w:spacing w:before="120"/>
      </w:pPr>
      <w:r>
        <w:t xml:space="preserve">Specialist clinical input indicated that it would be </w:t>
      </w:r>
      <w:r w:rsidRPr="00BF3DF2">
        <w:t>unusual to re-try adalimumab if it was not initially effective.</w:t>
      </w:r>
      <w:r>
        <w:t xml:space="preserve"> However, a re-treatment period of 2 years was suggested to account for m</w:t>
      </w:r>
      <w:r w:rsidRPr="00966D7B">
        <w:t xml:space="preserve">ost patients with this subtype of arthritis </w:t>
      </w:r>
      <w:r>
        <w:t>being</w:t>
      </w:r>
      <w:r w:rsidRPr="00966D7B">
        <w:t xml:space="preserve"> diagnosed in adolescence</w:t>
      </w:r>
      <w:r>
        <w:t xml:space="preserve">, and therefore </w:t>
      </w:r>
      <w:r w:rsidRPr="00966D7B">
        <w:t xml:space="preserve">would be over the age of 18 after a 5-year </w:t>
      </w:r>
      <w:r>
        <w:t xml:space="preserve">treatment </w:t>
      </w:r>
      <w:r w:rsidRPr="00966D7B">
        <w:t>gap</w:t>
      </w:r>
      <w:r>
        <w:t xml:space="preserve"> (as specified in the adult listing for ankylosing spondylitis)</w:t>
      </w:r>
      <w:r w:rsidRPr="00966D7B">
        <w:t>.</w:t>
      </w:r>
      <w:r>
        <w:t xml:space="preserve"> A 2-year re-treatment gap would also cater for</w:t>
      </w:r>
      <w:r w:rsidRPr="00966D7B">
        <w:t xml:space="preserve"> patient</w:t>
      </w:r>
      <w:r>
        <w:t>s who</w:t>
      </w:r>
      <w:r w:rsidRPr="00966D7B">
        <w:t xml:space="preserve"> failed to respond</w:t>
      </w:r>
      <w:r>
        <w:t xml:space="preserve"> because</w:t>
      </w:r>
      <w:r w:rsidRPr="00966D7B">
        <w:t xml:space="preserve"> they did not have a reassessment in the required time frame</w:t>
      </w:r>
      <w:r>
        <w:t>.</w:t>
      </w:r>
    </w:p>
    <w:p w14:paraId="2C773B12" w14:textId="77777777" w:rsidR="00852466" w:rsidRDefault="00852466" w:rsidP="00852466">
      <w:pPr>
        <w:pStyle w:val="3-BodyText"/>
        <w:numPr>
          <w:ilvl w:val="1"/>
          <w:numId w:val="2"/>
        </w:numPr>
        <w:spacing w:before="120"/>
      </w:pPr>
      <w:r>
        <w:t xml:space="preserve">The proposed listing allows for patients who commence treatment with adalimumab when under 18 years of age to continue treatment once a patient turns 18 years. However, if a patient fails to demonstrate a response to adalimumab after turning 18, the patient cannot re-trial treatment with adalimumab. Clinical input suggested that these patients may qualify for other bDMARDs under the PBS listings for adult indications such as ankylosing spondylitis or non-radiographic axial </w:t>
      </w:r>
      <w:proofErr w:type="spellStart"/>
      <w:r>
        <w:t>spondyloarthritis</w:t>
      </w:r>
      <w:proofErr w:type="spellEnd"/>
      <w:r>
        <w:t>. Additionally, continued use or re-trial of adalimumab is not expected for patients who have failed treatment with the same medication, given that alternative agents are available.</w:t>
      </w:r>
    </w:p>
    <w:p w14:paraId="7521D935" w14:textId="77777777" w:rsidR="00852466" w:rsidRDefault="00852466" w:rsidP="00852466">
      <w:pPr>
        <w:pStyle w:val="3-BodyText"/>
        <w:numPr>
          <w:ilvl w:val="1"/>
          <w:numId w:val="2"/>
        </w:numPr>
        <w:spacing w:before="120"/>
      </w:pPr>
      <w:r>
        <w:t>Clinical advice suggested that there may be patients currently accessing adalimumab for this condition through private funding or compassionate supply, and asked whether a grandfather restriction would be appropriate  to transition these patients to PBS-subsidised treatment.</w:t>
      </w:r>
    </w:p>
    <w:p w14:paraId="2E96C4E2" w14:textId="77777777" w:rsidR="00852466" w:rsidRPr="00140ABD" w:rsidRDefault="00852466" w:rsidP="00852466">
      <w:pPr>
        <w:pStyle w:val="3Bodytext"/>
        <w:numPr>
          <w:ilvl w:val="0"/>
          <w:numId w:val="0"/>
        </w:numPr>
        <w:ind w:left="720"/>
        <w:rPr>
          <w:i/>
          <w:iCs/>
        </w:rPr>
      </w:pPr>
      <w:r w:rsidRPr="00140ABD">
        <w:rPr>
          <w:i/>
          <w:iCs/>
        </w:rPr>
        <w:t>For more detail on PBAC’s view, see section 1</w:t>
      </w:r>
      <w:r>
        <w:rPr>
          <w:i/>
          <w:iCs/>
        </w:rPr>
        <w:t>6</w:t>
      </w:r>
      <w:r w:rsidRPr="00140ABD">
        <w:rPr>
          <w:i/>
          <w:iCs/>
        </w:rPr>
        <w:t xml:space="preserve"> PBAC outcome.</w:t>
      </w:r>
    </w:p>
    <w:p w14:paraId="690BEB0A" w14:textId="77777777" w:rsidR="00852466" w:rsidRDefault="00852466" w:rsidP="00852466">
      <w:pPr>
        <w:pStyle w:val="2-SectionHeading"/>
        <w:numPr>
          <w:ilvl w:val="0"/>
          <w:numId w:val="2"/>
        </w:numPr>
      </w:pPr>
      <w:r w:rsidRPr="00DD102C">
        <w:t>Financial Estimates</w:t>
      </w:r>
    </w:p>
    <w:p w14:paraId="0944CFC7" w14:textId="77777777" w:rsidR="00852466" w:rsidRDefault="00852466" w:rsidP="00852466">
      <w:pPr>
        <w:pStyle w:val="4-SubsectionHeading"/>
      </w:pPr>
      <w:r>
        <w:t>Ankylosing spondylitis</w:t>
      </w:r>
    </w:p>
    <w:p w14:paraId="2FE3C369" w14:textId="77777777" w:rsidR="00852466" w:rsidRDefault="00852466" w:rsidP="00852466">
      <w:pPr>
        <w:pStyle w:val="3-BodyText"/>
        <w:numPr>
          <w:ilvl w:val="1"/>
          <w:numId w:val="2"/>
        </w:numPr>
        <w:spacing w:before="120"/>
      </w:pPr>
      <w:r>
        <w:t>An epidemiological model was used to estimate the financial impact of listing Humira on the PBS for ERA. The sources of data used in the financial estimates are summarised in Table 9 below. Financial estimates are summarised in Table 10.</w:t>
      </w:r>
    </w:p>
    <w:p w14:paraId="4FCC5CE0" w14:textId="77777777" w:rsidR="00852466" w:rsidRPr="00584248" w:rsidRDefault="00852466" w:rsidP="00852466">
      <w:pPr>
        <w:pStyle w:val="3-BodyText"/>
        <w:numPr>
          <w:ilvl w:val="1"/>
          <w:numId w:val="2"/>
        </w:numPr>
        <w:spacing w:before="120"/>
      </w:pPr>
      <w:r>
        <w:t>An estimate of the national prevalence of ERA was calculated using Victorian patient numbers (from clinical input). The model assumes that the proportion of children with ERA nationally is reflective of the number of children with ERA in the Victorian population.</w:t>
      </w:r>
    </w:p>
    <w:p w14:paraId="6E13CD05" w14:textId="77777777" w:rsidR="00852466" w:rsidRPr="003E73D3" w:rsidRDefault="00852466" w:rsidP="00852466">
      <w:pPr>
        <w:pStyle w:val="TableFigureHeading"/>
      </w:pPr>
      <w:r w:rsidRPr="003E73D3">
        <w:t xml:space="preserve">Table </w:t>
      </w:r>
      <w:r>
        <w:t>9:</w:t>
      </w:r>
      <w:r w:rsidRPr="003E73D3">
        <w:t xml:space="preserve"> Key inputs for financial estimates – Adalimumab – </w:t>
      </w:r>
      <w:r>
        <w:t>a</w:t>
      </w:r>
      <w:r w:rsidRPr="003E73D3">
        <w:t>nkylosing spondylitis</w:t>
      </w:r>
    </w:p>
    <w:tbl>
      <w:tblPr>
        <w:tblStyle w:val="TableGrid"/>
        <w:tblW w:w="0" w:type="auto"/>
        <w:tblLook w:val="04A0" w:firstRow="1" w:lastRow="0" w:firstColumn="1" w:lastColumn="0" w:noHBand="0" w:noVBand="1"/>
        <w:tblCaption w:val="Key inputs for financial estimates – Adalimumab – ankylosing spondylitis"/>
      </w:tblPr>
      <w:tblGrid>
        <w:gridCol w:w="2122"/>
        <w:gridCol w:w="6894"/>
      </w:tblGrid>
      <w:tr w:rsidR="00852466" w14:paraId="32838BD7" w14:textId="77777777">
        <w:tc>
          <w:tcPr>
            <w:tcW w:w="2122" w:type="dxa"/>
          </w:tcPr>
          <w:p w14:paraId="08AD3C3F" w14:textId="77777777" w:rsidR="00852466" w:rsidRPr="00E3305C" w:rsidRDefault="00852466">
            <w:pPr>
              <w:pStyle w:val="In-tableHeading"/>
            </w:pPr>
            <w:r w:rsidRPr="00E3305C">
              <w:t>Parameter</w:t>
            </w:r>
          </w:p>
        </w:tc>
        <w:tc>
          <w:tcPr>
            <w:tcW w:w="6894" w:type="dxa"/>
          </w:tcPr>
          <w:p w14:paraId="78ECE113" w14:textId="77777777" w:rsidR="00852466" w:rsidRPr="00E3305C" w:rsidRDefault="00852466">
            <w:pPr>
              <w:pStyle w:val="In-tableHeading"/>
            </w:pPr>
            <w:r w:rsidRPr="00E3305C">
              <w:t>Value and source</w:t>
            </w:r>
          </w:p>
        </w:tc>
      </w:tr>
      <w:tr w:rsidR="00852466" w14:paraId="7A2A86A1" w14:textId="77777777">
        <w:tc>
          <w:tcPr>
            <w:tcW w:w="2122" w:type="dxa"/>
          </w:tcPr>
          <w:p w14:paraId="7B988D58" w14:textId="77777777" w:rsidR="00852466" w:rsidRPr="00927B62" w:rsidRDefault="00852466">
            <w:pPr>
              <w:pStyle w:val="TableText0"/>
            </w:pPr>
            <w:r>
              <w:t>Population</w:t>
            </w:r>
          </w:p>
        </w:tc>
        <w:tc>
          <w:tcPr>
            <w:tcW w:w="6894" w:type="dxa"/>
          </w:tcPr>
          <w:p w14:paraId="26736BCC" w14:textId="77777777" w:rsidR="00852466" w:rsidRPr="00927B62" w:rsidRDefault="00852466">
            <w:pPr>
              <w:pStyle w:val="TableText0"/>
            </w:pPr>
            <w:r w:rsidRPr="00927B62">
              <w:t>Australian population &lt;18 forecast years</w:t>
            </w:r>
            <w:r>
              <w:t xml:space="preserve"> (ABS 3222.0 Series B)</w:t>
            </w:r>
          </w:p>
          <w:p w14:paraId="34FB2A48" w14:textId="77777777" w:rsidR="00852466" w:rsidRPr="00927B62" w:rsidRDefault="00852466">
            <w:pPr>
              <w:pStyle w:val="TableText0"/>
            </w:pPr>
            <w:r w:rsidRPr="00927B62">
              <w:rPr>
                <w:b/>
              </w:rPr>
              <w:t>2025</w:t>
            </w:r>
            <w:r>
              <w:t>:</w:t>
            </w:r>
            <w:r w:rsidRPr="00927B62">
              <w:t xml:space="preserve"> 6,225,933</w:t>
            </w:r>
          </w:p>
          <w:p w14:paraId="2291D656" w14:textId="77777777" w:rsidR="00852466" w:rsidRPr="00927B62" w:rsidRDefault="00852466">
            <w:pPr>
              <w:pStyle w:val="TableText0"/>
            </w:pPr>
            <w:r w:rsidRPr="00927B62">
              <w:rPr>
                <w:b/>
              </w:rPr>
              <w:t>2026</w:t>
            </w:r>
            <w:r>
              <w:t>:</w:t>
            </w:r>
            <w:r w:rsidRPr="00927B62">
              <w:t xml:space="preserve"> 6,299,095</w:t>
            </w:r>
          </w:p>
          <w:p w14:paraId="4FD87456" w14:textId="77777777" w:rsidR="00852466" w:rsidRPr="00927B62" w:rsidRDefault="00852466">
            <w:pPr>
              <w:pStyle w:val="TableText0"/>
            </w:pPr>
            <w:r w:rsidRPr="00927B62">
              <w:rPr>
                <w:b/>
              </w:rPr>
              <w:t>2027</w:t>
            </w:r>
            <w:r>
              <w:t>:</w:t>
            </w:r>
            <w:r w:rsidRPr="00927B62">
              <w:t xml:space="preserve"> 6,372,633</w:t>
            </w:r>
          </w:p>
          <w:p w14:paraId="3DF3F1F1" w14:textId="77777777" w:rsidR="00852466" w:rsidRPr="00927B62" w:rsidRDefault="00852466">
            <w:pPr>
              <w:pStyle w:val="TableText0"/>
            </w:pPr>
            <w:r w:rsidRPr="00927B62">
              <w:rPr>
                <w:b/>
              </w:rPr>
              <w:t>2028</w:t>
            </w:r>
            <w:r>
              <w:t>:</w:t>
            </w:r>
            <w:r w:rsidRPr="00927B62">
              <w:t xml:space="preserve"> 6,442,907</w:t>
            </w:r>
          </w:p>
          <w:p w14:paraId="52957734" w14:textId="77777777" w:rsidR="00852466" w:rsidRPr="00927B62" w:rsidRDefault="00852466">
            <w:pPr>
              <w:pStyle w:val="TableText0"/>
            </w:pPr>
            <w:r w:rsidRPr="00927B62">
              <w:rPr>
                <w:b/>
              </w:rPr>
              <w:t>2029</w:t>
            </w:r>
            <w:r>
              <w:t>:</w:t>
            </w:r>
            <w:r w:rsidRPr="00927B62">
              <w:t xml:space="preserve"> 6,515,378</w:t>
            </w:r>
          </w:p>
          <w:p w14:paraId="4B0AD8C3" w14:textId="77777777" w:rsidR="00852466" w:rsidRPr="00927B62" w:rsidRDefault="00852466">
            <w:pPr>
              <w:pStyle w:val="TableText0"/>
            </w:pPr>
            <w:r w:rsidRPr="00927B62">
              <w:rPr>
                <w:b/>
              </w:rPr>
              <w:t>2030</w:t>
            </w:r>
            <w:r>
              <w:t>:</w:t>
            </w:r>
            <w:r w:rsidRPr="00927B62">
              <w:t xml:space="preserve"> 6,587,212</w:t>
            </w:r>
          </w:p>
        </w:tc>
      </w:tr>
      <w:tr w:rsidR="00852466" w14:paraId="38AAF60D" w14:textId="77777777">
        <w:tc>
          <w:tcPr>
            <w:tcW w:w="2122" w:type="dxa"/>
          </w:tcPr>
          <w:p w14:paraId="4C7BCDDE" w14:textId="77777777" w:rsidR="00852466" w:rsidRPr="00927B62" w:rsidRDefault="00852466">
            <w:pPr>
              <w:pStyle w:val="TableText0"/>
            </w:pPr>
            <w:r w:rsidRPr="00927B62">
              <w:t xml:space="preserve">Prevalence </w:t>
            </w:r>
          </w:p>
        </w:tc>
        <w:tc>
          <w:tcPr>
            <w:tcW w:w="6894" w:type="dxa"/>
          </w:tcPr>
          <w:p w14:paraId="44958F65" w14:textId="77777777" w:rsidR="00852466" w:rsidRPr="00927B62" w:rsidRDefault="00852466">
            <w:pPr>
              <w:pStyle w:val="TableText0"/>
            </w:pPr>
            <w:r w:rsidRPr="00927B62">
              <w:t>0.000007 (</w:t>
            </w:r>
            <w:r>
              <w:t>A national prevalence was calculated using clinical stakeholder input for Victorian patient numbers</w:t>
            </w:r>
            <w:r w:rsidRPr="00927B62">
              <w:t>)</w:t>
            </w:r>
          </w:p>
        </w:tc>
      </w:tr>
      <w:tr w:rsidR="00852466" w14:paraId="68AD6AE5" w14:textId="77777777">
        <w:tc>
          <w:tcPr>
            <w:tcW w:w="2122" w:type="dxa"/>
          </w:tcPr>
          <w:p w14:paraId="11AE1AD4" w14:textId="77777777" w:rsidR="00852466" w:rsidRPr="00927B62" w:rsidRDefault="00852466">
            <w:pPr>
              <w:pStyle w:val="TableText0"/>
            </w:pPr>
            <w:r w:rsidRPr="00927B62">
              <w:t>Proportion of patients</w:t>
            </w:r>
            <w:r>
              <w:t xml:space="preserve"> with</w:t>
            </w:r>
            <w:r w:rsidRPr="00927B62">
              <w:t xml:space="preserve"> weight 10</w:t>
            </w:r>
            <w:r>
              <w:t xml:space="preserve"> </w:t>
            </w:r>
            <w:r w:rsidRPr="00927B62">
              <w:t>kg to &lt;30</w:t>
            </w:r>
            <w:r>
              <w:t xml:space="preserve"> </w:t>
            </w:r>
            <w:r w:rsidRPr="00927B62">
              <w:t>k</w:t>
            </w:r>
            <w:r>
              <w:t>g</w:t>
            </w:r>
          </w:p>
        </w:tc>
        <w:tc>
          <w:tcPr>
            <w:tcW w:w="6894" w:type="dxa"/>
          </w:tcPr>
          <w:p w14:paraId="5F480324" w14:textId="77777777" w:rsidR="00852466" w:rsidRPr="00927B62" w:rsidRDefault="00852466">
            <w:pPr>
              <w:pStyle w:val="TableText0"/>
            </w:pPr>
            <w:r w:rsidRPr="00927B62">
              <w:t>10% (values provided by DUSC</w:t>
            </w:r>
            <w:r>
              <w:t xml:space="preserve"> Secretariat</w:t>
            </w:r>
            <w:r w:rsidRPr="00927B62">
              <w:t>)</w:t>
            </w:r>
            <w:r>
              <w:t>.</w:t>
            </w:r>
            <w:r w:rsidRPr="00927B62">
              <w:t xml:space="preserve"> Assumption: clinical</w:t>
            </w:r>
            <w:r>
              <w:t xml:space="preserve"> stakeholder</w:t>
            </w:r>
            <w:r w:rsidRPr="00927B62">
              <w:t xml:space="preserve"> input was that most patients are adolescent</w:t>
            </w:r>
            <w:r>
              <w:t xml:space="preserve"> patients</w:t>
            </w:r>
          </w:p>
        </w:tc>
      </w:tr>
      <w:tr w:rsidR="00852466" w14:paraId="3CD839F7" w14:textId="77777777">
        <w:tc>
          <w:tcPr>
            <w:tcW w:w="2122" w:type="dxa"/>
          </w:tcPr>
          <w:p w14:paraId="5FEAC5D4" w14:textId="77777777" w:rsidR="00852466" w:rsidRPr="00927B62" w:rsidRDefault="00852466">
            <w:pPr>
              <w:pStyle w:val="TableText0"/>
            </w:pPr>
            <w:r w:rsidRPr="00927B62">
              <w:t xml:space="preserve">Proportion of patients </w:t>
            </w:r>
            <w:r>
              <w:t xml:space="preserve">with </w:t>
            </w:r>
            <w:r w:rsidRPr="00927B62">
              <w:t xml:space="preserve">weight </w:t>
            </w:r>
            <w:r w:rsidRPr="00927B62">
              <w:rPr>
                <w:rFonts w:cstheme="minorHAnsi"/>
              </w:rPr>
              <w:t>≥</w:t>
            </w:r>
            <w:r w:rsidRPr="00927B62">
              <w:t>30</w:t>
            </w:r>
            <w:r>
              <w:t xml:space="preserve"> </w:t>
            </w:r>
            <w:r w:rsidRPr="00927B62">
              <w:t>kg</w:t>
            </w:r>
          </w:p>
        </w:tc>
        <w:tc>
          <w:tcPr>
            <w:tcW w:w="6894" w:type="dxa"/>
          </w:tcPr>
          <w:p w14:paraId="4CB452C5" w14:textId="77777777" w:rsidR="00852466" w:rsidRPr="00927B62" w:rsidRDefault="00852466">
            <w:pPr>
              <w:pStyle w:val="TableText0"/>
            </w:pPr>
            <w:r w:rsidRPr="00927B62">
              <w:t>90% (values provide by DUSC</w:t>
            </w:r>
            <w:r>
              <w:t xml:space="preserve"> Secretariat)</w:t>
            </w:r>
            <w:r w:rsidRPr="00927B62">
              <w:t>. Assumption: clinical</w:t>
            </w:r>
            <w:r>
              <w:t xml:space="preserve"> stakeholder</w:t>
            </w:r>
            <w:r w:rsidRPr="00927B62">
              <w:t xml:space="preserve"> input was that most patients are adolescent</w:t>
            </w:r>
            <w:r>
              <w:t xml:space="preserve"> patients</w:t>
            </w:r>
          </w:p>
        </w:tc>
      </w:tr>
      <w:tr w:rsidR="00852466" w14:paraId="40588771" w14:textId="77777777">
        <w:tc>
          <w:tcPr>
            <w:tcW w:w="2122" w:type="dxa"/>
          </w:tcPr>
          <w:p w14:paraId="4E348FDF" w14:textId="77777777" w:rsidR="00852466" w:rsidRPr="00927B62" w:rsidRDefault="00852466">
            <w:pPr>
              <w:pStyle w:val="TableText0"/>
            </w:pPr>
            <w:r>
              <w:t>Uptake rate</w:t>
            </w:r>
          </w:p>
        </w:tc>
        <w:tc>
          <w:tcPr>
            <w:tcW w:w="6894" w:type="dxa"/>
          </w:tcPr>
          <w:p w14:paraId="5180415E" w14:textId="77777777" w:rsidR="00852466" w:rsidRPr="00927B62" w:rsidRDefault="00852466">
            <w:pPr>
              <w:pStyle w:val="TableText0"/>
            </w:pPr>
            <w:r>
              <w:t>100% from year 1 of listing</w:t>
            </w:r>
          </w:p>
        </w:tc>
      </w:tr>
      <w:tr w:rsidR="00852466" w14:paraId="62857589" w14:textId="77777777">
        <w:tc>
          <w:tcPr>
            <w:tcW w:w="2122" w:type="dxa"/>
          </w:tcPr>
          <w:p w14:paraId="1F50E128" w14:textId="77777777" w:rsidR="00852466" w:rsidRPr="00927B62" w:rsidRDefault="00852466">
            <w:pPr>
              <w:pStyle w:val="TableText0"/>
            </w:pPr>
            <w:r>
              <w:t>Treatment duration</w:t>
            </w:r>
          </w:p>
        </w:tc>
        <w:tc>
          <w:tcPr>
            <w:tcW w:w="6894" w:type="dxa"/>
          </w:tcPr>
          <w:p w14:paraId="7CDA6C9B" w14:textId="77777777" w:rsidR="00852466" w:rsidRPr="00927B62" w:rsidRDefault="00852466">
            <w:pPr>
              <w:pStyle w:val="TableText0"/>
            </w:pPr>
            <w:r>
              <w:t>12 months, based on prevalent patient cohort</w:t>
            </w:r>
          </w:p>
        </w:tc>
      </w:tr>
      <w:tr w:rsidR="00852466" w14:paraId="0B04A54F" w14:textId="77777777">
        <w:tc>
          <w:tcPr>
            <w:tcW w:w="2122" w:type="dxa"/>
          </w:tcPr>
          <w:p w14:paraId="34FAF318" w14:textId="77777777" w:rsidR="00852466" w:rsidRPr="00927B62" w:rsidRDefault="00852466">
            <w:pPr>
              <w:pStyle w:val="TableText0"/>
            </w:pPr>
            <w:r>
              <w:t>Discontinuation</w:t>
            </w:r>
          </w:p>
        </w:tc>
        <w:tc>
          <w:tcPr>
            <w:tcW w:w="6894" w:type="dxa"/>
          </w:tcPr>
          <w:p w14:paraId="1A4CAFE5" w14:textId="77777777" w:rsidR="00852466" w:rsidRPr="00927B62" w:rsidRDefault="00852466">
            <w:pPr>
              <w:pStyle w:val="TableText0"/>
            </w:pPr>
            <w:r>
              <w:t>No discontinuation</w:t>
            </w:r>
          </w:p>
        </w:tc>
      </w:tr>
      <w:tr w:rsidR="00852466" w14:paraId="01F3CED9" w14:textId="77777777">
        <w:tc>
          <w:tcPr>
            <w:tcW w:w="2122" w:type="dxa"/>
          </w:tcPr>
          <w:p w14:paraId="4C467541" w14:textId="77777777" w:rsidR="00852466" w:rsidRPr="00927B62" w:rsidRDefault="00852466">
            <w:pPr>
              <w:pStyle w:val="TableText0"/>
            </w:pPr>
            <w:r>
              <w:t>Switching of treatments</w:t>
            </w:r>
          </w:p>
        </w:tc>
        <w:tc>
          <w:tcPr>
            <w:tcW w:w="6894" w:type="dxa"/>
          </w:tcPr>
          <w:p w14:paraId="460D293C" w14:textId="77777777" w:rsidR="00852466" w:rsidRPr="00927B62" w:rsidRDefault="00852466">
            <w:pPr>
              <w:pStyle w:val="TableText0"/>
            </w:pPr>
            <w:r>
              <w:t>No switching of treatments</w:t>
            </w:r>
          </w:p>
        </w:tc>
      </w:tr>
      <w:tr w:rsidR="00852466" w14:paraId="45359244" w14:textId="77777777">
        <w:tc>
          <w:tcPr>
            <w:tcW w:w="2122" w:type="dxa"/>
          </w:tcPr>
          <w:p w14:paraId="01530B77" w14:textId="77777777" w:rsidR="00852466" w:rsidRDefault="00852466">
            <w:pPr>
              <w:pStyle w:val="TableText0"/>
            </w:pPr>
            <w:r>
              <w:t>Cost</w:t>
            </w:r>
          </w:p>
        </w:tc>
        <w:tc>
          <w:tcPr>
            <w:tcW w:w="6894" w:type="dxa"/>
          </w:tcPr>
          <w:p w14:paraId="69EB8349" w14:textId="77777777" w:rsidR="00852466" w:rsidRPr="00E67B23" w:rsidRDefault="00852466">
            <w:pPr>
              <w:pStyle w:val="TableText0"/>
              <w:rPr>
                <w:color w:val="000000"/>
              </w:rPr>
            </w:pPr>
            <w:r w:rsidRPr="352E24D6">
              <w:rPr>
                <w:color w:val="000000" w:themeColor="text1"/>
              </w:rPr>
              <w:t>Adalimumab 20 mg: AEMP $</w:t>
            </w:r>
            <w:r w:rsidRPr="00815E55">
              <w:rPr>
                <w:color w:val="000000" w:themeColor="text1"/>
              </w:rPr>
              <w:t>567.42</w:t>
            </w:r>
            <w:r w:rsidRPr="352E24D6">
              <w:rPr>
                <w:color w:val="000000" w:themeColor="text1"/>
              </w:rPr>
              <w:t>, DPMQ $</w:t>
            </w:r>
            <w:r w:rsidRPr="00815E55">
              <w:rPr>
                <w:color w:val="000000" w:themeColor="text1"/>
              </w:rPr>
              <w:t>649.05</w:t>
            </w:r>
          </w:p>
          <w:p w14:paraId="0B187B0F" w14:textId="77777777" w:rsidR="00852466" w:rsidRDefault="00852466">
            <w:pPr>
              <w:pStyle w:val="TableText0"/>
            </w:pPr>
            <w:r w:rsidRPr="00E67B23">
              <w:t>Adalimumab 40 mg: AEMP $</w:t>
            </w:r>
            <w:r w:rsidRPr="00815E55">
              <w:rPr>
                <w:rFonts w:cs="Arial"/>
                <w:color w:val="000000"/>
                <w:szCs w:val="20"/>
              </w:rPr>
              <w:t>505.95</w:t>
            </w:r>
            <w:r w:rsidRPr="00E67B23">
              <w:t>, DPMQ $</w:t>
            </w:r>
            <w:r w:rsidRPr="00815E55">
              <w:rPr>
                <w:rFonts w:cs="Arial"/>
                <w:color w:val="000000"/>
                <w:szCs w:val="20"/>
              </w:rPr>
              <w:t>558.66</w:t>
            </w:r>
          </w:p>
        </w:tc>
      </w:tr>
    </w:tbl>
    <w:p w14:paraId="33390DCD" w14:textId="77777777" w:rsidR="00852466" w:rsidRPr="000B4F95" w:rsidRDefault="00852466" w:rsidP="00852466">
      <w:pPr>
        <w:spacing w:after="240"/>
        <w:rPr>
          <w:sz w:val="18"/>
          <w:szCs w:val="18"/>
        </w:rPr>
      </w:pPr>
      <w:r w:rsidRPr="000B4F95">
        <w:rPr>
          <w:rFonts w:ascii="Arial Narrow" w:hAnsi="Arial Narrow"/>
          <w:sz w:val="18"/>
          <w:szCs w:val="18"/>
        </w:rPr>
        <w:t xml:space="preserve">ABS = Australian Bureau of Statistics; AEMP = approved ex-manufacturer price; DPMQ = </w:t>
      </w:r>
      <w:r>
        <w:rPr>
          <w:rFonts w:ascii="Arial Narrow" w:hAnsi="Arial Narrow"/>
          <w:sz w:val="18"/>
          <w:szCs w:val="18"/>
        </w:rPr>
        <w:t>d</w:t>
      </w:r>
      <w:r w:rsidRPr="000B4F95">
        <w:rPr>
          <w:rFonts w:ascii="Arial Narrow" w:hAnsi="Arial Narrow"/>
          <w:sz w:val="18"/>
          <w:szCs w:val="18"/>
        </w:rPr>
        <w:t>ispensed price for maximum quantity; DUSC</w:t>
      </w:r>
      <w:r>
        <w:rPr>
          <w:rFonts w:ascii="Arial Narrow" w:hAnsi="Arial Narrow"/>
          <w:sz w:val="18"/>
          <w:szCs w:val="18"/>
        </w:rPr>
        <w:t> </w:t>
      </w:r>
      <w:r w:rsidRPr="000B4F95">
        <w:rPr>
          <w:rFonts w:ascii="Arial Narrow" w:hAnsi="Arial Narrow"/>
          <w:sz w:val="18"/>
          <w:szCs w:val="18"/>
        </w:rPr>
        <w:t>=</w:t>
      </w:r>
      <w:r>
        <w:rPr>
          <w:rFonts w:ascii="Arial Narrow" w:hAnsi="Arial Narrow"/>
          <w:sz w:val="18"/>
          <w:szCs w:val="18"/>
        </w:rPr>
        <w:t> </w:t>
      </w:r>
      <w:r w:rsidRPr="000B4F95">
        <w:rPr>
          <w:rFonts w:ascii="Arial Narrow" w:hAnsi="Arial Narrow"/>
          <w:sz w:val="18"/>
          <w:szCs w:val="18"/>
        </w:rPr>
        <w:t>Drug Utilisation Sub-Committee</w:t>
      </w:r>
    </w:p>
    <w:p w14:paraId="2ED335CF" w14:textId="77777777" w:rsidR="00852466" w:rsidRPr="003E73D3" w:rsidRDefault="00852466" w:rsidP="00852466">
      <w:pPr>
        <w:pStyle w:val="TableFigureHeading"/>
      </w:pPr>
      <w:r w:rsidRPr="003E73D3">
        <w:t xml:space="preserve">Table </w:t>
      </w:r>
      <w:r>
        <w:t>10:</w:t>
      </w:r>
      <w:r w:rsidRPr="003E73D3">
        <w:t xml:space="preserve"> </w:t>
      </w:r>
      <w:r w:rsidRPr="00DC52F0">
        <w:t>Financial estimates</w:t>
      </w:r>
      <w:r w:rsidRPr="003E73D3">
        <w:t xml:space="preserve"> – adalimumab – ankylosing spondylitis</w:t>
      </w:r>
    </w:p>
    <w:tbl>
      <w:tblPr>
        <w:tblStyle w:val="TableGrid"/>
        <w:tblW w:w="0" w:type="auto"/>
        <w:tblInd w:w="-5" w:type="dxa"/>
        <w:tblLook w:val="04A0" w:firstRow="1" w:lastRow="0" w:firstColumn="1" w:lastColumn="0" w:noHBand="0" w:noVBand="1"/>
        <w:tblCaption w:val="Financial estimates – adalimumab – ankylosing spondylitis"/>
      </w:tblPr>
      <w:tblGrid>
        <w:gridCol w:w="1911"/>
        <w:gridCol w:w="1185"/>
        <w:gridCol w:w="1185"/>
        <w:gridCol w:w="1185"/>
        <w:gridCol w:w="1185"/>
        <w:gridCol w:w="1185"/>
        <w:gridCol w:w="1185"/>
      </w:tblGrid>
      <w:tr w:rsidR="00852466" w14:paraId="51FAA046" w14:textId="77777777">
        <w:tc>
          <w:tcPr>
            <w:tcW w:w="1911" w:type="dxa"/>
          </w:tcPr>
          <w:p w14:paraId="77C412D9" w14:textId="77777777" w:rsidR="00852466" w:rsidRPr="00725DC5" w:rsidRDefault="00852466">
            <w:pPr>
              <w:pStyle w:val="TableText0"/>
            </w:pPr>
          </w:p>
        </w:tc>
        <w:tc>
          <w:tcPr>
            <w:tcW w:w="1185" w:type="dxa"/>
          </w:tcPr>
          <w:p w14:paraId="38140811" w14:textId="77777777" w:rsidR="00852466" w:rsidRPr="00E3305C" w:rsidRDefault="00852466">
            <w:pPr>
              <w:pStyle w:val="TableText0"/>
            </w:pPr>
            <w:r w:rsidRPr="00E3305C">
              <w:t>Year 1 (2025)</w:t>
            </w:r>
          </w:p>
        </w:tc>
        <w:tc>
          <w:tcPr>
            <w:tcW w:w="1185" w:type="dxa"/>
          </w:tcPr>
          <w:p w14:paraId="73864A1E" w14:textId="77777777" w:rsidR="00852466" w:rsidRPr="00E3305C" w:rsidRDefault="00852466">
            <w:pPr>
              <w:pStyle w:val="TableText0"/>
            </w:pPr>
            <w:r w:rsidRPr="00E3305C">
              <w:t>Year 2 (2026)</w:t>
            </w:r>
          </w:p>
        </w:tc>
        <w:tc>
          <w:tcPr>
            <w:tcW w:w="1185" w:type="dxa"/>
          </w:tcPr>
          <w:p w14:paraId="01D647DB" w14:textId="77777777" w:rsidR="00852466" w:rsidRPr="00E3305C" w:rsidRDefault="00852466">
            <w:pPr>
              <w:pStyle w:val="TableText0"/>
            </w:pPr>
            <w:r w:rsidRPr="00E3305C">
              <w:t>Year 3 (2027)</w:t>
            </w:r>
          </w:p>
        </w:tc>
        <w:tc>
          <w:tcPr>
            <w:tcW w:w="1185" w:type="dxa"/>
          </w:tcPr>
          <w:p w14:paraId="148F3FDA" w14:textId="77777777" w:rsidR="00852466" w:rsidRPr="00E3305C" w:rsidRDefault="00852466">
            <w:pPr>
              <w:pStyle w:val="TableText0"/>
            </w:pPr>
            <w:r w:rsidRPr="00E3305C">
              <w:t>Year 4 (2028)</w:t>
            </w:r>
          </w:p>
        </w:tc>
        <w:tc>
          <w:tcPr>
            <w:tcW w:w="1185" w:type="dxa"/>
          </w:tcPr>
          <w:p w14:paraId="569156E1" w14:textId="77777777" w:rsidR="00852466" w:rsidRPr="00E3305C" w:rsidRDefault="00852466">
            <w:pPr>
              <w:pStyle w:val="TableText0"/>
            </w:pPr>
            <w:r w:rsidRPr="00E3305C">
              <w:t>Year 5 (2029)</w:t>
            </w:r>
          </w:p>
        </w:tc>
        <w:tc>
          <w:tcPr>
            <w:tcW w:w="1185" w:type="dxa"/>
          </w:tcPr>
          <w:p w14:paraId="20BEC790" w14:textId="77777777" w:rsidR="00852466" w:rsidRPr="00E3305C" w:rsidRDefault="00852466">
            <w:pPr>
              <w:pStyle w:val="TableText0"/>
            </w:pPr>
            <w:r w:rsidRPr="00E3305C">
              <w:t>Year 6 (2030)</w:t>
            </w:r>
          </w:p>
        </w:tc>
      </w:tr>
      <w:tr w:rsidR="00852466" w14:paraId="322963CC" w14:textId="77777777">
        <w:tc>
          <w:tcPr>
            <w:tcW w:w="9021" w:type="dxa"/>
            <w:gridSpan w:val="7"/>
          </w:tcPr>
          <w:p w14:paraId="16E389C7" w14:textId="77777777" w:rsidR="00852466" w:rsidRPr="00EE4A69" w:rsidRDefault="00852466">
            <w:pPr>
              <w:pStyle w:val="TableText0"/>
            </w:pPr>
            <w:r w:rsidRPr="00EE4A69">
              <w:t>Estimated extent of use</w:t>
            </w:r>
            <w:r>
              <w:t xml:space="preserve"> </w:t>
            </w:r>
          </w:p>
        </w:tc>
      </w:tr>
      <w:tr w:rsidR="00852466" w14:paraId="364CDA08" w14:textId="77777777">
        <w:tc>
          <w:tcPr>
            <w:tcW w:w="9021" w:type="dxa"/>
            <w:gridSpan w:val="7"/>
          </w:tcPr>
          <w:p w14:paraId="78E64E0A" w14:textId="77777777" w:rsidR="00852466" w:rsidRPr="006669C5" w:rsidRDefault="00852466">
            <w:pPr>
              <w:pStyle w:val="TableText0"/>
            </w:pPr>
            <w:r w:rsidRPr="006669C5">
              <w:t>Number of patients treated</w:t>
            </w:r>
          </w:p>
        </w:tc>
      </w:tr>
      <w:tr w:rsidR="00852466" w14:paraId="4991C19D" w14:textId="77777777">
        <w:tc>
          <w:tcPr>
            <w:tcW w:w="1911" w:type="dxa"/>
          </w:tcPr>
          <w:p w14:paraId="3D553D3F" w14:textId="77777777" w:rsidR="00852466" w:rsidRPr="00725DC5" w:rsidRDefault="00852466">
            <w:pPr>
              <w:pStyle w:val="TableText0"/>
            </w:pPr>
            <w:r w:rsidRPr="006669C5">
              <w:t>Total initiating patients</w:t>
            </w:r>
          </w:p>
        </w:tc>
        <w:tc>
          <w:tcPr>
            <w:tcW w:w="1185" w:type="dxa"/>
          </w:tcPr>
          <w:p w14:paraId="0A1B79A6" w14:textId="77777777" w:rsidR="00852466" w:rsidRPr="00770636" w:rsidRDefault="00852466">
            <w:pPr>
              <w:pStyle w:val="TableText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70636">
              <w:rPr>
                <w:vertAlign w:val="superscript"/>
              </w:rPr>
              <w:t>1</w:t>
            </w:r>
            <w:r w:rsidRPr="00494888">
              <w:t xml:space="preserve"> </w:t>
            </w:r>
          </w:p>
        </w:tc>
        <w:tc>
          <w:tcPr>
            <w:tcW w:w="1185" w:type="dxa"/>
          </w:tcPr>
          <w:p w14:paraId="5B168E06" w14:textId="77777777" w:rsidR="00852466" w:rsidRPr="00770636" w:rsidRDefault="00852466">
            <w:pPr>
              <w:pStyle w:val="TableText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0B536947" w14:textId="77777777" w:rsidR="00852466" w:rsidRPr="00770636" w:rsidRDefault="00852466">
            <w:pPr>
              <w:pStyle w:val="TableText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19FA8E41" w14:textId="77777777" w:rsidR="00852466" w:rsidRPr="00770636" w:rsidRDefault="00852466">
            <w:pPr>
              <w:pStyle w:val="TableText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3C3015B3" w14:textId="77777777" w:rsidR="00852466" w:rsidRPr="00770636" w:rsidRDefault="00852466">
            <w:pPr>
              <w:pStyle w:val="TableText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1BBD55D0" w14:textId="77777777" w:rsidR="00852466" w:rsidRPr="00770636" w:rsidRDefault="00852466">
            <w:pPr>
              <w:pStyle w:val="TableText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70636">
              <w:rPr>
                <w:vertAlign w:val="superscript"/>
              </w:rPr>
              <w:t>1</w:t>
            </w:r>
            <w:r w:rsidRPr="00A46567">
              <w:t xml:space="preserve"> </w:t>
            </w:r>
          </w:p>
        </w:tc>
      </w:tr>
      <w:tr w:rsidR="00852466" w14:paraId="36A25A48" w14:textId="77777777">
        <w:tc>
          <w:tcPr>
            <w:tcW w:w="1911" w:type="dxa"/>
          </w:tcPr>
          <w:p w14:paraId="77BD6E96" w14:textId="77777777" w:rsidR="00852466" w:rsidRPr="00725DC5" w:rsidRDefault="00852466">
            <w:pPr>
              <w:pStyle w:val="TableText0"/>
            </w:pPr>
            <w:r w:rsidRPr="006669C5">
              <w:t>Total continuing patients</w:t>
            </w:r>
          </w:p>
        </w:tc>
        <w:tc>
          <w:tcPr>
            <w:tcW w:w="1185" w:type="dxa"/>
          </w:tcPr>
          <w:p w14:paraId="3948666E" w14:textId="77777777" w:rsidR="00852466" w:rsidRPr="00770636" w:rsidRDefault="00852466">
            <w:pPr>
              <w:pStyle w:val="TableText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298E6035" w14:textId="77777777" w:rsidR="00852466" w:rsidRPr="00770636" w:rsidRDefault="00852466">
            <w:pPr>
              <w:pStyle w:val="TableText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70636">
              <w:rPr>
                <w:vertAlign w:val="superscript"/>
              </w:rPr>
              <w:t>1</w:t>
            </w:r>
            <w:r w:rsidRPr="00494888">
              <w:t xml:space="preserve"> </w:t>
            </w:r>
          </w:p>
        </w:tc>
        <w:tc>
          <w:tcPr>
            <w:tcW w:w="1185" w:type="dxa"/>
          </w:tcPr>
          <w:p w14:paraId="560D875A" w14:textId="77777777" w:rsidR="00852466" w:rsidRPr="00770636" w:rsidRDefault="00852466">
            <w:pPr>
              <w:pStyle w:val="TableText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70636">
              <w:rPr>
                <w:vertAlign w:val="superscript"/>
              </w:rPr>
              <w:t>1</w:t>
            </w:r>
            <w:r w:rsidRPr="00494888">
              <w:t xml:space="preserve"> </w:t>
            </w:r>
          </w:p>
        </w:tc>
        <w:tc>
          <w:tcPr>
            <w:tcW w:w="1185" w:type="dxa"/>
          </w:tcPr>
          <w:p w14:paraId="600E6714" w14:textId="77777777" w:rsidR="00852466" w:rsidRPr="00770636" w:rsidRDefault="00852466">
            <w:pPr>
              <w:pStyle w:val="TableText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23954CE0" w14:textId="77777777" w:rsidR="00852466" w:rsidRPr="00770636" w:rsidRDefault="00852466">
            <w:pPr>
              <w:pStyle w:val="TableText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70636">
              <w:rPr>
                <w:vertAlign w:val="superscript"/>
              </w:rPr>
              <w:t>1</w:t>
            </w:r>
            <w:r w:rsidRPr="00A46567">
              <w:t xml:space="preserve"> </w:t>
            </w:r>
          </w:p>
        </w:tc>
        <w:tc>
          <w:tcPr>
            <w:tcW w:w="1185" w:type="dxa"/>
          </w:tcPr>
          <w:p w14:paraId="31B2E25A" w14:textId="77777777" w:rsidR="00852466" w:rsidRPr="00770636" w:rsidRDefault="00852466">
            <w:pPr>
              <w:pStyle w:val="TableText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70636">
              <w:rPr>
                <w:vertAlign w:val="superscript"/>
              </w:rPr>
              <w:t>1</w:t>
            </w:r>
            <w:r w:rsidRPr="00A46567">
              <w:t xml:space="preserve"> </w:t>
            </w:r>
          </w:p>
        </w:tc>
      </w:tr>
      <w:tr w:rsidR="00852466" w14:paraId="5BFA33E9" w14:textId="77777777">
        <w:tc>
          <w:tcPr>
            <w:tcW w:w="9021" w:type="dxa"/>
            <w:gridSpan w:val="7"/>
          </w:tcPr>
          <w:p w14:paraId="0D6E4FDB" w14:textId="77777777" w:rsidR="00852466" w:rsidRPr="00EE4A69" w:rsidRDefault="00852466">
            <w:pPr>
              <w:pStyle w:val="TableText0"/>
            </w:pPr>
            <w:r w:rsidRPr="00EE4A69">
              <w:t>Number of prescriptions dispense</w:t>
            </w:r>
            <w:r>
              <w:t>d</w:t>
            </w:r>
          </w:p>
        </w:tc>
      </w:tr>
      <w:tr w:rsidR="00852466" w14:paraId="3BDB3B34" w14:textId="77777777">
        <w:tc>
          <w:tcPr>
            <w:tcW w:w="1911" w:type="dxa"/>
          </w:tcPr>
          <w:p w14:paraId="28A66A0E" w14:textId="77777777" w:rsidR="00852466" w:rsidRPr="00725DC5" w:rsidRDefault="00852466">
            <w:pPr>
              <w:pStyle w:val="TableText0"/>
            </w:pPr>
            <w:r w:rsidRPr="00725DC5">
              <w:t>Adalimumab 20</w:t>
            </w:r>
            <w:r>
              <w:t> </w:t>
            </w:r>
            <w:r w:rsidRPr="00725DC5">
              <w:t>mg/0.2</w:t>
            </w:r>
            <w:r>
              <w:t> </w:t>
            </w:r>
            <w:r w:rsidRPr="00725DC5">
              <w:t>mL - Initiating</w:t>
            </w:r>
          </w:p>
        </w:tc>
        <w:tc>
          <w:tcPr>
            <w:tcW w:w="1185" w:type="dxa"/>
            <w:vAlign w:val="center"/>
          </w:tcPr>
          <w:p w14:paraId="133F70F5" w14:textId="77777777" w:rsidR="00852466" w:rsidRPr="00770636" w:rsidRDefault="00852466">
            <w:pPr>
              <w:pStyle w:val="TableText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3DD20A1" w14:textId="77777777" w:rsidR="00852466" w:rsidRPr="00770636" w:rsidRDefault="00852466">
            <w:pPr>
              <w:pStyle w:val="TableText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553967C0" w14:textId="77777777" w:rsidR="00852466" w:rsidRPr="00770636" w:rsidRDefault="00852466">
            <w:pPr>
              <w:pStyle w:val="TableText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164E117C" w14:textId="77777777" w:rsidR="00852466" w:rsidRPr="00770636" w:rsidRDefault="00852466">
            <w:pPr>
              <w:pStyle w:val="TableText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4C0188A1" w14:textId="77777777" w:rsidR="00852466" w:rsidRPr="00770636" w:rsidRDefault="00852466">
            <w:pPr>
              <w:pStyle w:val="TableText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71E3665F" w14:textId="77777777" w:rsidR="00852466" w:rsidRPr="00770636" w:rsidRDefault="00852466">
            <w:pPr>
              <w:pStyle w:val="TableText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70636">
              <w:rPr>
                <w:vertAlign w:val="superscript"/>
              </w:rPr>
              <w:t>1</w:t>
            </w:r>
            <w:r w:rsidRPr="00A46567">
              <w:t xml:space="preserve"> </w:t>
            </w:r>
          </w:p>
        </w:tc>
      </w:tr>
      <w:tr w:rsidR="00852466" w14:paraId="0980595E" w14:textId="77777777">
        <w:tc>
          <w:tcPr>
            <w:tcW w:w="1911" w:type="dxa"/>
          </w:tcPr>
          <w:p w14:paraId="647B1AEC" w14:textId="77777777" w:rsidR="00852466" w:rsidRPr="00725DC5" w:rsidRDefault="00852466">
            <w:pPr>
              <w:pStyle w:val="TableText0"/>
            </w:pPr>
            <w:r w:rsidRPr="00725DC5">
              <w:t>Adalimumab 20</w:t>
            </w:r>
            <w:r>
              <w:t> </w:t>
            </w:r>
            <w:r w:rsidRPr="00725DC5">
              <w:t>mg/0.2</w:t>
            </w:r>
            <w:r>
              <w:t> </w:t>
            </w:r>
            <w:r w:rsidRPr="00725DC5">
              <w:t xml:space="preserve">mL </w:t>
            </w:r>
            <w:r>
              <w:t>–</w:t>
            </w:r>
            <w:r w:rsidRPr="00725DC5">
              <w:t xml:space="preserve"> Continuing</w:t>
            </w:r>
          </w:p>
        </w:tc>
        <w:tc>
          <w:tcPr>
            <w:tcW w:w="1185" w:type="dxa"/>
            <w:vAlign w:val="center"/>
          </w:tcPr>
          <w:p w14:paraId="61C4B230" w14:textId="77777777" w:rsidR="00852466" w:rsidRPr="00770636" w:rsidRDefault="00852466">
            <w:pPr>
              <w:pStyle w:val="TableText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51F4CF33" w14:textId="77777777" w:rsidR="00852466" w:rsidRPr="00770636" w:rsidRDefault="00852466">
            <w:pPr>
              <w:pStyle w:val="TableText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37BDC9B8" w14:textId="77777777" w:rsidR="00852466" w:rsidRPr="00770636" w:rsidRDefault="00852466">
            <w:pPr>
              <w:pStyle w:val="TableText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6F06ACB" w14:textId="77777777" w:rsidR="00852466" w:rsidRPr="00770636" w:rsidRDefault="00852466">
            <w:pPr>
              <w:pStyle w:val="TableText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503DA425" w14:textId="77777777" w:rsidR="00852466" w:rsidRPr="00770636" w:rsidRDefault="00852466">
            <w:pPr>
              <w:pStyle w:val="TableText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67CEF455" w14:textId="77777777" w:rsidR="00852466" w:rsidRPr="00770636" w:rsidRDefault="00852466">
            <w:pPr>
              <w:pStyle w:val="TableText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70636">
              <w:rPr>
                <w:vertAlign w:val="superscript"/>
              </w:rPr>
              <w:t>1</w:t>
            </w:r>
            <w:r w:rsidRPr="00A46567">
              <w:t xml:space="preserve"> </w:t>
            </w:r>
          </w:p>
        </w:tc>
      </w:tr>
      <w:tr w:rsidR="00852466" w14:paraId="379E1575" w14:textId="77777777">
        <w:tc>
          <w:tcPr>
            <w:tcW w:w="1911" w:type="dxa"/>
          </w:tcPr>
          <w:p w14:paraId="1BF121A0" w14:textId="77777777" w:rsidR="00852466" w:rsidRPr="00725DC5" w:rsidRDefault="00852466">
            <w:pPr>
              <w:pStyle w:val="TableText0"/>
            </w:pPr>
            <w:r w:rsidRPr="00725DC5">
              <w:t>Adalimumab 40</w:t>
            </w:r>
            <w:r>
              <w:t> </w:t>
            </w:r>
            <w:r w:rsidRPr="00725DC5">
              <w:t>mg/0.4</w:t>
            </w:r>
            <w:r>
              <w:t> </w:t>
            </w:r>
            <w:r w:rsidRPr="00725DC5">
              <w:t>mL - Initiating</w:t>
            </w:r>
          </w:p>
        </w:tc>
        <w:tc>
          <w:tcPr>
            <w:tcW w:w="1185" w:type="dxa"/>
            <w:vAlign w:val="center"/>
          </w:tcPr>
          <w:p w14:paraId="0CA3ACA1" w14:textId="77777777" w:rsidR="00852466" w:rsidRPr="00770636" w:rsidRDefault="00852466">
            <w:pPr>
              <w:pStyle w:val="TableText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7E22441F" w14:textId="77777777" w:rsidR="00852466" w:rsidRPr="00770636" w:rsidRDefault="00852466">
            <w:pPr>
              <w:pStyle w:val="TableText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39C5CD7" w14:textId="77777777" w:rsidR="00852466" w:rsidRPr="00770636" w:rsidRDefault="00852466">
            <w:pPr>
              <w:pStyle w:val="TableText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20A25616" w14:textId="77777777" w:rsidR="00852466" w:rsidRPr="00770636" w:rsidRDefault="00852466">
            <w:pPr>
              <w:pStyle w:val="TableText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ECD4364" w14:textId="77777777" w:rsidR="00852466" w:rsidRPr="00770636" w:rsidRDefault="00852466">
            <w:pPr>
              <w:pStyle w:val="TableText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739F0C0C" w14:textId="77777777" w:rsidR="00852466" w:rsidRPr="00770636" w:rsidRDefault="00852466">
            <w:pPr>
              <w:pStyle w:val="TableText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70636">
              <w:rPr>
                <w:vertAlign w:val="superscript"/>
              </w:rPr>
              <w:t>1</w:t>
            </w:r>
            <w:r w:rsidRPr="00A46567">
              <w:t xml:space="preserve"> </w:t>
            </w:r>
          </w:p>
        </w:tc>
      </w:tr>
      <w:tr w:rsidR="00852466" w14:paraId="197F0779" w14:textId="77777777">
        <w:tc>
          <w:tcPr>
            <w:tcW w:w="1911" w:type="dxa"/>
          </w:tcPr>
          <w:p w14:paraId="46A9EEF6" w14:textId="77777777" w:rsidR="00852466" w:rsidRPr="00725DC5" w:rsidRDefault="00852466">
            <w:pPr>
              <w:pStyle w:val="TableText0"/>
            </w:pPr>
            <w:r w:rsidRPr="00725DC5">
              <w:t>Adalimumab 40</w:t>
            </w:r>
            <w:r>
              <w:t> </w:t>
            </w:r>
            <w:r w:rsidRPr="00725DC5">
              <w:t>mg/0.4</w:t>
            </w:r>
            <w:r>
              <w:t> </w:t>
            </w:r>
            <w:r w:rsidRPr="00725DC5">
              <w:t>mL - Continuing</w:t>
            </w:r>
          </w:p>
        </w:tc>
        <w:tc>
          <w:tcPr>
            <w:tcW w:w="1185" w:type="dxa"/>
            <w:vAlign w:val="center"/>
          </w:tcPr>
          <w:p w14:paraId="00413BD2" w14:textId="77777777" w:rsidR="00852466" w:rsidRPr="00770636" w:rsidRDefault="00852466">
            <w:pPr>
              <w:pStyle w:val="TableText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61A0A2B5" w14:textId="77777777" w:rsidR="00852466" w:rsidRPr="00770636" w:rsidRDefault="00852466">
            <w:pPr>
              <w:pStyle w:val="TableText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6A8ED52A" w14:textId="77777777" w:rsidR="00852466" w:rsidRPr="00770636" w:rsidRDefault="00852466">
            <w:pPr>
              <w:pStyle w:val="TableText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494AB91" w14:textId="77777777" w:rsidR="00852466" w:rsidRPr="00770636" w:rsidRDefault="00852466">
            <w:pPr>
              <w:pStyle w:val="TableText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56867E17" w14:textId="77777777" w:rsidR="00852466" w:rsidRPr="00770636" w:rsidRDefault="00852466">
            <w:pPr>
              <w:pStyle w:val="TableText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70636">
              <w:rPr>
                <w:vertAlign w:val="superscript"/>
              </w:rPr>
              <w:t>1</w:t>
            </w:r>
            <w:r w:rsidRPr="00A46567">
              <w:t xml:space="preserve"> </w:t>
            </w:r>
          </w:p>
        </w:tc>
        <w:tc>
          <w:tcPr>
            <w:tcW w:w="1185" w:type="dxa"/>
            <w:vAlign w:val="center"/>
          </w:tcPr>
          <w:p w14:paraId="00A01CD7" w14:textId="77777777" w:rsidR="00852466" w:rsidRPr="00770636" w:rsidRDefault="00852466">
            <w:pPr>
              <w:pStyle w:val="TableText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70636">
              <w:rPr>
                <w:vertAlign w:val="superscript"/>
              </w:rPr>
              <w:t>1</w:t>
            </w:r>
            <w:r w:rsidRPr="00A46567">
              <w:t xml:space="preserve"> </w:t>
            </w:r>
          </w:p>
        </w:tc>
      </w:tr>
      <w:tr w:rsidR="00852466" w14:paraId="236468DB" w14:textId="77777777">
        <w:tc>
          <w:tcPr>
            <w:tcW w:w="1911" w:type="dxa"/>
          </w:tcPr>
          <w:p w14:paraId="394E7C9C" w14:textId="77777777" w:rsidR="00852466" w:rsidRPr="00725DC5" w:rsidRDefault="00852466">
            <w:pPr>
              <w:pStyle w:val="TableText0"/>
            </w:pPr>
            <w:r>
              <w:t>Total</w:t>
            </w:r>
          </w:p>
        </w:tc>
        <w:tc>
          <w:tcPr>
            <w:tcW w:w="1185" w:type="dxa"/>
          </w:tcPr>
          <w:p w14:paraId="130F2EE0" w14:textId="77777777" w:rsidR="00852466" w:rsidRPr="00770636" w:rsidRDefault="00852466">
            <w:pPr>
              <w:pStyle w:val="TableText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70636">
              <w:rPr>
                <w:vertAlign w:val="superscript"/>
              </w:rPr>
              <w:t>2</w:t>
            </w:r>
            <w:r w:rsidRPr="00A46567">
              <w:t xml:space="preserve"> </w:t>
            </w:r>
          </w:p>
        </w:tc>
        <w:tc>
          <w:tcPr>
            <w:tcW w:w="1185" w:type="dxa"/>
          </w:tcPr>
          <w:p w14:paraId="4885FA07" w14:textId="77777777" w:rsidR="00852466" w:rsidRPr="00770636" w:rsidRDefault="00852466">
            <w:pPr>
              <w:pStyle w:val="TableText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2</w:t>
            </w:r>
            <w:r w:rsidRPr="00A46567">
              <w:t xml:space="preserve"> </w:t>
            </w:r>
          </w:p>
        </w:tc>
        <w:tc>
          <w:tcPr>
            <w:tcW w:w="1185" w:type="dxa"/>
          </w:tcPr>
          <w:p w14:paraId="56D5B04A" w14:textId="77777777" w:rsidR="00852466" w:rsidRPr="00770636" w:rsidRDefault="00852466">
            <w:pPr>
              <w:pStyle w:val="TableText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2</w:t>
            </w:r>
            <w:r w:rsidRPr="00A46567">
              <w:t xml:space="preserve"> </w:t>
            </w:r>
          </w:p>
        </w:tc>
        <w:tc>
          <w:tcPr>
            <w:tcW w:w="1185" w:type="dxa"/>
          </w:tcPr>
          <w:p w14:paraId="5ED8E73D" w14:textId="77777777" w:rsidR="00852466" w:rsidRPr="00770636" w:rsidRDefault="00852466">
            <w:pPr>
              <w:pStyle w:val="TableText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2</w:t>
            </w:r>
            <w:r w:rsidRPr="00A46567">
              <w:t xml:space="preserve"> </w:t>
            </w:r>
          </w:p>
        </w:tc>
        <w:tc>
          <w:tcPr>
            <w:tcW w:w="1185" w:type="dxa"/>
          </w:tcPr>
          <w:p w14:paraId="422BFFA1" w14:textId="77777777" w:rsidR="00852466" w:rsidRPr="00770636" w:rsidRDefault="00852466">
            <w:pPr>
              <w:pStyle w:val="TableText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2</w:t>
            </w:r>
            <w:r w:rsidRPr="00A46567">
              <w:t xml:space="preserve"> </w:t>
            </w:r>
          </w:p>
        </w:tc>
        <w:tc>
          <w:tcPr>
            <w:tcW w:w="1185" w:type="dxa"/>
          </w:tcPr>
          <w:p w14:paraId="2CFA8F9E" w14:textId="77777777" w:rsidR="00852466" w:rsidRPr="00770636" w:rsidRDefault="00852466">
            <w:pPr>
              <w:pStyle w:val="TableText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2</w:t>
            </w:r>
            <w:r w:rsidRPr="00A46567">
              <w:t xml:space="preserve"> </w:t>
            </w:r>
          </w:p>
        </w:tc>
      </w:tr>
      <w:tr w:rsidR="00852466" w14:paraId="42AA9922" w14:textId="77777777">
        <w:tc>
          <w:tcPr>
            <w:tcW w:w="9021" w:type="dxa"/>
            <w:gridSpan w:val="7"/>
          </w:tcPr>
          <w:p w14:paraId="5E1765D6" w14:textId="77777777" w:rsidR="00852466" w:rsidRPr="00EE4A69" w:rsidRDefault="00852466">
            <w:pPr>
              <w:pStyle w:val="TableText0"/>
            </w:pPr>
            <w:r w:rsidRPr="00EE4A69">
              <w:t>Estimated financial implications</w:t>
            </w:r>
          </w:p>
        </w:tc>
      </w:tr>
      <w:tr w:rsidR="00852466" w14:paraId="6990AB6E" w14:textId="77777777">
        <w:tc>
          <w:tcPr>
            <w:tcW w:w="1911" w:type="dxa"/>
          </w:tcPr>
          <w:p w14:paraId="25C197C0" w14:textId="77777777" w:rsidR="00852466" w:rsidRPr="00166DCB" w:rsidRDefault="00852466">
            <w:pPr>
              <w:pStyle w:val="TableText0"/>
            </w:pPr>
            <w:r w:rsidRPr="00166DCB">
              <w:t xml:space="preserve">Net Cost to PBS/RPBS </w:t>
            </w:r>
          </w:p>
        </w:tc>
        <w:tc>
          <w:tcPr>
            <w:tcW w:w="1185" w:type="dxa"/>
          </w:tcPr>
          <w:p w14:paraId="0EE777E5" w14:textId="77777777" w:rsidR="00852466" w:rsidRPr="00770636" w:rsidRDefault="00852466">
            <w:pPr>
              <w:pStyle w:val="TableText0"/>
              <w:rPr>
                <w:bCs w:val="0"/>
                <w:vertAlign w:val="superscript"/>
              </w:rPr>
            </w:pPr>
            <w:r w:rsidRPr="00166DCB">
              <w:t>$</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3</w:t>
            </w:r>
          </w:p>
        </w:tc>
        <w:tc>
          <w:tcPr>
            <w:tcW w:w="1185" w:type="dxa"/>
          </w:tcPr>
          <w:p w14:paraId="60EF492E" w14:textId="77777777" w:rsidR="00852466" w:rsidRPr="00166DCB" w:rsidRDefault="00852466">
            <w:pPr>
              <w:pStyle w:val="TableText0"/>
            </w:pPr>
            <w:r w:rsidRPr="00166DCB">
              <w:t>$</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3</w:t>
            </w:r>
          </w:p>
        </w:tc>
        <w:tc>
          <w:tcPr>
            <w:tcW w:w="1185" w:type="dxa"/>
          </w:tcPr>
          <w:p w14:paraId="56D7645E" w14:textId="77777777" w:rsidR="00852466" w:rsidRPr="00166DCB" w:rsidRDefault="00852466">
            <w:pPr>
              <w:pStyle w:val="TableText0"/>
            </w:pPr>
            <w:r w:rsidRPr="00166DCB">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3</w:t>
            </w:r>
          </w:p>
        </w:tc>
        <w:tc>
          <w:tcPr>
            <w:tcW w:w="1185" w:type="dxa"/>
          </w:tcPr>
          <w:p w14:paraId="20325141" w14:textId="77777777" w:rsidR="00852466" w:rsidRPr="00166DCB" w:rsidRDefault="00852466">
            <w:pPr>
              <w:pStyle w:val="TableText0"/>
            </w:pPr>
            <w:r w:rsidRPr="00166DCB">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3</w:t>
            </w:r>
          </w:p>
        </w:tc>
        <w:tc>
          <w:tcPr>
            <w:tcW w:w="1185" w:type="dxa"/>
          </w:tcPr>
          <w:p w14:paraId="4563DBB1" w14:textId="77777777" w:rsidR="00852466" w:rsidRPr="00166DCB" w:rsidRDefault="00852466">
            <w:pPr>
              <w:pStyle w:val="TableText0"/>
            </w:pPr>
            <w:r w:rsidRPr="00166DCB">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3</w:t>
            </w:r>
          </w:p>
        </w:tc>
        <w:tc>
          <w:tcPr>
            <w:tcW w:w="1185" w:type="dxa"/>
          </w:tcPr>
          <w:p w14:paraId="22EFEE2B" w14:textId="77777777" w:rsidR="00852466" w:rsidRPr="00166DCB" w:rsidRDefault="00852466">
            <w:pPr>
              <w:pStyle w:val="TableText0"/>
            </w:pPr>
            <w:r w:rsidRPr="00166DCB">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3</w:t>
            </w:r>
          </w:p>
        </w:tc>
      </w:tr>
    </w:tbl>
    <w:p w14:paraId="6E0D838F" w14:textId="77777777" w:rsidR="00852466" w:rsidRPr="00770636" w:rsidRDefault="00852466" w:rsidP="00852466">
      <w:pPr>
        <w:pStyle w:val="TableFigureFooter"/>
        <w:rPr>
          <w:i/>
          <w:iCs/>
        </w:rPr>
      </w:pPr>
      <w:r w:rsidRPr="000B4F95">
        <w:t>PBS = Pharmaceutical Benefits Scheme; RPBS = Repatriation Pharmaceutical Benefits Scheme</w:t>
      </w:r>
    </w:p>
    <w:p w14:paraId="177CF4AC" w14:textId="77777777" w:rsidR="00852466" w:rsidRDefault="00852466" w:rsidP="00852466">
      <w:pPr>
        <w:pStyle w:val="TableFigureFooter"/>
        <w:rPr>
          <w:i/>
          <w:iCs/>
        </w:rPr>
      </w:pPr>
      <w:r w:rsidRPr="00770636">
        <w:rPr>
          <w:i/>
          <w:iCs/>
        </w:rPr>
        <w:t>The redacted values correspond to the following ranges:</w:t>
      </w:r>
    </w:p>
    <w:p w14:paraId="2FC3175E" w14:textId="77777777" w:rsidR="00852466" w:rsidRPr="00B74537" w:rsidRDefault="00852466" w:rsidP="00852466">
      <w:pPr>
        <w:pStyle w:val="TableFigureFooter"/>
        <w:rPr>
          <w:i/>
          <w:iCs/>
          <w:szCs w:val="18"/>
        </w:rPr>
      </w:pPr>
      <w:r w:rsidRPr="00B74537">
        <w:rPr>
          <w:i/>
          <w:iCs/>
          <w:szCs w:val="18"/>
          <w:vertAlign w:val="superscript"/>
        </w:rPr>
        <w:t>1</w:t>
      </w:r>
      <w:r w:rsidRPr="00B74537">
        <w:rPr>
          <w:i/>
          <w:iCs/>
          <w:szCs w:val="18"/>
        </w:rPr>
        <w:t xml:space="preserve"> </w:t>
      </w:r>
      <w:r w:rsidRPr="00770636">
        <w:rPr>
          <w:i/>
          <w:iCs/>
        </w:rPr>
        <w:t>&lt; 500</w:t>
      </w:r>
    </w:p>
    <w:p w14:paraId="6A64436B" w14:textId="77777777" w:rsidR="00852466" w:rsidRPr="00B74537" w:rsidRDefault="00852466" w:rsidP="00852466">
      <w:pPr>
        <w:pStyle w:val="TableFigureFooter"/>
        <w:rPr>
          <w:i/>
          <w:iCs/>
          <w:szCs w:val="18"/>
        </w:rPr>
      </w:pPr>
      <w:r w:rsidRPr="00B74537">
        <w:rPr>
          <w:i/>
          <w:iCs/>
          <w:szCs w:val="18"/>
          <w:vertAlign w:val="superscript"/>
        </w:rPr>
        <w:t>2</w:t>
      </w:r>
      <w:r w:rsidRPr="00B74537">
        <w:rPr>
          <w:i/>
          <w:iCs/>
          <w:szCs w:val="18"/>
        </w:rPr>
        <w:t xml:space="preserve"> </w:t>
      </w:r>
      <w:bookmarkStart w:id="4" w:name="_Hlk113629046"/>
      <w:r w:rsidRPr="00770636">
        <w:rPr>
          <w:i/>
          <w:iCs/>
        </w:rPr>
        <w:t>500 to &lt; 5,000</w:t>
      </w:r>
      <w:bookmarkEnd w:id="4"/>
    </w:p>
    <w:p w14:paraId="237B4AA5" w14:textId="77777777" w:rsidR="00852466" w:rsidRPr="00770636" w:rsidRDefault="00852466" w:rsidP="00852466">
      <w:pPr>
        <w:pStyle w:val="TableFigureFooter"/>
        <w:rPr>
          <w:i/>
          <w:iCs/>
        </w:rPr>
      </w:pPr>
      <w:r w:rsidRPr="00B74537">
        <w:rPr>
          <w:i/>
          <w:iCs/>
          <w:szCs w:val="18"/>
          <w:vertAlign w:val="superscript"/>
        </w:rPr>
        <w:t>3</w:t>
      </w:r>
      <w:r w:rsidRPr="00B74537">
        <w:rPr>
          <w:i/>
          <w:iCs/>
          <w:szCs w:val="18"/>
        </w:rPr>
        <w:t xml:space="preserve"> </w:t>
      </w:r>
      <w:bookmarkStart w:id="5" w:name="_Hlk113629090"/>
      <w:r w:rsidRPr="00770636">
        <w:rPr>
          <w:i/>
          <w:iCs/>
        </w:rPr>
        <w:t>$0 to &lt; $10 million</w:t>
      </w:r>
    </w:p>
    <w:bookmarkEnd w:id="5"/>
    <w:p w14:paraId="4BEB6F90" w14:textId="77777777" w:rsidR="00852466" w:rsidRDefault="00852466" w:rsidP="00852466">
      <w:pPr>
        <w:pStyle w:val="3-BodyText"/>
        <w:numPr>
          <w:ilvl w:val="1"/>
          <w:numId w:val="2"/>
        </w:numPr>
        <w:spacing w:before="120"/>
      </w:pPr>
      <w:r>
        <w:t xml:space="preserve">The cost of treatment is </w:t>
      </w:r>
      <w:r w:rsidRPr="000268F9">
        <w:t>$</w:t>
      </w:r>
      <w:r w:rsidRPr="00852466">
        <w:rPr>
          <w:color w:val="000000"/>
          <w:w w:val="61"/>
          <w:shd w:val="solid" w:color="000000" w:fill="000000"/>
          <w:fitText w:val="475" w:id="-649849073"/>
          <w14:textFill>
            <w14:solidFill>
              <w14:srgbClr w14:val="000000">
                <w14:alpha w14:val="100000"/>
              </w14:srgbClr>
            </w14:solidFill>
          </w14:textFill>
        </w:rPr>
        <w:t>|||  ||</w:t>
      </w:r>
      <w:r w:rsidRPr="00852466">
        <w:rPr>
          <w:color w:val="000000"/>
          <w:spacing w:val="5"/>
          <w:w w:val="61"/>
          <w:shd w:val="solid" w:color="000000" w:fill="000000"/>
          <w:fitText w:val="475" w:id="-649849073"/>
          <w14:textFill>
            <w14:solidFill>
              <w14:srgbClr w14:val="000000">
                <w14:alpha w14:val="100000"/>
              </w14:srgbClr>
            </w14:solidFill>
          </w14:textFill>
        </w:rPr>
        <w:t>|</w:t>
      </w:r>
      <w:r>
        <w:t xml:space="preserve"> per patient per year for patients receiving a 20 mg per fortnight dose, and </w:t>
      </w:r>
      <w:r w:rsidRPr="000268F9">
        <w:t>$</w:t>
      </w:r>
      <w:r w:rsidRPr="008A32CA">
        <w:rPr>
          <w:color w:val="000000"/>
          <w:w w:val="15"/>
          <w:shd w:val="solid" w:color="000000" w:fill="000000"/>
          <w:fitText w:val="-20" w:id="-739986168"/>
          <w14:textFill>
            <w14:solidFill>
              <w14:srgbClr w14:val="000000">
                <w14:alpha w14:val="100000"/>
              </w14:srgbClr>
            </w14:solidFill>
          </w14:textFill>
        </w:rPr>
        <w:t xml:space="preserve">|  </w:t>
      </w:r>
      <w:r w:rsidRPr="008A32CA">
        <w:rPr>
          <w:color w:val="000000"/>
          <w:spacing w:val="-69"/>
          <w:w w:val="15"/>
          <w:shd w:val="solid" w:color="000000" w:fill="000000"/>
          <w:fitText w:val="-20" w:id="-739986168"/>
          <w14:textFill>
            <w14:solidFill>
              <w14:srgbClr w14:val="000000">
                <w14:alpha w14:val="100000"/>
              </w14:srgbClr>
            </w14:solidFill>
          </w14:textFill>
        </w:rPr>
        <w:t>|</w:t>
      </w:r>
      <w:r>
        <w:t xml:space="preserve"> per patient per year for patients receiving a 40 mg per fortnight dose.</w:t>
      </w:r>
    </w:p>
    <w:p w14:paraId="2223B610" w14:textId="77777777" w:rsidR="00852466" w:rsidRDefault="00852466" w:rsidP="00852466">
      <w:pPr>
        <w:pStyle w:val="3-BodyText"/>
        <w:numPr>
          <w:ilvl w:val="1"/>
          <w:numId w:val="2"/>
        </w:numPr>
        <w:spacing w:before="120"/>
      </w:pPr>
      <w:r>
        <w:t>The net cost to the PBS/RPBS was estimated to be $0 to &lt; $10 million in year 6, and a net cost of $0 to &lt; $10 million in the first 6 years of listing.</w:t>
      </w:r>
    </w:p>
    <w:p w14:paraId="4F0C59FB" w14:textId="77777777" w:rsidR="00852466" w:rsidRDefault="00852466" w:rsidP="00852466">
      <w:pPr>
        <w:pStyle w:val="3-BodyText"/>
        <w:numPr>
          <w:ilvl w:val="1"/>
          <w:numId w:val="2"/>
        </w:numPr>
        <w:spacing w:before="120"/>
      </w:pPr>
      <w:r>
        <w:t>Sensitivity analysis was performed using a 10% and 20% increase in the prevalence of ERA. Costings for the sensitivity analysis are summarised in Table 11. The estimated net cost over 6 years was $0 to &lt; $10 million and $0 to &lt; $10 million for a 10% and 20% increase in prevalence respectively.</w:t>
      </w:r>
    </w:p>
    <w:p w14:paraId="27E4C7AE" w14:textId="77777777" w:rsidR="00852466" w:rsidRPr="000B4F95" w:rsidRDefault="00852466" w:rsidP="00852466">
      <w:pPr>
        <w:pStyle w:val="TableFigureHeading"/>
      </w:pPr>
      <w:r w:rsidRPr="000B4F95">
        <w:t xml:space="preserve">Table </w:t>
      </w:r>
      <w:r>
        <w:t>11:</w:t>
      </w:r>
      <w:r w:rsidRPr="000B4F95">
        <w:t xml:space="preserve"> </w:t>
      </w:r>
      <w:r>
        <w:t>S</w:t>
      </w:r>
      <w:r w:rsidRPr="000B4F95">
        <w:t xml:space="preserve">ensitivity analysis – adalimumab – ankylosing spondylitis </w:t>
      </w:r>
    </w:p>
    <w:tbl>
      <w:tblPr>
        <w:tblStyle w:val="TableGrid"/>
        <w:tblW w:w="0" w:type="auto"/>
        <w:tblInd w:w="-5" w:type="dxa"/>
        <w:tblLook w:val="04A0" w:firstRow="1" w:lastRow="0" w:firstColumn="1" w:lastColumn="0" w:noHBand="0" w:noVBand="1"/>
        <w:tblCaption w:val="Sensitivity analysis – adalimumab – ankylosing spondylitis "/>
      </w:tblPr>
      <w:tblGrid>
        <w:gridCol w:w="1911"/>
        <w:gridCol w:w="1185"/>
        <w:gridCol w:w="1185"/>
        <w:gridCol w:w="1185"/>
        <w:gridCol w:w="1185"/>
        <w:gridCol w:w="1185"/>
        <w:gridCol w:w="1185"/>
      </w:tblGrid>
      <w:tr w:rsidR="00852466" w:rsidRPr="000B4F95" w14:paraId="415FC2A9" w14:textId="77777777">
        <w:tc>
          <w:tcPr>
            <w:tcW w:w="1911" w:type="dxa"/>
          </w:tcPr>
          <w:p w14:paraId="0ECD1B5B" w14:textId="77777777" w:rsidR="00852466" w:rsidRPr="000B4F95" w:rsidRDefault="00852466">
            <w:pPr>
              <w:pStyle w:val="TableText0"/>
            </w:pPr>
            <w:r w:rsidRPr="000B4F95">
              <w:t xml:space="preserve">Sensitivity analysis </w:t>
            </w:r>
          </w:p>
        </w:tc>
        <w:tc>
          <w:tcPr>
            <w:tcW w:w="1185" w:type="dxa"/>
          </w:tcPr>
          <w:p w14:paraId="6D9F2DED" w14:textId="77777777" w:rsidR="00852466" w:rsidRPr="000B4F95" w:rsidRDefault="00852466">
            <w:pPr>
              <w:pStyle w:val="TableText0"/>
            </w:pPr>
            <w:r w:rsidRPr="000B4F95">
              <w:t>Year 1 (2025)</w:t>
            </w:r>
          </w:p>
        </w:tc>
        <w:tc>
          <w:tcPr>
            <w:tcW w:w="1185" w:type="dxa"/>
          </w:tcPr>
          <w:p w14:paraId="0EB1BBF6" w14:textId="77777777" w:rsidR="00852466" w:rsidRPr="000B4F95" w:rsidRDefault="00852466">
            <w:pPr>
              <w:pStyle w:val="TableText0"/>
            </w:pPr>
            <w:r w:rsidRPr="000B4F95">
              <w:t>Year 2 (2026)</w:t>
            </w:r>
          </w:p>
        </w:tc>
        <w:tc>
          <w:tcPr>
            <w:tcW w:w="1185" w:type="dxa"/>
          </w:tcPr>
          <w:p w14:paraId="53847E58" w14:textId="77777777" w:rsidR="00852466" w:rsidRPr="000B4F95" w:rsidRDefault="00852466">
            <w:pPr>
              <w:pStyle w:val="TableText0"/>
            </w:pPr>
            <w:r w:rsidRPr="000B4F95">
              <w:t>Year 3 (2027)</w:t>
            </w:r>
          </w:p>
        </w:tc>
        <w:tc>
          <w:tcPr>
            <w:tcW w:w="1185" w:type="dxa"/>
          </w:tcPr>
          <w:p w14:paraId="1CEFD5BB" w14:textId="77777777" w:rsidR="00852466" w:rsidRPr="000B4F95" w:rsidRDefault="00852466">
            <w:pPr>
              <w:pStyle w:val="TableText0"/>
            </w:pPr>
            <w:r w:rsidRPr="000B4F95">
              <w:t>Year 4 (2028)</w:t>
            </w:r>
          </w:p>
        </w:tc>
        <w:tc>
          <w:tcPr>
            <w:tcW w:w="1185" w:type="dxa"/>
          </w:tcPr>
          <w:p w14:paraId="37E71FA8" w14:textId="77777777" w:rsidR="00852466" w:rsidRPr="000B4F95" w:rsidRDefault="00852466">
            <w:pPr>
              <w:pStyle w:val="TableText0"/>
            </w:pPr>
            <w:r w:rsidRPr="000B4F95">
              <w:t>Year 5 (2029)</w:t>
            </w:r>
          </w:p>
        </w:tc>
        <w:tc>
          <w:tcPr>
            <w:tcW w:w="1185" w:type="dxa"/>
          </w:tcPr>
          <w:p w14:paraId="38B636C4" w14:textId="77777777" w:rsidR="00852466" w:rsidRPr="000B4F95" w:rsidRDefault="00852466">
            <w:pPr>
              <w:pStyle w:val="TableText0"/>
            </w:pPr>
            <w:r w:rsidRPr="000B4F95">
              <w:t>Year 6 (2030)</w:t>
            </w:r>
          </w:p>
        </w:tc>
      </w:tr>
      <w:tr w:rsidR="00852466" w:rsidRPr="000B4F95" w14:paraId="693C013F" w14:textId="77777777">
        <w:tc>
          <w:tcPr>
            <w:tcW w:w="9021" w:type="dxa"/>
            <w:gridSpan w:val="7"/>
          </w:tcPr>
          <w:p w14:paraId="11BBB5D9" w14:textId="77777777" w:rsidR="00852466" w:rsidRPr="000B4F95" w:rsidRDefault="00852466">
            <w:pPr>
              <w:pStyle w:val="TableText0"/>
            </w:pPr>
            <w:r w:rsidRPr="000B4F95">
              <w:t>Estimated extent of use – 10% increase in prevalence</w:t>
            </w:r>
          </w:p>
        </w:tc>
      </w:tr>
      <w:tr w:rsidR="00852466" w:rsidRPr="000B4F95" w14:paraId="7313774F" w14:textId="77777777">
        <w:tc>
          <w:tcPr>
            <w:tcW w:w="9021" w:type="dxa"/>
            <w:gridSpan w:val="7"/>
          </w:tcPr>
          <w:p w14:paraId="3E08CFAA" w14:textId="77777777" w:rsidR="00852466" w:rsidRPr="000B4F95" w:rsidRDefault="00852466">
            <w:pPr>
              <w:pStyle w:val="TableText0"/>
            </w:pPr>
            <w:r w:rsidRPr="000B4F95">
              <w:t xml:space="preserve">Number of patients treated </w:t>
            </w:r>
          </w:p>
        </w:tc>
      </w:tr>
      <w:tr w:rsidR="00852466" w:rsidRPr="000B4F95" w14:paraId="2536E433" w14:textId="77777777">
        <w:tc>
          <w:tcPr>
            <w:tcW w:w="1911" w:type="dxa"/>
          </w:tcPr>
          <w:p w14:paraId="4CD507A3" w14:textId="77777777" w:rsidR="00852466" w:rsidRPr="000B4F95" w:rsidRDefault="00852466">
            <w:pPr>
              <w:pStyle w:val="TableText0"/>
            </w:pPr>
            <w:r w:rsidRPr="000B4F95">
              <w:t>Total initiating patients</w:t>
            </w:r>
          </w:p>
        </w:tc>
        <w:tc>
          <w:tcPr>
            <w:tcW w:w="1185" w:type="dxa"/>
            <w:vAlign w:val="center"/>
          </w:tcPr>
          <w:p w14:paraId="2392CE76"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2"/>
                <w14:textFill>
                  <w14:solidFill>
                    <w14:srgbClr w14:val="000000">
                      <w14:alpha w14:val="100000"/>
                    </w14:srgbClr>
                  </w14:solidFill>
                </w14:textFill>
              </w:rPr>
              <w:t xml:space="preserve">　</w:t>
            </w:r>
            <w:r w:rsidRPr="00852466">
              <w:rPr>
                <w:color w:val="000000"/>
                <w:w w:val="20"/>
                <w:shd w:val="solid" w:color="000000" w:fill="000000"/>
                <w:fitText w:val="90" w:id="-649849072"/>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2"/>
                <w14:textFill>
                  <w14:solidFill>
                    <w14:srgbClr w14:val="000000">
                      <w14:alpha w14:val="100000"/>
                    </w14:srgbClr>
                  </w14:solidFill>
                </w14:textFill>
              </w:rPr>
              <w:t xml:space="preserve">　</w:t>
            </w:r>
            <w:r w:rsidRPr="00D64D99">
              <w:rPr>
                <w:vertAlign w:val="superscript"/>
              </w:rPr>
              <w:t>1</w:t>
            </w:r>
          </w:p>
        </w:tc>
        <w:tc>
          <w:tcPr>
            <w:tcW w:w="1185" w:type="dxa"/>
            <w:vAlign w:val="center"/>
          </w:tcPr>
          <w:p w14:paraId="52073AF7"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8"/>
                <w14:textFill>
                  <w14:solidFill>
                    <w14:srgbClr w14:val="000000">
                      <w14:alpha w14:val="100000"/>
                    </w14:srgbClr>
                  </w14:solidFill>
                </w14:textFill>
              </w:rPr>
              <w:t xml:space="preserve">　</w:t>
            </w:r>
            <w:r w:rsidRPr="00852466">
              <w:rPr>
                <w:color w:val="000000"/>
                <w:w w:val="20"/>
                <w:shd w:val="solid" w:color="000000" w:fill="000000"/>
                <w:fitText w:val="90" w:id="-649849088"/>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8"/>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7A6DF51C"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7"/>
                <w14:textFill>
                  <w14:solidFill>
                    <w14:srgbClr w14:val="000000">
                      <w14:alpha w14:val="100000"/>
                    </w14:srgbClr>
                  </w14:solidFill>
                </w14:textFill>
              </w:rPr>
              <w:t xml:space="preserve">　</w:t>
            </w:r>
            <w:r w:rsidRPr="00852466">
              <w:rPr>
                <w:color w:val="000000"/>
                <w:w w:val="20"/>
                <w:shd w:val="solid" w:color="000000" w:fill="000000"/>
                <w:fitText w:val="90" w:id="-649849087"/>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7"/>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67613C24"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6"/>
                <w14:textFill>
                  <w14:solidFill>
                    <w14:srgbClr w14:val="000000">
                      <w14:alpha w14:val="100000"/>
                    </w14:srgbClr>
                  </w14:solidFill>
                </w14:textFill>
              </w:rPr>
              <w:t xml:space="preserve">　</w:t>
            </w:r>
            <w:r w:rsidRPr="00852466">
              <w:rPr>
                <w:color w:val="000000"/>
                <w:w w:val="20"/>
                <w:shd w:val="solid" w:color="000000" w:fill="000000"/>
                <w:fitText w:val="90" w:id="-649849086"/>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6"/>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184D0C6B"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5"/>
                <w14:textFill>
                  <w14:solidFill>
                    <w14:srgbClr w14:val="000000">
                      <w14:alpha w14:val="100000"/>
                    </w14:srgbClr>
                  </w14:solidFill>
                </w14:textFill>
              </w:rPr>
              <w:t xml:space="preserve">　</w:t>
            </w:r>
            <w:r w:rsidRPr="00852466">
              <w:rPr>
                <w:color w:val="000000"/>
                <w:w w:val="20"/>
                <w:shd w:val="solid" w:color="000000" w:fill="000000"/>
                <w:fitText w:val="90" w:id="-649849085"/>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5"/>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5EE22874"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4"/>
                <w14:textFill>
                  <w14:solidFill>
                    <w14:srgbClr w14:val="000000">
                      <w14:alpha w14:val="100000"/>
                    </w14:srgbClr>
                  </w14:solidFill>
                </w14:textFill>
              </w:rPr>
              <w:t xml:space="preserve">　</w:t>
            </w:r>
            <w:r w:rsidRPr="00852466">
              <w:rPr>
                <w:color w:val="000000"/>
                <w:w w:val="20"/>
                <w:shd w:val="solid" w:color="000000" w:fill="000000"/>
                <w:fitText w:val="90" w:id="-649849084"/>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4"/>
                <w14:textFill>
                  <w14:solidFill>
                    <w14:srgbClr w14:val="000000">
                      <w14:alpha w14:val="100000"/>
                    </w14:srgbClr>
                  </w14:solidFill>
                </w14:textFill>
              </w:rPr>
              <w:t xml:space="preserve">　</w:t>
            </w:r>
            <w:r w:rsidRPr="007A7879">
              <w:rPr>
                <w:vertAlign w:val="superscript"/>
              </w:rPr>
              <w:t>1</w:t>
            </w:r>
          </w:p>
        </w:tc>
      </w:tr>
      <w:tr w:rsidR="00852466" w:rsidRPr="000B4F95" w14:paraId="7E24CA58" w14:textId="77777777">
        <w:tc>
          <w:tcPr>
            <w:tcW w:w="1911" w:type="dxa"/>
          </w:tcPr>
          <w:p w14:paraId="45DD4E3F" w14:textId="77777777" w:rsidR="00852466" w:rsidRPr="000B4F95" w:rsidRDefault="00852466">
            <w:pPr>
              <w:pStyle w:val="TableText0"/>
            </w:pPr>
            <w:r w:rsidRPr="000B4F95">
              <w:t>Total continuing patients</w:t>
            </w:r>
          </w:p>
        </w:tc>
        <w:tc>
          <w:tcPr>
            <w:tcW w:w="1185" w:type="dxa"/>
            <w:vAlign w:val="center"/>
          </w:tcPr>
          <w:p w14:paraId="560F98EF"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3"/>
                <w14:textFill>
                  <w14:solidFill>
                    <w14:srgbClr w14:val="000000">
                      <w14:alpha w14:val="100000"/>
                    </w14:srgbClr>
                  </w14:solidFill>
                </w14:textFill>
              </w:rPr>
              <w:t xml:space="preserve">　</w:t>
            </w:r>
            <w:r w:rsidRPr="00852466">
              <w:rPr>
                <w:color w:val="000000"/>
                <w:w w:val="20"/>
                <w:shd w:val="solid" w:color="000000" w:fill="000000"/>
                <w:fitText w:val="90" w:id="-649849083"/>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3"/>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2F6ADEB2"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2"/>
                <w14:textFill>
                  <w14:solidFill>
                    <w14:srgbClr w14:val="000000">
                      <w14:alpha w14:val="100000"/>
                    </w14:srgbClr>
                  </w14:solidFill>
                </w14:textFill>
              </w:rPr>
              <w:t xml:space="preserve">　</w:t>
            </w:r>
            <w:r w:rsidRPr="00852466">
              <w:rPr>
                <w:color w:val="000000"/>
                <w:w w:val="20"/>
                <w:shd w:val="solid" w:color="000000" w:fill="000000"/>
                <w:fitText w:val="90" w:id="-649849082"/>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2"/>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31EE0C49"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1"/>
                <w14:textFill>
                  <w14:solidFill>
                    <w14:srgbClr w14:val="000000">
                      <w14:alpha w14:val="100000"/>
                    </w14:srgbClr>
                  </w14:solidFill>
                </w14:textFill>
              </w:rPr>
              <w:t xml:space="preserve">　</w:t>
            </w:r>
            <w:r w:rsidRPr="00852466">
              <w:rPr>
                <w:color w:val="000000"/>
                <w:w w:val="20"/>
                <w:shd w:val="solid" w:color="000000" w:fill="000000"/>
                <w:fitText w:val="90" w:id="-649849081"/>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1"/>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145A1A26"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0"/>
                <w14:textFill>
                  <w14:solidFill>
                    <w14:srgbClr w14:val="000000">
                      <w14:alpha w14:val="100000"/>
                    </w14:srgbClr>
                  </w14:solidFill>
                </w14:textFill>
              </w:rPr>
              <w:t xml:space="preserve">　</w:t>
            </w:r>
            <w:r w:rsidRPr="00852466">
              <w:rPr>
                <w:color w:val="000000"/>
                <w:w w:val="20"/>
                <w:shd w:val="solid" w:color="000000" w:fill="000000"/>
                <w:fitText w:val="90" w:id="-649849080"/>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0"/>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5FA9DE2C"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9"/>
                <w14:textFill>
                  <w14:solidFill>
                    <w14:srgbClr w14:val="000000">
                      <w14:alpha w14:val="100000"/>
                    </w14:srgbClr>
                  </w14:solidFill>
                </w14:textFill>
              </w:rPr>
              <w:t xml:space="preserve">　</w:t>
            </w:r>
            <w:r w:rsidRPr="00852466">
              <w:rPr>
                <w:color w:val="000000"/>
                <w:w w:val="20"/>
                <w:shd w:val="solid" w:color="000000" w:fill="000000"/>
                <w:fitText w:val="90" w:id="-649849079"/>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9"/>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12BD2AEF"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8"/>
                <w14:textFill>
                  <w14:solidFill>
                    <w14:srgbClr w14:val="000000">
                      <w14:alpha w14:val="100000"/>
                    </w14:srgbClr>
                  </w14:solidFill>
                </w14:textFill>
              </w:rPr>
              <w:t xml:space="preserve">　</w:t>
            </w:r>
            <w:r w:rsidRPr="00852466">
              <w:rPr>
                <w:color w:val="000000"/>
                <w:w w:val="20"/>
                <w:shd w:val="solid" w:color="000000" w:fill="000000"/>
                <w:fitText w:val="90" w:id="-649849078"/>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8"/>
                <w14:textFill>
                  <w14:solidFill>
                    <w14:srgbClr w14:val="000000">
                      <w14:alpha w14:val="100000"/>
                    </w14:srgbClr>
                  </w14:solidFill>
                </w14:textFill>
              </w:rPr>
              <w:t xml:space="preserve">　</w:t>
            </w:r>
            <w:r w:rsidRPr="007A7879">
              <w:rPr>
                <w:vertAlign w:val="superscript"/>
              </w:rPr>
              <w:t>1</w:t>
            </w:r>
          </w:p>
        </w:tc>
      </w:tr>
      <w:tr w:rsidR="00852466" w:rsidRPr="000B4F95" w14:paraId="31D9EBEF" w14:textId="77777777">
        <w:tc>
          <w:tcPr>
            <w:tcW w:w="1911" w:type="dxa"/>
          </w:tcPr>
          <w:p w14:paraId="647382A9" w14:textId="77777777" w:rsidR="00852466" w:rsidRPr="00BD0830" w:rsidRDefault="00852466">
            <w:pPr>
              <w:pStyle w:val="TableText0"/>
            </w:pPr>
            <w:r w:rsidRPr="00BD0830">
              <w:t xml:space="preserve">Net Cost to PBS/RPBS </w:t>
            </w:r>
          </w:p>
        </w:tc>
        <w:tc>
          <w:tcPr>
            <w:tcW w:w="1185" w:type="dxa"/>
          </w:tcPr>
          <w:p w14:paraId="3E686E6D" w14:textId="77777777" w:rsidR="00852466" w:rsidRPr="00D64D99" w:rsidRDefault="00852466">
            <w:pPr>
              <w:pStyle w:val="TableText0"/>
              <w:jc w:val="center"/>
              <w:rPr>
                <w:bCs w:val="0"/>
                <w:vertAlign w:val="superscript"/>
              </w:rPr>
            </w:pPr>
            <w:r w:rsidRPr="00BD0830">
              <w:t>$</w:t>
            </w:r>
            <w:r w:rsidRPr="00852466">
              <w:rPr>
                <w:rFonts w:ascii="MS Mincho" w:eastAsia="MS Mincho" w:hAnsi="MS Mincho" w:cs="MS Mincho" w:hint="eastAsia"/>
                <w:color w:val="000000"/>
                <w:w w:val="30"/>
                <w:shd w:val="solid" w:color="000000" w:fill="000000"/>
                <w:fitText w:val="135" w:id="-649849077"/>
                <w14:textFill>
                  <w14:solidFill>
                    <w14:srgbClr w14:val="000000">
                      <w14:alpha w14:val="100000"/>
                    </w14:srgbClr>
                  </w14:solidFill>
                </w14:textFill>
              </w:rPr>
              <w:t xml:space="preserve">　</w:t>
            </w:r>
            <w:r w:rsidRPr="00852466">
              <w:rPr>
                <w:color w:val="000000"/>
                <w:w w:val="30"/>
                <w:shd w:val="solid" w:color="000000" w:fill="000000"/>
                <w:fitText w:val="135" w:id="-649849077"/>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7"/>
                <w14:textFill>
                  <w14:solidFill>
                    <w14:srgbClr w14:val="000000">
                      <w14:alpha w14:val="100000"/>
                    </w14:srgbClr>
                  </w14:solidFill>
                </w14:textFill>
              </w:rPr>
              <w:t xml:space="preserve">　</w:t>
            </w:r>
            <w:r>
              <w:rPr>
                <w:vertAlign w:val="superscript"/>
              </w:rPr>
              <w:t>2</w:t>
            </w:r>
          </w:p>
        </w:tc>
        <w:tc>
          <w:tcPr>
            <w:tcW w:w="1185" w:type="dxa"/>
          </w:tcPr>
          <w:p w14:paraId="47612E0E" w14:textId="77777777" w:rsidR="00852466" w:rsidRPr="00BD0830" w:rsidRDefault="00852466">
            <w:pPr>
              <w:pStyle w:val="TableText0"/>
              <w:jc w:val="center"/>
            </w:pPr>
            <w:r w:rsidRPr="00BD0830">
              <w:t>$</w:t>
            </w:r>
            <w:r w:rsidRPr="00852466">
              <w:rPr>
                <w:rFonts w:ascii="MS Mincho" w:eastAsia="MS Mincho" w:hAnsi="MS Mincho" w:cs="MS Mincho" w:hint="eastAsia"/>
                <w:color w:val="000000"/>
                <w:w w:val="30"/>
                <w:shd w:val="solid" w:color="000000" w:fill="000000"/>
                <w:fitText w:val="135" w:id="-649849076"/>
                <w14:textFill>
                  <w14:solidFill>
                    <w14:srgbClr w14:val="000000">
                      <w14:alpha w14:val="100000"/>
                    </w14:srgbClr>
                  </w14:solidFill>
                </w14:textFill>
              </w:rPr>
              <w:t xml:space="preserve">　</w:t>
            </w:r>
            <w:r w:rsidRPr="00852466">
              <w:rPr>
                <w:color w:val="000000"/>
                <w:w w:val="30"/>
                <w:shd w:val="solid" w:color="000000" w:fill="000000"/>
                <w:fitText w:val="135" w:id="-649849076"/>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6"/>
                <w14:textFill>
                  <w14:solidFill>
                    <w14:srgbClr w14:val="000000">
                      <w14:alpha w14:val="100000"/>
                    </w14:srgbClr>
                  </w14:solidFill>
                </w14:textFill>
              </w:rPr>
              <w:t xml:space="preserve">　</w:t>
            </w:r>
            <w:r>
              <w:rPr>
                <w:vertAlign w:val="superscript"/>
              </w:rPr>
              <w:t>2</w:t>
            </w:r>
          </w:p>
        </w:tc>
        <w:tc>
          <w:tcPr>
            <w:tcW w:w="1185" w:type="dxa"/>
          </w:tcPr>
          <w:p w14:paraId="76309C7C" w14:textId="77777777" w:rsidR="00852466" w:rsidRPr="00BD0830" w:rsidRDefault="00852466">
            <w:pPr>
              <w:pStyle w:val="TableText0"/>
              <w:jc w:val="center"/>
            </w:pPr>
            <w:r w:rsidRPr="00BD0830">
              <w:t>$</w:t>
            </w:r>
            <w:r w:rsidRPr="00852466">
              <w:rPr>
                <w:rFonts w:ascii="MS Mincho" w:eastAsia="MS Mincho" w:hAnsi="MS Mincho" w:cs="MS Mincho" w:hint="eastAsia"/>
                <w:color w:val="000000"/>
                <w:w w:val="30"/>
                <w:shd w:val="solid" w:color="000000" w:fill="000000"/>
                <w:fitText w:val="135" w:id="-649849075"/>
                <w14:textFill>
                  <w14:solidFill>
                    <w14:srgbClr w14:val="000000">
                      <w14:alpha w14:val="100000"/>
                    </w14:srgbClr>
                  </w14:solidFill>
                </w14:textFill>
              </w:rPr>
              <w:t xml:space="preserve">　</w:t>
            </w:r>
            <w:r w:rsidRPr="00852466">
              <w:rPr>
                <w:color w:val="000000"/>
                <w:w w:val="30"/>
                <w:shd w:val="solid" w:color="000000" w:fill="000000"/>
                <w:fitText w:val="135" w:id="-649849075"/>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5"/>
                <w14:textFill>
                  <w14:solidFill>
                    <w14:srgbClr w14:val="000000">
                      <w14:alpha w14:val="100000"/>
                    </w14:srgbClr>
                  </w14:solidFill>
                </w14:textFill>
              </w:rPr>
              <w:t xml:space="preserve">　</w:t>
            </w:r>
            <w:r>
              <w:rPr>
                <w:vertAlign w:val="superscript"/>
              </w:rPr>
              <w:t>2</w:t>
            </w:r>
          </w:p>
        </w:tc>
        <w:tc>
          <w:tcPr>
            <w:tcW w:w="1185" w:type="dxa"/>
          </w:tcPr>
          <w:p w14:paraId="41F0333D" w14:textId="77777777" w:rsidR="00852466" w:rsidRPr="00BD0830" w:rsidRDefault="00852466">
            <w:pPr>
              <w:pStyle w:val="TableText0"/>
              <w:jc w:val="center"/>
            </w:pPr>
            <w:r w:rsidRPr="00BD0830">
              <w:t>$</w:t>
            </w:r>
            <w:r w:rsidRPr="00852466">
              <w:rPr>
                <w:rFonts w:ascii="MS Mincho" w:eastAsia="MS Mincho" w:hAnsi="MS Mincho" w:cs="MS Mincho" w:hint="eastAsia"/>
                <w:color w:val="000000"/>
                <w:w w:val="30"/>
                <w:shd w:val="solid" w:color="000000" w:fill="000000"/>
                <w:fitText w:val="135" w:id="-649849074"/>
                <w14:textFill>
                  <w14:solidFill>
                    <w14:srgbClr w14:val="000000">
                      <w14:alpha w14:val="100000"/>
                    </w14:srgbClr>
                  </w14:solidFill>
                </w14:textFill>
              </w:rPr>
              <w:t xml:space="preserve">　</w:t>
            </w:r>
            <w:r w:rsidRPr="00852466">
              <w:rPr>
                <w:color w:val="000000"/>
                <w:w w:val="30"/>
                <w:shd w:val="solid" w:color="000000" w:fill="000000"/>
                <w:fitText w:val="135" w:id="-649849074"/>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4"/>
                <w14:textFill>
                  <w14:solidFill>
                    <w14:srgbClr w14:val="000000">
                      <w14:alpha w14:val="100000"/>
                    </w14:srgbClr>
                  </w14:solidFill>
                </w14:textFill>
              </w:rPr>
              <w:t xml:space="preserve">　</w:t>
            </w:r>
            <w:r>
              <w:rPr>
                <w:vertAlign w:val="superscript"/>
              </w:rPr>
              <w:t>2</w:t>
            </w:r>
          </w:p>
        </w:tc>
        <w:tc>
          <w:tcPr>
            <w:tcW w:w="1185" w:type="dxa"/>
          </w:tcPr>
          <w:p w14:paraId="36EA7E1B" w14:textId="77777777" w:rsidR="00852466" w:rsidRPr="00BD0830" w:rsidRDefault="00852466">
            <w:pPr>
              <w:pStyle w:val="TableText0"/>
              <w:jc w:val="center"/>
            </w:pPr>
            <w:r w:rsidRPr="00BD0830">
              <w:t>$</w:t>
            </w:r>
            <w:r w:rsidRPr="00852466">
              <w:rPr>
                <w:rFonts w:ascii="MS Mincho" w:eastAsia="MS Mincho" w:hAnsi="MS Mincho" w:cs="MS Mincho" w:hint="eastAsia"/>
                <w:color w:val="000000"/>
                <w:w w:val="30"/>
                <w:shd w:val="solid" w:color="000000" w:fill="000000"/>
                <w:fitText w:val="135" w:id="-649849073"/>
                <w14:textFill>
                  <w14:solidFill>
                    <w14:srgbClr w14:val="000000">
                      <w14:alpha w14:val="100000"/>
                    </w14:srgbClr>
                  </w14:solidFill>
                </w14:textFill>
              </w:rPr>
              <w:t xml:space="preserve">　</w:t>
            </w:r>
            <w:r w:rsidRPr="00852466">
              <w:rPr>
                <w:color w:val="000000"/>
                <w:w w:val="30"/>
                <w:shd w:val="solid" w:color="000000" w:fill="000000"/>
                <w:fitText w:val="135" w:id="-649849073"/>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3"/>
                <w14:textFill>
                  <w14:solidFill>
                    <w14:srgbClr w14:val="000000">
                      <w14:alpha w14:val="100000"/>
                    </w14:srgbClr>
                  </w14:solidFill>
                </w14:textFill>
              </w:rPr>
              <w:t xml:space="preserve">　</w:t>
            </w:r>
            <w:r>
              <w:rPr>
                <w:vertAlign w:val="superscript"/>
              </w:rPr>
              <w:t>2</w:t>
            </w:r>
          </w:p>
        </w:tc>
        <w:tc>
          <w:tcPr>
            <w:tcW w:w="1185" w:type="dxa"/>
          </w:tcPr>
          <w:p w14:paraId="5CF4AE92" w14:textId="77777777" w:rsidR="00852466" w:rsidRPr="00BD0830" w:rsidRDefault="00852466">
            <w:pPr>
              <w:pStyle w:val="TableText0"/>
              <w:jc w:val="center"/>
            </w:pPr>
            <w:r w:rsidRPr="00BD0830">
              <w:t>$</w:t>
            </w:r>
            <w:r w:rsidRPr="00852466">
              <w:rPr>
                <w:rFonts w:ascii="MS Mincho" w:eastAsia="MS Mincho" w:hAnsi="MS Mincho" w:cs="MS Mincho" w:hint="eastAsia"/>
                <w:color w:val="000000"/>
                <w:w w:val="30"/>
                <w:shd w:val="solid" w:color="000000" w:fill="000000"/>
                <w:fitText w:val="135" w:id="-649849072"/>
                <w14:textFill>
                  <w14:solidFill>
                    <w14:srgbClr w14:val="000000">
                      <w14:alpha w14:val="100000"/>
                    </w14:srgbClr>
                  </w14:solidFill>
                </w14:textFill>
              </w:rPr>
              <w:t xml:space="preserve">　</w:t>
            </w:r>
            <w:r w:rsidRPr="00852466">
              <w:rPr>
                <w:color w:val="000000"/>
                <w:w w:val="30"/>
                <w:shd w:val="solid" w:color="000000" w:fill="000000"/>
                <w:fitText w:val="135" w:id="-649849072"/>
                <w14:textFill>
                  <w14:solidFill>
                    <w14:srgbClr w14:val="000000">
                      <w14:alpha w14:val="100000"/>
                    </w14:srgbClr>
                  </w14:solidFill>
                </w14:textFill>
              </w:rPr>
              <w:t>|</w:t>
            </w:r>
            <w:r w:rsidRPr="00852466">
              <w:rPr>
                <w:rFonts w:ascii="MS Mincho" w:eastAsia="MS Mincho" w:hAnsi="MS Mincho" w:cs="MS Mincho" w:hint="eastAsia"/>
                <w:color w:val="000000"/>
                <w:w w:val="30"/>
                <w:shd w:val="solid" w:color="000000" w:fill="000000"/>
                <w:fitText w:val="135" w:id="-649849072"/>
                <w14:textFill>
                  <w14:solidFill>
                    <w14:srgbClr w14:val="000000">
                      <w14:alpha w14:val="100000"/>
                    </w14:srgbClr>
                  </w14:solidFill>
                </w14:textFill>
              </w:rPr>
              <w:t xml:space="preserve">　</w:t>
            </w:r>
            <w:r>
              <w:rPr>
                <w:vertAlign w:val="superscript"/>
              </w:rPr>
              <w:t>2</w:t>
            </w:r>
          </w:p>
        </w:tc>
      </w:tr>
      <w:tr w:rsidR="00852466" w:rsidRPr="000B4F95" w14:paraId="0F807DC1" w14:textId="77777777">
        <w:tc>
          <w:tcPr>
            <w:tcW w:w="9021" w:type="dxa"/>
            <w:gridSpan w:val="7"/>
          </w:tcPr>
          <w:p w14:paraId="103D01F3" w14:textId="77777777" w:rsidR="00852466" w:rsidRPr="000B4F95" w:rsidRDefault="00852466">
            <w:pPr>
              <w:pStyle w:val="TableText0"/>
            </w:pPr>
            <w:r w:rsidRPr="000B4F95">
              <w:t xml:space="preserve">Estimated extent of use – 20% increase in prevalence </w:t>
            </w:r>
          </w:p>
        </w:tc>
      </w:tr>
      <w:tr w:rsidR="00852466" w:rsidRPr="000B4F95" w14:paraId="7254F708" w14:textId="77777777">
        <w:tc>
          <w:tcPr>
            <w:tcW w:w="9021" w:type="dxa"/>
            <w:gridSpan w:val="7"/>
          </w:tcPr>
          <w:p w14:paraId="4F650A9D" w14:textId="77777777" w:rsidR="00852466" w:rsidRPr="000B4F95" w:rsidRDefault="00852466">
            <w:pPr>
              <w:pStyle w:val="TableText0"/>
            </w:pPr>
            <w:r w:rsidRPr="000B4F95">
              <w:t>Number of patients treated</w:t>
            </w:r>
          </w:p>
        </w:tc>
      </w:tr>
      <w:tr w:rsidR="00852466" w:rsidRPr="000B4F95" w14:paraId="2678BF65" w14:textId="77777777">
        <w:tc>
          <w:tcPr>
            <w:tcW w:w="1911" w:type="dxa"/>
          </w:tcPr>
          <w:p w14:paraId="4095F17B" w14:textId="77777777" w:rsidR="00852466" w:rsidRPr="000B4F95" w:rsidRDefault="00852466">
            <w:pPr>
              <w:pStyle w:val="TableText0"/>
            </w:pPr>
            <w:r w:rsidRPr="000B4F95">
              <w:t>Total initiating patients</w:t>
            </w:r>
          </w:p>
        </w:tc>
        <w:tc>
          <w:tcPr>
            <w:tcW w:w="1185" w:type="dxa"/>
            <w:vAlign w:val="center"/>
          </w:tcPr>
          <w:p w14:paraId="535DD406"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8"/>
                <w14:textFill>
                  <w14:solidFill>
                    <w14:srgbClr w14:val="000000">
                      <w14:alpha w14:val="100000"/>
                    </w14:srgbClr>
                  </w14:solidFill>
                </w14:textFill>
              </w:rPr>
              <w:t xml:space="preserve">　</w:t>
            </w:r>
            <w:r w:rsidRPr="00852466">
              <w:rPr>
                <w:color w:val="000000"/>
                <w:w w:val="20"/>
                <w:shd w:val="solid" w:color="000000" w:fill="000000"/>
                <w:fitText w:val="90" w:id="-649849088"/>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8"/>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519BC9F0"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7"/>
                <w14:textFill>
                  <w14:solidFill>
                    <w14:srgbClr w14:val="000000">
                      <w14:alpha w14:val="100000"/>
                    </w14:srgbClr>
                  </w14:solidFill>
                </w14:textFill>
              </w:rPr>
              <w:t xml:space="preserve">　</w:t>
            </w:r>
            <w:r w:rsidRPr="00852466">
              <w:rPr>
                <w:color w:val="000000"/>
                <w:w w:val="20"/>
                <w:shd w:val="solid" w:color="000000" w:fill="000000"/>
                <w:fitText w:val="90" w:id="-649849087"/>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7"/>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609EDB45"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6"/>
                <w14:textFill>
                  <w14:solidFill>
                    <w14:srgbClr w14:val="000000">
                      <w14:alpha w14:val="100000"/>
                    </w14:srgbClr>
                  </w14:solidFill>
                </w14:textFill>
              </w:rPr>
              <w:t xml:space="preserve">　</w:t>
            </w:r>
            <w:r w:rsidRPr="00852466">
              <w:rPr>
                <w:color w:val="000000"/>
                <w:w w:val="20"/>
                <w:shd w:val="solid" w:color="000000" w:fill="000000"/>
                <w:fitText w:val="90" w:id="-649849086"/>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6"/>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494ED329"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5"/>
                <w14:textFill>
                  <w14:solidFill>
                    <w14:srgbClr w14:val="000000">
                      <w14:alpha w14:val="100000"/>
                    </w14:srgbClr>
                  </w14:solidFill>
                </w14:textFill>
              </w:rPr>
              <w:t xml:space="preserve">　</w:t>
            </w:r>
            <w:r w:rsidRPr="00852466">
              <w:rPr>
                <w:color w:val="000000"/>
                <w:w w:val="20"/>
                <w:shd w:val="solid" w:color="000000" w:fill="000000"/>
                <w:fitText w:val="90" w:id="-649849085"/>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5"/>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7007B7B7"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4"/>
                <w14:textFill>
                  <w14:solidFill>
                    <w14:srgbClr w14:val="000000">
                      <w14:alpha w14:val="100000"/>
                    </w14:srgbClr>
                  </w14:solidFill>
                </w14:textFill>
              </w:rPr>
              <w:t xml:space="preserve">　</w:t>
            </w:r>
            <w:r w:rsidRPr="00852466">
              <w:rPr>
                <w:color w:val="000000"/>
                <w:w w:val="20"/>
                <w:shd w:val="solid" w:color="000000" w:fill="000000"/>
                <w:fitText w:val="90" w:id="-649849084"/>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4"/>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731FCFED"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3"/>
                <w14:textFill>
                  <w14:solidFill>
                    <w14:srgbClr w14:val="000000">
                      <w14:alpha w14:val="100000"/>
                    </w14:srgbClr>
                  </w14:solidFill>
                </w14:textFill>
              </w:rPr>
              <w:t xml:space="preserve">　</w:t>
            </w:r>
            <w:r w:rsidRPr="00852466">
              <w:rPr>
                <w:color w:val="000000"/>
                <w:w w:val="20"/>
                <w:shd w:val="solid" w:color="000000" w:fill="000000"/>
                <w:fitText w:val="90" w:id="-649849083"/>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3"/>
                <w14:textFill>
                  <w14:solidFill>
                    <w14:srgbClr w14:val="000000">
                      <w14:alpha w14:val="100000"/>
                    </w14:srgbClr>
                  </w14:solidFill>
                </w14:textFill>
              </w:rPr>
              <w:t xml:space="preserve">　</w:t>
            </w:r>
            <w:r w:rsidRPr="007A7879">
              <w:rPr>
                <w:vertAlign w:val="superscript"/>
              </w:rPr>
              <w:t>1</w:t>
            </w:r>
          </w:p>
        </w:tc>
      </w:tr>
      <w:tr w:rsidR="00852466" w:rsidRPr="000B4F95" w14:paraId="1D070923" w14:textId="77777777">
        <w:tc>
          <w:tcPr>
            <w:tcW w:w="1911" w:type="dxa"/>
          </w:tcPr>
          <w:p w14:paraId="015348C2" w14:textId="77777777" w:rsidR="00852466" w:rsidRPr="000B4F95" w:rsidRDefault="00852466">
            <w:pPr>
              <w:pStyle w:val="TableText0"/>
            </w:pPr>
            <w:r w:rsidRPr="000B4F95">
              <w:t>Total continuing patients</w:t>
            </w:r>
          </w:p>
        </w:tc>
        <w:tc>
          <w:tcPr>
            <w:tcW w:w="1185" w:type="dxa"/>
            <w:vAlign w:val="center"/>
          </w:tcPr>
          <w:p w14:paraId="731ADD64"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2"/>
                <w14:textFill>
                  <w14:solidFill>
                    <w14:srgbClr w14:val="000000">
                      <w14:alpha w14:val="100000"/>
                    </w14:srgbClr>
                  </w14:solidFill>
                </w14:textFill>
              </w:rPr>
              <w:t xml:space="preserve">　</w:t>
            </w:r>
            <w:r w:rsidRPr="00852466">
              <w:rPr>
                <w:color w:val="000000"/>
                <w:w w:val="20"/>
                <w:shd w:val="solid" w:color="000000" w:fill="000000"/>
                <w:fitText w:val="90" w:id="-649849082"/>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2"/>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68AC37E4"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1"/>
                <w14:textFill>
                  <w14:solidFill>
                    <w14:srgbClr w14:val="000000">
                      <w14:alpha w14:val="100000"/>
                    </w14:srgbClr>
                  </w14:solidFill>
                </w14:textFill>
              </w:rPr>
              <w:t xml:space="preserve">　</w:t>
            </w:r>
            <w:r w:rsidRPr="00852466">
              <w:rPr>
                <w:color w:val="000000"/>
                <w:w w:val="20"/>
                <w:shd w:val="solid" w:color="000000" w:fill="000000"/>
                <w:fitText w:val="90" w:id="-649849081"/>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1"/>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31E9273B"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80"/>
                <w14:textFill>
                  <w14:solidFill>
                    <w14:srgbClr w14:val="000000">
                      <w14:alpha w14:val="100000"/>
                    </w14:srgbClr>
                  </w14:solidFill>
                </w14:textFill>
              </w:rPr>
              <w:t xml:space="preserve">　</w:t>
            </w:r>
            <w:r w:rsidRPr="00852466">
              <w:rPr>
                <w:color w:val="000000"/>
                <w:w w:val="20"/>
                <w:shd w:val="solid" w:color="000000" w:fill="000000"/>
                <w:fitText w:val="90" w:id="-649849080"/>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80"/>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5892D082"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9"/>
                <w14:textFill>
                  <w14:solidFill>
                    <w14:srgbClr w14:val="000000">
                      <w14:alpha w14:val="100000"/>
                    </w14:srgbClr>
                  </w14:solidFill>
                </w14:textFill>
              </w:rPr>
              <w:t xml:space="preserve">　</w:t>
            </w:r>
            <w:r w:rsidRPr="00852466">
              <w:rPr>
                <w:color w:val="000000"/>
                <w:w w:val="20"/>
                <w:shd w:val="solid" w:color="000000" w:fill="000000"/>
                <w:fitText w:val="90" w:id="-649849079"/>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9"/>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1355EF69"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8"/>
                <w14:textFill>
                  <w14:solidFill>
                    <w14:srgbClr w14:val="000000">
                      <w14:alpha w14:val="100000"/>
                    </w14:srgbClr>
                  </w14:solidFill>
                </w14:textFill>
              </w:rPr>
              <w:t xml:space="preserve">　</w:t>
            </w:r>
            <w:r w:rsidRPr="00852466">
              <w:rPr>
                <w:color w:val="000000"/>
                <w:w w:val="20"/>
                <w:shd w:val="solid" w:color="000000" w:fill="000000"/>
                <w:fitText w:val="90" w:id="-649849078"/>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8"/>
                <w14:textFill>
                  <w14:solidFill>
                    <w14:srgbClr w14:val="000000">
                      <w14:alpha w14:val="100000"/>
                    </w14:srgbClr>
                  </w14:solidFill>
                </w14:textFill>
              </w:rPr>
              <w:t xml:space="preserve">　</w:t>
            </w:r>
            <w:r w:rsidRPr="007A7879">
              <w:rPr>
                <w:vertAlign w:val="superscript"/>
              </w:rPr>
              <w:t>1</w:t>
            </w:r>
          </w:p>
        </w:tc>
        <w:tc>
          <w:tcPr>
            <w:tcW w:w="1185" w:type="dxa"/>
            <w:vAlign w:val="center"/>
          </w:tcPr>
          <w:p w14:paraId="62CE3D00" w14:textId="77777777" w:rsidR="00852466" w:rsidRPr="00D64D99" w:rsidRDefault="00852466">
            <w:pPr>
              <w:pStyle w:val="TableText0"/>
              <w:jc w:val="center"/>
              <w:rPr>
                <w:highlight w:val="darkGray"/>
              </w:rPr>
            </w:pPr>
            <w:r w:rsidRPr="00852466">
              <w:rPr>
                <w:rFonts w:ascii="MS Mincho" w:eastAsia="MS Mincho" w:hAnsi="MS Mincho" w:cs="MS Mincho" w:hint="eastAsia"/>
                <w:color w:val="000000"/>
                <w:w w:val="20"/>
                <w:shd w:val="solid" w:color="000000" w:fill="000000"/>
                <w:fitText w:val="90" w:id="-649849077"/>
                <w14:textFill>
                  <w14:solidFill>
                    <w14:srgbClr w14:val="000000">
                      <w14:alpha w14:val="100000"/>
                    </w14:srgbClr>
                  </w14:solidFill>
                </w14:textFill>
              </w:rPr>
              <w:t xml:space="preserve">　</w:t>
            </w:r>
            <w:r w:rsidRPr="00852466">
              <w:rPr>
                <w:color w:val="000000"/>
                <w:w w:val="20"/>
                <w:shd w:val="solid" w:color="000000" w:fill="000000"/>
                <w:fitText w:val="90" w:id="-649849077"/>
                <w14:textFill>
                  <w14:solidFill>
                    <w14:srgbClr w14:val="000000">
                      <w14:alpha w14:val="100000"/>
                    </w14:srgbClr>
                  </w14:solidFill>
                </w14:textFill>
              </w:rPr>
              <w:t>|</w:t>
            </w:r>
            <w:r w:rsidRPr="00852466">
              <w:rPr>
                <w:rFonts w:ascii="MS Mincho" w:eastAsia="MS Mincho" w:hAnsi="MS Mincho" w:cs="MS Mincho" w:hint="eastAsia"/>
                <w:color w:val="000000"/>
                <w:spacing w:val="3"/>
                <w:w w:val="20"/>
                <w:shd w:val="solid" w:color="000000" w:fill="000000"/>
                <w:fitText w:val="90" w:id="-649849077"/>
                <w14:textFill>
                  <w14:solidFill>
                    <w14:srgbClr w14:val="000000">
                      <w14:alpha w14:val="100000"/>
                    </w14:srgbClr>
                  </w14:solidFill>
                </w14:textFill>
              </w:rPr>
              <w:t xml:space="preserve">　</w:t>
            </w:r>
            <w:r w:rsidRPr="007A7879">
              <w:rPr>
                <w:vertAlign w:val="superscript"/>
              </w:rPr>
              <w:t>1</w:t>
            </w:r>
          </w:p>
        </w:tc>
      </w:tr>
      <w:tr w:rsidR="00852466" w:rsidRPr="000B4F95" w14:paraId="1E135CA9" w14:textId="77777777">
        <w:tc>
          <w:tcPr>
            <w:tcW w:w="1911" w:type="dxa"/>
          </w:tcPr>
          <w:p w14:paraId="31F638EA" w14:textId="77777777" w:rsidR="00852466" w:rsidRPr="000B4F95" w:rsidRDefault="00852466">
            <w:pPr>
              <w:pStyle w:val="TableText0"/>
            </w:pPr>
            <w:r w:rsidRPr="000B4F95">
              <w:t xml:space="preserve">Net Cost to PBS/RPBS </w:t>
            </w:r>
          </w:p>
        </w:tc>
        <w:tc>
          <w:tcPr>
            <w:tcW w:w="1185" w:type="dxa"/>
          </w:tcPr>
          <w:p w14:paraId="4DF2417F"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76"/>
                <w14:textFill>
                  <w14:solidFill>
                    <w14:srgbClr w14:val="000000">
                      <w14:alpha w14:val="100000"/>
                    </w14:srgbClr>
                  </w14:solidFill>
                </w14:textFill>
              </w:rPr>
              <w:t xml:space="preserve">　</w:t>
            </w:r>
            <w:r w:rsidRPr="00852466">
              <w:rPr>
                <w:color w:val="000000"/>
                <w:w w:val="30"/>
                <w:shd w:val="solid" w:color="000000" w:fill="000000"/>
                <w:fitText w:val="135" w:id="-649849076"/>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6"/>
                <w14:textFill>
                  <w14:solidFill>
                    <w14:srgbClr w14:val="000000">
                      <w14:alpha w14:val="100000"/>
                    </w14:srgbClr>
                  </w14:solidFill>
                </w14:textFill>
              </w:rPr>
              <w:t xml:space="preserve">　</w:t>
            </w:r>
            <w:r>
              <w:rPr>
                <w:vertAlign w:val="superscript"/>
              </w:rPr>
              <w:t>2</w:t>
            </w:r>
          </w:p>
        </w:tc>
        <w:tc>
          <w:tcPr>
            <w:tcW w:w="1185" w:type="dxa"/>
          </w:tcPr>
          <w:p w14:paraId="61C792D4"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75"/>
                <w14:textFill>
                  <w14:solidFill>
                    <w14:srgbClr w14:val="000000">
                      <w14:alpha w14:val="100000"/>
                    </w14:srgbClr>
                  </w14:solidFill>
                </w14:textFill>
              </w:rPr>
              <w:t xml:space="preserve">　</w:t>
            </w:r>
            <w:r w:rsidRPr="00852466">
              <w:rPr>
                <w:color w:val="000000"/>
                <w:w w:val="30"/>
                <w:shd w:val="solid" w:color="000000" w:fill="000000"/>
                <w:fitText w:val="135" w:id="-649849075"/>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5"/>
                <w14:textFill>
                  <w14:solidFill>
                    <w14:srgbClr w14:val="000000">
                      <w14:alpha w14:val="100000"/>
                    </w14:srgbClr>
                  </w14:solidFill>
                </w14:textFill>
              </w:rPr>
              <w:t xml:space="preserve">　</w:t>
            </w:r>
            <w:r>
              <w:rPr>
                <w:vertAlign w:val="superscript"/>
              </w:rPr>
              <w:t>2</w:t>
            </w:r>
          </w:p>
        </w:tc>
        <w:tc>
          <w:tcPr>
            <w:tcW w:w="1185" w:type="dxa"/>
          </w:tcPr>
          <w:p w14:paraId="4058CC39"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74"/>
                <w14:textFill>
                  <w14:solidFill>
                    <w14:srgbClr w14:val="000000">
                      <w14:alpha w14:val="100000"/>
                    </w14:srgbClr>
                  </w14:solidFill>
                </w14:textFill>
              </w:rPr>
              <w:t xml:space="preserve">　</w:t>
            </w:r>
            <w:r w:rsidRPr="00852466">
              <w:rPr>
                <w:color w:val="000000"/>
                <w:w w:val="30"/>
                <w:shd w:val="solid" w:color="000000" w:fill="000000"/>
                <w:fitText w:val="135" w:id="-649849074"/>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4"/>
                <w14:textFill>
                  <w14:solidFill>
                    <w14:srgbClr w14:val="000000">
                      <w14:alpha w14:val="100000"/>
                    </w14:srgbClr>
                  </w14:solidFill>
                </w14:textFill>
              </w:rPr>
              <w:t xml:space="preserve">　</w:t>
            </w:r>
            <w:r>
              <w:rPr>
                <w:vertAlign w:val="superscript"/>
              </w:rPr>
              <w:t>2</w:t>
            </w:r>
          </w:p>
        </w:tc>
        <w:tc>
          <w:tcPr>
            <w:tcW w:w="1185" w:type="dxa"/>
          </w:tcPr>
          <w:p w14:paraId="299F6E31"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73"/>
                <w14:textFill>
                  <w14:solidFill>
                    <w14:srgbClr w14:val="000000">
                      <w14:alpha w14:val="100000"/>
                    </w14:srgbClr>
                  </w14:solidFill>
                </w14:textFill>
              </w:rPr>
              <w:t xml:space="preserve">　</w:t>
            </w:r>
            <w:r w:rsidRPr="00852466">
              <w:rPr>
                <w:color w:val="000000"/>
                <w:w w:val="30"/>
                <w:shd w:val="solid" w:color="000000" w:fill="000000"/>
                <w:fitText w:val="135" w:id="-649849073"/>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3"/>
                <w14:textFill>
                  <w14:solidFill>
                    <w14:srgbClr w14:val="000000">
                      <w14:alpha w14:val="100000"/>
                    </w14:srgbClr>
                  </w14:solidFill>
                </w14:textFill>
              </w:rPr>
              <w:t xml:space="preserve">　</w:t>
            </w:r>
            <w:r>
              <w:rPr>
                <w:vertAlign w:val="superscript"/>
              </w:rPr>
              <w:t>2</w:t>
            </w:r>
          </w:p>
        </w:tc>
        <w:tc>
          <w:tcPr>
            <w:tcW w:w="1185" w:type="dxa"/>
          </w:tcPr>
          <w:p w14:paraId="64530C37"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72"/>
                <w14:textFill>
                  <w14:solidFill>
                    <w14:srgbClr w14:val="000000">
                      <w14:alpha w14:val="100000"/>
                    </w14:srgbClr>
                  </w14:solidFill>
                </w14:textFill>
              </w:rPr>
              <w:t xml:space="preserve">　</w:t>
            </w:r>
            <w:r w:rsidRPr="00852466">
              <w:rPr>
                <w:color w:val="000000"/>
                <w:w w:val="30"/>
                <w:shd w:val="solid" w:color="000000" w:fill="000000"/>
                <w:fitText w:val="135" w:id="-649849072"/>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72"/>
                <w14:textFill>
                  <w14:solidFill>
                    <w14:srgbClr w14:val="000000">
                      <w14:alpha w14:val="100000"/>
                    </w14:srgbClr>
                  </w14:solidFill>
                </w14:textFill>
              </w:rPr>
              <w:t xml:space="preserve">　</w:t>
            </w:r>
            <w:r>
              <w:rPr>
                <w:vertAlign w:val="superscript"/>
              </w:rPr>
              <w:t>2</w:t>
            </w:r>
          </w:p>
        </w:tc>
        <w:tc>
          <w:tcPr>
            <w:tcW w:w="1185" w:type="dxa"/>
          </w:tcPr>
          <w:p w14:paraId="61087F95" w14:textId="77777777" w:rsidR="00852466" w:rsidRPr="000B4F95" w:rsidRDefault="00852466">
            <w:pPr>
              <w:pStyle w:val="TableText0"/>
              <w:jc w:val="center"/>
            </w:pPr>
            <w:r w:rsidRPr="000B4F95">
              <w:t>$</w:t>
            </w:r>
            <w:r w:rsidRPr="00852466">
              <w:rPr>
                <w:rFonts w:ascii="MS Mincho" w:eastAsia="MS Mincho" w:hAnsi="MS Mincho" w:cs="MS Mincho" w:hint="eastAsia"/>
                <w:color w:val="000000"/>
                <w:w w:val="30"/>
                <w:shd w:val="solid" w:color="000000" w:fill="000000"/>
                <w:fitText w:val="135" w:id="-649849088"/>
                <w14:textFill>
                  <w14:solidFill>
                    <w14:srgbClr w14:val="000000">
                      <w14:alpha w14:val="100000"/>
                    </w14:srgbClr>
                  </w14:solidFill>
                </w14:textFill>
              </w:rPr>
              <w:t xml:space="preserve">　</w:t>
            </w:r>
            <w:r w:rsidRPr="00852466">
              <w:rPr>
                <w:color w:val="000000"/>
                <w:w w:val="30"/>
                <w:shd w:val="solid" w:color="000000" w:fill="000000"/>
                <w:fitText w:val="135" w:id="-649849088"/>
                <w14:textFill>
                  <w14:solidFill>
                    <w14:srgbClr w14:val="000000">
                      <w14:alpha w14:val="100000"/>
                    </w14:srgbClr>
                  </w14:solidFill>
                </w14:textFill>
              </w:rPr>
              <w:t>|</w:t>
            </w:r>
            <w:r w:rsidRPr="00852466">
              <w:rPr>
                <w:rFonts w:ascii="MS Mincho" w:eastAsia="MS Mincho" w:hAnsi="MS Mincho" w:cs="MS Mincho" w:hint="eastAsia"/>
                <w:color w:val="000000"/>
                <w:spacing w:val="3"/>
                <w:w w:val="30"/>
                <w:shd w:val="solid" w:color="000000" w:fill="000000"/>
                <w:fitText w:val="135" w:id="-649849088"/>
                <w14:textFill>
                  <w14:solidFill>
                    <w14:srgbClr w14:val="000000">
                      <w14:alpha w14:val="100000"/>
                    </w14:srgbClr>
                  </w14:solidFill>
                </w14:textFill>
              </w:rPr>
              <w:t xml:space="preserve">　</w:t>
            </w:r>
            <w:r>
              <w:rPr>
                <w:vertAlign w:val="superscript"/>
              </w:rPr>
              <w:t>2</w:t>
            </w:r>
          </w:p>
        </w:tc>
      </w:tr>
    </w:tbl>
    <w:p w14:paraId="67D67797" w14:textId="77777777" w:rsidR="00852466" w:rsidRDefault="00852466" w:rsidP="00852466">
      <w:pPr>
        <w:pStyle w:val="TableFigureFooter"/>
      </w:pPr>
      <w:r w:rsidRPr="00EC377A">
        <w:t>PBS = Pharmaceutical Benefits Scheme; RPBS = Repatriation Pharmaceutical Benefits Scheme</w:t>
      </w:r>
    </w:p>
    <w:p w14:paraId="29B6BE8A" w14:textId="77777777" w:rsidR="00852466" w:rsidRDefault="00852466" w:rsidP="00852466">
      <w:pPr>
        <w:pStyle w:val="TableFigureFooter"/>
      </w:pPr>
      <w:r w:rsidRPr="009A6D58">
        <w:t>The redacted values correspond to the following ranges:</w:t>
      </w:r>
    </w:p>
    <w:p w14:paraId="62B87013" w14:textId="77777777" w:rsidR="00852466" w:rsidRPr="00B74537" w:rsidRDefault="00852466" w:rsidP="00852466">
      <w:pPr>
        <w:pStyle w:val="TableFigureFooter"/>
        <w:rPr>
          <w:i/>
          <w:iCs/>
        </w:rPr>
      </w:pPr>
      <w:r w:rsidRPr="00B74537">
        <w:rPr>
          <w:i/>
          <w:iCs/>
          <w:vertAlign w:val="superscript"/>
        </w:rPr>
        <w:t>1</w:t>
      </w:r>
      <w:r w:rsidRPr="00B74537">
        <w:rPr>
          <w:i/>
          <w:iCs/>
        </w:rPr>
        <w:t xml:space="preserve"> </w:t>
      </w:r>
      <w:r w:rsidRPr="00D64D99">
        <w:rPr>
          <w:i/>
          <w:iCs/>
        </w:rPr>
        <w:t>&lt; 500</w:t>
      </w:r>
    </w:p>
    <w:p w14:paraId="58B06EBB" w14:textId="77777777" w:rsidR="00852466" w:rsidRPr="00EC377A" w:rsidRDefault="00852466" w:rsidP="00852466">
      <w:pPr>
        <w:pStyle w:val="TableFigureFooter"/>
      </w:pPr>
      <w:r w:rsidRPr="00B74537">
        <w:rPr>
          <w:i/>
          <w:iCs/>
          <w:vertAlign w:val="superscript"/>
        </w:rPr>
        <w:t>2</w:t>
      </w:r>
      <w:r w:rsidRPr="00B74537">
        <w:rPr>
          <w:i/>
          <w:iCs/>
        </w:rPr>
        <w:t xml:space="preserve"> </w:t>
      </w:r>
      <w:r w:rsidRPr="00D64D99">
        <w:rPr>
          <w:i/>
          <w:iCs/>
        </w:rPr>
        <w:t>$0 to &lt; $10 million</w:t>
      </w:r>
    </w:p>
    <w:p w14:paraId="0394D002" w14:textId="77777777" w:rsidR="00852466" w:rsidRDefault="00852466" w:rsidP="00852466">
      <w:pPr>
        <w:pStyle w:val="4-SubsectionHeading"/>
      </w:pPr>
      <w:r>
        <w:t>Moderate to severe ulcerative colitis</w:t>
      </w:r>
    </w:p>
    <w:p w14:paraId="7EFC888E" w14:textId="77777777" w:rsidR="00852466" w:rsidRDefault="00852466" w:rsidP="00852466">
      <w:pPr>
        <w:pStyle w:val="3-BodyText"/>
        <w:numPr>
          <w:ilvl w:val="1"/>
          <w:numId w:val="2"/>
        </w:numPr>
        <w:spacing w:before="120"/>
      </w:pPr>
      <w:r>
        <w:t>A market share approach was used to estimate the additional financial impact for allowing dose escalation/dose flexibility of adalimumab for paediatric patients receiving treatment for ulcerative colitis. The sources of data used in the financial estimates are summarised in Table 12 below. Financial estimates are summarised in Table 13.</w:t>
      </w:r>
    </w:p>
    <w:p w14:paraId="390FB9C1" w14:textId="77777777" w:rsidR="00852466" w:rsidRPr="00584248" w:rsidRDefault="00852466" w:rsidP="00852466">
      <w:pPr>
        <w:pStyle w:val="3-BodyText"/>
        <w:numPr>
          <w:ilvl w:val="1"/>
          <w:numId w:val="2"/>
        </w:numPr>
        <w:spacing w:before="120"/>
      </w:pPr>
      <w:r>
        <w:t>Induction dosing of adalimumab for the treatment of ulcerative colitis occurs at week 0 and week 2. The financial estimates model the additional cost to the PBS of allowing flexible dosing from weeks 3 to 16 of treatment. Flexible dosing is permitted under the current adalimumab PBS item codes for continuing therapy of ulcerative colitis (after week 16 of treatment).</w:t>
      </w:r>
    </w:p>
    <w:p w14:paraId="2B55F8DB" w14:textId="77777777" w:rsidR="00852466" w:rsidRPr="00DF470E" w:rsidRDefault="00852466" w:rsidP="00852466">
      <w:pPr>
        <w:pStyle w:val="TableFigureHeading"/>
      </w:pPr>
      <w:r w:rsidRPr="00DF470E">
        <w:t xml:space="preserve">Table </w:t>
      </w:r>
      <w:r>
        <w:t xml:space="preserve">12: </w:t>
      </w:r>
      <w:r w:rsidRPr="00DF470E">
        <w:t>Key inputs for financial estimates – adalimumab – ulcerative colitis (flexible dosing)</w:t>
      </w:r>
    </w:p>
    <w:tbl>
      <w:tblPr>
        <w:tblStyle w:val="TableGrid"/>
        <w:tblW w:w="0" w:type="auto"/>
        <w:tblInd w:w="-5" w:type="dxa"/>
        <w:tblLook w:val="04A0" w:firstRow="1" w:lastRow="0" w:firstColumn="1" w:lastColumn="0" w:noHBand="0" w:noVBand="1"/>
        <w:tblCaption w:val="Key inputs for financial estimates – adalimumab – ulcerative colitis (flexible dosing)"/>
      </w:tblPr>
      <w:tblGrid>
        <w:gridCol w:w="2127"/>
        <w:gridCol w:w="6894"/>
      </w:tblGrid>
      <w:tr w:rsidR="00852466" w:rsidRPr="00927B62" w14:paraId="45ACFCB0" w14:textId="77777777">
        <w:tc>
          <w:tcPr>
            <w:tcW w:w="2127" w:type="dxa"/>
          </w:tcPr>
          <w:p w14:paraId="1C38B7F0" w14:textId="77777777" w:rsidR="00852466" w:rsidRPr="00E3305C" w:rsidRDefault="00852466">
            <w:pPr>
              <w:pStyle w:val="In-tableHeading"/>
            </w:pPr>
            <w:r w:rsidRPr="00E3305C">
              <w:t>Parameter</w:t>
            </w:r>
          </w:p>
        </w:tc>
        <w:tc>
          <w:tcPr>
            <w:tcW w:w="6894" w:type="dxa"/>
          </w:tcPr>
          <w:p w14:paraId="46F52583" w14:textId="77777777" w:rsidR="00852466" w:rsidRPr="00E3305C" w:rsidRDefault="00852466">
            <w:pPr>
              <w:pStyle w:val="In-tableHeading"/>
            </w:pPr>
            <w:r w:rsidRPr="00E3305C">
              <w:t>Value and source</w:t>
            </w:r>
          </w:p>
        </w:tc>
      </w:tr>
      <w:tr w:rsidR="00852466" w:rsidRPr="00927B62" w14:paraId="1D9DC5C0" w14:textId="77777777">
        <w:tc>
          <w:tcPr>
            <w:tcW w:w="2127" w:type="dxa"/>
          </w:tcPr>
          <w:p w14:paraId="1866CD92" w14:textId="77777777" w:rsidR="00852466" w:rsidRPr="00927B62" w:rsidRDefault="00852466">
            <w:pPr>
              <w:pStyle w:val="TableText0"/>
            </w:pPr>
            <w:r>
              <w:t xml:space="preserve">Population </w:t>
            </w:r>
          </w:p>
        </w:tc>
        <w:tc>
          <w:tcPr>
            <w:tcW w:w="6894" w:type="dxa"/>
          </w:tcPr>
          <w:p w14:paraId="3AE92784" w14:textId="77777777" w:rsidR="00852466" w:rsidRPr="00927B62" w:rsidRDefault="00852466">
            <w:pPr>
              <w:pStyle w:val="TableText0"/>
            </w:pPr>
            <w:r>
              <w:t>50% of patients (current market) will require dose escalation. Based on advice from clinical stakeholders.</w:t>
            </w:r>
          </w:p>
        </w:tc>
      </w:tr>
      <w:tr w:rsidR="00852466" w:rsidRPr="00927B62" w14:paraId="4B8C6081" w14:textId="77777777">
        <w:tc>
          <w:tcPr>
            <w:tcW w:w="2127" w:type="dxa"/>
          </w:tcPr>
          <w:p w14:paraId="48B82593" w14:textId="77777777" w:rsidR="00852466" w:rsidRDefault="00852466">
            <w:pPr>
              <w:pStyle w:val="TableText0"/>
            </w:pPr>
            <w:r>
              <w:t>Prescription volume</w:t>
            </w:r>
          </w:p>
        </w:tc>
        <w:tc>
          <w:tcPr>
            <w:tcW w:w="6894" w:type="dxa"/>
          </w:tcPr>
          <w:p w14:paraId="5B865589" w14:textId="77777777" w:rsidR="00852466" w:rsidRDefault="00852466">
            <w:pPr>
              <w:pStyle w:val="TableText0"/>
            </w:pPr>
            <w:r>
              <w:t>Current prescription volumes for initiation item codes (sourced from Medicare statistics).</w:t>
            </w:r>
          </w:p>
        </w:tc>
      </w:tr>
      <w:tr w:rsidR="00852466" w:rsidRPr="00927B62" w14:paraId="52D32049" w14:textId="77777777">
        <w:tc>
          <w:tcPr>
            <w:tcW w:w="2127" w:type="dxa"/>
          </w:tcPr>
          <w:p w14:paraId="635F18BE" w14:textId="77777777" w:rsidR="00852466" w:rsidRPr="00927B62" w:rsidRDefault="00852466">
            <w:pPr>
              <w:pStyle w:val="TableText0"/>
            </w:pPr>
            <w:r>
              <w:t>Dose and treatment duration</w:t>
            </w:r>
          </w:p>
        </w:tc>
        <w:tc>
          <w:tcPr>
            <w:tcW w:w="6894" w:type="dxa"/>
          </w:tcPr>
          <w:p w14:paraId="52450FBB" w14:textId="77777777" w:rsidR="00852466" w:rsidRDefault="00852466">
            <w:pPr>
              <w:pStyle w:val="TableText0"/>
            </w:pPr>
            <w:r>
              <w:t>Dose escalations of either 20 mg weekly or 40 mg weekly, depending on patient weight, from weeks 3 to 16 of treatment.</w:t>
            </w:r>
          </w:p>
          <w:p w14:paraId="3E79698D" w14:textId="77777777" w:rsidR="00852466" w:rsidRPr="00927B62" w:rsidRDefault="00852466">
            <w:pPr>
              <w:pStyle w:val="TableText0"/>
            </w:pPr>
            <w:r>
              <w:t>Dose escalations of 40 mg weekly or 20 mg weekly, depending on patient weight, are already permitted under the current continuing therapy listings for adalimumab for the treatment of ulcerative colitis.</w:t>
            </w:r>
          </w:p>
        </w:tc>
      </w:tr>
      <w:tr w:rsidR="00852466" w14:paraId="4A6F2C89" w14:textId="77777777">
        <w:tc>
          <w:tcPr>
            <w:tcW w:w="2127" w:type="dxa"/>
          </w:tcPr>
          <w:p w14:paraId="088A771A" w14:textId="77777777" w:rsidR="00852466" w:rsidRDefault="00852466">
            <w:pPr>
              <w:pStyle w:val="TableText0"/>
            </w:pPr>
            <w:r>
              <w:t>Cost</w:t>
            </w:r>
          </w:p>
        </w:tc>
        <w:tc>
          <w:tcPr>
            <w:tcW w:w="6894" w:type="dxa"/>
          </w:tcPr>
          <w:p w14:paraId="4307C71C" w14:textId="77777777" w:rsidR="00852466" w:rsidRPr="004259EE" w:rsidRDefault="00852466">
            <w:pPr>
              <w:pStyle w:val="TableText0"/>
              <w:rPr>
                <w:color w:val="000000"/>
                <w:szCs w:val="20"/>
              </w:rPr>
            </w:pPr>
            <w:r w:rsidRPr="00C363B5">
              <w:rPr>
                <w:color w:val="000000"/>
                <w:szCs w:val="20"/>
              </w:rPr>
              <w:t xml:space="preserve">Adalimumab weekly dose 20mg – Initiating – AEMP </w:t>
            </w:r>
            <w:r w:rsidRPr="004259EE">
              <w:rPr>
                <w:color w:val="000000"/>
                <w:szCs w:val="20"/>
              </w:rPr>
              <w:t>$</w:t>
            </w:r>
            <w:r w:rsidRPr="001846A3">
              <w:rPr>
                <w:color w:val="000000"/>
                <w:szCs w:val="20"/>
              </w:rPr>
              <w:t>567.42</w:t>
            </w:r>
            <w:r w:rsidRPr="004259EE">
              <w:rPr>
                <w:color w:val="000000"/>
                <w:szCs w:val="20"/>
              </w:rPr>
              <w:t>, DPMQ $</w:t>
            </w:r>
            <w:r w:rsidRPr="001846A3">
              <w:rPr>
                <w:color w:val="000000"/>
                <w:szCs w:val="20"/>
              </w:rPr>
              <w:t>649.05</w:t>
            </w:r>
            <w:r w:rsidRPr="004259EE">
              <w:rPr>
                <w:color w:val="000000"/>
                <w:szCs w:val="20"/>
              </w:rPr>
              <w:t>.</w:t>
            </w:r>
          </w:p>
          <w:p w14:paraId="1C6E4C86" w14:textId="77777777" w:rsidR="00852466" w:rsidRPr="004259EE" w:rsidRDefault="00852466">
            <w:pPr>
              <w:pStyle w:val="TableText0"/>
              <w:rPr>
                <w:color w:val="000000"/>
                <w:szCs w:val="20"/>
              </w:rPr>
            </w:pPr>
          </w:p>
          <w:p w14:paraId="4E7A71DE" w14:textId="77777777" w:rsidR="00852466" w:rsidRDefault="00852466">
            <w:pPr>
              <w:pStyle w:val="TableText0"/>
              <w:rPr>
                <w:szCs w:val="20"/>
              </w:rPr>
            </w:pPr>
            <w:r w:rsidRPr="004259EE">
              <w:rPr>
                <w:color w:val="000000"/>
                <w:szCs w:val="20"/>
              </w:rPr>
              <w:t>Adalimumab weekly dose 40mg – Initiating – AEMP $</w:t>
            </w:r>
            <w:r w:rsidRPr="001846A3">
              <w:rPr>
                <w:color w:val="000000"/>
                <w:szCs w:val="20"/>
              </w:rPr>
              <w:t>505.95</w:t>
            </w:r>
            <w:r w:rsidRPr="004259EE">
              <w:rPr>
                <w:color w:val="000000"/>
                <w:szCs w:val="20"/>
              </w:rPr>
              <w:t>, DPMQ $</w:t>
            </w:r>
            <w:r w:rsidRPr="001846A3">
              <w:rPr>
                <w:color w:val="000000"/>
                <w:szCs w:val="20"/>
              </w:rPr>
              <w:t>558.66</w:t>
            </w:r>
          </w:p>
        </w:tc>
      </w:tr>
    </w:tbl>
    <w:p w14:paraId="260C6A46" w14:textId="77777777" w:rsidR="00852466" w:rsidRPr="00EC377A" w:rsidRDefault="00852466" w:rsidP="00852466">
      <w:pPr>
        <w:pStyle w:val="TableFigureFooter"/>
      </w:pPr>
      <w:r w:rsidRPr="00EC377A">
        <w:t>AEMP = approved ex-manufacturer price; DPMQ = Dispensed price for maximum quantity</w:t>
      </w:r>
    </w:p>
    <w:p w14:paraId="4555C57D" w14:textId="77777777" w:rsidR="00852466" w:rsidRPr="00DF470E" w:rsidRDefault="00852466" w:rsidP="00852466">
      <w:pPr>
        <w:pStyle w:val="TableFigureHeading"/>
      </w:pPr>
      <w:r w:rsidRPr="00DF470E">
        <w:t xml:space="preserve">Table </w:t>
      </w:r>
      <w:r>
        <w:t xml:space="preserve">13: </w:t>
      </w:r>
      <w:r w:rsidRPr="00DF470E">
        <w:t>Financial estimates – Adalimumab – ulcerative colitis</w:t>
      </w:r>
      <w:r>
        <w:t xml:space="preserve"> (flexible dosing)</w:t>
      </w:r>
    </w:p>
    <w:tbl>
      <w:tblPr>
        <w:tblStyle w:val="TableGrid"/>
        <w:tblW w:w="0" w:type="auto"/>
        <w:tblInd w:w="-5" w:type="dxa"/>
        <w:tblLayout w:type="fixed"/>
        <w:tblLook w:val="04A0" w:firstRow="1" w:lastRow="0" w:firstColumn="1" w:lastColumn="0" w:noHBand="0" w:noVBand="1"/>
        <w:tblCaption w:val="Financial estimates – Adalimumab – ulcerative colitis (flexible dosing)"/>
      </w:tblPr>
      <w:tblGrid>
        <w:gridCol w:w="2694"/>
        <w:gridCol w:w="1054"/>
        <w:gridCol w:w="1055"/>
        <w:gridCol w:w="1054"/>
        <w:gridCol w:w="1055"/>
        <w:gridCol w:w="1054"/>
        <w:gridCol w:w="1055"/>
      </w:tblGrid>
      <w:tr w:rsidR="00852466" w14:paraId="3C8AA631" w14:textId="77777777">
        <w:tc>
          <w:tcPr>
            <w:tcW w:w="2694" w:type="dxa"/>
          </w:tcPr>
          <w:p w14:paraId="06861FE2" w14:textId="77777777" w:rsidR="00852466" w:rsidRPr="00DF470E" w:rsidRDefault="00852466">
            <w:pPr>
              <w:pStyle w:val="TableText0"/>
            </w:pPr>
          </w:p>
        </w:tc>
        <w:tc>
          <w:tcPr>
            <w:tcW w:w="1054" w:type="dxa"/>
          </w:tcPr>
          <w:p w14:paraId="6281E1EA" w14:textId="77777777" w:rsidR="00852466" w:rsidRPr="00A45CF6" w:rsidRDefault="00852466">
            <w:pPr>
              <w:pStyle w:val="TableText0"/>
            </w:pPr>
            <w:r w:rsidRPr="00A45CF6">
              <w:t>Year 1 (2025)</w:t>
            </w:r>
          </w:p>
        </w:tc>
        <w:tc>
          <w:tcPr>
            <w:tcW w:w="1055" w:type="dxa"/>
          </w:tcPr>
          <w:p w14:paraId="2BC4AC6B" w14:textId="77777777" w:rsidR="00852466" w:rsidRPr="00A45CF6" w:rsidRDefault="00852466">
            <w:pPr>
              <w:pStyle w:val="TableText0"/>
            </w:pPr>
            <w:r w:rsidRPr="00A45CF6">
              <w:t>Year 2 (2026)</w:t>
            </w:r>
          </w:p>
        </w:tc>
        <w:tc>
          <w:tcPr>
            <w:tcW w:w="1054" w:type="dxa"/>
          </w:tcPr>
          <w:p w14:paraId="3317599E" w14:textId="77777777" w:rsidR="00852466" w:rsidRPr="00A45CF6" w:rsidRDefault="00852466">
            <w:pPr>
              <w:pStyle w:val="TableText0"/>
            </w:pPr>
            <w:r w:rsidRPr="00A45CF6">
              <w:t>Year 3 (2027)</w:t>
            </w:r>
          </w:p>
        </w:tc>
        <w:tc>
          <w:tcPr>
            <w:tcW w:w="1055" w:type="dxa"/>
          </w:tcPr>
          <w:p w14:paraId="21D5C696" w14:textId="77777777" w:rsidR="00852466" w:rsidRPr="00A45CF6" w:rsidRDefault="00852466">
            <w:pPr>
              <w:pStyle w:val="TableText0"/>
            </w:pPr>
            <w:r w:rsidRPr="00A45CF6">
              <w:t>Year 4 (2028)</w:t>
            </w:r>
          </w:p>
        </w:tc>
        <w:tc>
          <w:tcPr>
            <w:tcW w:w="1054" w:type="dxa"/>
          </w:tcPr>
          <w:p w14:paraId="21302736" w14:textId="77777777" w:rsidR="00852466" w:rsidRPr="00A45CF6" w:rsidRDefault="00852466">
            <w:pPr>
              <w:pStyle w:val="TableText0"/>
            </w:pPr>
            <w:r w:rsidRPr="00A45CF6">
              <w:t>Year 5 (2029)</w:t>
            </w:r>
          </w:p>
        </w:tc>
        <w:tc>
          <w:tcPr>
            <w:tcW w:w="1055" w:type="dxa"/>
          </w:tcPr>
          <w:p w14:paraId="4F5CF75E" w14:textId="77777777" w:rsidR="00852466" w:rsidRPr="00A45CF6" w:rsidRDefault="00852466">
            <w:pPr>
              <w:pStyle w:val="TableText0"/>
            </w:pPr>
            <w:r w:rsidRPr="00A45CF6">
              <w:t>Year 6 (2030)</w:t>
            </w:r>
          </w:p>
        </w:tc>
      </w:tr>
      <w:tr w:rsidR="00852466" w14:paraId="311A1D84" w14:textId="77777777">
        <w:tc>
          <w:tcPr>
            <w:tcW w:w="9021" w:type="dxa"/>
            <w:gridSpan w:val="7"/>
          </w:tcPr>
          <w:p w14:paraId="2E1685DC" w14:textId="77777777" w:rsidR="00852466" w:rsidRPr="00DF470E" w:rsidRDefault="00852466">
            <w:pPr>
              <w:pStyle w:val="TableText0"/>
            </w:pPr>
            <w:r w:rsidRPr="00DF470E">
              <w:t>Estimated extent of use</w:t>
            </w:r>
          </w:p>
        </w:tc>
      </w:tr>
      <w:tr w:rsidR="00852466" w14:paraId="463FDAA2" w14:textId="77777777">
        <w:tc>
          <w:tcPr>
            <w:tcW w:w="9021" w:type="dxa"/>
            <w:gridSpan w:val="7"/>
          </w:tcPr>
          <w:p w14:paraId="51EB2D90" w14:textId="77777777" w:rsidR="00852466" w:rsidRPr="00DF470E" w:rsidRDefault="00852466">
            <w:pPr>
              <w:pStyle w:val="TableText0"/>
            </w:pPr>
            <w:r w:rsidRPr="00DF470E">
              <w:t>Number of prescriptions dispensed</w:t>
            </w:r>
          </w:p>
        </w:tc>
      </w:tr>
      <w:tr w:rsidR="00852466" w14:paraId="7CA5232A" w14:textId="77777777">
        <w:tc>
          <w:tcPr>
            <w:tcW w:w="2694" w:type="dxa"/>
          </w:tcPr>
          <w:p w14:paraId="1AB35338" w14:textId="77777777" w:rsidR="00852466" w:rsidRPr="00DF470E" w:rsidRDefault="00852466">
            <w:pPr>
              <w:pStyle w:val="TableText0"/>
            </w:pPr>
            <w:r w:rsidRPr="00DF470E">
              <w:t>Adalimumab weekly dose 20</w:t>
            </w:r>
            <w:r>
              <w:t> </w:t>
            </w:r>
            <w:r w:rsidRPr="00DF470E">
              <w:t xml:space="preserve">mg </w:t>
            </w:r>
            <w:r>
              <w:t>–</w:t>
            </w:r>
            <w:r w:rsidRPr="00DF470E">
              <w:t xml:space="preserve"> Initiating</w:t>
            </w:r>
          </w:p>
        </w:tc>
        <w:tc>
          <w:tcPr>
            <w:tcW w:w="1054" w:type="dxa"/>
          </w:tcPr>
          <w:p w14:paraId="6C8C4111" w14:textId="77777777" w:rsidR="00852466" w:rsidRPr="00DF470E" w:rsidRDefault="00852466">
            <w:pPr>
              <w:pStyle w:val="TableText0"/>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1</w:t>
            </w:r>
            <w:r w:rsidRPr="00DF470E">
              <w:t xml:space="preserve"> </w:t>
            </w:r>
          </w:p>
        </w:tc>
        <w:tc>
          <w:tcPr>
            <w:tcW w:w="1055" w:type="dxa"/>
          </w:tcPr>
          <w:p w14:paraId="5BA90C14" w14:textId="77777777" w:rsidR="00852466" w:rsidRPr="00DF470E" w:rsidRDefault="00852466">
            <w:pPr>
              <w:pStyle w:val="TableText0"/>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1</w:t>
            </w:r>
            <w:r w:rsidRPr="00DF470E">
              <w:t xml:space="preserve"> </w:t>
            </w:r>
          </w:p>
        </w:tc>
        <w:tc>
          <w:tcPr>
            <w:tcW w:w="1054" w:type="dxa"/>
          </w:tcPr>
          <w:p w14:paraId="7F415279" w14:textId="77777777" w:rsidR="00852466" w:rsidRPr="00DF470E" w:rsidRDefault="00852466">
            <w:pPr>
              <w:pStyle w:val="TableText0"/>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1</w:t>
            </w:r>
            <w:r w:rsidRPr="00DF470E">
              <w:t xml:space="preserve"> </w:t>
            </w:r>
          </w:p>
        </w:tc>
        <w:tc>
          <w:tcPr>
            <w:tcW w:w="1055" w:type="dxa"/>
          </w:tcPr>
          <w:p w14:paraId="0805EBCA" w14:textId="77777777" w:rsidR="00852466" w:rsidRPr="00DF470E" w:rsidRDefault="00852466">
            <w:pPr>
              <w:pStyle w:val="TableText0"/>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1</w:t>
            </w:r>
            <w:r w:rsidRPr="00DF470E">
              <w:t xml:space="preserve"> </w:t>
            </w:r>
          </w:p>
        </w:tc>
        <w:tc>
          <w:tcPr>
            <w:tcW w:w="1054" w:type="dxa"/>
          </w:tcPr>
          <w:p w14:paraId="6633535C" w14:textId="77777777" w:rsidR="00852466" w:rsidRPr="00DF470E" w:rsidRDefault="00852466">
            <w:pPr>
              <w:pStyle w:val="TableText0"/>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1</w:t>
            </w:r>
            <w:r w:rsidRPr="00DF470E">
              <w:t xml:space="preserve"> </w:t>
            </w:r>
          </w:p>
        </w:tc>
        <w:tc>
          <w:tcPr>
            <w:tcW w:w="1055" w:type="dxa"/>
          </w:tcPr>
          <w:p w14:paraId="5A11EC5A" w14:textId="77777777" w:rsidR="00852466" w:rsidRPr="00DF470E" w:rsidRDefault="00852466">
            <w:pPr>
              <w:pStyle w:val="TableText0"/>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1</w:t>
            </w:r>
            <w:r w:rsidRPr="00DF470E">
              <w:t xml:space="preserve"> </w:t>
            </w:r>
          </w:p>
        </w:tc>
      </w:tr>
      <w:tr w:rsidR="00852466" w14:paraId="42AF4BB4" w14:textId="77777777">
        <w:tc>
          <w:tcPr>
            <w:tcW w:w="2694" w:type="dxa"/>
          </w:tcPr>
          <w:p w14:paraId="664306BB" w14:textId="77777777" w:rsidR="00852466" w:rsidRPr="00DF470E" w:rsidRDefault="00852466">
            <w:pPr>
              <w:pStyle w:val="TableText0"/>
            </w:pPr>
            <w:r w:rsidRPr="00DF470E">
              <w:t>Adalimumab weekly dose 40</w:t>
            </w:r>
            <w:r>
              <w:t> </w:t>
            </w:r>
            <w:r w:rsidRPr="00DF470E">
              <w:t>mg - Initiating</w:t>
            </w:r>
          </w:p>
        </w:tc>
        <w:tc>
          <w:tcPr>
            <w:tcW w:w="1054" w:type="dxa"/>
          </w:tcPr>
          <w:p w14:paraId="3466132B" w14:textId="77777777" w:rsidR="00852466" w:rsidRPr="00DF470E" w:rsidRDefault="00852466">
            <w:pPr>
              <w:pStyle w:val="TableText0"/>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2</w:t>
            </w:r>
            <w:r w:rsidRPr="00DF470E">
              <w:t xml:space="preserve"> </w:t>
            </w:r>
          </w:p>
        </w:tc>
        <w:tc>
          <w:tcPr>
            <w:tcW w:w="1055" w:type="dxa"/>
          </w:tcPr>
          <w:p w14:paraId="4AFA2D4A" w14:textId="77777777" w:rsidR="00852466" w:rsidRPr="00B417F2" w:rsidRDefault="00852466">
            <w:pPr>
              <w:pStyle w:val="TableText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2</w:t>
            </w:r>
            <w:r w:rsidRPr="00A46567">
              <w:t xml:space="preserve"> </w:t>
            </w:r>
          </w:p>
        </w:tc>
        <w:tc>
          <w:tcPr>
            <w:tcW w:w="1054" w:type="dxa"/>
          </w:tcPr>
          <w:p w14:paraId="7AA85376" w14:textId="77777777" w:rsidR="00852466" w:rsidRPr="00B417F2" w:rsidRDefault="00852466">
            <w:pPr>
              <w:pStyle w:val="TableText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2</w:t>
            </w:r>
            <w:r w:rsidRPr="00A46567">
              <w:t xml:space="preserve"> </w:t>
            </w:r>
          </w:p>
        </w:tc>
        <w:tc>
          <w:tcPr>
            <w:tcW w:w="1055" w:type="dxa"/>
          </w:tcPr>
          <w:p w14:paraId="2696BF12" w14:textId="77777777" w:rsidR="00852466" w:rsidRPr="00B417F2" w:rsidRDefault="00852466">
            <w:pPr>
              <w:pStyle w:val="TableText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2</w:t>
            </w:r>
            <w:r w:rsidRPr="00A46567">
              <w:t xml:space="preserve"> </w:t>
            </w:r>
          </w:p>
        </w:tc>
        <w:tc>
          <w:tcPr>
            <w:tcW w:w="1054" w:type="dxa"/>
          </w:tcPr>
          <w:p w14:paraId="002CC9EB" w14:textId="77777777" w:rsidR="00852466" w:rsidRPr="00B417F2" w:rsidRDefault="00852466">
            <w:pPr>
              <w:pStyle w:val="TableText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2</w:t>
            </w:r>
            <w:r w:rsidRPr="00A46567">
              <w:t xml:space="preserve"> </w:t>
            </w:r>
          </w:p>
        </w:tc>
        <w:tc>
          <w:tcPr>
            <w:tcW w:w="1055" w:type="dxa"/>
          </w:tcPr>
          <w:p w14:paraId="514AEE93" w14:textId="77777777" w:rsidR="00852466" w:rsidRPr="00B417F2" w:rsidRDefault="00852466">
            <w:pPr>
              <w:pStyle w:val="TableText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2</w:t>
            </w:r>
          </w:p>
        </w:tc>
      </w:tr>
      <w:tr w:rsidR="00852466" w14:paraId="4A5A66C9" w14:textId="77777777">
        <w:tc>
          <w:tcPr>
            <w:tcW w:w="2694" w:type="dxa"/>
            <w:vAlign w:val="center"/>
          </w:tcPr>
          <w:p w14:paraId="59F8197F" w14:textId="77777777" w:rsidR="00852466" w:rsidRPr="00DF470E" w:rsidRDefault="00852466">
            <w:pPr>
              <w:pStyle w:val="TableText0"/>
            </w:pPr>
            <w:r w:rsidRPr="00DF470E">
              <w:t>Total</w:t>
            </w:r>
          </w:p>
        </w:tc>
        <w:tc>
          <w:tcPr>
            <w:tcW w:w="1054" w:type="dxa"/>
            <w:vAlign w:val="center"/>
          </w:tcPr>
          <w:p w14:paraId="1DF70690" w14:textId="77777777" w:rsidR="00852466" w:rsidRPr="00B417F2" w:rsidRDefault="00852466">
            <w:pPr>
              <w:pStyle w:val="TableText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1</w:t>
            </w:r>
            <w:r w:rsidRPr="00A46567">
              <w:t xml:space="preserve"> </w:t>
            </w:r>
          </w:p>
        </w:tc>
        <w:tc>
          <w:tcPr>
            <w:tcW w:w="1055" w:type="dxa"/>
            <w:vAlign w:val="center"/>
          </w:tcPr>
          <w:p w14:paraId="28C38B98" w14:textId="77777777" w:rsidR="00852466" w:rsidRPr="00B417F2" w:rsidRDefault="00852466">
            <w:pPr>
              <w:pStyle w:val="TableText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1</w:t>
            </w:r>
            <w:r w:rsidRPr="00A46567">
              <w:t xml:space="preserve"> </w:t>
            </w:r>
          </w:p>
        </w:tc>
        <w:tc>
          <w:tcPr>
            <w:tcW w:w="1054" w:type="dxa"/>
            <w:vAlign w:val="center"/>
          </w:tcPr>
          <w:p w14:paraId="70CF126B" w14:textId="77777777" w:rsidR="00852466" w:rsidRPr="00B417F2" w:rsidRDefault="00852466">
            <w:pPr>
              <w:pStyle w:val="TableText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1</w:t>
            </w:r>
            <w:r w:rsidRPr="00A46567">
              <w:t xml:space="preserve"> </w:t>
            </w:r>
          </w:p>
        </w:tc>
        <w:tc>
          <w:tcPr>
            <w:tcW w:w="1055" w:type="dxa"/>
            <w:vAlign w:val="center"/>
          </w:tcPr>
          <w:p w14:paraId="530288A8" w14:textId="77777777" w:rsidR="00852466" w:rsidRPr="00B417F2" w:rsidRDefault="00852466">
            <w:pPr>
              <w:pStyle w:val="TableText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1</w:t>
            </w:r>
            <w:r w:rsidRPr="00A46567">
              <w:t xml:space="preserve"> </w:t>
            </w:r>
          </w:p>
        </w:tc>
        <w:tc>
          <w:tcPr>
            <w:tcW w:w="1054" w:type="dxa"/>
            <w:vAlign w:val="center"/>
          </w:tcPr>
          <w:p w14:paraId="2341838D" w14:textId="77777777" w:rsidR="00852466" w:rsidRPr="00B417F2" w:rsidRDefault="00852466">
            <w:pPr>
              <w:pStyle w:val="TableText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1</w:t>
            </w:r>
            <w:r w:rsidRPr="00A46567">
              <w:t xml:space="preserve"> </w:t>
            </w:r>
          </w:p>
        </w:tc>
        <w:tc>
          <w:tcPr>
            <w:tcW w:w="1055" w:type="dxa"/>
            <w:vAlign w:val="center"/>
          </w:tcPr>
          <w:p w14:paraId="23608EFE" w14:textId="77777777" w:rsidR="00852466" w:rsidRPr="00B417F2" w:rsidRDefault="00852466">
            <w:pPr>
              <w:pStyle w:val="TableText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1</w:t>
            </w:r>
            <w:r w:rsidRPr="00A46567">
              <w:t xml:space="preserve"> </w:t>
            </w:r>
          </w:p>
        </w:tc>
      </w:tr>
      <w:tr w:rsidR="00852466" w14:paraId="1523BD9A" w14:textId="77777777">
        <w:tc>
          <w:tcPr>
            <w:tcW w:w="9021" w:type="dxa"/>
            <w:gridSpan w:val="7"/>
          </w:tcPr>
          <w:p w14:paraId="092615EC" w14:textId="77777777" w:rsidR="00852466" w:rsidRPr="00DF470E" w:rsidRDefault="00852466">
            <w:pPr>
              <w:pStyle w:val="TableText0"/>
            </w:pPr>
            <w:r w:rsidRPr="00DF470E">
              <w:t>Estimated financial implications</w:t>
            </w:r>
          </w:p>
        </w:tc>
      </w:tr>
      <w:tr w:rsidR="00852466" w14:paraId="0C3AD62B" w14:textId="77777777">
        <w:tc>
          <w:tcPr>
            <w:tcW w:w="2694" w:type="dxa"/>
          </w:tcPr>
          <w:p w14:paraId="172D7FA2" w14:textId="77777777" w:rsidR="00852466" w:rsidRPr="00DF470E" w:rsidRDefault="00852466">
            <w:pPr>
              <w:pStyle w:val="TableText0"/>
            </w:pPr>
            <w:r w:rsidRPr="00DF470E">
              <w:t>Cost to PBS/RPBS less co-payments</w:t>
            </w:r>
          </w:p>
        </w:tc>
        <w:tc>
          <w:tcPr>
            <w:tcW w:w="1054" w:type="dxa"/>
          </w:tcPr>
          <w:p w14:paraId="478636A7" w14:textId="77777777" w:rsidR="00852466" w:rsidRPr="00B417F2" w:rsidRDefault="00852466">
            <w:pPr>
              <w:pStyle w:val="TableText0"/>
              <w:rPr>
                <w:vertAlign w:val="superscript"/>
              </w:rPr>
            </w:pPr>
            <w:r w:rsidRPr="00DF470E">
              <w:t>$</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3</w:t>
            </w:r>
          </w:p>
        </w:tc>
        <w:tc>
          <w:tcPr>
            <w:tcW w:w="1055" w:type="dxa"/>
          </w:tcPr>
          <w:p w14:paraId="02EB857B" w14:textId="77777777" w:rsidR="00852466" w:rsidRPr="00DF470E" w:rsidRDefault="00852466">
            <w:pPr>
              <w:pStyle w:val="TableText0"/>
            </w:pPr>
            <w:r w:rsidRPr="00DF470E">
              <w:t>$</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3</w:t>
            </w:r>
          </w:p>
        </w:tc>
        <w:tc>
          <w:tcPr>
            <w:tcW w:w="1054" w:type="dxa"/>
          </w:tcPr>
          <w:p w14:paraId="206C66E0" w14:textId="77777777" w:rsidR="00852466" w:rsidRPr="00DF470E" w:rsidRDefault="00852466">
            <w:pPr>
              <w:pStyle w:val="TableText0"/>
            </w:pPr>
            <w:r w:rsidRPr="00DF470E">
              <w:t>$</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3</w:t>
            </w:r>
          </w:p>
        </w:tc>
        <w:tc>
          <w:tcPr>
            <w:tcW w:w="1055" w:type="dxa"/>
          </w:tcPr>
          <w:p w14:paraId="79B352C6" w14:textId="77777777" w:rsidR="00852466" w:rsidRPr="00DF470E" w:rsidRDefault="00852466">
            <w:pPr>
              <w:pStyle w:val="TableText0"/>
            </w:pPr>
            <w:r w:rsidRPr="00DF470E">
              <w:t>$</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3</w:t>
            </w:r>
          </w:p>
        </w:tc>
        <w:tc>
          <w:tcPr>
            <w:tcW w:w="1054" w:type="dxa"/>
          </w:tcPr>
          <w:p w14:paraId="6F7B7DFF" w14:textId="77777777" w:rsidR="00852466" w:rsidRPr="00DF470E" w:rsidRDefault="00852466">
            <w:pPr>
              <w:pStyle w:val="TableText0"/>
            </w:pPr>
            <w:r w:rsidRPr="00DF470E">
              <w:t>$</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3</w:t>
            </w:r>
          </w:p>
        </w:tc>
        <w:tc>
          <w:tcPr>
            <w:tcW w:w="1055" w:type="dxa"/>
          </w:tcPr>
          <w:p w14:paraId="6F9D9A71" w14:textId="77777777" w:rsidR="00852466" w:rsidRPr="00DF470E" w:rsidRDefault="00852466">
            <w:pPr>
              <w:pStyle w:val="TableText0"/>
            </w:pPr>
            <w:r w:rsidRPr="00DF470E">
              <w:t>$</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3</w:t>
            </w:r>
          </w:p>
        </w:tc>
      </w:tr>
      <w:tr w:rsidR="00852466" w14:paraId="37B5F084" w14:textId="77777777">
        <w:tc>
          <w:tcPr>
            <w:tcW w:w="2694" w:type="dxa"/>
          </w:tcPr>
          <w:p w14:paraId="4836DF80" w14:textId="77777777" w:rsidR="00852466" w:rsidRPr="00DF470E" w:rsidRDefault="00852466">
            <w:pPr>
              <w:pStyle w:val="TableText0"/>
            </w:pPr>
            <w:r w:rsidRPr="00DF470E">
              <w:t>Cost to PBS/RPBS changed listing</w:t>
            </w:r>
          </w:p>
        </w:tc>
        <w:tc>
          <w:tcPr>
            <w:tcW w:w="1054" w:type="dxa"/>
          </w:tcPr>
          <w:p w14:paraId="7C290DF5" w14:textId="77777777" w:rsidR="00852466" w:rsidRPr="00DF470E" w:rsidRDefault="00852466">
            <w:pPr>
              <w:pStyle w:val="TableText0"/>
            </w:pPr>
            <w:r w:rsidRPr="00DF470E">
              <w:t>-$</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3</w:t>
            </w:r>
          </w:p>
        </w:tc>
        <w:tc>
          <w:tcPr>
            <w:tcW w:w="1055" w:type="dxa"/>
          </w:tcPr>
          <w:p w14:paraId="4E0975C0" w14:textId="77777777" w:rsidR="00852466" w:rsidRPr="00DF470E" w:rsidRDefault="00852466">
            <w:pPr>
              <w:pStyle w:val="TableText0"/>
            </w:pPr>
            <w:r w:rsidRPr="00DF470E">
              <w:t>-$</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3</w:t>
            </w:r>
          </w:p>
        </w:tc>
        <w:tc>
          <w:tcPr>
            <w:tcW w:w="1054" w:type="dxa"/>
          </w:tcPr>
          <w:p w14:paraId="5BF7296E" w14:textId="77777777" w:rsidR="00852466" w:rsidRPr="00DF470E" w:rsidRDefault="00852466">
            <w:pPr>
              <w:pStyle w:val="TableText0"/>
            </w:pPr>
            <w:r w:rsidRPr="00DF470E">
              <w:t>-$</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3</w:t>
            </w:r>
          </w:p>
        </w:tc>
        <w:tc>
          <w:tcPr>
            <w:tcW w:w="1055" w:type="dxa"/>
          </w:tcPr>
          <w:p w14:paraId="33FD4345" w14:textId="77777777" w:rsidR="00852466" w:rsidRPr="00DF470E" w:rsidRDefault="00852466">
            <w:pPr>
              <w:pStyle w:val="TableText0"/>
            </w:pPr>
            <w:r w:rsidRPr="00DF470E">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3</w:t>
            </w:r>
          </w:p>
        </w:tc>
        <w:tc>
          <w:tcPr>
            <w:tcW w:w="1054" w:type="dxa"/>
          </w:tcPr>
          <w:p w14:paraId="160A6D89" w14:textId="77777777" w:rsidR="00852466" w:rsidRPr="00DF470E" w:rsidRDefault="00852466">
            <w:pPr>
              <w:pStyle w:val="TableText0"/>
            </w:pPr>
            <w:r w:rsidRPr="00DF470E">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3</w:t>
            </w:r>
          </w:p>
        </w:tc>
        <w:tc>
          <w:tcPr>
            <w:tcW w:w="1055" w:type="dxa"/>
          </w:tcPr>
          <w:p w14:paraId="2918CE7A" w14:textId="77777777" w:rsidR="00852466" w:rsidRPr="00DF470E" w:rsidRDefault="00852466">
            <w:pPr>
              <w:pStyle w:val="TableText0"/>
            </w:pPr>
            <w:r w:rsidRPr="00DF470E">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3</w:t>
            </w:r>
          </w:p>
        </w:tc>
      </w:tr>
      <w:tr w:rsidR="00852466" w14:paraId="165D8D92" w14:textId="77777777">
        <w:tc>
          <w:tcPr>
            <w:tcW w:w="2694" w:type="dxa"/>
          </w:tcPr>
          <w:p w14:paraId="59D8DBC2" w14:textId="77777777" w:rsidR="00852466" w:rsidRPr="00166DCB" w:rsidRDefault="00852466">
            <w:pPr>
              <w:pStyle w:val="TableText0"/>
            </w:pPr>
            <w:r w:rsidRPr="00166DCB">
              <w:t xml:space="preserve">Net Cost to PBS/RPBS </w:t>
            </w:r>
          </w:p>
        </w:tc>
        <w:tc>
          <w:tcPr>
            <w:tcW w:w="1054" w:type="dxa"/>
            <w:vAlign w:val="center"/>
          </w:tcPr>
          <w:p w14:paraId="6F737937" w14:textId="77777777" w:rsidR="00852466" w:rsidRPr="00166DCB" w:rsidRDefault="00852466">
            <w:pPr>
              <w:pStyle w:val="TableText0"/>
            </w:pPr>
            <w:r w:rsidRPr="00166DCB">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3</w:t>
            </w:r>
          </w:p>
        </w:tc>
        <w:tc>
          <w:tcPr>
            <w:tcW w:w="1055" w:type="dxa"/>
            <w:vAlign w:val="center"/>
          </w:tcPr>
          <w:p w14:paraId="3BFE27B8" w14:textId="77777777" w:rsidR="00852466" w:rsidRPr="00166DCB" w:rsidRDefault="00852466">
            <w:pPr>
              <w:pStyle w:val="TableText0"/>
            </w:pPr>
            <w:r w:rsidRPr="00166DCB">
              <w:t>$</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3</w:t>
            </w:r>
          </w:p>
        </w:tc>
        <w:tc>
          <w:tcPr>
            <w:tcW w:w="1054" w:type="dxa"/>
            <w:vAlign w:val="center"/>
          </w:tcPr>
          <w:p w14:paraId="204697AF" w14:textId="77777777" w:rsidR="00852466" w:rsidRPr="00166DCB" w:rsidRDefault="00852466">
            <w:pPr>
              <w:pStyle w:val="TableText0"/>
            </w:pPr>
            <w:r w:rsidRPr="00166DCB">
              <w:t>$</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3</w:t>
            </w:r>
          </w:p>
        </w:tc>
        <w:tc>
          <w:tcPr>
            <w:tcW w:w="1055" w:type="dxa"/>
            <w:vAlign w:val="center"/>
          </w:tcPr>
          <w:p w14:paraId="4F35E63F" w14:textId="77777777" w:rsidR="00852466" w:rsidRPr="00166DCB" w:rsidRDefault="00852466">
            <w:pPr>
              <w:pStyle w:val="TableText0"/>
            </w:pPr>
            <w:r w:rsidRPr="00166DCB">
              <w:t>$</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3</w:t>
            </w:r>
          </w:p>
        </w:tc>
        <w:tc>
          <w:tcPr>
            <w:tcW w:w="1054" w:type="dxa"/>
            <w:vAlign w:val="center"/>
          </w:tcPr>
          <w:p w14:paraId="61CED846" w14:textId="77777777" w:rsidR="00852466" w:rsidRPr="00166DCB" w:rsidRDefault="00852466">
            <w:pPr>
              <w:pStyle w:val="TableText0"/>
            </w:pPr>
            <w:r w:rsidRPr="00166DCB">
              <w:t>$</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3</w:t>
            </w:r>
          </w:p>
        </w:tc>
        <w:tc>
          <w:tcPr>
            <w:tcW w:w="1055" w:type="dxa"/>
            <w:vAlign w:val="center"/>
          </w:tcPr>
          <w:p w14:paraId="574BEA04" w14:textId="77777777" w:rsidR="00852466" w:rsidRPr="00166DCB" w:rsidRDefault="00852466">
            <w:pPr>
              <w:pStyle w:val="TableText0"/>
            </w:pPr>
            <w:r w:rsidRPr="00166DCB">
              <w:t>$</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3</w:t>
            </w:r>
          </w:p>
        </w:tc>
      </w:tr>
    </w:tbl>
    <w:p w14:paraId="1E0CE605" w14:textId="77777777" w:rsidR="00852466" w:rsidRDefault="00852466" w:rsidP="00852466">
      <w:pPr>
        <w:pStyle w:val="TableFigureFooter"/>
      </w:pPr>
      <w:r>
        <w:t>PBS = Pharmaceutical Benefits Scheme; RPBS = Repatriation Pharmaceutical Benefits Scheme</w:t>
      </w:r>
    </w:p>
    <w:p w14:paraId="6FE10855" w14:textId="77777777" w:rsidR="00852466" w:rsidRDefault="00852466" w:rsidP="00852466">
      <w:pPr>
        <w:pStyle w:val="TableFigureFooter"/>
        <w:rPr>
          <w:i/>
          <w:szCs w:val="18"/>
        </w:rPr>
      </w:pPr>
      <w:r w:rsidRPr="004259EE">
        <w:rPr>
          <w:i/>
          <w:szCs w:val="18"/>
        </w:rPr>
        <w:t>The redacted values correspond to the following ranges:</w:t>
      </w:r>
    </w:p>
    <w:p w14:paraId="27099FC3" w14:textId="77777777" w:rsidR="00852466" w:rsidRPr="004259EE" w:rsidRDefault="00852466" w:rsidP="00852466">
      <w:pPr>
        <w:pStyle w:val="TableFigureFooter"/>
        <w:rPr>
          <w:i/>
        </w:rPr>
      </w:pPr>
      <w:r w:rsidRPr="004259EE">
        <w:rPr>
          <w:i/>
          <w:szCs w:val="18"/>
          <w:vertAlign w:val="superscript"/>
        </w:rPr>
        <w:t>1</w:t>
      </w:r>
      <w:r w:rsidRPr="004259EE">
        <w:rPr>
          <w:i/>
          <w:szCs w:val="18"/>
        </w:rPr>
        <w:t xml:space="preserve"> </w:t>
      </w:r>
      <w:r w:rsidRPr="004259EE">
        <w:rPr>
          <w:i/>
        </w:rPr>
        <w:t>500 to &lt; 5,000</w:t>
      </w:r>
    </w:p>
    <w:p w14:paraId="3742D17C" w14:textId="77777777" w:rsidR="00852466" w:rsidRPr="004259EE" w:rsidRDefault="00852466" w:rsidP="00852466">
      <w:pPr>
        <w:pStyle w:val="TableFigureFooter"/>
        <w:rPr>
          <w:i/>
        </w:rPr>
      </w:pPr>
      <w:r w:rsidRPr="004259EE">
        <w:rPr>
          <w:i/>
          <w:szCs w:val="18"/>
          <w:vertAlign w:val="superscript"/>
        </w:rPr>
        <w:t>2</w:t>
      </w:r>
      <w:r w:rsidRPr="004259EE">
        <w:rPr>
          <w:i/>
          <w:szCs w:val="18"/>
        </w:rPr>
        <w:t xml:space="preserve"> </w:t>
      </w:r>
      <w:bookmarkStart w:id="6" w:name="_Hlk113629054"/>
      <w:r w:rsidRPr="004259EE">
        <w:rPr>
          <w:i/>
        </w:rPr>
        <w:t>&lt; 500</w:t>
      </w:r>
      <w:bookmarkEnd w:id="6"/>
    </w:p>
    <w:p w14:paraId="196B4D21" w14:textId="77777777" w:rsidR="00852466" w:rsidRDefault="00852466" w:rsidP="00852466">
      <w:pPr>
        <w:pStyle w:val="TableFigureFooter"/>
      </w:pPr>
      <w:r w:rsidRPr="004259EE">
        <w:rPr>
          <w:i/>
          <w:szCs w:val="18"/>
          <w:vertAlign w:val="superscript"/>
        </w:rPr>
        <w:t xml:space="preserve">3  </w:t>
      </w:r>
      <w:r w:rsidRPr="004259EE">
        <w:rPr>
          <w:i/>
        </w:rPr>
        <w:t>$0 to &lt; $10 million</w:t>
      </w:r>
    </w:p>
    <w:p w14:paraId="447A9E9D" w14:textId="77777777" w:rsidR="00852466" w:rsidRDefault="00852466" w:rsidP="00852466">
      <w:pPr>
        <w:pStyle w:val="3-BodyText"/>
        <w:numPr>
          <w:ilvl w:val="1"/>
          <w:numId w:val="2"/>
        </w:numPr>
        <w:spacing w:before="120"/>
      </w:pPr>
      <w:r>
        <w:t>The total net additional cost to the PBS/RPBS for a change to the PBS listing to allow flexible dosing in weeks 3 to 16 of treatment was estimated to be $0 to &lt; $10 million  in year 6, and a net cost of $0 to &lt; $10 million in the first 6 years of listing.</w:t>
      </w:r>
    </w:p>
    <w:p w14:paraId="2F23CCA5" w14:textId="77777777" w:rsidR="00852466" w:rsidRDefault="00852466" w:rsidP="00852466">
      <w:pPr>
        <w:pStyle w:val="4-SubsectionHeading"/>
      </w:pPr>
      <w:r>
        <w:t>Severe Crohn disease</w:t>
      </w:r>
    </w:p>
    <w:p w14:paraId="0B6EA718" w14:textId="77777777" w:rsidR="00852466" w:rsidRPr="00584248" w:rsidRDefault="00852466" w:rsidP="00852466">
      <w:pPr>
        <w:pStyle w:val="3-BodyText"/>
        <w:numPr>
          <w:ilvl w:val="1"/>
          <w:numId w:val="2"/>
        </w:numPr>
        <w:spacing w:before="120"/>
      </w:pPr>
      <w:r>
        <w:t>A mixed approach (market share and epidemiological approach) was used to model the impact of the proposed changes to the PBS listings for adalimumab for the treatment of paediatric patients with severe Crohn disease. The sources of data used in the financial estimates are summarised in Table 14 below. Financial estimates are summarised in Table 15. Sensitivity analyses were performed altering the percentage of patients with extensive small bowel disease to 3% and 20%. The impact on the financial estimates is show in Table 16.</w:t>
      </w:r>
    </w:p>
    <w:p w14:paraId="2F0CEC55" w14:textId="77777777" w:rsidR="00852466" w:rsidRPr="008E702F" w:rsidRDefault="00852466" w:rsidP="00852466">
      <w:pPr>
        <w:pStyle w:val="TableFigureHeading"/>
      </w:pPr>
      <w:r w:rsidRPr="008E702F">
        <w:t xml:space="preserve">Table </w:t>
      </w:r>
      <w:r>
        <w:t xml:space="preserve">14: </w:t>
      </w:r>
      <w:r w:rsidRPr="008E702F">
        <w:t>Key inputs for financial estimates – adalimumab – severe Crohn disease</w:t>
      </w:r>
    </w:p>
    <w:tbl>
      <w:tblPr>
        <w:tblStyle w:val="TableGrid"/>
        <w:tblW w:w="0" w:type="auto"/>
        <w:tblInd w:w="-5" w:type="dxa"/>
        <w:tblLook w:val="04A0" w:firstRow="1" w:lastRow="0" w:firstColumn="1" w:lastColumn="0" w:noHBand="0" w:noVBand="1"/>
        <w:tblCaption w:val="Key inputs for financial estimates – adalimumab – severe Crohn disease"/>
      </w:tblPr>
      <w:tblGrid>
        <w:gridCol w:w="1843"/>
        <w:gridCol w:w="7178"/>
      </w:tblGrid>
      <w:tr w:rsidR="00852466" w:rsidRPr="00927B62" w14:paraId="1A89B22E" w14:textId="77777777">
        <w:tc>
          <w:tcPr>
            <w:tcW w:w="1843" w:type="dxa"/>
          </w:tcPr>
          <w:p w14:paraId="1DD33D97" w14:textId="77777777" w:rsidR="00852466" w:rsidRPr="00E3305C" w:rsidRDefault="00852466">
            <w:pPr>
              <w:pStyle w:val="In-tableHeading"/>
            </w:pPr>
            <w:r w:rsidRPr="00E3305C">
              <w:t>Parameter</w:t>
            </w:r>
          </w:p>
        </w:tc>
        <w:tc>
          <w:tcPr>
            <w:tcW w:w="7178" w:type="dxa"/>
          </w:tcPr>
          <w:p w14:paraId="4BEE92FC" w14:textId="77777777" w:rsidR="00852466" w:rsidRPr="00E3305C" w:rsidRDefault="00852466">
            <w:pPr>
              <w:pStyle w:val="In-tableHeading"/>
            </w:pPr>
            <w:r w:rsidRPr="00E3305C">
              <w:t>Value and source</w:t>
            </w:r>
          </w:p>
        </w:tc>
      </w:tr>
      <w:tr w:rsidR="00852466" w:rsidRPr="00927B62" w14:paraId="315FE728" w14:textId="77777777">
        <w:tc>
          <w:tcPr>
            <w:tcW w:w="1843" w:type="dxa"/>
          </w:tcPr>
          <w:p w14:paraId="2F854004" w14:textId="77777777" w:rsidR="00852466" w:rsidRPr="00927B62" w:rsidRDefault="00852466">
            <w:pPr>
              <w:pStyle w:val="TableText0"/>
            </w:pPr>
            <w:r>
              <w:t>Population</w:t>
            </w:r>
          </w:p>
        </w:tc>
        <w:tc>
          <w:tcPr>
            <w:tcW w:w="7178" w:type="dxa"/>
          </w:tcPr>
          <w:p w14:paraId="25F5A0DD" w14:textId="77777777" w:rsidR="00852466" w:rsidRDefault="00852466">
            <w:pPr>
              <w:pStyle w:val="TableText0"/>
            </w:pPr>
            <w:r w:rsidRPr="009916EA">
              <w:t>Market Share component</w:t>
            </w:r>
            <w:r>
              <w:t>:</w:t>
            </w:r>
          </w:p>
          <w:p w14:paraId="5B28F5BB" w14:textId="77777777" w:rsidR="00852466" w:rsidRDefault="00852466">
            <w:pPr>
              <w:pStyle w:val="TableText0"/>
            </w:pPr>
            <w:r>
              <w:t>50% of patients will require dose escalation, based on advice from clinical stakeholders. Induction dosing of adalimumab is at week 0 and week 2. T</w:t>
            </w:r>
            <w:r w:rsidRPr="00B517A7">
              <w:t>he current restriction</w:t>
            </w:r>
            <w:r>
              <w:t>s</w:t>
            </w:r>
            <w:r w:rsidRPr="00B517A7">
              <w:t xml:space="preserve"> for </w:t>
            </w:r>
            <w:r w:rsidRPr="00DB04FE">
              <w:t xml:space="preserve">continuation </w:t>
            </w:r>
            <w:r>
              <w:t xml:space="preserve">therapy </w:t>
            </w:r>
            <w:r w:rsidRPr="00DB04FE">
              <w:t>allow</w:t>
            </w:r>
            <w:r w:rsidRPr="00B517A7">
              <w:t xml:space="preserve"> weekly dosing. Hence the financial estimates only modelled the item codes for week</w:t>
            </w:r>
            <w:r>
              <w:t>s</w:t>
            </w:r>
            <w:r w:rsidRPr="00B517A7">
              <w:t xml:space="preserve"> 3-16 at initiating phase.</w:t>
            </w:r>
          </w:p>
          <w:p w14:paraId="4D67F0A8" w14:textId="77777777" w:rsidR="00852466" w:rsidRDefault="00852466">
            <w:pPr>
              <w:pStyle w:val="TableText0"/>
            </w:pPr>
            <w:r w:rsidRPr="009916EA">
              <w:t>Epidemiological component</w:t>
            </w:r>
            <w:r>
              <w:t>:</w:t>
            </w:r>
          </w:p>
          <w:p w14:paraId="27884230" w14:textId="77777777" w:rsidR="00852466" w:rsidRPr="00927B62" w:rsidRDefault="00852466">
            <w:pPr>
              <w:pStyle w:val="TableText0"/>
            </w:pPr>
            <w:r>
              <w:t xml:space="preserve">Prevalent population for Crohn disease (aged 6-17 years) treated with adalimumab or infliximab. </w:t>
            </w:r>
            <w:r w:rsidRPr="00960670">
              <w:t xml:space="preserve">Based on clinician’s advice, 3% of patients have isolated extensive small bowel disease, with up to 20% of patients having a degree of proximal small bowel inflammation associated with their other Crohn disease locations. Hence, 10% </w:t>
            </w:r>
            <w:r>
              <w:t xml:space="preserve">was used </w:t>
            </w:r>
            <w:r w:rsidRPr="00960670">
              <w:t xml:space="preserve">as </w:t>
            </w:r>
            <w:r>
              <w:t xml:space="preserve">the </w:t>
            </w:r>
            <w:r w:rsidRPr="00960670">
              <w:t>base case, and sensitivity analysis was done using 3% and 20%.</w:t>
            </w:r>
          </w:p>
        </w:tc>
      </w:tr>
      <w:tr w:rsidR="00852466" w:rsidRPr="00927B62" w14:paraId="1DA5FC54" w14:textId="77777777">
        <w:tc>
          <w:tcPr>
            <w:tcW w:w="1843" w:type="dxa"/>
          </w:tcPr>
          <w:p w14:paraId="4733BA74" w14:textId="77777777" w:rsidR="00852466" w:rsidRDefault="00852466">
            <w:pPr>
              <w:pStyle w:val="TableText0"/>
            </w:pPr>
            <w:r>
              <w:t>Prescription volume</w:t>
            </w:r>
          </w:p>
        </w:tc>
        <w:tc>
          <w:tcPr>
            <w:tcW w:w="7178" w:type="dxa"/>
          </w:tcPr>
          <w:p w14:paraId="2684D493" w14:textId="77777777" w:rsidR="00852466" w:rsidRPr="009916EA" w:rsidRDefault="00852466">
            <w:pPr>
              <w:pStyle w:val="TableText0"/>
            </w:pPr>
            <w:r w:rsidRPr="009916EA">
              <w:t>Market share component:</w:t>
            </w:r>
          </w:p>
          <w:p w14:paraId="50DBDC79" w14:textId="77777777" w:rsidR="00852466" w:rsidRDefault="00852466">
            <w:pPr>
              <w:pStyle w:val="TableText0"/>
            </w:pPr>
            <w:r>
              <w:t>Forecast prescription volumes based on historical utilisation (sourced from Medicare statistics).</w:t>
            </w:r>
          </w:p>
        </w:tc>
      </w:tr>
      <w:tr w:rsidR="00852466" w:rsidRPr="00927B62" w14:paraId="7C48F93A" w14:textId="77777777">
        <w:tc>
          <w:tcPr>
            <w:tcW w:w="1843" w:type="dxa"/>
          </w:tcPr>
          <w:p w14:paraId="03CDEB5A" w14:textId="77777777" w:rsidR="00852466" w:rsidRDefault="00852466">
            <w:pPr>
              <w:pStyle w:val="TableText0"/>
            </w:pPr>
            <w:r>
              <w:t>Switching</w:t>
            </w:r>
          </w:p>
        </w:tc>
        <w:tc>
          <w:tcPr>
            <w:tcW w:w="7178" w:type="dxa"/>
          </w:tcPr>
          <w:p w14:paraId="0DCA7E17" w14:textId="77777777" w:rsidR="00852466" w:rsidRPr="009916EA" w:rsidRDefault="00852466">
            <w:pPr>
              <w:pStyle w:val="TableText0"/>
            </w:pPr>
            <w:r w:rsidRPr="009916EA">
              <w:t>Epidemiological component.</w:t>
            </w:r>
          </w:p>
          <w:p w14:paraId="2C53FA25" w14:textId="77777777" w:rsidR="00852466" w:rsidRDefault="00852466">
            <w:pPr>
              <w:pStyle w:val="TableText0"/>
            </w:pPr>
            <w:r>
              <w:t xml:space="preserve">Clinical input indicated </w:t>
            </w:r>
            <w:r w:rsidRPr="00960670">
              <w:t>these patients may</w:t>
            </w:r>
            <w:r>
              <w:t xml:space="preserve"> </w:t>
            </w:r>
            <w:r w:rsidRPr="00960670">
              <w:t>be currently treated with infliximab. The</w:t>
            </w:r>
            <w:r>
              <w:t xml:space="preserve"> </w:t>
            </w:r>
            <w:r w:rsidRPr="00960670">
              <w:t>model assumed 2% of these patients would switch to adalimumab based on DUSC</w:t>
            </w:r>
            <w:r>
              <w:t xml:space="preserve"> Secretariat</w:t>
            </w:r>
            <w:r w:rsidRPr="00960670">
              <w:t xml:space="preserve"> analysis.</w:t>
            </w:r>
          </w:p>
          <w:p w14:paraId="2CB0235A" w14:textId="77777777" w:rsidR="00852466" w:rsidRDefault="00852466">
            <w:pPr>
              <w:pStyle w:val="TableText0"/>
            </w:pPr>
            <w:r w:rsidRPr="00B517A7">
              <w:t xml:space="preserve">Assumed the proposed listing would offset infliximab treatment. Both script distribution and dosing regimens of offset medicine relied on dispensing data from the 2023 calendar year. </w:t>
            </w:r>
          </w:p>
        </w:tc>
      </w:tr>
      <w:tr w:rsidR="00852466" w:rsidRPr="00927B62" w14:paraId="340CE770" w14:textId="77777777">
        <w:tc>
          <w:tcPr>
            <w:tcW w:w="1843" w:type="dxa"/>
          </w:tcPr>
          <w:p w14:paraId="168E157E" w14:textId="77777777" w:rsidR="00852466" w:rsidRDefault="00852466">
            <w:pPr>
              <w:pStyle w:val="TableText0"/>
            </w:pPr>
            <w:r>
              <w:t>Patient weight</w:t>
            </w:r>
          </w:p>
        </w:tc>
        <w:tc>
          <w:tcPr>
            <w:tcW w:w="7178" w:type="dxa"/>
          </w:tcPr>
          <w:p w14:paraId="63DB3A25" w14:textId="77777777" w:rsidR="00852466" w:rsidRPr="009916EA" w:rsidRDefault="00852466">
            <w:pPr>
              <w:pStyle w:val="TableText0"/>
            </w:pPr>
            <w:r w:rsidRPr="009916EA">
              <w:t>Epidemiological component:</w:t>
            </w:r>
          </w:p>
          <w:p w14:paraId="6C528032" w14:textId="77777777" w:rsidR="00852466" w:rsidRDefault="00852466">
            <w:pPr>
              <w:pStyle w:val="TableText0"/>
            </w:pPr>
            <w:r w:rsidRPr="00960670">
              <w:t>Assumption for population distribution based on the distribution in 2023 (i.e. &lt;40</w:t>
            </w:r>
            <w:r>
              <w:t xml:space="preserve"> </w:t>
            </w:r>
            <w:r w:rsidRPr="00960670">
              <w:t xml:space="preserve">kg 73% and </w:t>
            </w:r>
            <w:r>
              <w:t>≥</w:t>
            </w:r>
            <w:r w:rsidRPr="00960670">
              <w:t>40</w:t>
            </w:r>
            <w:r>
              <w:t> </w:t>
            </w:r>
            <w:r w:rsidRPr="00960670">
              <w:t>kg 27%</w:t>
            </w:r>
            <w:r>
              <w:t>)</w:t>
            </w:r>
            <w:r w:rsidRPr="00960670">
              <w:t>.</w:t>
            </w:r>
          </w:p>
        </w:tc>
      </w:tr>
      <w:tr w:rsidR="00852466" w:rsidRPr="00927B62" w14:paraId="0832D312" w14:textId="77777777">
        <w:tc>
          <w:tcPr>
            <w:tcW w:w="1843" w:type="dxa"/>
          </w:tcPr>
          <w:p w14:paraId="6E179577" w14:textId="77777777" w:rsidR="00852466" w:rsidRPr="00927B62" w:rsidRDefault="00852466">
            <w:pPr>
              <w:pStyle w:val="TableText0"/>
            </w:pPr>
            <w:r>
              <w:t>Dose and treatment duration</w:t>
            </w:r>
          </w:p>
        </w:tc>
        <w:tc>
          <w:tcPr>
            <w:tcW w:w="7178" w:type="dxa"/>
          </w:tcPr>
          <w:p w14:paraId="19CDF802" w14:textId="77777777" w:rsidR="00852466" w:rsidRPr="009916EA" w:rsidRDefault="00852466">
            <w:pPr>
              <w:pStyle w:val="TableText0"/>
            </w:pPr>
            <w:r w:rsidRPr="009916EA">
              <w:t>Market Share component:</w:t>
            </w:r>
          </w:p>
          <w:p w14:paraId="0DB02F49" w14:textId="77777777" w:rsidR="00852466" w:rsidRDefault="00852466">
            <w:pPr>
              <w:pStyle w:val="TableText0"/>
            </w:pPr>
            <w:r>
              <w:t>50% of patients will require dose escalation. Based on advice from clinical stakeholders</w:t>
            </w:r>
          </w:p>
          <w:p w14:paraId="3B12ACBB" w14:textId="77777777" w:rsidR="00852466" w:rsidRPr="009916EA" w:rsidRDefault="00852466">
            <w:pPr>
              <w:pStyle w:val="TableText0"/>
            </w:pPr>
            <w:r w:rsidRPr="009916EA">
              <w:t>Epidemiological component:</w:t>
            </w:r>
          </w:p>
          <w:p w14:paraId="56795806" w14:textId="77777777" w:rsidR="00852466" w:rsidRPr="00927B62" w:rsidRDefault="00852466">
            <w:pPr>
              <w:pStyle w:val="TableText0"/>
            </w:pPr>
            <w:r w:rsidRPr="00960670">
              <w:t xml:space="preserve">Assumed the same dose regimen as per the current listing for </w:t>
            </w:r>
            <w:r>
              <w:t>Crohn disease</w:t>
            </w:r>
            <w:r w:rsidRPr="00960670">
              <w:t>, i</w:t>
            </w:r>
            <w:r>
              <w:t>.</w:t>
            </w:r>
            <w:r w:rsidRPr="00960670">
              <w:t xml:space="preserve">e. 16 weeks for initial </w:t>
            </w:r>
            <w:r>
              <w:t xml:space="preserve">treatment </w:t>
            </w:r>
            <w:r w:rsidRPr="00960670">
              <w:t>and 36 weeks for continu</w:t>
            </w:r>
            <w:r>
              <w:t>ing treatment</w:t>
            </w:r>
            <w:r w:rsidRPr="00960670">
              <w:t xml:space="preserve"> (chronic condition).</w:t>
            </w:r>
          </w:p>
        </w:tc>
      </w:tr>
      <w:tr w:rsidR="00852466" w14:paraId="2DAAD4E6" w14:textId="77777777">
        <w:tc>
          <w:tcPr>
            <w:tcW w:w="1843" w:type="dxa"/>
          </w:tcPr>
          <w:p w14:paraId="20D81ACE" w14:textId="77777777" w:rsidR="00852466" w:rsidRDefault="00852466">
            <w:pPr>
              <w:pStyle w:val="TableText0"/>
            </w:pPr>
            <w:r>
              <w:t>Cost</w:t>
            </w:r>
          </w:p>
        </w:tc>
        <w:tc>
          <w:tcPr>
            <w:tcW w:w="7178" w:type="dxa"/>
          </w:tcPr>
          <w:p w14:paraId="1D890C55" w14:textId="77777777" w:rsidR="00852466" w:rsidRDefault="00852466">
            <w:pPr>
              <w:pStyle w:val="TableText0"/>
              <w:rPr>
                <w:szCs w:val="20"/>
              </w:rPr>
            </w:pPr>
            <w:r w:rsidRPr="00960670">
              <w:rPr>
                <w:szCs w:val="20"/>
              </w:rPr>
              <w:t>Utilised the AEMP and DPMQ from the existing PBS</w:t>
            </w:r>
            <w:r>
              <w:rPr>
                <w:szCs w:val="20"/>
              </w:rPr>
              <w:t xml:space="preserve"> </w:t>
            </w:r>
            <w:r w:rsidRPr="00960670">
              <w:rPr>
                <w:szCs w:val="20"/>
              </w:rPr>
              <w:t>list</w:t>
            </w:r>
            <w:r>
              <w:rPr>
                <w:szCs w:val="20"/>
              </w:rPr>
              <w:t>ings for</w:t>
            </w:r>
            <w:r w:rsidRPr="00960670">
              <w:rPr>
                <w:szCs w:val="20"/>
              </w:rPr>
              <w:t xml:space="preserve"> adalimumab and infliximab</w:t>
            </w:r>
            <w:r>
              <w:rPr>
                <w:szCs w:val="20"/>
              </w:rPr>
              <w:t xml:space="preserve"> (for Crohn disease)</w:t>
            </w:r>
          </w:p>
        </w:tc>
      </w:tr>
    </w:tbl>
    <w:p w14:paraId="0DB641FE" w14:textId="77777777" w:rsidR="00852466" w:rsidRPr="00556071" w:rsidRDefault="00852466" w:rsidP="00852466">
      <w:pPr>
        <w:spacing w:after="240"/>
      </w:pPr>
      <w:r w:rsidRPr="003069E8">
        <w:rPr>
          <w:rFonts w:ascii="Arial Narrow" w:hAnsi="Arial Narrow"/>
          <w:sz w:val="20"/>
          <w:szCs w:val="18"/>
        </w:rPr>
        <w:t xml:space="preserve">AEMP </w:t>
      </w:r>
      <w:r>
        <w:rPr>
          <w:rFonts w:ascii="Arial Narrow" w:hAnsi="Arial Narrow"/>
          <w:sz w:val="20"/>
          <w:szCs w:val="18"/>
        </w:rPr>
        <w:t>=</w:t>
      </w:r>
      <w:r w:rsidRPr="003069E8">
        <w:rPr>
          <w:rFonts w:ascii="Arial Narrow" w:hAnsi="Arial Narrow"/>
          <w:sz w:val="20"/>
          <w:szCs w:val="18"/>
        </w:rPr>
        <w:t xml:space="preserve"> approved ex-manufacturer price</w:t>
      </w:r>
      <w:r>
        <w:rPr>
          <w:rFonts w:ascii="Arial Narrow" w:hAnsi="Arial Narrow"/>
          <w:sz w:val="20"/>
          <w:szCs w:val="18"/>
        </w:rPr>
        <w:t>; DPMQ = Dispensed price for maximum quantity; DUSC = Drug Utilisation Sub-Committee</w:t>
      </w:r>
    </w:p>
    <w:p w14:paraId="240E56DC" w14:textId="77777777" w:rsidR="00852466" w:rsidRPr="008E702F" w:rsidRDefault="00852466" w:rsidP="00852466">
      <w:pPr>
        <w:pStyle w:val="TableFigureHeading"/>
      </w:pPr>
      <w:r w:rsidRPr="008E702F">
        <w:t>Table 1</w:t>
      </w:r>
      <w:r>
        <w:t xml:space="preserve">5: </w:t>
      </w:r>
      <w:r w:rsidRPr="008E702F">
        <w:t>Financial estimates – adalimumab – severe Crohn disease</w:t>
      </w:r>
    </w:p>
    <w:tbl>
      <w:tblPr>
        <w:tblStyle w:val="TableGrid"/>
        <w:tblW w:w="0" w:type="auto"/>
        <w:tblInd w:w="-5" w:type="dxa"/>
        <w:tblLayout w:type="fixed"/>
        <w:tblLook w:val="04A0" w:firstRow="1" w:lastRow="0" w:firstColumn="1" w:lastColumn="0" w:noHBand="0" w:noVBand="1"/>
        <w:tblCaption w:val="Financial estimates – adalimumab – severe Crohn disease"/>
      </w:tblPr>
      <w:tblGrid>
        <w:gridCol w:w="2694"/>
        <w:gridCol w:w="1054"/>
        <w:gridCol w:w="1055"/>
        <w:gridCol w:w="1054"/>
        <w:gridCol w:w="1055"/>
        <w:gridCol w:w="1054"/>
        <w:gridCol w:w="1055"/>
      </w:tblGrid>
      <w:tr w:rsidR="00852466" w14:paraId="0F93FFBC" w14:textId="77777777">
        <w:tc>
          <w:tcPr>
            <w:tcW w:w="2694" w:type="dxa"/>
          </w:tcPr>
          <w:p w14:paraId="5527087E" w14:textId="77777777" w:rsidR="00852466" w:rsidRPr="00725DC5" w:rsidRDefault="00852466">
            <w:pPr>
              <w:pStyle w:val="TableText0"/>
            </w:pPr>
          </w:p>
        </w:tc>
        <w:tc>
          <w:tcPr>
            <w:tcW w:w="1054" w:type="dxa"/>
          </w:tcPr>
          <w:p w14:paraId="557DAA0E" w14:textId="77777777" w:rsidR="00852466" w:rsidRPr="00753359" w:rsidRDefault="00852466">
            <w:pPr>
              <w:pStyle w:val="TableText0"/>
            </w:pPr>
            <w:r w:rsidRPr="00753359">
              <w:t>Year 1 (2025)</w:t>
            </w:r>
          </w:p>
        </w:tc>
        <w:tc>
          <w:tcPr>
            <w:tcW w:w="1055" w:type="dxa"/>
          </w:tcPr>
          <w:p w14:paraId="50F1C496" w14:textId="77777777" w:rsidR="00852466" w:rsidRPr="00753359" w:rsidRDefault="00852466">
            <w:pPr>
              <w:pStyle w:val="TableText0"/>
            </w:pPr>
            <w:r w:rsidRPr="00753359">
              <w:t>Year 2 (2026)</w:t>
            </w:r>
          </w:p>
        </w:tc>
        <w:tc>
          <w:tcPr>
            <w:tcW w:w="1054" w:type="dxa"/>
          </w:tcPr>
          <w:p w14:paraId="660F7EBD" w14:textId="77777777" w:rsidR="00852466" w:rsidRPr="00753359" w:rsidRDefault="00852466">
            <w:pPr>
              <w:pStyle w:val="TableText0"/>
            </w:pPr>
            <w:r w:rsidRPr="00753359">
              <w:t>Year 3 (2027)</w:t>
            </w:r>
          </w:p>
        </w:tc>
        <w:tc>
          <w:tcPr>
            <w:tcW w:w="1055" w:type="dxa"/>
          </w:tcPr>
          <w:p w14:paraId="7B7E071A" w14:textId="77777777" w:rsidR="00852466" w:rsidRPr="00753359" w:rsidRDefault="00852466">
            <w:pPr>
              <w:pStyle w:val="TableText0"/>
            </w:pPr>
            <w:r w:rsidRPr="00753359">
              <w:t>Year 4 (2028)</w:t>
            </w:r>
          </w:p>
        </w:tc>
        <w:tc>
          <w:tcPr>
            <w:tcW w:w="1054" w:type="dxa"/>
          </w:tcPr>
          <w:p w14:paraId="2CE3669C" w14:textId="77777777" w:rsidR="00852466" w:rsidRPr="00753359" w:rsidRDefault="00852466">
            <w:pPr>
              <w:pStyle w:val="TableText0"/>
            </w:pPr>
            <w:r w:rsidRPr="00753359">
              <w:t>Year 5 (2029)</w:t>
            </w:r>
          </w:p>
        </w:tc>
        <w:tc>
          <w:tcPr>
            <w:tcW w:w="1055" w:type="dxa"/>
          </w:tcPr>
          <w:p w14:paraId="2AE43362" w14:textId="77777777" w:rsidR="00852466" w:rsidRPr="00753359" w:rsidRDefault="00852466">
            <w:pPr>
              <w:pStyle w:val="TableText0"/>
            </w:pPr>
            <w:r w:rsidRPr="00753359">
              <w:t>Year 6 (2030)</w:t>
            </w:r>
          </w:p>
        </w:tc>
      </w:tr>
      <w:tr w:rsidR="00852466" w14:paraId="4B31A4FA" w14:textId="77777777">
        <w:tc>
          <w:tcPr>
            <w:tcW w:w="9021" w:type="dxa"/>
            <w:gridSpan w:val="7"/>
          </w:tcPr>
          <w:p w14:paraId="3BC68D90" w14:textId="77777777" w:rsidR="00852466" w:rsidRPr="00EE4A69" w:rsidRDefault="00852466">
            <w:pPr>
              <w:pStyle w:val="TableText0"/>
            </w:pPr>
            <w:r w:rsidRPr="00EE4A69">
              <w:t>Estimated financial implications</w:t>
            </w:r>
          </w:p>
        </w:tc>
      </w:tr>
      <w:tr w:rsidR="00852466" w14:paraId="3056C3D1" w14:textId="77777777">
        <w:tc>
          <w:tcPr>
            <w:tcW w:w="2694" w:type="dxa"/>
          </w:tcPr>
          <w:p w14:paraId="4A92F897" w14:textId="77777777" w:rsidR="00852466" w:rsidRPr="00725DC5" w:rsidRDefault="00852466">
            <w:pPr>
              <w:pStyle w:val="TableText0"/>
            </w:pPr>
            <w:r>
              <w:t>Cost to PBS/RPBS (less co-payments)</w:t>
            </w:r>
          </w:p>
        </w:tc>
        <w:tc>
          <w:tcPr>
            <w:tcW w:w="1054" w:type="dxa"/>
            <w:vAlign w:val="center"/>
          </w:tcPr>
          <w:p w14:paraId="035796AB" w14:textId="77777777" w:rsidR="00852466" w:rsidRPr="00D72616" w:rsidRDefault="00852466">
            <w:pPr>
              <w:pStyle w:val="TableText0"/>
              <w:rPr>
                <w:szCs w:val="18"/>
                <w:vertAlign w:val="superscript"/>
              </w:rPr>
            </w:pPr>
            <w:r w:rsidRPr="003815DF">
              <w:t>$</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1</w:t>
            </w:r>
          </w:p>
        </w:tc>
        <w:tc>
          <w:tcPr>
            <w:tcW w:w="1055" w:type="dxa"/>
            <w:vAlign w:val="center"/>
          </w:tcPr>
          <w:p w14:paraId="523BE17B"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1</w:t>
            </w:r>
          </w:p>
        </w:tc>
        <w:tc>
          <w:tcPr>
            <w:tcW w:w="1054" w:type="dxa"/>
            <w:vAlign w:val="center"/>
          </w:tcPr>
          <w:p w14:paraId="5E4610D6"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1</w:t>
            </w:r>
          </w:p>
        </w:tc>
        <w:tc>
          <w:tcPr>
            <w:tcW w:w="1055" w:type="dxa"/>
            <w:vAlign w:val="center"/>
          </w:tcPr>
          <w:p w14:paraId="4100C3D3"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1</w:t>
            </w:r>
          </w:p>
        </w:tc>
        <w:tc>
          <w:tcPr>
            <w:tcW w:w="1054" w:type="dxa"/>
            <w:vAlign w:val="center"/>
          </w:tcPr>
          <w:p w14:paraId="55654693"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1</w:t>
            </w:r>
          </w:p>
        </w:tc>
        <w:tc>
          <w:tcPr>
            <w:tcW w:w="1055" w:type="dxa"/>
            <w:vAlign w:val="center"/>
          </w:tcPr>
          <w:p w14:paraId="295155D6"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1</w:t>
            </w:r>
          </w:p>
        </w:tc>
      </w:tr>
      <w:tr w:rsidR="00852466" w14:paraId="19971FCA" w14:textId="77777777">
        <w:tc>
          <w:tcPr>
            <w:tcW w:w="2694" w:type="dxa"/>
          </w:tcPr>
          <w:p w14:paraId="0BA2F0EF" w14:textId="77777777" w:rsidR="00852466" w:rsidRPr="00725DC5" w:rsidRDefault="00852466">
            <w:pPr>
              <w:pStyle w:val="TableText0"/>
            </w:pPr>
            <w:r>
              <w:t>Cost to PBS/RPBS changed listing</w:t>
            </w:r>
          </w:p>
        </w:tc>
        <w:tc>
          <w:tcPr>
            <w:tcW w:w="1054" w:type="dxa"/>
            <w:vAlign w:val="center"/>
          </w:tcPr>
          <w:p w14:paraId="0501C9A9"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1</w:t>
            </w:r>
          </w:p>
        </w:tc>
        <w:tc>
          <w:tcPr>
            <w:tcW w:w="1055" w:type="dxa"/>
            <w:vAlign w:val="center"/>
          </w:tcPr>
          <w:p w14:paraId="30A1FACA"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1</w:t>
            </w:r>
          </w:p>
        </w:tc>
        <w:tc>
          <w:tcPr>
            <w:tcW w:w="1054" w:type="dxa"/>
            <w:vAlign w:val="center"/>
          </w:tcPr>
          <w:p w14:paraId="511ED92B"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1</w:t>
            </w:r>
          </w:p>
        </w:tc>
        <w:tc>
          <w:tcPr>
            <w:tcW w:w="1055" w:type="dxa"/>
            <w:vAlign w:val="center"/>
          </w:tcPr>
          <w:p w14:paraId="277E32E5"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1</w:t>
            </w:r>
          </w:p>
        </w:tc>
        <w:tc>
          <w:tcPr>
            <w:tcW w:w="1054" w:type="dxa"/>
            <w:vAlign w:val="center"/>
          </w:tcPr>
          <w:p w14:paraId="2F7340BA"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1</w:t>
            </w:r>
          </w:p>
        </w:tc>
        <w:tc>
          <w:tcPr>
            <w:tcW w:w="1055" w:type="dxa"/>
            <w:vAlign w:val="center"/>
          </w:tcPr>
          <w:p w14:paraId="7386E89F" w14:textId="77777777" w:rsidR="00852466" w:rsidRPr="003815DF" w:rsidRDefault="00852466">
            <w:pPr>
              <w:pStyle w:val="TableText0"/>
              <w:rPr>
                <w:szCs w:val="18"/>
              </w:rPr>
            </w:pPr>
            <w:r w:rsidRPr="003815DF">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1</w:t>
            </w:r>
          </w:p>
        </w:tc>
      </w:tr>
      <w:tr w:rsidR="00852466" w14:paraId="182BE44D" w14:textId="77777777">
        <w:tc>
          <w:tcPr>
            <w:tcW w:w="2694" w:type="dxa"/>
          </w:tcPr>
          <w:p w14:paraId="55AB3DF5" w14:textId="77777777" w:rsidR="00852466" w:rsidRPr="00725DC5" w:rsidRDefault="00852466">
            <w:pPr>
              <w:pStyle w:val="TableText0"/>
            </w:pPr>
            <w:r w:rsidRPr="00725DC5">
              <w:t xml:space="preserve">Net Cost to PBS/RPBS </w:t>
            </w:r>
          </w:p>
        </w:tc>
        <w:tc>
          <w:tcPr>
            <w:tcW w:w="1054" w:type="dxa"/>
            <w:vAlign w:val="center"/>
          </w:tcPr>
          <w:p w14:paraId="2574B4F9" w14:textId="77777777" w:rsidR="00852466" w:rsidRPr="003815DF" w:rsidRDefault="00852466">
            <w:pPr>
              <w:pStyle w:val="TableText0"/>
            </w:pPr>
            <w:r w:rsidRPr="003815DF">
              <w:t>$</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1</w:t>
            </w:r>
          </w:p>
        </w:tc>
        <w:tc>
          <w:tcPr>
            <w:tcW w:w="1055" w:type="dxa"/>
            <w:vAlign w:val="center"/>
          </w:tcPr>
          <w:p w14:paraId="094F8D8D" w14:textId="77777777" w:rsidR="00852466" w:rsidRPr="003815DF" w:rsidRDefault="00852466">
            <w:pPr>
              <w:pStyle w:val="TableText0"/>
            </w:pPr>
            <w:r w:rsidRPr="003815DF">
              <w:t>$</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1</w:t>
            </w:r>
          </w:p>
        </w:tc>
        <w:tc>
          <w:tcPr>
            <w:tcW w:w="1054" w:type="dxa"/>
            <w:vAlign w:val="center"/>
          </w:tcPr>
          <w:p w14:paraId="4BF60C93" w14:textId="77777777" w:rsidR="00852466" w:rsidRPr="003815DF" w:rsidRDefault="00852466">
            <w:pPr>
              <w:pStyle w:val="TableText0"/>
            </w:pPr>
            <w:r w:rsidRPr="003815DF">
              <w:t>$</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1</w:t>
            </w:r>
          </w:p>
        </w:tc>
        <w:tc>
          <w:tcPr>
            <w:tcW w:w="1055" w:type="dxa"/>
            <w:vAlign w:val="center"/>
          </w:tcPr>
          <w:p w14:paraId="394D3FA4" w14:textId="77777777" w:rsidR="00852466" w:rsidRPr="003815DF" w:rsidRDefault="00852466">
            <w:pPr>
              <w:pStyle w:val="TableText0"/>
            </w:pPr>
            <w:r w:rsidRPr="003815DF">
              <w:t>$</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1</w:t>
            </w:r>
          </w:p>
        </w:tc>
        <w:tc>
          <w:tcPr>
            <w:tcW w:w="1054" w:type="dxa"/>
            <w:vAlign w:val="center"/>
          </w:tcPr>
          <w:p w14:paraId="638F410E" w14:textId="77777777" w:rsidR="00852466" w:rsidRPr="003815DF" w:rsidRDefault="00852466">
            <w:pPr>
              <w:pStyle w:val="TableText0"/>
            </w:pPr>
            <w:r w:rsidRPr="003815DF">
              <w:t>$</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1</w:t>
            </w:r>
          </w:p>
        </w:tc>
        <w:tc>
          <w:tcPr>
            <w:tcW w:w="1055" w:type="dxa"/>
            <w:vAlign w:val="center"/>
          </w:tcPr>
          <w:p w14:paraId="09BFA50F" w14:textId="77777777" w:rsidR="00852466" w:rsidRPr="003815DF" w:rsidRDefault="00852466">
            <w:pPr>
              <w:pStyle w:val="TableText0"/>
            </w:pPr>
            <w:r w:rsidRPr="003815DF">
              <w:t>$</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1</w:t>
            </w:r>
          </w:p>
        </w:tc>
      </w:tr>
    </w:tbl>
    <w:p w14:paraId="66E22C1F" w14:textId="77777777" w:rsidR="00852466" w:rsidRDefault="00852466" w:rsidP="00852466">
      <w:pPr>
        <w:pStyle w:val="TableFigureFooter"/>
      </w:pPr>
      <w:r w:rsidRPr="00F145B2">
        <w:t>PBS = Pharmaceutical Benefits Scheme; RPBS = Repatriation Pharmaceutical Benefits Scheme</w:t>
      </w:r>
    </w:p>
    <w:p w14:paraId="0DC38C6A" w14:textId="77777777" w:rsidR="00852466" w:rsidRDefault="00852466" w:rsidP="00852466">
      <w:pPr>
        <w:pStyle w:val="TableFigureFooter"/>
        <w:jc w:val="left"/>
        <w:rPr>
          <w:i/>
          <w:iCs/>
        </w:rPr>
      </w:pPr>
      <w:r w:rsidRPr="004259EE">
        <w:rPr>
          <w:i/>
          <w:iCs/>
        </w:rPr>
        <w:t>The redacted values correspond to the following ranges:</w:t>
      </w:r>
    </w:p>
    <w:p w14:paraId="21EE683F" w14:textId="77777777" w:rsidR="00852466" w:rsidRPr="00F145B2" w:rsidRDefault="00852466" w:rsidP="00852466">
      <w:pPr>
        <w:pStyle w:val="TableFigureFooter"/>
      </w:pPr>
      <w:r w:rsidRPr="004259EE">
        <w:rPr>
          <w:i/>
          <w:iCs/>
          <w:vertAlign w:val="superscript"/>
        </w:rPr>
        <w:t>1</w:t>
      </w:r>
      <w:r w:rsidRPr="004259EE">
        <w:rPr>
          <w:i/>
          <w:iCs/>
        </w:rPr>
        <w:t xml:space="preserve"> </w:t>
      </w:r>
      <w:r w:rsidRPr="00D72616">
        <w:rPr>
          <w:i/>
          <w:iCs/>
        </w:rPr>
        <w:t>$0 to &lt; $10 million</w:t>
      </w:r>
    </w:p>
    <w:p w14:paraId="5221F308" w14:textId="77777777" w:rsidR="00852466" w:rsidRDefault="00852466" w:rsidP="00852466">
      <w:pPr>
        <w:pStyle w:val="TableFigureHeading"/>
      </w:pPr>
      <w:r w:rsidRPr="008E702F">
        <w:t>Table 1</w:t>
      </w:r>
      <w:r>
        <w:t>6:</w:t>
      </w:r>
      <w:r w:rsidRPr="008E702F">
        <w:t xml:space="preserve"> Financial estimates – Sensitivity analysis – adalimumab – </w:t>
      </w:r>
      <w:r w:rsidRPr="002E645D">
        <w:t>severe Crohn</w:t>
      </w:r>
      <w:r w:rsidRPr="006E2136">
        <w:t xml:space="preserve"> disease</w:t>
      </w:r>
    </w:p>
    <w:tbl>
      <w:tblPr>
        <w:tblStyle w:val="TableGrid"/>
        <w:tblW w:w="0" w:type="auto"/>
        <w:tblInd w:w="-5" w:type="dxa"/>
        <w:tblLayout w:type="fixed"/>
        <w:tblLook w:val="04A0" w:firstRow="1" w:lastRow="0" w:firstColumn="1" w:lastColumn="0" w:noHBand="0" w:noVBand="1"/>
        <w:tblCaption w:val="Financial estimates – Sensitivity analysis – adalimumab – severe Crohn disease"/>
      </w:tblPr>
      <w:tblGrid>
        <w:gridCol w:w="2694"/>
        <w:gridCol w:w="1054"/>
        <w:gridCol w:w="1055"/>
        <w:gridCol w:w="1054"/>
        <w:gridCol w:w="1055"/>
        <w:gridCol w:w="1054"/>
        <w:gridCol w:w="1055"/>
      </w:tblGrid>
      <w:tr w:rsidR="00852466" w14:paraId="2D3C4CCF" w14:textId="77777777">
        <w:tc>
          <w:tcPr>
            <w:tcW w:w="2694" w:type="dxa"/>
          </w:tcPr>
          <w:p w14:paraId="7B7551F2" w14:textId="77777777" w:rsidR="00852466" w:rsidRPr="00725DC5" w:rsidRDefault="00852466">
            <w:pPr>
              <w:pStyle w:val="TableText0"/>
            </w:pPr>
          </w:p>
        </w:tc>
        <w:tc>
          <w:tcPr>
            <w:tcW w:w="1054" w:type="dxa"/>
          </w:tcPr>
          <w:p w14:paraId="5ED59B29" w14:textId="77777777" w:rsidR="00852466" w:rsidRPr="00556071" w:rsidRDefault="00852466">
            <w:pPr>
              <w:pStyle w:val="TableText0"/>
            </w:pPr>
            <w:r w:rsidRPr="00556071">
              <w:t>Year 1 (2025)</w:t>
            </w:r>
          </w:p>
        </w:tc>
        <w:tc>
          <w:tcPr>
            <w:tcW w:w="1055" w:type="dxa"/>
          </w:tcPr>
          <w:p w14:paraId="43AE639D" w14:textId="77777777" w:rsidR="00852466" w:rsidRPr="00556071" w:rsidRDefault="00852466">
            <w:pPr>
              <w:pStyle w:val="TableText0"/>
            </w:pPr>
            <w:r w:rsidRPr="00556071">
              <w:t>Year 2 (2026)</w:t>
            </w:r>
          </w:p>
        </w:tc>
        <w:tc>
          <w:tcPr>
            <w:tcW w:w="1054" w:type="dxa"/>
          </w:tcPr>
          <w:p w14:paraId="14305135" w14:textId="77777777" w:rsidR="00852466" w:rsidRPr="00556071" w:rsidRDefault="00852466">
            <w:pPr>
              <w:pStyle w:val="TableText0"/>
            </w:pPr>
            <w:r w:rsidRPr="00556071">
              <w:t>Year 3 (2027)</w:t>
            </w:r>
          </w:p>
        </w:tc>
        <w:tc>
          <w:tcPr>
            <w:tcW w:w="1055" w:type="dxa"/>
          </w:tcPr>
          <w:p w14:paraId="1CA8298F" w14:textId="77777777" w:rsidR="00852466" w:rsidRPr="00556071" w:rsidRDefault="00852466">
            <w:pPr>
              <w:pStyle w:val="TableText0"/>
            </w:pPr>
            <w:r w:rsidRPr="00556071">
              <w:t>Year 4 (2028)</w:t>
            </w:r>
          </w:p>
        </w:tc>
        <w:tc>
          <w:tcPr>
            <w:tcW w:w="1054" w:type="dxa"/>
          </w:tcPr>
          <w:p w14:paraId="7A4F1B7A" w14:textId="77777777" w:rsidR="00852466" w:rsidRPr="00556071" w:rsidRDefault="00852466">
            <w:pPr>
              <w:pStyle w:val="TableText0"/>
            </w:pPr>
            <w:r w:rsidRPr="00556071">
              <w:t>Year 5 (2029)</w:t>
            </w:r>
          </w:p>
        </w:tc>
        <w:tc>
          <w:tcPr>
            <w:tcW w:w="1055" w:type="dxa"/>
          </w:tcPr>
          <w:p w14:paraId="47DE10EE" w14:textId="77777777" w:rsidR="00852466" w:rsidRPr="00556071" w:rsidRDefault="00852466">
            <w:pPr>
              <w:pStyle w:val="TableText0"/>
            </w:pPr>
            <w:r w:rsidRPr="00556071">
              <w:t>Year 6 (2030)</w:t>
            </w:r>
          </w:p>
        </w:tc>
      </w:tr>
      <w:tr w:rsidR="00852466" w14:paraId="37613944" w14:textId="77777777">
        <w:tc>
          <w:tcPr>
            <w:tcW w:w="9021" w:type="dxa"/>
            <w:gridSpan w:val="7"/>
          </w:tcPr>
          <w:p w14:paraId="7D5B6C93" w14:textId="77777777" w:rsidR="00852466" w:rsidRPr="00EE4A69" w:rsidRDefault="00852466">
            <w:pPr>
              <w:pStyle w:val="TableText0"/>
            </w:pPr>
            <w:r w:rsidRPr="00EE4A69">
              <w:t>E</w:t>
            </w:r>
            <w:r w:rsidRPr="00F70735">
              <w:t>stimat</w:t>
            </w:r>
            <w:r w:rsidRPr="00EE4A69">
              <w:t>ed financial implications</w:t>
            </w:r>
          </w:p>
        </w:tc>
      </w:tr>
      <w:tr w:rsidR="00852466" w14:paraId="25CEDB89" w14:textId="77777777">
        <w:tc>
          <w:tcPr>
            <w:tcW w:w="9021" w:type="dxa"/>
            <w:gridSpan w:val="7"/>
          </w:tcPr>
          <w:p w14:paraId="27DEB4E7" w14:textId="77777777" w:rsidR="00852466" w:rsidRPr="003815DF" w:rsidRDefault="00852466">
            <w:pPr>
              <w:pStyle w:val="TableText0"/>
              <w:rPr>
                <w:szCs w:val="18"/>
              </w:rPr>
            </w:pPr>
            <w:r>
              <w:t>Sensitivity analysis – 3% of patients</w:t>
            </w:r>
          </w:p>
        </w:tc>
      </w:tr>
      <w:tr w:rsidR="00852466" w14:paraId="59E9F80A" w14:textId="77777777">
        <w:tc>
          <w:tcPr>
            <w:tcW w:w="2694" w:type="dxa"/>
          </w:tcPr>
          <w:p w14:paraId="0BC8D38A" w14:textId="77777777" w:rsidR="00852466" w:rsidRDefault="00852466">
            <w:pPr>
              <w:pStyle w:val="TableText0"/>
            </w:pPr>
            <w:r w:rsidRPr="00725DC5">
              <w:t>Net Cost to PBS/RPBS</w:t>
            </w:r>
          </w:p>
        </w:tc>
        <w:tc>
          <w:tcPr>
            <w:tcW w:w="1054" w:type="dxa"/>
            <w:vAlign w:val="center"/>
          </w:tcPr>
          <w:p w14:paraId="32681486"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1</w:t>
            </w:r>
          </w:p>
        </w:tc>
        <w:tc>
          <w:tcPr>
            <w:tcW w:w="1055" w:type="dxa"/>
            <w:vAlign w:val="center"/>
          </w:tcPr>
          <w:p w14:paraId="5DE825C8"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1</w:t>
            </w:r>
          </w:p>
        </w:tc>
        <w:tc>
          <w:tcPr>
            <w:tcW w:w="1054" w:type="dxa"/>
            <w:vAlign w:val="center"/>
          </w:tcPr>
          <w:p w14:paraId="2DFE3FFA"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1</w:t>
            </w:r>
          </w:p>
        </w:tc>
        <w:tc>
          <w:tcPr>
            <w:tcW w:w="1055" w:type="dxa"/>
            <w:vAlign w:val="center"/>
          </w:tcPr>
          <w:p w14:paraId="0DE916E4"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1</w:t>
            </w:r>
          </w:p>
        </w:tc>
        <w:tc>
          <w:tcPr>
            <w:tcW w:w="1054" w:type="dxa"/>
            <w:vAlign w:val="center"/>
          </w:tcPr>
          <w:p w14:paraId="421FDDBA"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1</w:t>
            </w:r>
          </w:p>
        </w:tc>
        <w:tc>
          <w:tcPr>
            <w:tcW w:w="1055" w:type="dxa"/>
            <w:vAlign w:val="center"/>
          </w:tcPr>
          <w:p w14:paraId="5B8A0B8D" w14:textId="77777777" w:rsidR="00852466" w:rsidRPr="00340B42" w:rsidRDefault="00852466">
            <w:pPr>
              <w:pStyle w:val="TableText0"/>
              <w:rPr>
                <w:szCs w:val="18"/>
              </w:rPr>
            </w:pPr>
            <w:r w:rsidRPr="00340B42">
              <w:t>$</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1</w:t>
            </w:r>
          </w:p>
        </w:tc>
      </w:tr>
      <w:tr w:rsidR="00852466" w14:paraId="6CAA8863" w14:textId="77777777">
        <w:tc>
          <w:tcPr>
            <w:tcW w:w="9021" w:type="dxa"/>
            <w:gridSpan w:val="7"/>
          </w:tcPr>
          <w:p w14:paraId="7FDD6CF9" w14:textId="77777777" w:rsidR="00852466" w:rsidRPr="00340B42" w:rsidRDefault="00852466">
            <w:pPr>
              <w:pStyle w:val="TableText0"/>
              <w:rPr>
                <w:szCs w:val="18"/>
              </w:rPr>
            </w:pPr>
            <w:r w:rsidRPr="00340B42">
              <w:t>Sensitivity analysis – 20% of patients</w:t>
            </w:r>
          </w:p>
        </w:tc>
      </w:tr>
      <w:tr w:rsidR="00852466" w14:paraId="2E41C23C" w14:textId="77777777">
        <w:tc>
          <w:tcPr>
            <w:tcW w:w="2694" w:type="dxa"/>
          </w:tcPr>
          <w:p w14:paraId="653F2896" w14:textId="77777777" w:rsidR="00852466" w:rsidRPr="00725DC5" w:rsidRDefault="00852466">
            <w:pPr>
              <w:pStyle w:val="TableText0"/>
            </w:pPr>
            <w:r w:rsidRPr="00725DC5">
              <w:t>Net Cost to PBS/RPBS</w:t>
            </w:r>
          </w:p>
        </w:tc>
        <w:tc>
          <w:tcPr>
            <w:tcW w:w="1054" w:type="dxa"/>
            <w:vAlign w:val="center"/>
          </w:tcPr>
          <w:p w14:paraId="4304EE9D" w14:textId="77777777" w:rsidR="00852466" w:rsidRPr="00340B42" w:rsidRDefault="00852466">
            <w:pPr>
              <w:pStyle w:val="TableText0"/>
            </w:pPr>
            <w:r w:rsidRPr="00340B42">
              <w:t>$</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1</w:t>
            </w:r>
          </w:p>
        </w:tc>
        <w:tc>
          <w:tcPr>
            <w:tcW w:w="1055" w:type="dxa"/>
            <w:vAlign w:val="center"/>
          </w:tcPr>
          <w:p w14:paraId="2F42DAFF" w14:textId="77777777" w:rsidR="00852466" w:rsidRPr="00340B42" w:rsidRDefault="00852466">
            <w:pPr>
              <w:pStyle w:val="TableText0"/>
            </w:pPr>
            <w:r w:rsidRPr="00340B42">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1</w:t>
            </w:r>
          </w:p>
        </w:tc>
        <w:tc>
          <w:tcPr>
            <w:tcW w:w="1054" w:type="dxa"/>
            <w:vAlign w:val="center"/>
          </w:tcPr>
          <w:p w14:paraId="32D839EF" w14:textId="77777777" w:rsidR="00852466" w:rsidRPr="00340B42" w:rsidRDefault="00852466">
            <w:pPr>
              <w:pStyle w:val="TableText0"/>
            </w:pPr>
            <w:r w:rsidRPr="00340B42">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1</w:t>
            </w:r>
          </w:p>
        </w:tc>
        <w:tc>
          <w:tcPr>
            <w:tcW w:w="1055" w:type="dxa"/>
            <w:vAlign w:val="center"/>
          </w:tcPr>
          <w:p w14:paraId="2C3362BD" w14:textId="77777777" w:rsidR="00852466" w:rsidRPr="00340B42" w:rsidRDefault="00852466">
            <w:pPr>
              <w:pStyle w:val="TableText0"/>
            </w:pPr>
            <w:r w:rsidRPr="00340B42">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1</w:t>
            </w:r>
          </w:p>
        </w:tc>
        <w:tc>
          <w:tcPr>
            <w:tcW w:w="1054" w:type="dxa"/>
            <w:vAlign w:val="center"/>
          </w:tcPr>
          <w:p w14:paraId="4A5FA921" w14:textId="77777777" w:rsidR="00852466" w:rsidRPr="00340B42" w:rsidRDefault="00852466">
            <w:pPr>
              <w:pStyle w:val="TableText0"/>
            </w:pPr>
            <w:r w:rsidRPr="00340B42">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1</w:t>
            </w:r>
          </w:p>
        </w:tc>
        <w:tc>
          <w:tcPr>
            <w:tcW w:w="1055" w:type="dxa"/>
            <w:vAlign w:val="center"/>
          </w:tcPr>
          <w:p w14:paraId="52E820DE" w14:textId="77777777" w:rsidR="00852466" w:rsidRPr="00340B42" w:rsidRDefault="00852466">
            <w:pPr>
              <w:pStyle w:val="TableText0"/>
            </w:pPr>
            <w:r w:rsidRPr="00340B42">
              <w:t>$</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1</w:t>
            </w:r>
          </w:p>
        </w:tc>
      </w:tr>
    </w:tbl>
    <w:p w14:paraId="2BC54C9E" w14:textId="77777777" w:rsidR="00852466" w:rsidRDefault="00852466" w:rsidP="00852466">
      <w:pPr>
        <w:pStyle w:val="TableFigureFooter"/>
        <w:jc w:val="left"/>
        <w:rPr>
          <w:i/>
          <w:iCs/>
        </w:rPr>
      </w:pPr>
      <w:r w:rsidRPr="008F5DF6">
        <w:t>PBS = Pharmaceutical Benefits Scheme; RPBS = Repatriation Pharmaceutical Benefits Scheme</w:t>
      </w:r>
      <w:r>
        <w:br/>
      </w:r>
      <w:r w:rsidRPr="004259EE">
        <w:rPr>
          <w:i/>
          <w:iCs/>
        </w:rPr>
        <w:t>The redacted values correspond to the following ranges:</w:t>
      </w:r>
    </w:p>
    <w:p w14:paraId="4B19148D" w14:textId="77777777" w:rsidR="00852466" w:rsidRPr="008F5DF6" w:rsidRDefault="00852466" w:rsidP="00852466">
      <w:pPr>
        <w:pStyle w:val="TableFigureFooter"/>
      </w:pPr>
      <w:r w:rsidRPr="004259EE">
        <w:rPr>
          <w:i/>
          <w:iCs/>
          <w:vertAlign w:val="superscript"/>
        </w:rPr>
        <w:t>1</w:t>
      </w:r>
      <w:r w:rsidRPr="004259EE">
        <w:rPr>
          <w:i/>
          <w:iCs/>
        </w:rPr>
        <w:t xml:space="preserve"> </w:t>
      </w:r>
      <w:r w:rsidRPr="00D72616">
        <w:rPr>
          <w:i/>
          <w:iCs/>
        </w:rPr>
        <w:t>$0 to &lt; $10 million</w:t>
      </w:r>
    </w:p>
    <w:p w14:paraId="1C36462F" w14:textId="77777777" w:rsidR="00852466" w:rsidRPr="00DF470E" w:rsidRDefault="00852466" w:rsidP="00852466">
      <w:pPr>
        <w:pStyle w:val="3-BodyText"/>
        <w:numPr>
          <w:ilvl w:val="1"/>
          <w:numId w:val="2"/>
        </w:numPr>
        <w:spacing w:before="120"/>
      </w:pPr>
      <w:r>
        <w:t>Based on the current DPMQ for adalimumab, the estimated net cost to the PBS would be $0 to &lt; $10 million in year 6 for the proposed changes to the paediatric Crohn disease listings for adalimumab, with a total cost of $0 to &lt; $10 million over 6 years. The net cost to the PBS over 6 years for the sensitivity analyses ranged from $0 to &lt; $10 million to $0 to &lt; $10 million.</w:t>
      </w:r>
    </w:p>
    <w:p w14:paraId="692F2E32" w14:textId="77777777" w:rsidR="00852466" w:rsidRDefault="00852466" w:rsidP="00852466">
      <w:pPr>
        <w:pStyle w:val="4-SubsectionHeading"/>
      </w:pPr>
      <w:r>
        <w:t>Chronic plaque psoriasis</w:t>
      </w:r>
    </w:p>
    <w:p w14:paraId="520C2C0C" w14:textId="77777777" w:rsidR="00852466" w:rsidRDefault="00852466" w:rsidP="00852466">
      <w:pPr>
        <w:pStyle w:val="3-BodyText"/>
        <w:numPr>
          <w:ilvl w:val="1"/>
          <w:numId w:val="2"/>
        </w:numPr>
        <w:spacing w:before="120"/>
      </w:pPr>
      <w:r>
        <w:t xml:space="preserve">Further work was being undertaken to model the financial estimates for the proposal to list adalimumab on the PBS as an earlier line of </w:t>
      </w:r>
      <w:proofErr w:type="spellStart"/>
      <w:r>
        <w:t>bDMARD</w:t>
      </w:r>
      <w:proofErr w:type="spellEnd"/>
      <w:r>
        <w:t xml:space="preserve"> therapy for the treatment of paediatric chronic plaque psoriasis (in patients who do not have an adequate response to topical therapy and phototherapy). This proposal would result in a cost to the PBS.</w:t>
      </w:r>
    </w:p>
    <w:p w14:paraId="3802BA2D" w14:textId="77777777" w:rsidR="00852466" w:rsidRDefault="00852466" w:rsidP="00852466">
      <w:pPr>
        <w:pStyle w:val="3-BodyText"/>
        <w:numPr>
          <w:ilvl w:val="1"/>
          <w:numId w:val="2"/>
        </w:numPr>
        <w:spacing w:before="120"/>
      </w:pPr>
      <w:r>
        <w:t>Key inputs and financial estimates for an option to list adalimumab for the treatment of chronic plaque psoriasis, in line with the current listings for ustekinumab and etanercept, are shown in Tables 17 and 18 respectively.</w:t>
      </w:r>
    </w:p>
    <w:p w14:paraId="5BAD26D0" w14:textId="77777777" w:rsidR="00852466" w:rsidRPr="009916EA" w:rsidRDefault="00852466" w:rsidP="00852466">
      <w:pPr>
        <w:pStyle w:val="TableFigureHeading"/>
      </w:pPr>
      <w:r w:rsidRPr="009916EA">
        <w:t>Table 1</w:t>
      </w:r>
      <w:r>
        <w:t>7:</w:t>
      </w:r>
      <w:r w:rsidRPr="009916EA">
        <w:t xml:space="preserve"> Source of inputs for Financial estimate</w:t>
      </w:r>
      <w:r>
        <w:t>s</w:t>
      </w:r>
      <w:r w:rsidRPr="009916EA">
        <w:t xml:space="preserve"> – adalimumab </w:t>
      </w:r>
      <w:r>
        <w:t xml:space="preserve">for chronic plaque psoriasis </w:t>
      </w:r>
      <w:r w:rsidRPr="009916EA">
        <w:t xml:space="preserve">(aligned with </w:t>
      </w:r>
      <w:r>
        <w:t>u</w:t>
      </w:r>
      <w:r w:rsidRPr="009916EA">
        <w:t>stekinumab and etanercept</w:t>
      </w:r>
      <w:r>
        <w:t xml:space="preserve"> PBS listings</w:t>
      </w:r>
      <w:r w:rsidRPr="009916EA">
        <w:t>)</w:t>
      </w:r>
    </w:p>
    <w:tbl>
      <w:tblPr>
        <w:tblStyle w:val="TableGrid"/>
        <w:tblW w:w="0" w:type="auto"/>
        <w:tblInd w:w="-5" w:type="dxa"/>
        <w:tblLook w:val="04A0" w:firstRow="1" w:lastRow="0" w:firstColumn="1" w:lastColumn="0" w:noHBand="0" w:noVBand="1"/>
        <w:tblCaption w:val="Source of inputs for Financial estimates – adalimumab for chronic plaque psoriasis (aligned with ustekinumab and etanercept PBS listings)"/>
      </w:tblPr>
      <w:tblGrid>
        <w:gridCol w:w="1701"/>
        <w:gridCol w:w="7320"/>
      </w:tblGrid>
      <w:tr w:rsidR="00852466" w:rsidRPr="00927B62" w14:paraId="5AAA7569" w14:textId="77777777">
        <w:tc>
          <w:tcPr>
            <w:tcW w:w="1701" w:type="dxa"/>
          </w:tcPr>
          <w:p w14:paraId="1CB6EAEE" w14:textId="77777777" w:rsidR="00852466" w:rsidRPr="00E55F56" w:rsidRDefault="00852466">
            <w:pPr>
              <w:pStyle w:val="TableText0"/>
              <w:rPr>
                <w:b/>
                <w:bCs w:val="0"/>
              </w:rPr>
            </w:pPr>
            <w:r w:rsidRPr="00E55F56">
              <w:rPr>
                <w:b/>
                <w:bCs w:val="0"/>
              </w:rPr>
              <w:t>Parameter</w:t>
            </w:r>
          </w:p>
        </w:tc>
        <w:tc>
          <w:tcPr>
            <w:tcW w:w="7320" w:type="dxa"/>
          </w:tcPr>
          <w:p w14:paraId="305F7F7C" w14:textId="77777777" w:rsidR="00852466" w:rsidRPr="00E55F56" w:rsidRDefault="00852466">
            <w:pPr>
              <w:pStyle w:val="TableText0"/>
              <w:rPr>
                <w:b/>
                <w:bCs w:val="0"/>
              </w:rPr>
            </w:pPr>
            <w:r w:rsidRPr="00E55F56">
              <w:rPr>
                <w:b/>
                <w:bCs w:val="0"/>
              </w:rPr>
              <w:t>Value and source</w:t>
            </w:r>
          </w:p>
        </w:tc>
      </w:tr>
      <w:tr w:rsidR="00852466" w:rsidRPr="00927B62" w14:paraId="5A4D5FFB" w14:textId="77777777">
        <w:tc>
          <w:tcPr>
            <w:tcW w:w="1701" w:type="dxa"/>
          </w:tcPr>
          <w:p w14:paraId="58673448" w14:textId="77777777" w:rsidR="00852466" w:rsidRPr="00927B62" w:rsidRDefault="00852466">
            <w:pPr>
              <w:pStyle w:val="TableText0"/>
            </w:pPr>
            <w:r>
              <w:t xml:space="preserve">Population </w:t>
            </w:r>
          </w:p>
        </w:tc>
        <w:tc>
          <w:tcPr>
            <w:tcW w:w="7320" w:type="dxa"/>
          </w:tcPr>
          <w:p w14:paraId="0A4D80A8" w14:textId="77777777" w:rsidR="00852466" w:rsidRPr="00927B62" w:rsidRDefault="00852466">
            <w:pPr>
              <w:pStyle w:val="TableText0"/>
            </w:pPr>
            <w:r>
              <w:t>P</w:t>
            </w:r>
            <w:r w:rsidRPr="001C4DAE">
              <w:t xml:space="preserve">revalent population based on historical </w:t>
            </w:r>
            <w:r>
              <w:t>patient numbers</w:t>
            </w:r>
            <w:r w:rsidRPr="001C4DAE">
              <w:t xml:space="preserve"> for </w:t>
            </w:r>
            <w:r>
              <w:t>u</w:t>
            </w:r>
            <w:r w:rsidRPr="001C4DAE">
              <w:t xml:space="preserve">stekinumab and </w:t>
            </w:r>
            <w:r>
              <w:t>e</w:t>
            </w:r>
            <w:r w:rsidRPr="001C4DAE">
              <w:t>tanercept provided by DUSC</w:t>
            </w:r>
            <w:r>
              <w:t xml:space="preserve"> Secretariat</w:t>
            </w:r>
            <w:r w:rsidRPr="001C4DAE">
              <w:t>.</w:t>
            </w:r>
          </w:p>
        </w:tc>
      </w:tr>
      <w:tr w:rsidR="00852466" w:rsidRPr="00927B62" w14:paraId="19257CB9" w14:textId="77777777">
        <w:tc>
          <w:tcPr>
            <w:tcW w:w="1701" w:type="dxa"/>
          </w:tcPr>
          <w:p w14:paraId="65680DCD" w14:textId="77777777" w:rsidR="00852466" w:rsidRDefault="00852466">
            <w:pPr>
              <w:pStyle w:val="TableText0"/>
            </w:pPr>
            <w:r>
              <w:t>Patient weight</w:t>
            </w:r>
          </w:p>
        </w:tc>
        <w:tc>
          <w:tcPr>
            <w:tcW w:w="7320" w:type="dxa"/>
          </w:tcPr>
          <w:p w14:paraId="63E667B5" w14:textId="77777777" w:rsidR="00852466" w:rsidRDefault="00852466">
            <w:pPr>
              <w:pStyle w:val="TableText0"/>
            </w:pPr>
            <w:r>
              <w:t>A</w:t>
            </w:r>
            <w:r w:rsidRPr="00D228EF">
              <w:t xml:space="preserve"> 90% and 10% split between </w:t>
            </w:r>
            <w:r>
              <w:t>≥4</w:t>
            </w:r>
            <w:r w:rsidRPr="00D228EF">
              <w:t>0 kg and &lt;40</w:t>
            </w:r>
            <w:r>
              <w:t xml:space="preserve"> </w:t>
            </w:r>
            <w:r w:rsidRPr="00D228EF">
              <w:t xml:space="preserve">kg </w:t>
            </w:r>
            <w:r>
              <w:t xml:space="preserve">was used </w:t>
            </w:r>
            <w:r w:rsidRPr="00D228EF">
              <w:t>to account for the different adalimumab dosing</w:t>
            </w:r>
            <w:r>
              <w:t xml:space="preserve"> regimens</w:t>
            </w:r>
            <w:r w:rsidRPr="00D228EF">
              <w:t>.</w:t>
            </w:r>
          </w:p>
        </w:tc>
      </w:tr>
      <w:tr w:rsidR="00852466" w:rsidRPr="00927B62" w14:paraId="39C3D3DC" w14:textId="77777777">
        <w:tc>
          <w:tcPr>
            <w:tcW w:w="1701" w:type="dxa"/>
          </w:tcPr>
          <w:p w14:paraId="4E2E833F" w14:textId="77777777" w:rsidR="00852466" w:rsidRDefault="00852466">
            <w:pPr>
              <w:pStyle w:val="TableText0"/>
            </w:pPr>
            <w:r>
              <w:t>Prescriptions</w:t>
            </w:r>
          </w:p>
        </w:tc>
        <w:tc>
          <w:tcPr>
            <w:tcW w:w="7320" w:type="dxa"/>
          </w:tcPr>
          <w:p w14:paraId="696DF102" w14:textId="77777777" w:rsidR="00852466" w:rsidRDefault="00852466">
            <w:pPr>
              <w:pStyle w:val="TableText0"/>
            </w:pPr>
            <w:r>
              <w:t>D</w:t>
            </w:r>
            <w:r w:rsidRPr="001C4DAE">
              <w:t>ispensing data provided by DUSC</w:t>
            </w:r>
            <w:r>
              <w:t xml:space="preserve"> Secretariat was used</w:t>
            </w:r>
            <w:r w:rsidRPr="001C4DAE">
              <w:t xml:space="preserve"> to </w:t>
            </w:r>
            <w:r>
              <w:t>calculate</w:t>
            </w:r>
            <w:r w:rsidRPr="001C4DAE">
              <w:t xml:space="preserve"> the average script/patient/year for calculating the offset medicines</w:t>
            </w:r>
            <w:r>
              <w:t>.</w:t>
            </w:r>
          </w:p>
        </w:tc>
      </w:tr>
      <w:tr w:rsidR="00852466" w:rsidRPr="00927B62" w14:paraId="35470CD3" w14:textId="77777777">
        <w:tc>
          <w:tcPr>
            <w:tcW w:w="1701" w:type="dxa"/>
          </w:tcPr>
          <w:p w14:paraId="28A37B9C" w14:textId="77777777" w:rsidR="00852466" w:rsidRPr="00927B62" w:rsidRDefault="00852466">
            <w:pPr>
              <w:pStyle w:val="TableText0"/>
            </w:pPr>
            <w:r>
              <w:t>Treatment duration</w:t>
            </w:r>
          </w:p>
        </w:tc>
        <w:tc>
          <w:tcPr>
            <w:tcW w:w="7320" w:type="dxa"/>
          </w:tcPr>
          <w:p w14:paraId="22C9DD99" w14:textId="77777777" w:rsidR="00852466" w:rsidRPr="00927B62" w:rsidRDefault="00852466">
            <w:pPr>
              <w:pStyle w:val="TableText0"/>
            </w:pPr>
            <w:r>
              <w:t>T</w:t>
            </w:r>
            <w:r w:rsidRPr="001C4DAE">
              <w:t>reatment duration is 12</w:t>
            </w:r>
            <w:r>
              <w:t xml:space="preserve"> </w:t>
            </w:r>
            <w:r w:rsidRPr="001C4DAE">
              <w:t xml:space="preserve">months since these are prevalent </w:t>
            </w:r>
            <w:r>
              <w:t>patients.</w:t>
            </w:r>
          </w:p>
        </w:tc>
      </w:tr>
      <w:tr w:rsidR="00852466" w14:paraId="5C4BE029" w14:textId="77777777">
        <w:tc>
          <w:tcPr>
            <w:tcW w:w="1701" w:type="dxa"/>
          </w:tcPr>
          <w:p w14:paraId="01C3D71E" w14:textId="77777777" w:rsidR="00852466" w:rsidRDefault="00852466">
            <w:pPr>
              <w:pStyle w:val="TableText0"/>
            </w:pPr>
            <w:r>
              <w:t xml:space="preserve">Switching </w:t>
            </w:r>
          </w:p>
        </w:tc>
        <w:tc>
          <w:tcPr>
            <w:tcW w:w="7320" w:type="dxa"/>
          </w:tcPr>
          <w:p w14:paraId="512052EB" w14:textId="77777777" w:rsidR="00852466" w:rsidRDefault="00852466">
            <w:pPr>
              <w:pStyle w:val="TableText0"/>
              <w:rPr>
                <w:color w:val="000000"/>
                <w:szCs w:val="20"/>
              </w:rPr>
            </w:pPr>
            <w:r w:rsidRPr="00D228EF">
              <w:rPr>
                <w:color w:val="000000"/>
                <w:szCs w:val="20"/>
              </w:rPr>
              <w:t xml:space="preserve">2023 </w:t>
            </w:r>
            <w:r>
              <w:rPr>
                <w:color w:val="000000"/>
                <w:szCs w:val="20"/>
              </w:rPr>
              <w:t xml:space="preserve">PBS </w:t>
            </w:r>
            <w:r w:rsidRPr="00D228EF">
              <w:rPr>
                <w:color w:val="000000"/>
                <w:szCs w:val="20"/>
              </w:rPr>
              <w:t xml:space="preserve">data </w:t>
            </w:r>
            <w:r>
              <w:rPr>
                <w:color w:val="000000"/>
                <w:szCs w:val="20"/>
              </w:rPr>
              <w:t xml:space="preserve">was used </w:t>
            </w:r>
            <w:r w:rsidRPr="00D228EF">
              <w:rPr>
                <w:color w:val="000000"/>
                <w:szCs w:val="20"/>
              </w:rPr>
              <w:t xml:space="preserve">to determine the proportion between </w:t>
            </w:r>
            <w:r>
              <w:rPr>
                <w:color w:val="000000"/>
                <w:szCs w:val="20"/>
              </w:rPr>
              <w:t>u</w:t>
            </w:r>
            <w:r w:rsidRPr="00D228EF">
              <w:rPr>
                <w:color w:val="000000"/>
                <w:szCs w:val="20"/>
              </w:rPr>
              <w:t>stekinumab and etanercept offset.</w:t>
            </w:r>
          </w:p>
          <w:p w14:paraId="6019E3FA" w14:textId="77777777" w:rsidR="00852466" w:rsidRPr="00C363B5" w:rsidRDefault="00852466">
            <w:pPr>
              <w:pStyle w:val="TableText0"/>
              <w:rPr>
                <w:color w:val="000000"/>
                <w:szCs w:val="20"/>
              </w:rPr>
            </w:pPr>
            <w:r>
              <w:rPr>
                <w:color w:val="000000"/>
                <w:szCs w:val="20"/>
              </w:rPr>
              <w:t xml:space="preserve">The model assumes </w:t>
            </w:r>
            <w:r w:rsidRPr="00D228EF">
              <w:rPr>
                <w:color w:val="000000"/>
                <w:szCs w:val="20"/>
              </w:rPr>
              <w:t xml:space="preserve">10% of the </w:t>
            </w:r>
            <w:r>
              <w:rPr>
                <w:color w:val="000000"/>
                <w:szCs w:val="20"/>
              </w:rPr>
              <w:t>u</w:t>
            </w:r>
            <w:r w:rsidRPr="00D228EF">
              <w:rPr>
                <w:color w:val="000000"/>
                <w:szCs w:val="20"/>
              </w:rPr>
              <w:t xml:space="preserve">stekinumab and </w:t>
            </w:r>
            <w:r>
              <w:rPr>
                <w:color w:val="000000"/>
                <w:szCs w:val="20"/>
              </w:rPr>
              <w:t>e</w:t>
            </w:r>
            <w:r w:rsidRPr="00D228EF">
              <w:rPr>
                <w:color w:val="000000"/>
                <w:szCs w:val="20"/>
              </w:rPr>
              <w:t>tanercept patients are switching to adalimumab.</w:t>
            </w:r>
          </w:p>
        </w:tc>
      </w:tr>
      <w:tr w:rsidR="00852466" w14:paraId="154A9720" w14:textId="77777777">
        <w:tc>
          <w:tcPr>
            <w:tcW w:w="1701" w:type="dxa"/>
          </w:tcPr>
          <w:p w14:paraId="65E365C6" w14:textId="77777777" w:rsidR="00852466" w:rsidRDefault="00852466">
            <w:pPr>
              <w:pStyle w:val="TableText0"/>
            </w:pPr>
            <w:r>
              <w:t>Cost</w:t>
            </w:r>
          </w:p>
        </w:tc>
        <w:tc>
          <w:tcPr>
            <w:tcW w:w="7320" w:type="dxa"/>
          </w:tcPr>
          <w:p w14:paraId="5FC457CF" w14:textId="77777777" w:rsidR="00852466" w:rsidRPr="00C363B5" w:rsidRDefault="00852466">
            <w:pPr>
              <w:pStyle w:val="TableText0"/>
              <w:rPr>
                <w:color w:val="000000"/>
                <w:szCs w:val="20"/>
              </w:rPr>
            </w:pPr>
            <w:r w:rsidRPr="00C363B5">
              <w:rPr>
                <w:color w:val="000000"/>
                <w:szCs w:val="20"/>
              </w:rPr>
              <w:t>Adalimumab 20</w:t>
            </w:r>
            <w:r>
              <w:rPr>
                <w:color w:val="000000"/>
                <w:szCs w:val="20"/>
              </w:rPr>
              <w:t> </w:t>
            </w:r>
            <w:r w:rsidRPr="00C363B5">
              <w:rPr>
                <w:color w:val="000000"/>
                <w:szCs w:val="20"/>
              </w:rPr>
              <w:t>mg – AEMP $</w:t>
            </w:r>
            <w:r w:rsidRPr="00D34207">
              <w:rPr>
                <w:color w:val="000000"/>
                <w:szCs w:val="20"/>
              </w:rPr>
              <w:t>567.42</w:t>
            </w:r>
            <w:r w:rsidRPr="00C363B5">
              <w:rPr>
                <w:color w:val="000000"/>
                <w:szCs w:val="20"/>
              </w:rPr>
              <w:t>, DPMQ $</w:t>
            </w:r>
            <w:r w:rsidRPr="00D34207">
              <w:rPr>
                <w:color w:val="000000"/>
                <w:szCs w:val="20"/>
              </w:rPr>
              <w:t>649.05</w:t>
            </w:r>
            <w:r w:rsidRPr="00C363B5">
              <w:rPr>
                <w:color w:val="000000"/>
                <w:szCs w:val="20"/>
              </w:rPr>
              <w:t>.</w:t>
            </w:r>
          </w:p>
          <w:p w14:paraId="0A699C36" w14:textId="77777777" w:rsidR="00852466" w:rsidRPr="00C363B5" w:rsidRDefault="00852466">
            <w:pPr>
              <w:pStyle w:val="TableText0"/>
              <w:rPr>
                <w:color w:val="000000"/>
                <w:szCs w:val="20"/>
              </w:rPr>
            </w:pPr>
          </w:p>
          <w:p w14:paraId="109A6856" w14:textId="77777777" w:rsidR="00852466" w:rsidRDefault="00852466">
            <w:pPr>
              <w:pStyle w:val="TableText0"/>
              <w:rPr>
                <w:color w:val="000000"/>
                <w:szCs w:val="20"/>
              </w:rPr>
            </w:pPr>
            <w:r w:rsidRPr="00C363B5">
              <w:rPr>
                <w:color w:val="000000"/>
                <w:szCs w:val="20"/>
              </w:rPr>
              <w:t>Adalimumab 40</w:t>
            </w:r>
            <w:r>
              <w:rPr>
                <w:color w:val="000000"/>
                <w:szCs w:val="20"/>
              </w:rPr>
              <w:t> </w:t>
            </w:r>
            <w:r w:rsidRPr="00C363B5">
              <w:rPr>
                <w:color w:val="000000"/>
                <w:szCs w:val="20"/>
              </w:rPr>
              <w:t>mg –</w:t>
            </w:r>
            <w:r>
              <w:rPr>
                <w:color w:val="000000"/>
                <w:szCs w:val="20"/>
              </w:rPr>
              <w:t xml:space="preserve"> </w:t>
            </w:r>
            <w:r w:rsidRPr="00C363B5">
              <w:rPr>
                <w:color w:val="000000"/>
                <w:szCs w:val="20"/>
              </w:rPr>
              <w:t>AEMP $</w:t>
            </w:r>
            <w:r w:rsidRPr="00D34207">
              <w:rPr>
                <w:color w:val="000000"/>
                <w:szCs w:val="20"/>
              </w:rPr>
              <w:t>505.95</w:t>
            </w:r>
            <w:r w:rsidRPr="00C363B5">
              <w:rPr>
                <w:color w:val="000000"/>
                <w:szCs w:val="20"/>
              </w:rPr>
              <w:t>, DPM</w:t>
            </w:r>
            <w:r>
              <w:rPr>
                <w:color w:val="000000"/>
                <w:szCs w:val="20"/>
              </w:rPr>
              <w:t>Q</w:t>
            </w:r>
            <w:r w:rsidRPr="00C363B5">
              <w:rPr>
                <w:color w:val="000000"/>
                <w:szCs w:val="20"/>
              </w:rPr>
              <w:t xml:space="preserve"> $</w:t>
            </w:r>
            <w:r w:rsidRPr="00D34207">
              <w:rPr>
                <w:color w:val="000000"/>
                <w:szCs w:val="20"/>
              </w:rPr>
              <w:t>558.66</w:t>
            </w:r>
          </w:p>
          <w:p w14:paraId="0EA15EDF" w14:textId="77777777" w:rsidR="00852466" w:rsidRDefault="00852466">
            <w:pPr>
              <w:pStyle w:val="TableText0"/>
              <w:rPr>
                <w:color w:val="000000"/>
                <w:szCs w:val="20"/>
              </w:rPr>
            </w:pPr>
          </w:p>
          <w:p w14:paraId="5FC14A41" w14:textId="77777777" w:rsidR="00852466" w:rsidRDefault="00852466">
            <w:pPr>
              <w:pStyle w:val="TableText0"/>
              <w:rPr>
                <w:szCs w:val="20"/>
              </w:rPr>
            </w:pPr>
            <w:r>
              <w:rPr>
                <w:color w:val="000000"/>
                <w:szCs w:val="20"/>
              </w:rPr>
              <w:t>Current published AEMPs and DPMQs for ustekinumab and etanercept for CPP listings were used.</w:t>
            </w:r>
          </w:p>
        </w:tc>
      </w:tr>
    </w:tbl>
    <w:p w14:paraId="69947599" w14:textId="77777777" w:rsidR="00852466" w:rsidRPr="001A3A72" w:rsidRDefault="00852466" w:rsidP="00852466">
      <w:pPr>
        <w:rPr>
          <w:sz w:val="18"/>
          <w:szCs w:val="18"/>
        </w:rPr>
      </w:pPr>
      <w:r w:rsidRPr="001A3A72">
        <w:rPr>
          <w:rFonts w:ascii="Arial Narrow" w:hAnsi="Arial Narrow"/>
          <w:sz w:val="18"/>
          <w:szCs w:val="18"/>
        </w:rPr>
        <w:t>AEMP = approved ex-manufacturer price; CPP = chronic plaque psoriasis; DPMQ = Dispensed price for maximum quantity;</w:t>
      </w:r>
    </w:p>
    <w:p w14:paraId="7F7059A7" w14:textId="77777777" w:rsidR="00852466" w:rsidRPr="00A769C8" w:rsidRDefault="00852466" w:rsidP="00852466">
      <w:pPr>
        <w:pStyle w:val="TableFigureFooter"/>
      </w:pPr>
      <w:r w:rsidRPr="001A3A72">
        <w:t>DUSC = Drug Utilisation Sub-Committee</w:t>
      </w:r>
    </w:p>
    <w:p w14:paraId="142C4B2A" w14:textId="77777777" w:rsidR="00852466" w:rsidRPr="009916EA" w:rsidRDefault="00852466" w:rsidP="00852466">
      <w:pPr>
        <w:pStyle w:val="TableFigureHeading"/>
      </w:pPr>
      <w:r w:rsidRPr="009916EA">
        <w:t>Table 1</w:t>
      </w:r>
      <w:r>
        <w:t>8:</w:t>
      </w:r>
      <w:r w:rsidRPr="009916EA">
        <w:t xml:space="preserve"> Financial estimates – adalimumab </w:t>
      </w:r>
      <w:r>
        <w:t>for chronic plaque psoriasis</w:t>
      </w:r>
      <w:r w:rsidRPr="009916EA">
        <w:t xml:space="preserve"> (aligned with </w:t>
      </w:r>
      <w:r>
        <w:t>ustekinumab*</w:t>
      </w:r>
      <w:r w:rsidRPr="009916EA">
        <w:t xml:space="preserve"> and etanercept</w:t>
      </w:r>
      <w:r>
        <w:t xml:space="preserve"> (published prices)</w:t>
      </w:r>
      <w:r w:rsidRPr="009916EA">
        <w:t>)</w:t>
      </w:r>
    </w:p>
    <w:tbl>
      <w:tblPr>
        <w:tblStyle w:val="TableGrid"/>
        <w:tblW w:w="0" w:type="auto"/>
        <w:tblInd w:w="-5" w:type="dxa"/>
        <w:tblLook w:val="04A0" w:firstRow="1" w:lastRow="0" w:firstColumn="1" w:lastColumn="0" w:noHBand="0" w:noVBand="1"/>
        <w:tblCaption w:val="Financial estimates – adalimumab for chronic plaque psoriasis (aligned with ustekinumab* and etanercept (published prices))"/>
      </w:tblPr>
      <w:tblGrid>
        <w:gridCol w:w="2694"/>
        <w:gridCol w:w="1054"/>
        <w:gridCol w:w="1055"/>
        <w:gridCol w:w="1054"/>
        <w:gridCol w:w="1055"/>
        <w:gridCol w:w="1054"/>
        <w:gridCol w:w="1055"/>
      </w:tblGrid>
      <w:tr w:rsidR="00852466" w:rsidRPr="00725DC5" w14:paraId="137EA0D2" w14:textId="77777777">
        <w:tc>
          <w:tcPr>
            <w:tcW w:w="2694" w:type="dxa"/>
          </w:tcPr>
          <w:p w14:paraId="024C4887" w14:textId="77777777" w:rsidR="00852466" w:rsidRPr="00725DC5" w:rsidRDefault="00852466">
            <w:pPr>
              <w:pStyle w:val="TableText0"/>
            </w:pPr>
          </w:p>
        </w:tc>
        <w:tc>
          <w:tcPr>
            <w:tcW w:w="1054" w:type="dxa"/>
          </w:tcPr>
          <w:p w14:paraId="43871459" w14:textId="77777777" w:rsidR="00852466" w:rsidRPr="001A3A72" w:rsidRDefault="00852466">
            <w:pPr>
              <w:pStyle w:val="TableText0"/>
            </w:pPr>
            <w:r w:rsidRPr="001A3A72">
              <w:t>Year 1 (2025)</w:t>
            </w:r>
          </w:p>
        </w:tc>
        <w:tc>
          <w:tcPr>
            <w:tcW w:w="1055" w:type="dxa"/>
          </w:tcPr>
          <w:p w14:paraId="302461BE" w14:textId="77777777" w:rsidR="00852466" w:rsidRPr="001A3A72" w:rsidRDefault="00852466">
            <w:pPr>
              <w:pStyle w:val="TableText0"/>
            </w:pPr>
            <w:r w:rsidRPr="001A3A72">
              <w:t>Year 2 (2026)</w:t>
            </w:r>
          </w:p>
        </w:tc>
        <w:tc>
          <w:tcPr>
            <w:tcW w:w="1054" w:type="dxa"/>
          </w:tcPr>
          <w:p w14:paraId="7EC68478" w14:textId="77777777" w:rsidR="00852466" w:rsidRPr="001A3A72" w:rsidRDefault="00852466">
            <w:pPr>
              <w:pStyle w:val="TableText0"/>
            </w:pPr>
            <w:r w:rsidRPr="001A3A72">
              <w:t>Year 3 (2027)</w:t>
            </w:r>
          </w:p>
        </w:tc>
        <w:tc>
          <w:tcPr>
            <w:tcW w:w="1055" w:type="dxa"/>
          </w:tcPr>
          <w:p w14:paraId="20D4F69E" w14:textId="77777777" w:rsidR="00852466" w:rsidRPr="001A3A72" w:rsidRDefault="00852466">
            <w:pPr>
              <w:pStyle w:val="TableText0"/>
            </w:pPr>
            <w:r w:rsidRPr="001A3A72">
              <w:t>Year 4 (2028)</w:t>
            </w:r>
          </w:p>
        </w:tc>
        <w:tc>
          <w:tcPr>
            <w:tcW w:w="1054" w:type="dxa"/>
          </w:tcPr>
          <w:p w14:paraId="2505CB2A" w14:textId="77777777" w:rsidR="00852466" w:rsidRPr="001A3A72" w:rsidRDefault="00852466">
            <w:pPr>
              <w:pStyle w:val="TableText0"/>
            </w:pPr>
            <w:r w:rsidRPr="001A3A72">
              <w:t>Year 5 (2029)</w:t>
            </w:r>
          </w:p>
        </w:tc>
        <w:tc>
          <w:tcPr>
            <w:tcW w:w="1055" w:type="dxa"/>
          </w:tcPr>
          <w:p w14:paraId="6A4FD3D6" w14:textId="77777777" w:rsidR="00852466" w:rsidRPr="001A3A72" w:rsidRDefault="00852466">
            <w:pPr>
              <w:pStyle w:val="TableText0"/>
            </w:pPr>
            <w:r w:rsidRPr="001A3A72">
              <w:t>Year 6 (2030)</w:t>
            </w:r>
          </w:p>
        </w:tc>
      </w:tr>
      <w:tr w:rsidR="00852466" w:rsidRPr="00EE4A69" w14:paraId="34DB3C17" w14:textId="77777777">
        <w:tc>
          <w:tcPr>
            <w:tcW w:w="9021" w:type="dxa"/>
            <w:gridSpan w:val="7"/>
          </w:tcPr>
          <w:p w14:paraId="7BEC573A" w14:textId="77777777" w:rsidR="00852466" w:rsidRPr="00EE4A69" w:rsidRDefault="00852466">
            <w:pPr>
              <w:pStyle w:val="TableText0"/>
            </w:pPr>
            <w:r w:rsidRPr="00EE4A69">
              <w:t>Estimated extent of use</w:t>
            </w:r>
          </w:p>
        </w:tc>
      </w:tr>
      <w:tr w:rsidR="00852466" w:rsidRPr="00EE4A69" w14:paraId="7826A552" w14:textId="77777777">
        <w:tc>
          <w:tcPr>
            <w:tcW w:w="9021" w:type="dxa"/>
            <w:gridSpan w:val="7"/>
          </w:tcPr>
          <w:p w14:paraId="599D071C" w14:textId="77777777" w:rsidR="00852466" w:rsidRPr="00EE4A69" w:rsidRDefault="00852466">
            <w:pPr>
              <w:pStyle w:val="TableText0"/>
            </w:pPr>
            <w:r w:rsidRPr="00EE4A69">
              <w:t xml:space="preserve">Number of </w:t>
            </w:r>
            <w:r>
              <w:t>patients</w:t>
            </w:r>
          </w:p>
        </w:tc>
      </w:tr>
      <w:tr w:rsidR="00852466" w:rsidRPr="00D10519" w14:paraId="5B8FBBD5" w14:textId="77777777">
        <w:tc>
          <w:tcPr>
            <w:tcW w:w="2694" w:type="dxa"/>
            <w:vAlign w:val="center"/>
          </w:tcPr>
          <w:p w14:paraId="7DA1270F" w14:textId="77777777" w:rsidR="00852466" w:rsidRPr="00FB2910" w:rsidRDefault="00852466">
            <w:pPr>
              <w:pStyle w:val="TableText0"/>
              <w:rPr>
                <w:szCs w:val="18"/>
              </w:rPr>
            </w:pPr>
            <w:r w:rsidRPr="00FB2910">
              <w:t>Total initiating patients</w:t>
            </w:r>
          </w:p>
        </w:tc>
        <w:tc>
          <w:tcPr>
            <w:tcW w:w="1054" w:type="dxa"/>
            <w:vAlign w:val="center"/>
          </w:tcPr>
          <w:p w14:paraId="2A64566C" w14:textId="77777777" w:rsidR="00852466" w:rsidRPr="00FA5F93" w:rsidRDefault="00852466">
            <w:pPr>
              <w:pStyle w:val="TableText0"/>
              <w:rPr>
                <w:szCs w:val="18"/>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FA5F93">
              <w:rPr>
                <w:vertAlign w:val="superscript"/>
              </w:rPr>
              <w:t>1</w:t>
            </w:r>
          </w:p>
        </w:tc>
        <w:tc>
          <w:tcPr>
            <w:tcW w:w="1055" w:type="dxa"/>
            <w:vAlign w:val="center"/>
          </w:tcPr>
          <w:p w14:paraId="66543D55"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A46567">
              <w:t xml:space="preserve"> </w:t>
            </w:r>
            <w:r w:rsidRPr="007A7879">
              <w:rPr>
                <w:vertAlign w:val="superscript"/>
              </w:rPr>
              <w:t>1</w:t>
            </w:r>
          </w:p>
        </w:tc>
        <w:tc>
          <w:tcPr>
            <w:tcW w:w="1054" w:type="dxa"/>
            <w:vAlign w:val="center"/>
          </w:tcPr>
          <w:p w14:paraId="48C1C663"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1</w:t>
            </w:r>
          </w:p>
        </w:tc>
        <w:tc>
          <w:tcPr>
            <w:tcW w:w="1055" w:type="dxa"/>
            <w:vAlign w:val="center"/>
          </w:tcPr>
          <w:p w14:paraId="4CE49C01"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1</w:t>
            </w:r>
          </w:p>
        </w:tc>
        <w:tc>
          <w:tcPr>
            <w:tcW w:w="1054" w:type="dxa"/>
            <w:vAlign w:val="center"/>
          </w:tcPr>
          <w:p w14:paraId="7941BC9C"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1</w:t>
            </w:r>
          </w:p>
        </w:tc>
        <w:tc>
          <w:tcPr>
            <w:tcW w:w="1055" w:type="dxa"/>
            <w:vAlign w:val="center"/>
          </w:tcPr>
          <w:p w14:paraId="69ED9C3D"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1</w:t>
            </w:r>
          </w:p>
        </w:tc>
      </w:tr>
      <w:tr w:rsidR="00852466" w:rsidRPr="00D10519" w14:paraId="7B35322D" w14:textId="77777777">
        <w:tc>
          <w:tcPr>
            <w:tcW w:w="2694" w:type="dxa"/>
            <w:vAlign w:val="center"/>
          </w:tcPr>
          <w:p w14:paraId="3425B4E5" w14:textId="77777777" w:rsidR="00852466" w:rsidRPr="00FB2910" w:rsidRDefault="00852466">
            <w:pPr>
              <w:pStyle w:val="TableText0"/>
              <w:rPr>
                <w:szCs w:val="18"/>
              </w:rPr>
            </w:pPr>
            <w:r w:rsidRPr="00FB2910">
              <w:t>Total continuing patients</w:t>
            </w:r>
          </w:p>
        </w:tc>
        <w:tc>
          <w:tcPr>
            <w:tcW w:w="1054" w:type="dxa"/>
            <w:vAlign w:val="center"/>
          </w:tcPr>
          <w:p w14:paraId="259978DB"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1</w:t>
            </w:r>
          </w:p>
        </w:tc>
        <w:tc>
          <w:tcPr>
            <w:tcW w:w="1055" w:type="dxa"/>
            <w:vAlign w:val="center"/>
          </w:tcPr>
          <w:p w14:paraId="0BBE1DDD"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1</w:t>
            </w:r>
          </w:p>
        </w:tc>
        <w:tc>
          <w:tcPr>
            <w:tcW w:w="1054" w:type="dxa"/>
            <w:vAlign w:val="center"/>
          </w:tcPr>
          <w:p w14:paraId="178C5286"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1</w:t>
            </w:r>
          </w:p>
        </w:tc>
        <w:tc>
          <w:tcPr>
            <w:tcW w:w="1055" w:type="dxa"/>
            <w:vAlign w:val="center"/>
          </w:tcPr>
          <w:p w14:paraId="7D468ABC" w14:textId="77777777" w:rsidR="00852466" w:rsidRPr="00FA5F93" w:rsidRDefault="00852466">
            <w:pPr>
              <w:pStyle w:val="TableText0"/>
              <w:rPr>
                <w:szCs w:val="18"/>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1</w:t>
            </w:r>
          </w:p>
        </w:tc>
        <w:tc>
          <w:tcPr>
            <w:tcW w:w="1054" w:type="dxa"/>
            <w:vAlign w:val="center"/>
          </w:tcPr>
          <w:p w14:paraId="16454702" w14:textId="77777777" w:rsidR="00852466" w:rsidRPr="00FA5F93" w:rsidRDefault="00852466">
            <w:pPr>
              <w:pStyle w:val="TableText0"/>
              <w:rPr>
                <w:szCs w:val="18"/>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1</w:t>
            </w:r>
          </w:p>
        </w:tc>
        <w:tc>
          <w:tcPr>
            <w:tcW w:w="1055" w:type="dxa"/>
            <w:vAlign w:val="center"/>
          </w:tcPr>
          <w:p w14:paraId="7AC1E32D" w14:textId="77777777" w:rsidR="00852466" w:rsidRPr="00FA5F93" w:rsidRDefault="00852466">
            <w:pPr>
              <w:pStyle w:val="TableText0"/>
              <w:rPr>
                <w:szCs w:val="18"/>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1</w:t>
            </w:r>
          </w:p>
        </w:tc>
      </w:tr>
      <w:tr w:rsidR="00852466" w:rsidRPr="00EE4A69" w14:paraId="2DFCD452" w14:textId="77777777">
        <w:tc>
          <w:tcPr>
            <w:tcW w:w="9021" w:type="dxa"/>
            <w:gridSpan w:val="7"/>
          </w:tcPr>
          <w:p w14:paraId="42D2D9DD" w14:textId="77777777" w:rsidR="00852466" w:rsidRPr="00EE4A69" w:rsidRDefault="00852466">
            <w:pPr>
              <w:pStyle w:val="TableText0"/>
            </w:pPr>
            <w:r w:rsidRPr="00EE4A69">
              <w:t>Estimated financial implications</w:t>
            </w:r>
          </w:p>
        </w:tc>
      </w:tr>
      <w:tr w:rsidR="00852466" w:rsidRPr="001412AF" w14:paraId="7A10F223" w14:textId="77777777">
        <w:tc>
          <w:tcPr>
            <w:tcW w:w="2694" w:type="dxa"/>
          </w:tcPr>
          <w:p w14:paraId="576A09E1" w14:textId="77777777" w:rsidR="00852466" w:rsidRPr="00725DC5" w:rsidRDefault="00852466">
            <w:pPr>
              <w:pStyle w:val="TableText0"/>
            </w:pPr>
            <w:r>
              <w:t>Cost to PBS/RPBS – new listing (less co-payments)</w:t>
            </w:r>
          </w:p>
        </w:tc>
        <w:tc>
          <w:tcPr>
            <w:tcW w:w="1054" w:type="dxa"/>
            <w:vAlign w:val="center"/>
          </w:tcPr>
          <w:p w14:paraId="1A09F081" w14:textId="77777777" w:rsidR="00852466" w:rsidRPr="00FA5F93" w:rsidRDefault="00852466">
            <w:pPr>
              <w:pStyle w:val="TableText0"/>
              <w:rPr>
                <w:szCs w:val="18"/>
                <w:vertAlign w:val="superscript"/>
              </w:rPr>
            </w:pPr>
            <w:r w:rsidRPr="003E1A5D">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2</w:t>
            </w:r>
          </w:p>
        </w:tc>
        <w:tc>
          <w:tcPr>
            <w:tcW w:w="1055" w:type="dxa"/>
            <w:vAlign w:val="center"/>
          </w:tcPr>
          <w:p w14:paraId="0A5C50B2"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2</w:t>
            </w:r>
          </w:p>
        </w:tc>
        <w:tc>
          <w:tcPr>
            <w:tcW w:w="1054" w:type="dxa"/>
            <w:vAlign w:val="center"/>
          </w:tcPr>
          <w:p w14:paraId="12906940"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2</w:t>
            </w:r>
          </w:p>
        </w:tc>
        <w:tc>
          <w:tcPr>
            <w:tcW w:w="1055" w:type="dxa"/>
            <w:vAlign w:val="center"/>
          </w:tcPr>
          <w:p w14:paraId="492272A6"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2</w:t>
            </w:r>
          </w:p>
        </w:tc>
        <w:tc>
          <w:tcPr>
            <w:tcW w:w="1054" w:type="dxa"/>
            <w:vAlign w:val="center"/>
          </w:tcPr>
          <w:p w14:paraId="49951F33"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2</w:t>
            </w:r>
          </w:p>
        </w:tc>
        <w:tc>
          <w:tcPr>
            <w:tcW w:w="1055" w:type="dxa"/>
            <w:vAlign w:val="center"/>
          </w:tcPr>
          <w:p w14:paraId="78DAB9A5"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2</w:t>
            </w:r>
          </w:p>
        </w:tc>
      </w:tr>
      <w:tr w:rsidR="00852466" w:rsidRPr="001412AF" w14:paraId="7BD616E9" w14:textId="77777777">
        <w:tc>
          <w:tcPr>
            <w:tcW w:w="2694" w:type="dxa"/>
          </w:tcPr>
          <w:p w14:paraId="77262B03" w14:textId="77777777" w:rsidR="00852466" w:rsidRPr="00725DC5" w:rsidRDefault="00852466">
            <w:pPr>
              <w:pStyle w:val="TableText0"/>
            </w:pPr>
            <w:r>
              <w:t>Cost to PBS/RPBS changed listing</w:t>
            </w:r>
          </w:p>
        </w:tc>
        <w:tc>
          <w:tcPr>
            <w:tcW w:w="1054" w:type="dxa"/>
            <w:vAlign w:val="center"/>
          </w:tcPr>
          <w:p w14:paraId="0E4D0D80"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2</w:t>
            </w:r>
          </w:p>
        </w:tc>
        <w:tc>
          <w:tcPr>
            <w:tcW w:w="1055" w:type="dxa"/>
            <w:vAlign w:val="center"/>
          </w:tcPr>
          <w:p w14:paraId="3D0BA145"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2</w:t>
            </w:r>
          </w:p>
        </w:tc>
        <w:tc>
          <w:tcPr>
            <w:tcW w:w="1054" w:type="dxa"/>
            <w:vAlign w:val="center"/>
          </w:tcPr>
          <w:p w14:paraId="0236AFA2"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2</w:t>
            </w:r>
          </w:p>
        </w:tc>
        <w:tc>
          <w:tcPr>
            <w:tcW w:w="1055" w:type="dxa"/>
            <w:vAlign w:val="center"/>
          </w:tcPr>
          <w:p w14:paraId="06FC8BFB"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2</w:t>
            </w:r>
          </w:p>
        </w:tc>
        <w:tc>
          <w:tcPr>
            <w:tcW w:w="1054" w:type="dxa"/>
            <w:vAlign w:val="center"/>
          </w:tcPr>
          <w:p w14:paraId="2192E385"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2</w:t>
            </w:r>
          </w:p>
        </w:tc>
        <w:tc>
          <w:tcPr>
            <w:tcW w:w="1055" w:type="dxa"/>
            <w:vAlign w:val="center"/>
          </w:tcPr>
          <w:p w14:paraId="1B2F2CCB" w14:textId="77777777" w:rsidR="00852466" w:rsidRPr="003E1A5D" w:rsidRDefault="00852466">
            <w:pPr>
              <w:pStyle w:val="TableText0"/>
              <w:rPr>
                <w:szCs w:val="18"/>
              </w:rPr>
            </w:pPr>
            <w:r w:rsidRPr="003E1A5D">
              <w:t>-$</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2</w:t>
            </w:r>
          </w:p>
        </w:tc>
      </w:tr>
      <w:tr w:rsidR="00852466" w:rsidRPr="00A04358" w14:paraId="143C7E22" w14:textId="77777777">
        <w:tc>
          <w:tcPr>
            <w:tcW w:w="2694" w:type="dxa"/>
          </w:tcPr>
          <w:p w14:paraId="5F39E2D0" w14:textId="77777777" w:rsidR="00852466" w:rsidRPr="00725DC5" w:rsidRDefault="00852466">
            <w:pPr>
              <w:pStyle w:val="TableText0"/>
            </w:pPr>
            <w:r w:rsidRPr="00725DC5">
              <w:t xml:space="preserve">Net Cost to PBS/RPBS </w:t>
            </w:r>
          </w:p>
        </w:tc>
        <w:tc>
          <w:tcPr>
            <w:tcW w:w="1054" w:type="dxa"/>
            <w:vAlign w:val="center"/>
          </w:tcPr>
          <w:p w14:paraId="4ABF3907" w14:textId="77777777" w:rsidR="00852466" w:rsidRPr="003E1A5D" w:rsidRDefault="00852466">
            <w:pPr>
              <w:pStyle w:val="TableText0"/>
            </w:pPr>
            <w:r w:rsidRPr="003E1A5D">
              <w:t>-$</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2</w:t>
            </w:r>
          </w:p>
        </w:tc>
        <w:tc>
          <w:tcPr>
            <w:tcW w:w="1055" w:type="dxa"/>
            <w:vAlign w:val="center"/>
          </w:tcPr>
          <w:p w14:paraId="24FB97DD" w14:textId="77777777" w:rsidR="00852466" w:rsidRPr="003E1A5D" w:rsidRDefault="00852466">
            <w:pPr>
              <w:pStyle w:val="TableText0"/>
            </w:pPr>
            <w:r w:rsidRPr="003E1A5D">
              <w:t>-$</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2</w:t>
            </w:r>
          </w:p>
        </w:tc>
        <w:tc>
          <w:tcPr>
            <w:tcW w:w="1054" w:type="dxa"/>
            <w:vAlign w:val="center"/>
          </w:tcPr>
          <w:p w14:paraId="62FDB65A" w14:textId="77777777" w:rsidR="00852466" w:rsidRPr="003E1A5D" w:rsidRDefault="00852466">
            <w:pPr>
              <w:pStyle w:val="TableText0"/>
            </w:pPr>
            <w:r w:rsidRPr="003E1A5D">
              <w:t>-$</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2</w:t>
            </w:r>
          </w:p>
        </w:tc>
        <w:tc>
          <w:tcPr>
            <w:tcW w:w="1055" w:type="dxa"/>
            <w:vAlign w:val="center"/>
          </w:tcPr>
          <w:p w14:paraId="3A4975F5" w14:textId="77777777" w:rsidR="00852466" w:rsidRPr="003E1A5D" w:rsidRDefault="00852466">
            <w:pPr>
              <w:pStyle w:val="TableText0"/>
            </w:pPr>
            <w:r w:rsidRPr="003E1A5D">
              <w:t>-$</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2</w:t>
            </w:r>
          </w:p>
        </w:tc>
        <w:tc>
          <w:tcPr>
            <w:tcW w:w="1054" w:type="dxa"/>
            <w:vAlign w:val="center"/>
          </w:tcPr>
          <w:p w14:paraId="2F3F1AFC" w14:textId="77777777" w:rsidR="00852466" w:rsidRPr="003E1A5D" w:rsidRDefault="00852466">
            <w:pPr>
              <w:pStyle w:val="TableText0"/>
            </w:pPr>
            <w:r w:rsidRPr="003E1A5D">
              <w:t>-$</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2</w:t>
            </w:r>
          </w:p>
        </w:tc>
        <w:tc>
          <w:tcPr>
            <w:tcW w:w="1055" w:type="dxa"/>
            <w:vAlign w:val="center"/>
          </w:tcPr>
          <w:p w14:paraId="22FB0D5D" w14:textId="77777777" w:rsidR="00852466" w:rsidRPr="003E1A5D" w:rsidRDefault="00852466">
            <w:pPr>
              <w:pStyle w:val="TableText0"/>
            </w:pPr>
            <w:r w:rsidRPr="003E1A5D">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2</w:t>
            </w:r>
          </w:p>
        </w:tc>
      </w:tr>
    </w:tbl>
    <w:p w14:paraId="6FBF8D8E" w14:textId="77777777" w:rsidR="00852466" w:rsidRDefault="00852466" w:rsidP="00852466">
      <w:pPr>
        <w:pStyle w:val="TableFigureFooter"/>
      </w:pPr>
      <w:r w:rsidRPr="001A3A72">
        <w:t>PBS = Pharmaceutical Benefits Scheme; RPBS = Repatriation Pharmaceutical Benefits Scheme</w:t>
      </w:r>
      <w:r>
        <w:t xml:space="preserve"> *u</w:t>
      </w:r>
      <w:r w:rsidRPr="0019349C">
        <w:t>stekinumab is subject to a special pricing arrangement with a lower effective price</w:t>
      </w:r>
    </w:p>
    <w:p w14:paraId="22A66B10" w14:textId="77777777" w:rsidR="00852466" w:rsidRDefault="00852466" w:rsidP="00852466">
      <w:pPr>
        <w:pStyle w:val="TableFigureFooter"/>
        <w:rPr>
          <w:i/>
          <w:szCs w:val="18"/>
        </w:rPr>
      </w:pPr>
      <w:r w:rsidRPr="009A6D58">
        <w:rPr>
          <w:i/>
          <w:szCs w:val="18"/>
        </w:rPr>
        <w:t>The redacted values correspond to the following ranges:</w:t>
      </w:r>
    </w:p>
    <w:p w14:paraId="6565FCA2" w14:textId="77777777" w:rsidR="00852466" w:rsidRPr="008F5DF6" w:rsidRDefault="00852466" w:rsidP="00852466">
      <w:pPr>
        <w:pStyle w:val="TableFigureFooter"/>
        <w:rPr>
          <w:i/>
          <w:iCs/>
        </w:rPr>
      </w:pPr>
      <w:r w:rsidRPr="008F5DF6">
        <w:rPr>
          <w:i/>
          <w:iCs/>
          <w:vertAlign w:val="superscript"/>
        </w:rPr>
        <w:t>1</w:t>
      </w:r>
      <w:r w:rsidRPr="008F5DF6">
        <w:rPr>
          <w:i/>
          <w:iCs/>
        </w:rPr>
        <w:t xml:space="preserve"> </w:t>
      </w:r>
      <w:r w:rsidRPr="00FA5F93">
        <w:rPr>
          <w:i/>
          <w:iCs/>
        </w:rPr>
        <w:t>&lt; 500</w:t>
      </w:r>
    </w:p>
    <w:p w14:paraId="1499B90F" w14:textId="77777777" w:rsidR="00852466" w:rsidRDefault="00852466" w:rsidP="00852466">
      <w:pPr>
        <w:pStyle w:val="TableFigureFooter"/>
      </w:pPr>
      <w:r w:rsidRPr="008F5DF6">
        <w:rPr>
          <w:i/>
          <w:iCs/>
          <w:vertAlign w:val="superscript"/>
        </w:rPr>
        <w:t>2</w:t>
      </w:r>
      <w:r w:rsidRPr="008F5DF6">
        <w:rPr>
          <w:i/>
          <w:iCs/>
        </w:rPr>
        <w:t xml:space="preserve"> </w:t>
      </w:r>
      <w:r w:rsidRPr="00FA5F93">
        <w:rPr>
          <w:i/>
          <w:iCs/>
        </w:rPr>
        <w:t>$0 to &lt; $10 million</w:t>
      </w:r>
    </w:p>
    <w:p w14:paraId="685D1EA2" w14:textId="77777777" w:rsidR="00852466" w:rsidRPr="00D3431B" w:rsidRDefault="00852466" w:rsidP="00852466">
      <w:pPr>
        <w:pStyle w:val="3-BodyText"/>
        <w:numPr>
          <w:ilvl w:val="1"/>
          <w:numId w:val="2"/>
        </w:numPr>
        <w:spacing w:before="120"/>
      </w:pPr>
      <w:r>
        <w:t xml:space="preserve">At year 6, the estimated net save to the PBS would be </w:t>
      </w:r>
      <w:r w:rsidRPr="00462FBB">
        <w:rPr>
          <w:rFonts w:ascii="Arial" w:hAnsi="Arial"/>
          <w:color w:val="333333"/>
          <w:sz w:val="21"/>
          <w:szCs w:val="21"/>
        </w:rPr>
        <w:t>$0 to &lt; $10 million</w:t>
      </w:r>
      <w:r>
        <w:t xml:space="preserve">, and a net save of </w:t>
      </w:r>
      <w:r w:rsidRPr="00462FBB">
        <w:rPr>
          <w:rFonts w:ascii="Arial" w:hAnsi="Arial"/>
          <w:color w:val="333333"/>
          <w:sz w:val="21"/>
          <w:szCs w:val="21"/>
        </w:rPr>
        <w:t>$0 to &lt; $10 million</w:t>
      </w:r>
      <w:r>
        <w:t xml:space="preserve"> over the first 6 years of listing. </w:t>
      </w:r>
      <w:r w:rsidRPr="00BB47EC">
        <w:t xml:space="preserve">The PBAC noted these costs were based on the published price of the </w:t>
      </w:r>
      <w:r>
        <w:t>alternatives</w:t>
      </w:r>
      <w:r w:rsidRPr="00BB47EC">
        <w:t xml:space="preserve">. The net cost to the PBS will </w:t>
      </w:r>
      <w:r>
        <w:t>increase</w:t>
      </w:r>
      <w:r w:rsidRPr="00BB47EC">
        <w:t xml:space="preserve"> once the effective price of </w:t>
      </w:r>
      <w:r>
        <w:t>ustekinumab</w:t>
      </w:r>
      <w:r w:rsidRPr="00BB47EC">
        <w:t xml:space="preserve"> is applied</w:t>
      </w:r>
      <w:r>
        <w:t xml:space="preserve"> (see paragraph 13.15)</w:t>
      </w:r>
      <w:r w:rsidRPr="00BB47EC">
        <w:t>.</w:t>
      </w:r>
    </w:p>
    <w:p w14:paraId="576D10CE" w14:textId="77777777" w:rsidR="00852466" w:rsidRDefault="00852466" w:rsidP="00852466">
      <w:pPr>
        <w:pStyle w:val="4-SubsectionHeading"/>
      </w:pPr>
      <w:r>
        <w:t>Severe active juvenile idiopathic arthritis</w:t>
      </w:r>
    </w:p>
    <w:p w14:paraId="0E2A9484" w14:textId="77777777" w:rsidR="00852466" w:rsidRDefault="00852466" w:rsidP="00852466">
      <w:pPr>
        <w:pStyle w:val="3-BodyText"/>
        <w:numPr>
          <w:ilvl w:val="1"/>
          <w:numId w:val="2"/>
        </w:numPr>
        <w:spacing w:before="120"/>
      </w:pPr>
      <w:r>
        <w:t>The following approach was used to estimate the financial impact of the proposed revised listings of Humira for severe active JIA:</w:t>
      </w:r>
    </w:p>
    <w:p w14:paraId="12905217" w14:textId="77777777" w:rsidR="00852466" w:rsidRDefault="00852466" w:rsidP="00852466">
      <w:pPr>
        <w:pStyle w:val="ListParagraph"/>
        <w:ind w:hanging="360"/>
        <w:jc w:val="both"/>
      </w:pPr>
      <w:r>
        <w:t>The total number of JIA patients in Australia based on prevalence was calculated.</w:t>
      </w:r>
    </w:p>
    <w:p w14:paraId="45A9F06E" w14:textId="77777777" w:rsidR="00852466" w:rsidRDefault="00852466" w:rsidP="00852466">
      <w:pPr>
        <w:pStyle w:val="ListParagraph"/>
        <w:ind w:hanging="360"/>
        <w:jc w:val="both"/>
      </w:pPr>
      <w:r>
        <w:t>The number of treated PBS patients from the eligible prevalent pool (approximately 1,400) was subtracted.</w:t>
      </w:r>
    </w:p>
    <w:p w14:paraId="23798F05" w14:textId="77777777" w:rsidR="00852466" w:rsidRDefault="00852466" w:rsidP="00852466">
      <w:pPr>
        <w:pStyle w:val="ListParagraph"/>
        <w:ind w:hanging="360"/>
        <w:jc w:val="both"/>
      </w:pPr>
      <w:r>
        <w:t xml:space="preserve">It was assumed half of remaining prevalent JIA patients will be eligible to be treated with a JIA listing, i.e. patients with </w:t>
      </w:r>
      <w:proofErr w:type="spellStart"/>
      <w:r>
        <w:t>oligoarthritis</w:t>
      </w:r>
      <w:proofErr w:type="spellEnd"/>
      <w:r>
        <w:t xml:space="preserve"> who are not currently accessing PBS treatment. This was based on UK a study by Shoop-Worrall et al. 2021 reporting 51% of participants had </w:t>
      </w:r>
      <w:proofErr w:type="spellStart"/>
      <w:r>
        <w:t>oligoarthritis</w:t>
      </w:r>
      <w:proofErr w:type="spellEnd"/>
      <w:r>
        <w:t>.</w:t>
      </w:r>
      <w:r>
        <w:rPr>
          <w:rStyle w:val="FootnoteReference"/>
        </w:rPr>
        <w:footnoteReference w:id="41"/>
      </w:r>
    </w:p>
    <w:p w14:paraId="09706B3E" w14:textId="77777777" w:rsidR="00852466" w:rsidRDefault="00852466" w:rsidP="00852466">
      <w:pPr>
        <w:pStyle w:val="ListParagraph"/>
        <w:ind w:hanging="360"/>
        <w:jc w:val="both"/>
      </w:pPr>
      <w:r>
        <w:t>Market share was applied based on use of current listings to calculate the number of patients who would be treated with adalimumab and a declining growth to the forecast was applied (adalimumab use is decreasing based on PBS use).</w:t>
      </w:r>
    </w:p>
    <w:p w14:paraId="38CED462" w14:textId="77777777" w:rsidR="00852466" w:rsidRDefault="00852466" w:rsidP="00852466">
      <w:pPr>
        <w:pStyle w:val="ListParagraph"/>
        <w:ind w:hanging="360"/>
        <w:jc w:val="both"/>
      </w:pPr>
      <w:r>
        <w:t>A treatment uptake rate was applied, assuming it will take time for the health system to adopt the listing changes.</w:t>
      </w:r>
    </w:p>
    <w:p w14:paraId="71B6898B" w14:textId="77777777" w:rsidR="00852466" w:rsidRPr="00D3431B" w:rsidRDefault="00852466" w:rsidP="00852466">
      <w:pPr>
        <w:pStyle w:val="TableFigureHeading"/>
      </w:pPr>
      <w:r w:rsidRPr="00655D85">
        <w:t xml:space="preserve">Table </w:t>
      </w:r>
      <w:r w:rsidRPr="00D3431B">
        <w:t>19</w:t>
      </w:r>
      <w:r w:rsidRPr="00655D85">
        <w:t xml:space="preserve">: Key inputs for financial estimates – Adalimumab – </w:t>
      </w:r>
      <w:r w:rsidRPr="00D3431B">
        <w:t>proposed revised listing</w:t>
      </w:r>
      <w:r>
        <w:t>s</w:t>
      </w:r>
      <w:r w:rsidRPr="00D3431B">
        <w:t xml:space="preserve"> for severe active JIA</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Key inputs for financial estimates – Adalimumab – proposed revised listings for severe active JIA"/>
      </w:tblPr>
      <w:tblGrid>
        <w:gridCol w:w="2577"/>
        <w:gridCol w:w="6495"/>
      </w:tblGrid>
      <w:tr w:rsidR="00852466" w:rsidRPr="00B347BD" w14:paraId="61E6BC01" w14:textId="77777777">
        <w:trPr>
          <w:cantSplit/>
        </w:trPr>
        <w:tc>
          <w:tcPr>
            <w:tcW w:w="2577" w:type="dxa"/>
            <w:tcMar>
              <w:top w:w="80" w:type="dxa"/>
              <w:left w:w="80" w:type="dxa"/>
              <w:bottom w:w="80" w:type="dxa"/>
              <w:right w:w="80" w:type="dxa"/>
            </w:tcMar>
            <w:hideMark/>
          </w:tcPr>
          <w:p w14:paraId="02C78074"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w:t>
            </w:r>
            <w:r w:rsidRPr="00B347BD">
              <w:rPr>
                <w:rFonts w:ascii="Arial Narrow" w:hAnsi="Arial Narrow" w:cs="Calibri"/>
                <w:b/>
                <w:bCs/>
                <w:sz w:val="20"/>
                <w:szCs w:val="20"/>
              </w:rPr>
              <w:t>Data</w:t>
            </w:r>
          </w:p>
        </w:tc>
        <w:tc>
          <w:tcPr>
            <w:tcW w:w="6495" w:type="dxa"/>
            <w:tcMar>
              <w:top w:w="80" w:type="dxa"/>
              <w:left w:w="80" w:type="dxa"/>
              <w:bottom w:w="80" w:type="dxa"/>
              <w:right w:w="80" w:type="dxa"/>
            </w:tcMar>
            <w:hideMark/>
          </w:tcPr>
          <w:p w14:paraId="3A97856F"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Value and source</w:t>
            </w:r>
          </w:p>
        </w:tc>
      </w:tr>
      <w:tr w:rsidR="00852466" w:rsidRPr="00B347BD" w14:paraId="5C4F642F" w14:textId="77777777">
        <w:trPr>
          <w:cantSplit/>
          <w:trHeight w:val="225"/>
        </w:trPr>
        <w:tc>
          <w:tcPr>
            <w:tcW w:w="9072" w:type="dxa"/>
            <w:gridSpan w:val="2"/>
            <w:tcMar>
              <w:top w:w="80" w:type="dxa"/>
              <w:left w:w="80" w:type="dxa"/>
              <w:bottom w:w="80" w:type="dxa"/>
              <w:right w:w="80" w:type="dxa"/>
            </w:tcMar>
          </w:tcPr>
          <w:p w14:paraId="6BC76A8C"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Eligible population</w:t>
            </w:r>
          </w:p>
        </w:tc>
      </w:tr>
      <w:tr w:rsidR="00852466" w:rsidRPr="00B347BD" w14:paraId="1B341A9C" w14:textId="77777777">
        <w:trPr>
          <w:cantSplit/>
          <w:trHeight w:val="225"/>
        </w:trPr>
        <w:tc>
          <w:tcPr>
            <w:tcW w:w="9072" w:type="dxa"/>
            <w:gridSpan w:val="2"/>
            <w:tcMar>
              <w:top w:w="80" w:type="dxa"/>
              <w:left w:w="80" w:type="dxa"/>
              <w:bottom w:w="80" w:type="dxa"/>
              <w:right w:w="80" w:type="dxa"/>
            </w:tcMar>
          </w:tcPr>
          <w:p w14:paraId="6CC34B7E"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Juvenile idiopathic arthritis</w:t>
            </w:r>
          </w:p>
        </w:tc>
      </w:tr>
      <w:tr w:rsidR="00852466" w:rsidRPr="00B347BD" w14:paraId="47B8E2A0" w14:textId="77777777">
        <w:trPr>
          <w:cantSplit/>
        </w:trPr>
        <w:tc>
          <w:tcPr>
            <w:tcW w:w="2577" w:type="dxa"/>
            <w:tcMar>
              <w:top w:w="80" w:type="dxa"/>
              <w:left w:w="80" w:type="dxa"/>
              <w:bottom w:w="80" w:type="dxa"/>
              <w:right w:w="80" w:type="dxa"/>
            </w:tcMar>
            <w:hideMark/>
          </w:tcPr>
          <w:p w14:paraId="38ED93A3"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Base case</w:t>
            </w:r>
          </w:p>
        </w:tc>
        <w:tc>
          <w:tcPr>
            <w:tcW w:w="6495" w:type="dxa"/>
            <w:tcMar>
              <w:top w:w="80" w:type="dxa"/>
              <w:left w:w="80" w:type="dxa"/>
              <w:bottom w:w="80" w:type="dxa"/>
              <w:right w:w="80"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960"/>
              <w:gridCol w:w="3842"/>
            </w:tblGrid>
            <w:tr w:rsidR="00852466" w:rsidRPr="00B347BD" w14:paraId="2E98EED7" w14:textId="77777777">
              <w:tc>
                <w:tcPr>
                  <w:tcW w:w="9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D459A34"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Year</w:t>
                  </w:r>
                </w:p>
              </w:tc>
              <w:tc>
                <w:tcPr>
                  <w:tcW w:w="3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2396308"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Australian population &lt;18 years forecast</w:t>
                  </w:r>
                </w:p>
              </w:tc>
            </w:tr>
            <w:tr w:rsidR="00852466" w:rsidRPr="00B347BD" w14:paraId="3C591DC2" w14:textId="77777777">
              <w:tc>
                <w:tcPr>
                  <w:tcW w:w="960" w:type="dxa"/>
                  <w:tcBorders>
                    <w:top w:val="single" w:sz="4" w:space="0" w:color="auto"/>
                  </w:tcBorders>
                  <w:tcMar>
                    <w:top w:w="80" w:type="dxa"/>
                    <w:left w:w="80" w:type="dxa"/>
                    <w:bottom w:w="80" w:type="dxa"/>
                    <w:right w:w="80" w:type="dxa"/>
                  </w:tcMar>
                  <w:hideMark/>
                </w:tcPr>
                <w:p w14:paraId="3C0F8C24"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2025</w:t>
                  </w:r>
                </w:p>
              </w:tc>
              <w:tc>
                <w:tcPr>
                  <w:tcW w:w="3741" w:type="dxa"/>
                  <w:tcBorders>
                    <w:top w:val="single" w:sz="4" w:space="0" w:color="auto"/>
                  </w:tcBorders>
                  <w:tcMar>
                    <w:top w:w="80" w:type="dxa"/>
                    <w:left w:w="80" w:type="dxa"/>
                    <w:bottom w:w="80" w:type="dxa"/>
                    <w:right w:w="80" w:type="dxa"/>
                  </w:tcMar>
                  <w:hideMark/>
                </w:tcPr>
                <w:p w14:paraId="3B801958"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2,858</w:t>
                  </w:r>
                </w:p>
              </w:tc>
            </w:tr>
            <w:tr w:rsidR="00852466" w:rsidRPr="00B347BD" w14:paraId="0E6D2ACF" w14:textId="77777777">
              <w:tc>
                <w:tcPr>
                  <w:tcW w:w="960" w:type="dxa"/>
                  <w:tcMar>
                    <w:top w:w="80" w:type="dxa"/>
                    <w:left w:w="80" w:type="dxa"/>
                    <w:bottom w:w="80" w:type="dxa"/>
                    <w:right w:w="80" w:type="dxa"/>
                  </w:tcMar>
                  <w:hideMark/>
                </w:tcPr>
                <w:p w14:paraId="41D77EAF"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2026</w:t>
                  </w:r>
                </w:p>
              </w:tc>
              <w:tc>
                <w:tcPr>
                  <w:tcW w:w="3741" w:type="dxa"/>
                  <w:tcMar>
                    <w:top w:w="80" w:type="dxa"/>
                    <w:left w:w="80" w:type="dxa"/>
                    <w:bottom w:w="80" w:type="dxa"/>
                    <w:right w:w="80" w:type="dxa"/>
                  </w:tcMar>
                  <w:hideMark/>
                </w:tcPr>
                <w:p w14:paraId="0323C5F0"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2,892</w:t>
                  </w:r>
                </w:p>
              </w:tc>
            </w:tr>
            <w:tr w:rsidR="00852466" w:rsidRPr="00B347BD" w14:paraId="376A3099" w14:textId="77777777">
              <w:tc>
                <w:tcPr>
                  <w:tcW w:w="960" w:type="dxa"/>
                  <w:tcMar>
                    <w:top w:w="80" w:type="dxa"/>
                    <w:left w:w="80" w:type="dxa"/>
                    <w:bottom w:w="80" w:type="dxa"/>
                    <w:right w:w="80" w:type="dxa"/>
                  </w:tcMar>
                  <w:hideMark/>
                </w:tcPr>
                <w:p w14:paraId="0D0FF789"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2027</w:t>
                  </w:r>
                </w:p>
              </w:tc>
              <w:tc>
                <w:tcPr>
                  <w:tcW w:w="3741" w:type="dxa"/>
                  <w:tcMar>
                    <w:top w:w="80" w:type="dxa"/>
                    <w:left w:w="80" w:type="dxa"/>
                    <w:bottom w:w="80" w:type="dxa"/>
                    <w:right w:w="80" w:type="dxa"/>
                  </w:tcMar>
                  <w:hideMark/>
                </w:tcPr>
                <w:p w14:paraId="3897ECF4"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2,925</w:t>
                  </w:r>
                </w:p>
              </w:tc>
            </w:tr>
            <w:tr w:rsidR="00852466" w:rsidRPr="00B347BD" w14:paraId="11EF5F61" w14:textId="77777777">
              <w:tc>
                <w:tcPr>
                  <w:tcW w:w="960" w:type="dxa"/>
                  <w:tcMar>
                    <w:top w:w="80" w:type="dxa"/>
                    <w:left w:w="80" w:type="dxa"/>
                    <w:bottom w:w="80" w:type="dxa"/>
                    <w:right w:w="80" w:type="dxa"/>
                  </w:tcMar>
                  <w:hideMark/>
                </w:tcPr>
                <w:p w14:paraId="7FD71CE5"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2028</w:t>
                  </w:r>
                </w:p>
              </w:tc>
              <w:tc>
                <w:tcPr>
                  <w:tcW w:w="3741" w:type="dxa"/>
                  <w:tcMar>
                    <w:top w:w="80" w:type="dxa"/>
                    <w:left w:w="80" w:type="dxa"/>
                    <w:bottom w:w="80" w:type="dxa"/>
                    <w:right w:w="80" w:type="dxa"/>
                  </w:tcMar>
                  <w:hideMark/>
                </w:tcPr>
                <w:p w14:paraId="7A7C69AF"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2,958</w:t>
                  </w:r>
                </w:p>
              </w:tc>
            </w:tr>
            <w:tr w:rsidR="00852466" w:rsidRPr="00B347BD" w14:paraId="2C937900" w14:textId="77777777">
              <w:tc>
                <w:tcPr>
                  <w:tcW w:w="960" w:type="dxa"/>
                  <w:tcMar>
                    <w:top w:w="80" w:type="dxa"/>
                    <w:left w:w="80" w:type="dxa"/>
                    <w:bottom w:w="80" w:type="dxa"/>
                    <w:right w:w="80" w:type="dxa"/>
                  </w:tcMar>
                  <w:hideMark/>
                </w:tcPr>
                <w:p w14:paraId="272AC902"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2029</w:t>
                  </w:r>
                </w:p>
              </w:tc>
              <w:tc>
                <w:tcPr>
                  <w:tcW w:w="3741" w:type="dxa"/>
                  <w:tcMar>
                    <w:top w:w="80" w:type="dxa"/>
                    <w:left w:w="80" w:type="dxa"/>
                    <w:bottom w:w="80" w:type="dxa"/>
                    <w:right w:w="80" w:type="dxa"/>
                  </w:tcMar>
                  <w:hideMark/>
                </w:tcPr>
                <w:p w14:paraId="2F6E111E"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2,990</w:t>
                  </w:r>
                </w:p>
              </w:tc>
            </w:tr>
            <w:tr w:rsidR="00852466" w:rsidRPr="00B347BD" w14:paraId="5BA43DD2" w14:textId="77777777">
              <w:tc>
                <w:tcPr>
                  <w:tcW w:w="960" w:type="dxa"/>
                  <w:tcMar>
                    <w:top w:w="80" w:type="dxa"/>
                    <w:left w:w="80" w:type="dxa"/>
                    <w:bottom w:w="80" w:type="dxa"/>
                    <w:right w:w="80" w:type="dxa"/>
                  </w:tcMar>
                  <w:hideMark/>
                </w:tcPr>
                <w:p w14:paraId="3095CB52"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2030</w:t>
                  </w:r>
                </w:p>
              </w:tc>
              <w:tc>
                <w:tcPr>
                  <w:tcW w:w="3741" w:type="dxa"/>
                  <w:tcMar>
                    <w:top w:w="80" w:type="dxa"/>
                    <w:left w:w="80" w:type="dxa"/>
                    <w:bottom w:w="80" w:type="dxa"/>
                    <w:right w:w="80" w:type="dxa"/>
                  </w:tcMar>
                  <w:hideMark/>
                </w:tcPr>
                <w:p w14:paraId="7DA5C5DA"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3,023</w:t>
                  </w:r>
                </w:p>
              </w:tc>
            </w:tr>
          </w:tbl>
          <w:p w14:paraId="46E4846B"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Source: ABS population - 3222.0 Series B</w:t>
            </w:r>
          </w:p>
        </w:tc>
      </w:tr>
      <w:tr w:rsidR="00852466" w:rsidRPr="00B347BD" w14:paraId="30EF6D65" w14:textId="77777777">
        <w:trPr>
          <w:cantSplit/>
        </w:trPr>
        <w:tc>
          <w:tcPr>
            <w:tcW w:w="2577" w:type="dxa"/>
            <w:tcMar>
              <w:top w:w="80" w:type="dxa"/>
              <w:left w:w="80" w:type="dxa"/>
              <w:bottom w:w="80" w:type="dxa"/>
              <w:right w:w="80" w:type="dxa"/>
            </w:tcMar>
            <w:hideMark/>
          </w:tcPr>
          <w:p w14:paraId="1ADAE13B"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Prevalence estimates</w:t>
            </w:r>
          </w:p>
        </w:tc>
        <w:tc>
          <w:tcPr>
            <w:tcW w:w="6495" w:type="dxa"/>
            <w:tcMar>
              <w:top w:w="80" w:type="dxa"/>
              <w:left w:w="80" w:type="dxa"/>
              <w:bottom w:w="80" w:type="dxa"/>
              <w:right w:w="80" w:type="dxa"/>
            </w:tcMar>
            <w:hideMark/>
          </w:tcPr>
          <w:p w14:paraId="59FF4463"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43.5 per 100,000 (provided by DUSC Secretariat)</w:t>
            </w:r>
          </w:p>
        </w:tc>
      </w:tr>
      <w:tr w:rsidR="00852466" w:rsidRPr="00B347BD" w14:paraId="61C538A7" w14:textId="77777777">
        <w:trPr>
          <w:cantSplit/>
        </w:trPr>
        <w:tc>
          <w:tcPr>
            <w:tcW w:w="2577" w:type="dxa"/>
            <w:tcMar>
              <w:top w:w="80" w:type="dxa"/>
              <w:left w:w="80" w:type="dxa"/>
              <w:bottom w:w="80" w:type="dxa"/>
              <w:right w:w="80" w:type="dxa"/>
            </w:tcMar>
            <w:hideMark/>
          </w:tcPr>
          <w:p w14:paraId="6C4496F4"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xml:space="preserve">Treated population </w:t>
            </w:r>
          </w:p>
        </w:tc>
        <w:tc>
          <w:tcPr>
            <w:tcW w:w="6495" w:type="dxa"/>
            <w:tcMar>
              <w:top w:w="80" w:type="dxa"/>
              <w:left w:w="80" w:type="dxa"/>
              <w:bottom w:w="80" w:type="dxa"/>
              <w:right w:w="80" w:type="dxa"/>
            </w:tcMar>
            <w:hideMark/>
          </w:tcPr>
          <w:p w14:paraId="1E5FF1A0"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xml:space="preserve">50% </w:t>
            </w:r>
          </w:p>
        </w:tc>
      </w:tr>
      <w:tr w:rsidR="00852466" w:rsidRPr="00B347BD" w14:paraId="03FD8B57" w14:textId="77777777">
        <w:trPr>
          <w:cantSplit/>
        </w:trPr>
        <w:tc>
          <w:tcPr>
            <w:tcW w:w="2577" w:type="dxa"/>
            <w:tcMar>
              <w:top w:w="80" w:type="dxa"/>
              <w:left w:w="80" w:type="dxa"/>
              <w:bottom w:w="80" w:type="dxa"/>
              <w:right w:w="80" w:type="dxa"/>
            </w:tcMar>
            <w:hideMark/>
          </w:tcPr>
          <w:p w14:paraId="661B3AFA"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xml:space="preserve">Eligible patients </w:t>
            </w:r>
          </w:p>
        </w:tc>
        <w:tc>
          <w:tcPr>
            <w:tcW w:w="6495" w:type="dxa"/>
            <w:tcMar>
              <w:top w:w="80" w:type="dxa"/>
              <w:left w:w="80" w:type="dxa"/>
              <w:bottom w:w="80" w:type="dxa"/>
              <w:right w:w="80" w:type="dxa"/>
            </w:tcMar>
            <w:hideMark/>
          </w:tcPr>
          <w:p w14:paraId="3DB280A2"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50% (provided by DUSC Secretariat)</w:t>
            </w:r>
          </w:p>
        </w:tc>
      </w:tr>
      <w:tr w:rsidR="00852466" w:rsidRPr="00B347BD" w14:paraId="21995D45" w14:textId="77777777">
        <w:trPr>
          <w:cantSplit/>
        </w:trPr>
        <w:tc>
          <w:tcPr>
            <w:tcW w:w="2577" w:type="dxa"/>
            <w:tcMar>
              <w:top w:w="80" w:type="dxa"/>
              <w:left w:w="80" w:type="dxa"/>
              <w:bottom w:w="80" w:type="dxa"/>
              <w:right w:w="80" w:type="dxa"/>
            </w:tcMar>
            <w:hideMark/>
          </w:tcPr>
          <w:p w14:paraId="30D73CD5"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 xml:space="preserve">Royal Children’s Hospital </w:t>
            </w:r>
          </w:p>
        </w:tc>
        <w:tc>
          <w:tcPr>
            <w:tcW w:w="6495" w:type="dxa"/>
            <w:tcMar>
              <w:top w:w="80" w:type="dxa"/>
              <w:left w:w="80" w:type="dxa"/>
              <w:bottom w:w="80" w:type="dxa"/>
              <w:right w:w="80" w:type="dxa"/>
            </w:tcMar>
            <w:hideMark/>
          </w:tcPr>
          <w:p w14:paraId="4C458202"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w:t>
            </w:r>
          </w:p>
        </w:tc>
      </w:tr>
      <w:tr w:rsidR="00852466" w:rsidRPr="00B347BD" w14:paraId="24029D83" w14:textId="77777777">
        <w:trPr>
          <w:cantSplit/>
        </w:trPr>
        <w:tc>
          <w:tcPr>
            <w:tcW w:w="2577" w:type="dxa"/>
            <w:tcMar>
              <w:top w:w="80" w:type="dxa"/>
              <w:left w:w="80" w:type="dxa"/>
              <w:bottom w:w="80" w:type="dxa"/>
              <w:right w:w="80" w:type="dxa"/>
            </w:tcMar>
            <w:hideMark/>
          </w:tcPr>
          <w:p w14:paraId="139BF20A"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Prevalence estimates</w:t>
            </w:r>
          </w:p>
        </w:tc>
        <w:tc>
          <w:tcPr>
            <w:tcW w:w="6495" w:type="dxa"/>
            <w:tcMar>
              <w:top w:w="80" w:type="dxa"/>
              <w:left w:w="80" w:type="dxa"/>
              <w:bottom w:w="80" w:type="dxa"/>
              <w:right w:w="80" w:type="dxa"/>
            </w:tcMar>
            <w:hideMark/>
          </w:tcPr>
          <w:p w14:paraId="60A13888"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1 in 1,000 (provided by DUSC Secretariat)</w:t>
            </w:r>
          </w:p>
        </w:tc>
      </w:tr>
      <w:tr w:rsidR="00852466" w:rsidRPr="00B347BD" w14:paraId="22073F9D" w14:textId="77777777">
        <w:trPr>
          <w:cantSplit/>
        </w:trPr>
        <w:tc>
          <w:tcPr>
            <w:tcW w:w="2577" w:type="dxa"/>
            <w:tcMar>
              <w:top w:w="80" w:type="dxa"/>
              <w:left w:w="80" w:type="dxa"/>
              <w:bottom w:w="80" w:type="dxa"/>
              <w:right w:w="80" w:type="dxa"/>
            </w:tcMar>
            <w:hideMark/>
          </w:tcPr>
          <w:p w14:paraId="136177D8"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xml:space="preserve">Treated population </w:t>
            </w:r>
          </w:p>
        </w:tc>
        <w:tc>
          <w:tcPr>
            <w:tcW w:w="6495" w:type="dxa"/>
            <w:tcMar>
              <w:top w:w="80" w:type="dxa"/>
              <w:left w:w="80" w:type="dxa"/>
              <w:bottom w:w="80" w:type="dxa"/>
              <w:right w:w="80" w:type="dxa"/>
            </w:tcMar>
            <w:hideMark/>
          </w:tcPr>
          <w:p w14:paraId="1D3F575D"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22%</w:t>
            </w:r>
          </w:p>
        </w:tc>
      </w:tr>
      <w:tr w:rsidR="00852466" w:rsidRPr="00B347BD" w14:paraId="598C6E8F" w14:textId="77777777">
        <w:trPr>
          <w:cantSplit/>
        </w:trPr>
        <w:tc>
          <w:tcPr>
            <w:tcW w:w="2577" w:type="dxa"/>
            <w:tcMar>
              <w:top w:w="80" w:type="dxa"/>
              <w:left w:w="80" w:type="dxa"/>
              <w:bottom w:w="80" w:type="dxa"/>
              <w:right w:w="80" w:type="dxa"/>
            </w:tcMar>
            <w:hideMark/>
          </w:tcPr>
          <w:p w14:paraId="0B201FB0"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Royal Children’s Hospital</w:t>
            </w:r>
          </w:p>
        </w:tc>
        <w:tc>
          <w:tcPr>
            <w:tcW w:w="6495" w:type="dxa"/>
            <w:tcMar>
              <w:top w:w="80" w:type="dxa"/>
              <w:left w:w="80" w:type="dxa"/>
              <w:bottom w:w="80" w:type="dxa"/>
              <w:right w:w="80" w:type="dxa"/>
            </w:tcMar>
            <w:hideMark/>
          </w:tcPr>
          <w:p w14:paraId="6A6C5882"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w:t>
            </w:r>
          </w:p>
        </w:tc>
      </w:tr>
      <w:tr w:rsidR="00852466" w:rsidRPr="00B347BD" w14:paraId="45630F92" w14:textId="77777777">
        <w:trPr>
          <w:cantSplit/>
        </w:trPr>
        <w:tc>
          <w:tcPr>
            <w:tcW w:w="2577" w:type="dxa"/>
            <w:tcMar>
              <w:top w:w="80" w:type="dxa"/>
              <w:left w:w="80" w:type="dxa"/>
              <w:bottom w:w="80" w:type="dxa"/>
              <w:right w:w="80" w:type="dxa"/>
            </w:tcMar>
            <w:hideMark/>
          </w:tcPr>
          <w:p w14:paraId="7B7A3D09" w14:textId="77777777" w:rsidR="00852466" w:rsidRPr="00B347BD" w:rsidRDefault="00852466">
            <w:pPr>
              <w:pStyle w:val="TableText0"/>
              <w:rPr>
                <w:szCs w:val="20"/>
              </w:rPr>
            </w:pPr>
            <w:r w:rsidRPr="00B347BD">
              <w:rPr>
                <w:szCs w:val="20"/>
              </w:rPr>
              <w:t>Prevalence estimates</w:t>
            </w:r>
          </w:p>
        </w:tc>
        <w:tc>
          <w:tcPr>
            <w:tcW w:w="6495" w:type="dxa"/>
            <w:tcMar>
              <w:top w:w="80" w:type="dxa"/>
              <w:left w:w="80" w:type="dxa"/>
              <w:bottom w:w="80" w:type="dxa"/>
              <w:right w:w="80" w:type="dxa"/>
            </w:tcMar>
            <w:hideMark/>
          </w:tcPr>
          <w:p w14:paraId="1B84815A" w14:textId="77777777" w:rsidR="00852466" w:rsidRPr="00B347BD" w:rsidRDefault="00852466">
            <w:pPr>
              <w:pStyle w:val="TableText0"/>
              <w:rPr>
                <w:szCs w:val="20"/>
              </w:rPr>
            </w:pPr>
            <w:r w:rsidRPr="00B347BD">
              <w:rPr>
                <w:szCs w:val="20"/>
              </w:rPr>
              <w:t>at least 5,000 children</w:t>
            </w:r>
          </w:p>
        </w:tc>
      </w:tr>
      <w:tr w:rsidR="00852466" w:rsidRPr="00B347BD" w14:paraId="6834E3F2" w14:textId="77777777">
        <w:trPr>
          <w:cantSplit/>
        </w:trPr>
        <w:tc>
          <w:tcPr>
            <w:tcW w:w="2577" w:type="dxa"/>
            <w:tcMar>
              <w:top w:w="80" w:type="dxa"/>
              <w:left w:w="80" w:type="dxa"/>
              <w:bottom w:w="80" w:type="dxa"/>
              <w:right w:w="80" w:type="dxa"/>
            </w:tcMar>
            <w:hideMark/>
          </w:tcPr>
          <w:p w14:paraId="04591E86" w14:textId="77777777" w:rsidR="00852466" w:rsidRPr="00B347BD" w:rsidRDefault="00852466">
            <w:pPr>
              <w:pStyle w:val="TableText0"/>
              <w:rPr>
                <w:szCs w:val="20"/>
              </w:rPr>
            </w:pPr>
            <w:r w:rsidRPr="00B347BD">
              <w:rPr>
                <w:szCs w:val="20"/>
              </w:rPr>
              <w:t xml:space="preserve">Treated population </w:t>
            </w:r>
          </w:p>
        </w:tc>
        <w:tc>
          <w:tcPr>
            <w:tcW w:w="6495" w:type="dxa"/>
            <w:tcMar>
              <w:top w:w="80" w:type="dxa"/>
              <w:left w:w="80" w:type="dxa"/>
              <w:bottom w:w="80" w:type="dxa"/>
              <w:right w:w="80" w:type="dxa"/>
            </w:tcMar>
            <w:hideMark/>
          </w:tcPr>
          <w:p w14:paraId="69F49CEB" w14:textId="77777777" w:rsidR="00852466" w:rsidRPr="00B347BD" w:rsidRDefault="00852466">
            <w:pPr>
              <w:pStyle w:val="TableText0"/>
              <w:rPr>
                <w:szCs w:val="20"/>
              </w:rPr>
            </w:pPr>
            <w:r w:rsidRPr="00B347BD">
              <w:rPr>
                <w:szCs w:val="20"/>
              </w:rPr>
              <w:t>29%</w:t>
            </w:r>
          </w:p>
        </w:tc>
      </w:tr>
      <w:tr w:rsidR="00852466" w:rsidRPr="00B347BD" w14:paraId="37A7167C" w14:textId="77777777">
        <w:trPr>
          <w:cantSplit/>
        </w:trPr>
        <w:tc>
          <w:tcPr>
            <w:tcW w:w="2577" w:type="dxa"/>
            <w:tcMar>
              <w:top w:w="80" w:type="dxa"/>
              <w:left w:w="80" w:type="dxa"/>
              <w:bottom w:w="80" w:type="dxa"/>
              <w:right w:w="80" w:type="dxa"/>
            </w:tcMar>
            <w:hideMark/>
          </w:tcPr>
          <w:p w14:paraId="5019AF6D"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Treatment utilisation</w:t>
            </w:r>
          </w:p>
        </w:tc>
        <w:tc>
          <w:tcPr>
            <w:tcW w:w="6495" w:type="dxa"/>
            <w:tcMar>
              <w:top w:w="80" w:type="dxa"/>
              <w:left w:w="80" w:type="dxa"/>
              <w:bottom w:w="80" w:type="dxa"/>
              <w:right w:w="80" w:type="dxa"/>
            </w:tcMar>
            <w:hideMark/>
          </w:tcPr>
          <w:p w14:paraId="046BD3C0"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w:t>
            </w:r>
          </w:p>
        </w:tc>
      </w:tr>
      <w:tr w:rsidR="00852466" w:rsidRPr="00B347BD" w14:paraId="18AB7260" w14:textId="77777777">
        <w:trPr>
          <w:cantSplit/>
        </w:trPr>
        <w:tc>
          <w:tcPr>
            <w:tcW w:w="2577" w:type="dxa"/>
            <w:tcMar>
              <w:top w:w="80" w:type="dxa"/>
              <w:left w:w="80" w:type="dxa"/>
              <w:bottom w:w="80" w:type="dxa"/>
              <w:right w:w="80" w:type="dxa"/>
            </w:tcMar>
            <w:hideMark/>
          </w:tcPr>
          <w:p w14:paraId="2016738F" w14:textId="77777777" w:rsidR="00852466" w:rsidRPr="00B347BD" w:rsidRDefault="00852466">
            <w:pPr>
              <w:pStyle w:val="TableText0"/>
              <w:rPr>
                <w:szCs w:val="20"/>
              </w:rPr>
            </w:pPr>
            <w:r w:rsidRPr="00B347BD">
              <w:rPr>
                <w:szCs w:val="20"/>
              </w:rPr>
              <w:t>Uptake for patients</w:t>
            </w:r>
          </w:p>
        </w:tc>
        <w:tc>
          <w:tcPr>
            <w:tcW w:w="6495" w:type="dxa"/>
            <w:tcMar>
              <w:top w:w="80" w:type="dxa"/>
              <w:left w:w="80" w:type="dxa"/>
              <w:bottom w:w="80" w:type="dxa"/>
              <w:right w:w="80" w:type="dxa"/>
            </w:tcMar>
            <w:hideMark/>
          </w:tcPr>
          <w:p w14:paraId="185BE6A1" w14:textId="77777777" w:rsidR="00852466" w:rsidRPr="00B347BD" w:rsidRDefault="00852466">
            <w:pPr>
              <w:pStyle w:val="TableText0"/>
              <w:rPr>
                <w:szCs w:val="20"/>
              </w:rPr>
            </w:pPr>
            <w:r w:rsidRPr="00B347BD">
              <w:rPr>
                <w:szCs w:val="20"/>
              </w:rPr>
              <w:t xml:space="preserve"> 100% </w:t>
            </w:r>
          </w:p>
        </w:tc>
      </w:tr>
      <w:tr w:rsidR="00852466" w:rsidRPr="00B347BD" w14:paraId="5AECB9D4" w14:textId="77777777">
        <w:trPr>
          <w:cantSplit/>
        </w:trPr>
        <w:tc>
          <w:tcPr>
            <w:tcW w:w="2577" w:type="dxa"/>
            <w:tcMar>
              <w:top w:w="80" w:type="dxa"/>
              <w:left w:w="80" w:type="dxa"/>
              <w:bottom w:w="80" w:type="dxa"/>
              <w:right w:w="80" w:type="dxa"/>
            </w:tcMar>
            <w:hideMark/>
          </w:tcPr>
          <w:p w14:paraId="044F9615" w14:textId="77777777" w:rsidR="00852466" w:rsidRPr="00B347BD" w:rsidRDefault="00852466">
            <w:pPr>
              <w:pStyle w:val="TableText0"/>
              <w:rPr>
                <w:szCs w:val="20"/>
              </w:rPr>
            </w:pPr>
            <w:r w:rsidRPr="00B347BD">
              <w:rPr>
                <w:szCs w:val="20"/>
              </w:rPr>
              <w:t>Duration of treatment</w:t>
            </w:r>
          </w:p>
        </w:tc>
        <w:tc>
          <w:tcPr>
            <w:tcW w:w="6495" w:type="dxa"/>
            <w:tcMar>
              <w:top w:w="80" w:type="dxa"/>
              <w:left w:w="80" w:type="dxa"/>
              <w:bottom w:w="80" w:type="dxa"/>
              <w:right w:w="80" w:type="dxa"/>
            </w:tcMar>
            <w:hideMark/>
          </w:tcPr>
          <w:p w14:paraId="7C3D68DC" w14:textId="77777777" w:rsidR="00852466" w:rsidRPr="00B347BD" w:rsidRDefault="00852466">
            <w:pPr>
              <w:pStyle w:val="TableText0"/>
              <w:rPr>
                <w:szCs w:val="20"/>
              </w:rPr>
            </w:pPr>
            <w:r w:rsidRPr="00B347BD">
              <w:rPr>
                <w:szCs w:val="20"/>
              </w:rPr>
              <w:t> chronic treatment</w:t>
            </w:r>
          </w:p>
        </w:tc>
      </w:tr>
      <w:tr w:rsidR="00852466" w:rsidRPr="00B347BD" w14:paraId="46821515" w14:textId="77777777">
        <w:trPr>
          <w:cantSplit/>
        </w:trPr>
        <w:tc>
          <w:tcPr>
            <w:tcW w:w="2577" w:type="dxa"/>
            <w:tcMar>
              <w:top w:w="80" w:type="dxa"/>
              <w:left w:w="80" w:type="dxa"/>
              <w:bottom w:w="80" w:type="dxa"/>
              <w:right w:w="80" w:type="dxa"/>
            </w:tcMar>
            <w:hideMark/>
          </w:tcPr>
          <w:p w14:paraId="46A1E83C" w14:textId="77777777" w:rsidR="00852466" w:rsidRPr="00B347BD" w:rsidRDefault="00852466">
            <w:pPr>
              <w:pStyle w:val="TableText0"/>
              <w:rPr>
                <w:szCs w:val="20"/>
              </w:rPr>
            </w:pPr>
            <w:r w:rsidRPr="00B347BD">
              <w:rPr>
                <w:szCs w:val="20"/>
              </w:rPr>
              <w:t>Discontinuation</w:t>
            </w:r>
          </w:p>
        </w:tc>
        <w:tc>
          <w:tcPr>
            <w:tcW w:w="6495" w:type="dxa"/>
            <w:tcMar>
              <w:top w:w="80" w:type="dxa"/>
              <w:left w:w="80" w:type="dxa"/>
              <w:bottom w:w="80" w:type="dxa"/>
              <w:right w:w="80" w:type="dxa"/>
            </w:tcMar>
            <w:hideMark/>
          </w:tcPr>
          <w:p w14:paraId="4C57270E" w14:textId="77777777" w:rsidR="00852466" w:rsidRPr="00B347BD" w:rsidRDefault="00852466">
            <w:pPr>
              <w:pStyle w:val="TableText0"/>
              <w:rPr>
                <w:szCs w:val="20"/>
              </w:rPr>
            </w:pPr>
            <w:r w:rsidRPr="00B347BD">
              <w:rPr>
                <w:szCs w:val="20"/>
              </w:rPr>
              <w:t> no discontinuation</w:t>
            </w:r>
          </w:p>
        </w:tc>
      </w:tr>
      <w:tr w:rsidR="00852466" w:rsidRPr="00B347BD" w14:paraId="1F43014E" w14:textId="77777777">
        <w:trPr>
          <w:cantSplit/>
        </w:trPr>
        <w:tc>
          <w:tcPr>
            <w:tcW w:w="2577" w:type="dxa"/>
            <w:tcMar>
              <w:top w:w="80" w:type="dxa"/>
              <w:left w:w="80" w:type="dxa"/>
              <w:bottom w:w="80" w:type="dxa"/>
              <w:right w:w="80" w:type="dxa"/>
            </w:tcMar>
            <w:hideMark/>
          </w:tcPr>
          <w:p w14:paraId="076FAE09" w14:textId="77777777" w:rsidR="00852466" w:rsidRPr="00B347BD" w:rsidRDefault="00852466">
            <w:pPr>
              <w:pStyle w:val="TableText0"/>
              <w:rPr>
                <w:szCs w:val="20"/>
              </w:rPr>
            </w:pPr>
            <w:r w:rsidRPr="00B347BD">
              <w:rPr>
                <w:szCs w:val="20"/>
              </w:rPr>
              <w:t>Switching</w:t>
            </w:r>
          </w:p>
        </w:tc>
        <w:tc>
          <w:tcPr>
            <w:tcW w:w="6495" w:type="dxa"/>
            <w:tcMar>
              <w:top w:w="80" w:type="dxa"/>
              <w:left w:w="80" w:type="dxa"/>
              <w:bottom w:w="80" w:type="dxa"/>
              <w:right w:w="80" w:type="dxa"/>
            </w:tcMar>
            <w:hideMark/>
          </w:tcPr>
          <w:p w14:paraId="627435DB" w14:textId="77777777" w:rsidR="00852466" w:rsidRPr="00B347BD" w:rsidRDefault="00852466">
            <w:pPr>
              <w:pStyle w:val="TableText0"/>
              <w:rPr>
                <w:szCs w:val="20"/>
              </w:rPr>
            </w:pPr>
            <w:r w:rsidRPr="00B347BD">
              <w:rPr>
                <w:szCs w:val="20"/>
              </w:rPr>
              <w:t> no treatment switch</w:t>
            </w:r>
          </w:p>
        </w:tc>
      </w:tr>
      <w:tr w:rsidR="00852466" w:rsidRPr="00B347BD" w14:paraId="7368F229" w14:textId="77777777">
        <w:trPr>
          <w:cantSplit/>
        </w:trPr>
        <w:tc>
          <w:tcPr>
            <w:tcW w:w="2577" w:type="dxa"/>
            <w:tcMar>
              <w:top w:w="80" w:type="dxa"/>
              <w:left w:w="80" w:type="dxa"/>
              <w:bottom w:w="80" w:type="dxa"/>
              <w:right w:w="80" w:type="dxa"/>
            </w:tcMar>
            <w:hideMark/>
          </w:tcPr>
          <w:p w14:paraId="6895D2A4" w14:textId="77777777" w:rsidR="00852466" w:rsidRPr="00B347BD" w:rsidRDefault="00852466">
            <w:pPr>
              <w:rPr>
                <w:rFonts w:ascii="Arial Narrow" w:hAnsi="Arial Narrow" w:cs="Calibri"/>
                <w:sz w:val="20"/>
                <w:szCs w:val="20"/>
              </w:rPr>
            </w:pPr>
            <w:r w:rsidRPr="00B347BD">
              <w:rPr>
                <w:rFonts w:ascii="Arial Narrow" w:hAnsi="Arial Narrow" w:cs="Calibri"/>
                <w:b/>
                <w:bCs/>
                <w:sz w:val="20"/>
                <w:szCs w:val="20"/>
              </w:rPr>
              <w:t>Costs</w:t>
            </w:r>
          </w:p>
        </w:tc>
        <w:tc>
          <w:tcPr>
            <w:tcW w:w="6495" w:type="dxa"/>
            <w:tcMar>
              <w:top w:w="80" w:type="dxa"/>
              <w:left w:w="80" w:type="dxa"/>
              <w:bottom w:w="80" w:type="dxa"/>
              <w:right w:w="80" w:type="dxa"/>
            </w:tcMar>
            <w:hideMark/>
          </w:tcPr>
          <w:p w14:paraId="56BEDE74"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w:t>
            </w:r>
          </w:p>
        </w:tc>
      </w:tr>
      <w:tr w:rsidR="00852466" w:rsidRPr="00B347BD" w14:paraId="45035540" w14:textId="77777777">
        <w:trPr>
          <w:cantSplit/>
        </w:trPr>
        <w:tc>
          <w:tcPr>
            <w:tcW w:w="2577" w:type="dxa"/>
            <w:tcMar>
              <w:top w:w="80" w:type="dxa"/>
              <w:left w:w="80" w:type="dxa"/>
              <w:bottom w:w="80" w:type="dxa"/>
              <w:right w:w="80" w:type="dxa"/>
            </w:tcMar>
            <w:hideMark/>
          </w:tcPr>
          <w:p w14:paraId="1C1F0FEC"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Proposed</w:t>
            </w:r>
          </w:p>
        </w:tc>
        <w:tc>
          <w:tcPr>
            <w:tcW w:w="6495" w:type="dxa"/>
            <w:tcMar>
              <w:top w:w="80" w:type="dxa"/>
              <w:left w:w="80" w:type="dxa"/>
              <w:bottom w:w="80" w:type="dxa"/>
              <w:right w:w="80" w:type="dxa"/>
            </w:tcMar>
            <w:hideMark/>
          </w:tcPr>
          <w:p w14:paraId="6EB2A27B" w14:textId="77777777" w:rsidR="00852466" w:rsidRDefault="00852466">
            <w:pPr>
              <w:rPr>
                <w:rFonts w:ascii="Arial Narrow" w:hAnsi="Arial Narrow" w:cs="Calibri"/>
                <w:sz w:val="20"/>
                <w:szCs w:val="20"/>
              </w:rPr>
            </w:pPr>
            <w:r w:rsidRPr="00B347BD">
              <w:rPr>
                <w:rFonts w:ascii="Arial Narrow" w:hAnsi="Arial Narrow" w:cs="Calibri"/>
                <w:sz w:val="20"/>
                <w:szCs w:val="20"/>
              </w:rPr>
              <w:t>20mg AEMP: $567.42, DPMQ: $567.42 (s100 public), $598.79 (s100 private)</w:t>
            </w:r>
          </w:p>
          <w:p w14:paraId="5610290A"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40mg AEMP: $505.95, DPMQ: $505.95 (s100 public), $534.86 (s100 private)</w:t>
            </w:r>
          </w:p>
        </w:tc>
      </w:tr>
      <w:tr w:rsidR="00852466" w:rsidRPr="00B347BD" w14:paraId="4C66399B" w14:textId="77777777">
        <w:trPr>
          <w:cantSplit/>
        </w:trPr>
        <w:tc>
          <w:tcPr>
            <w:tcW w:w="2577" w:type="dxa"/>
            <w:tcMar>
              <w:top w:w="80" w:type="dxa"/>
              <w:left w:w="80" w:type="dxa"/>
              <w:bottom w:w="80" w:type="dxa"/>
              <w:right w:w="80" w:type="dxa"/>
            </w:tcMar>
            <w:hideMark/>
          </w:tcPr>
          <w:p w14:paraId="2BEA5251"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MBS costs</w:t>
            </w:r>
          </w:p>
        </w:tc>
        <w:tc>
          <w:tcPr>
            <w:tcW w:w="6495" w:type="dxa"/>
            <w:tcMar>
              <w:top w:w="80" w:type="dxa"/>
              <w:left w:w="80" w:type="dxa"/>
              <w:bottom w:w="80" w:type="dxa"/>
              <w:right w:w="80" w:type="dxa"/>
            </w:tcMar>
            <w:hideMark/>
          </w:tcPr>
          <w:p w14:paraId="5764ADA3"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 xml:space="preserve"> no change in MBS utilisation </w:t>
            </w:r>
          </w:p>
        </w:tc>
      </w:tr>
      <w:tr w:rsidR="00852466" w:rsidRPr="00B347BD" w14:paraId="1567A105" w14:textId="77777777">
        <w:trPr>
          <w:cantSplit/>
        </w:trPr>
        <w:tc>
          <w:tcPr>
            <w:tcW w:w="2577" w:type="dxa"/>
            <w:tcMar>
              <w:top w:w="80" w:type="dxa"/>
              <w:left w:w="80" w:type="dxa"/>
              <w:bottom w:w="80" w:type="dxa"/>
              <w:right w:w="80" w:type="dxa"/>
            </w:tcMar>
            <w:hideMark/>
          </w:tcPr>
          <w:p w14:paraId="08BCBEA9"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SA Impact</w:t>
            </w:r>
          </w:p>
        </w:tc>
        <w:tc>
          <w:tcPr>
            <w:tcW w:w="6495" w:type="dxa"/>
            <w:tcMar>
              <w:top w:w="80" w:type="dxa"/>
              <w:left w:w="80" w:type="dxa"/>
              <w:bottom w:w="80" w:type="dxa"/>
              <w:right w:w="80" w:type="dxa"/>
            </w:tcMar>
            <w:hideMark/>
          </w:tcPr>
          <w:p w14:paraId="4BEB1A95" w14:textId="77777777" w:rsidR="00852466" w:rsidRPr="00B347BD" w:rsidRDefault="00852466">
            <w:pPr>
              <w:rPr>
                <w:rFonts w:ascii="Arial Narrow" w:hAnsi="Arial Narrow" w:cs="Calibri"/>
                <w:sz w:val="20"/>
                <w:szCs w:val="20"/>
              </w:rPr>
            </w:pPr>
            <w:r w:rsidRPr="00B347BD">
              <w:rPr>
                <w:rFonts w:ascii="Arial Narrow" w:hAnsi="Arial Narrow" w:cs="Calibri"/>
                <w:sz w:val="20"/>
                <w:szCs w:val="20"/>
              </w:rPr>
              <w:t>Assumed all restriction at Authority Required (Telephone for initial; streamlined for continue)</w:t>
            </w:r>
          </w:p>
        </w:tc>
      </w:tr>
    </w:tbl>
    <w:p w14:paraId="4398FCF5" w14:textId="77777777" w:rsidR="00852466" w:rsidRPr="000B4F95" w:rsidRDefault="00852466" w:rsidP="00852466">
      <w:pPr>
        <w:pStyle w:val="TableFigureFooter"/>
      </w:pPr>
      <w:r w:rsidRPr="000B4F95">
        <w:t xml:space="preserve">ABS = Australian Bureau of Statistics; AEMP = approved ex-manufacturer price; DPMQ = </w:t>
      </w:r>
      <w:r>
        <w:t>d</w:t>
      </w:r>
      <w:r w:rsidRPr="000B4F95">
        <w:t>ispensed price for maximum quantity; DUSC</w:t>
      </w:r>
      <w:r>
        <w:t> </w:t>
      </w:r>
      <w:r w:rsidRPr="000B4F95">
        <w:t>=</w:t>
      </w:r>
      <w:r>
        <w:t> </w:t>
      </w:r>
      <w:r w:rsidRPr="000B4F95">
        <w:t>Drug Utilisation Sub-Committee</w:t>
      </w:r>
      <w:r>
        <w:t>; MBS = Medicare Benefits Schedule</w:t>
      </w:r>
      <w:r w:rsidRPr="18BEB7AC">
        <w:t>;</w:t>
      </w:r>
      <w:r w:rsidRPr="2C94791C">
        <w:t xml:space="preserve"> SA = Services Australia</w:t>
      </w:r>
    </w:p>
    <w:p w14:paraId="5F2D090F" w14:textId="77777777" w:rsidR="00852466" w:rsidRPr="003E73D3" w:rsidRDefault="00852466" w:rsidP="00852466">
      <w:pPr>
        <w:pStyle w:val="TableFigureHeading"/>
      </w:pPr>
      <w:r w:rsidRPr="003E73D3">
        <w:t xml:space="preserve">Table </w:t>
      </w:r>
      <w:r>
        <w:t>20:</w:t>
      </w:r>
      <w:r w:rsidRPr="003E73D3">
        <w:t xml:space="preserve"> </w:t>
      </w:r>
      <w:r w:rsidRPr="00DC52F0">
        <w:t>Financial estimates</w:t>
      </w:r>
      <w:r w:rsidRPr="003E73D3">
        <w:t xml:space="preserve"> – adalimumab –</w:t>
      </w:r>
      <w:r>
        <w:t xml:space="preserve"> base case</w:t>
      </w:r>
      <w:r w:rsidRPr="003E73D3">
        <w:t xml:space="preserve"> </w:t>
      </w:r>
      <w:r>
        <w:t>severe active JIA</w:t>
      </w:r>
    </w:p>
    <w:tbl>
      <w:tblPr>
        <w:tblStyle w:val="TableGrid"/>
        <w:tblW w:w="0" w:type="auto"/>
        <w:tblInd w:w="-5" w:type="dxa"/>
        <w:tblLook w:val="04A0" w:firstRow="1" w:lastRow="0" w:firstColumn="1" w:lastColumn="0" w:noHBand="0" w:noVBand="1"/>
        <w:tblCaption w:val="Financial estimates – adalimumab – base case severe active JIA"/>
      </w:tblPr>
      <w:tblGrid>
        <w:gridCol w:w="2233"/>
        <w:gridCol w:w="1129"/>
        <w:gridCol w:w="1129"/>
        <w:gridCol w:w="1138"/>
        <w:gridCol w:w="1134"/>
        <w:gridCol w:w="1129"/>
        <w:gridCol w:w="1129"/>
      </w:tblGrid>
      <w:tr w:rsidR="00852466" w14:paraId="5A9DE7BC" w14:textId="77777777">
        <w:tc>
          <w:tcPr>
            <w:tcW w:w="2233" w:type="dxa"/>
          </w:tcPr>
          <w:p w14:paraId="5DC17E48" w14:textId="77777777" w:rsidR="00852466" w:rsidRPr="00725DC5" w:rsidRDefault="00852466">
            <w:pPr>
              <w:pStyle w:val="TableText0"/>
              <w:keepNext w:val="0"/>
            </w:pPr>
          </w:p>
        </w:tc>
        <w:tc>
          <w:tcPr>
            <w:tcW w:w="1129" w:type="dxa"/>
          </w:tcPr>
          <w:p w14:paraId="63167755" w14:textId="77777777" w:rsidR="00852466" w:rsidRPr="00E3305C" w:rsidRDefault="00852466">
            <w:pPr>
              <w:pStyle w:val="TableText0"/>
              <w:keepNext w:val="0"/>
            </w:pPr>
            <w:r w:rsidRPr="00E3305C">
              <w:t>Year 1 (2025)</w:t>
            </w:r>
          </w:p>
        </w:tc>
        <w:tc>
          <w:tcPr>
            <w:tcW w:w="1129" w:type="dxa"/>
          </w:tcPr>
          <w:p w14:paraId="6FECD649" w14:textId="77777777" w:rsidR="00852466" w:rsidRPr="00E3305C" w:rsidRDefault="00852466">
            <w:pPr>
              <w:pStyle w:val="TableText0"/>
              <w:keepNext w:val="0"/>
            </w:pPr>
            <w:r w:rsidRPr="00E3305C">
              <w:t>Year 2 (2026)</w:t>
            </w:r>
          </w:p>
        </w:tc>
        <w:tc>
          <w:tcPr>
            <w:tcW w:w="1138" w:type="dxa"/>
          </w:tcPr>
          <w:p w14:paraId="6BE5A9A0" w14:textId="77777777" w:rsidR="00852466" w:rsidRPr="00E3305C" w:rsidRDefault="00852466">
            <w:pPr>
              <w:pStyle w:val="TableText0"/>
              <w:keepNext w:val="0"/>
            </w:pPr>
            <w:r w:rsidRPr="00E3305C">
              <w:t>Year 3 (2027)</w:t>
            </w:r>
          </w:p>
        </w:tc>
        <w:tc>
          <w:tcPr>
            <w:tcW w:w="1134" w:type="dxa"/>
          </w:tcPr>
          <w:p w14:paraId="64A949BF" w14:textId="77777777" w:rsidR="00852466" w:rsidRPr="00E3305C" w:rsidRDefault="00852466">
            <w:pPr>
              <w:pStyle w:val="TableText0"/>
              <w:keepNext w:val="0"/>
            </w:pPr>
            <w:r w:rsidRPr="00E3305C">
              <w:t>Year 4 (2028)</w:t>
            </w:r>
          </w:p>
        </w:tc>
        <w:tc>
          <w:tcPr>
            <w:tcW w:w="1129" w:type="dxa"/>
          </w:tcPr>
          <w:p w14:paraId="4D7F1082" w14:textId="77777777" w:rsidR="00852466" w:rsidRPr="00E3305C" w:rsidRDefault="00852466">
            <w:pPr>
              <w:pStyle w:val="TableText0"/>
              <w:keepNext w:val="0"/>
            </w:pPr>
            <w:r w:rsidRPr="00E3305C">
              <w:t>Year 5 (2029)</w:t>
            </w:r>
          </w:p>
        </w:tc>
        <w:tc>
          <w:tcPr>
            <w:tcW w:w="1129" w:type="dxa"/>
          </w:tcPr>
          <w:p w14:paraId="1EA92930" w14:textId="77777777" w:rsidR="00852466" w:rsidRPr="00E3305C" w:rsidRDefault="00852466">
            <w:pPr>
              <w:pStyle w:val="TableText0"/>
              <w:keepNext w:val="0"/>
            </w:pPr>
            <w:r w:rsidRPr="00E3305C">
              <w:t>Year 6 (2030)</w:t>
            </w:r>
          </w:p>
        </w:tc>
      </w:tr>
      <w:tr w:rsidR="00852466" w14:paraId="22D87816" w14:textId="77777777">
        <w:tc>
          <w:tcPr>
            <w:tcW w:w="9021" w:type="dxa"/>
            <w:gridSpan w:val="7"/>
          </w:tcPr>
          <w:p w14:paraId="76CFF434" w14:textId="77777777" w:rsidR="00852466" w:rsidRPr="00EE4A69" w:rsidRDefault="00852466">
            <w:pPr>
              <w:pStyle w:val="TableText0"/>
              <w:keepNext w:val="0"/>
            </w:pPr>
            <w:r w:rsidRPr="00EE4A69">
              <w:t>Estimated extent of use</w:t>
            </w:r>
            <w:r>
              <w:t xml:space="preserve"> </w:t>
            </w:r>
          </w:p>
        </w:tc>
      </w:tr>
      <w:tr w:rsidR="00852466" w14:paraId="07B50179" w14:textId="77777777">
        <w:tc>
          <w:tcPr>
            <w:tcW w:w="9021" w:type="dxa"/>
            <w:gridSpan w:val="7"/>
          </w:tcPr>
          <w:p w14:paraId="6583ADF2" w14:textId="77777777" w:rsidR="00852466" w:rsidRPr="006669C5" w:rsidRDefault="00852466">
            <w:pPr>
              <w:pStyle w:val="TableText0"/>
              <w:keepNext w:val="0"/>
            </w:pPr>
            <w:r w:rsidRPr="006669C5">
              <w:t>Number of patients treated</w:t>
            </w:r>
          </w:p>
        </w:tc>
      </w:tr>
      <w:tr w:rsidR="00852466" w14:paraId="41AB0043" w14:textId="77777777">
        <w:tc>
          <w:tcPr>
            <w:tcW w:w="2233" w:type="dxa"/>
          </w:tcPr>
          <w:p w14:paraId="4606294B" w14:textId="77777777" w:rsidR="00852466" w:rsidRPr="00725DC5" w:rsidRDefault="00852466">
            <w:pPr>
              <w:pStyle w:val="TableText0"/>
              <w:keepNext w:val="0"/>
            </w:pPr>
            <w:r w:rsidRPr="006669C5">
              <w:t>Total initiating patients</w:t>
            </w:r>
          </w:p>
        </w:tc>
        <w:tc>
          <w:tcPr>
            <w:tcW w:w="1129" w:type="dxa"/>
          </w:tcPr>
          <w:p w14:paraId="756AEDC5"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E159A8">
              <w:rPr>
                <w:vertAlign w:val="superscript"/>
              </w:rPr>
              <w:t>1</w:t>
            </w:r>
          </w:p>
        </w:tc>
        <w:tc>
          <w:tcPr>
            <w:tcW w:w="1129" w:type="dxa"/>
          </w:tcPr>
          <w:p w14:paraId="2230A25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1</w:t>
            </w:r>
          </w:p>
        </w:tc>
        <w:tc>
          <w:tcPr>
            <w:tcW w:w="1138" w:type="dxa"/>
          </w:tcPr>
          <w:p w14:paraId="3ED1B71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1</w:t>
            </w:r>
          </w:p>
        </w:tc>
        <w:tc>
          <w:tcPr>
            <w:tcW w:w="1134" w:type="dxa"/>
          </w:tcPr>
          <w:p w14:paraId="0E6A612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1</w:t>
            </w:r>
          </w:p>
        </w:tc>
        <w:tc>
          <w:tcPr>
            <w:tcW w:w="1129" w:type="dxa"/>
          </w:tcPr>
          <w:p w14:paraId="221EB113"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1</w:t>
            </w:r>
          </w:p>
        </w:tc>
        <w:tc>
          <w:tcPr>
            <w:tcW w:w="1129" w:type="dxa"/>
          </w:tcPr>
          <w:p w14:paraId="0E7BE273"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1</w:t>
            </w:r>
          </w:p>
        </w:tc>
      </w:tr>
      <w:tr w:rsidR="00852466" w14:paraId="3577B691" w14:textId="77777777">
        <w:tc>
          <w:tcPr>
            <w:tcW w:w="2233" w:type="dxa"/>
          </w:tcPr>
          <w:p w14:paraId="5835E3CE" w14:textId="77777777" w:rsidR="00852466" w:rsidRPr="00725DC5" w:rsidRDefault="00852466">
            <w:pPr>
              <w:pStyle w:val="TableText0"/>
              <w:keepNext w:val="0"/>
            </w:pPr>
            <w:r w:rsidRPr="006669C5">
              <w:t>Total continuing patients</w:t>
            </w:r>
          </w:p>
        </w:tc>
        <w:tc>
          <w:tcPr>
            <w:tcW w:w="1129" w:type="dxa"/>
          </w:tcPr>
          <w:p w14:paraId="26712B08"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1</w:t>
            </w:r>
          </w:p>
        </w:tc>
        <w:tc>
          <w:tcPr>
            <w:tcW w:w="1129" w:type="dxa"/>
          </w:tcPr>
          <w:p w14:paraId="5E8C9989"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1</w:t>
            </w:r>
          </w:p>
        </w:tc>
        <w:tc>
          <w:tcPr>
            <w:tcW w:w="1138" w:type="dxa"/>
          </w:tcPr>
          <w:p w14:paraId="52EB0F7C"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1</w:t>
            </w:r>
          </w:p>
        </w:tc>
        <w:tc>
          <w:tcPr>
            <w:tcW w:w="1134" w:type="dxa"/>
          </w:tcPr>
          <w:p w14:paraId="1EBDE569"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1</w:t>
            </w:r>
          </w:p>
        </w:tc>
        <w:tc>
          <w:tcPr>
            <w:tcW w:w="1129" w:type="dxa"/>
          </w:tcPr>
          <w:p w14:paraId="7616AD0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1</w:t>
            </w:r>
          </w:p>
        </w:tc>
        <w:tc>
          <w:tcPr>
            <w:tcW w:w="1129" w:type="dxa"/>
          </w:tcPr>
          <w:p w14:paraId="5EF9EFF7"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1</w:t>
            </w:r>
          </w:p>
        </w:tc>
      </w:tr>
      <w:tr w:rsidR="00852466" w14:paraId="3B1910C3" w14:textId="77777777">
        <w:tc>
          <w:tcPr>
            <w:tcW w:w="9021" w:type="dxa"/>
            <w:gridSpan w:val="7"/>
          </w:tcPr>
          <w:p w14:paraId="4CA3985D" w14:textId="77777777" w:rsidR="00852466" w:rsidRPr="00EE4A69" w:rsidRDefault="00852466">
            <w:pPr>
              <w:pStyle w:val="TableText0"/>
              <w:keepNext w:val="0"/>
            </w:pPr>
            <w:r w:rsidRPr="00EE4A69">
              <w:t>Number of prescriptions dispense</w:t>
            </w:r>
            <w:r>
              <w:t>d</w:t>
            </w:r>
          </w:p>
        </w:tc>
      </w:tr>
      <w:tr w:rsidR="00852466" w14:paraId="5F5D6D69" w14:textId="77777777">
        <w:tc>
          <w:tcPr>
            <w:tcW w:w="2233" w:type="dxa"/>
            <w:vAlign w:val="center"/>
          </w:tcPr>
          <w:p w14:paraId="4BA4CEAC" w14:textId="77777777" w:rsidR="00852466" w:rsidRPr="00C44BC1" w:rsidRDefault="00852466">
            <w:pPr>
              <w:pStyle w:val="TableText0"/>
              <w:keepNext w:val="0"/>
            </w:pPr>
            <w:r w:rsidRPr="008810AA">
              <w:t>Adalimumab (public) 20</w:t>
            </w:r>
            <w:r>
              <w:t> </w:t>
            </w:r>
            <w:r w:rsidRPr="008810AA">
              <w:t>mg/0.2 mL injection, 2 x 0.2 mL syringes - Initiating</w:t>
            </w:r>
          </w:p>
        </w:tc>
        <w:tc>
          <w:tcPr>
            <w:tcW w:w="1129" w:type="dxa"/>
            <w:vAlign w:val="center"/>
          </w:tcPr>
          <w:p w14:paraId="0C99816B" w14:textId="77777777" w:rsidR="00852466" w:rsidRPr="00E159A8" w:rsidRDefault="00852466">
            <w:pPr>
              <w:pStyle w:val="TableText0"/>
              <w:keepNext w:val="0"/>
              <w:rPr>
                <w:highlight w:val="darkGray"/>
                <w:vertAlign w:val="superscript"/>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E159A8">
              <w:rPr>
                <w:vertAlign w:val="superscript"/>
              </w:rPr>
              <w:t>2</w:t>
            </w:r>
          </w:p>
        </w:tc>
        <w:tc>
          <w:tcPr>
            <w:tcW w:w="1129" w:type="dxa"/>
            <w:vAlign w:val="center"/>
          </w:tcPr>
          <w:p w14:paraId="78068CA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2</w:t>
            </w:r>
            <w:r w:rsidRPr="00A46567">
              <w:t xml:space="preserve"> </w:t>
            </w:r>
          </w:p>
        </w:tc>
        <w:tc>
          <w:tcPr>
            <w:tcW w:w="1138" w:type="dxa"/>
            <w:vAlign w:val="center"/>
          </w:tcPr>
          <w:p w14:paraId="2E4FF2D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2</w:t>
            </w:r>
          </w:p>
        </w:tc>
        <w:tc>
          <w:tcPr>
            <w:tcW w:w="1134" w:type="dxa"/>
            <w:vAlign w:val="center"/>
          </w:tcPr>
          <w:p w14:paraId="4C24C14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2</w:t>
            </w:r>
          </w:p>
        </w:tc>
        <w:tc>
          <w:tcPr>
            <w:tcW w:w="1129" w:type="dxa"/>
            <w:vAlign w:val="center"/>
          </w:tcPr>
          <w:p w14:paraId="3918AFF1"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2</w:t>
            </w:r>
          </w:p>
        </w:tc>
        <w:tc>
          <w:tcPr>
            <w:tcW w:w="1129" w:type="dxa"/>
            <w:vAlign w:val="center"/>
          </w:tcPr>
          <w:p w14:paraId="03228BE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2</w:t>
            </w:r>
          </w:p>
        </w:tc>
      </w:tr>
      <w:tr w:rsidR="00852466" w14:paraId="12146A87" w14:textId="77777777">
        <w:tc>
          <w:tcPr>
            <w:tcW w:w="2233" w:type="dxa"/>
            <w:vAlign w:val="center"/>
          </w:tcPr>
          <w:p w14:paraId="1E3B4F35" w14:textId="77777777" w:rsidR="00852466" w:rsidRPr="00C44BC1" w:rsidRDefault="00852466">
            <w:pPr>
              <w:pStyle w:val="TableText0"/>
              <w:keepNext w:val="0"/>
            </w:pPr>
            <w:r w:rsidRPr="008810AA">
              <w:t>Adalimumab (Private) 20</w:t>
            </w:r>
            <w:r>
              <w:t> </w:t>
            </w:r>
            <w:r w:rsidRPr="008810AA">
              <w:t>mg/0.2 mL injection, 2 x 0.2 mL syringes - Initiating</w:t>
            </w:r>
          </w:p>
        </w:tc>
        <w:tc>
          <w:tcPr>
            <w:tcW w:w="1129" w:type="dxa"/>
            <w:vAlign w:val="center"/>
          </w:tcPr>
          <w:p w14:paraId="645A6A9C"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2</w:t>
            </w:r>
          </w:p>
        </w:tc>
        <w:tc>
          <w:tcPr>
            <w:tcW w:w="1129" w:type="dxa"/>
            <w:vAlign w:val="center"/>
          </w:tcPr>
          <w:p w14:paraId="7BB8D203"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2</w:t>
            </w:r>
          </w:p>
        </w:tc>
        <w:tc>
          <w:tcPr>
            <w:tcW w:w="1138" w:type="dxa"/>
            <w:vAlign w:val="center"/>
          </w:tcPr>
          <w:p w14:paraId="7C5DBA2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2</w:t>
            </w:r>
          </w:p>
        </w:tc>
        <w:tc>
          <w:tcPr>
            <w:tcW w:w="1134" w:type="dxa"/>
            <w:vAlign w:val="center"/>
          </w:tcPr>
          <w:p w14:paraId="32BAFD6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2</w:t>
            </w:r>
          </w:p>
        </w:tc>
        <w:tc>
          <w:tcPr>
            <w:tcW w:w="1129" w:type="dxa"/>
            <w:vAlign w:val="center"/>
          </w:tcPr>
          <w:p w14:paraId="4A990C4C"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2</w:t>
            </w:r>
          </w:p>
        </w:tc>
        <w:tc>
          <w:tcPr>
            <w:tcW w:w="1129" w:type="dxa"/>
            <w:vAlign w:val="center"/>
          </w:tcPr>
          <w:p w14:paraId="6C79A74F"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2</w:t>
            </w:r>
          </w:p>
        </w:tc>
      </w:tr>
      <w:tr w:rsidR="00852466" w14:paraId="44F864BE" w14:textId="77777777">
        <w:tc>
          <w:tcPr>
            <w:tcW w:w="2233" w:type="dxa"/>
            <w:vAlign w:val="center"/>
          </w:tcPr>
          <w:p w14:paraId="34477504" w14:textId="77777777" w:rsidR="00852466" w:rsidRPr="00C44BC1" w:rsidRDefault="00852466">
            <w:pPr>
              <w:pStyle w:val="TableText0"/>
              <w:keepNext w:val="0"/>
            </w:pPr>
            <w:r w:rsidRPr="008810AA">
              <w:t>Adalimumab (public) 40 mg/0.4 mL injection, 2 x 0.4</w:t>
            </w:r>
            <w:r>
              <w:t> </w:t>
            </w:r>
            <w:r w:rsidRPr="008810AA">
              <w:t>mL pen devices &amp; syringes - Initiating</w:t>
            </w:r>
          </w:p>
        </w:tc>
        <w:tc>
          <w:tcPr>
            <w:tcW w:w="1129" w:type="dxa"/>
            <w:vAlign w:val="center"/>
          </w:tcPr>
          <w:p w14:paraId="3460E83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1</w:t>
            </w:r>
          </w:p>
        </w:tc>
        <w:tc>
          <w:tcPr>
            <w:tcW w:w="1129" w:type="dxa"/>
            <w:vAlign w:val="center"/>
          </w:tcPr>
          <w:p w14:paraId="04B9E7B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1</w:t>
            </w:r>
          </w:p>
        </w:tc>
        <w:tc>
          <w:tcPr>
            <w:tcW w:w="1138" w:type="dxa"/>
            <w:vAlign w:val="center"/>
          </w:tcPr>
          <w:p w14:paraId="6AFC225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1</w:t>
            </w:r>
          </w:p>
        </w:tc>
        <w:tc>
          <w:tcPr>
            <w:tcW w:w="1134" w:type="dxa"/>
            <w:vAlign w:val="center"/>
          </w:tcPr>
          <w:p w14:paraId="65BF286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1</w:t>
            </w:r>
          </w:p>
        </w:tc>
        <w:tc>
          <w:tcPr>
            <w:tcW w:w="1129" w:type="dxa"/>
            <w:vAlign w:val="center"/>
          </w:tcPr>
          <w:p w14:paraId="717E7A98"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1</w:t>
            </w:r>
          </w:p>
        </w:tc>
        <w:tc>
          <w:tcPr>
            <w:tcW w:w="1129" w:type="dxa"/>
            <w:vAlign w:val="center"/>
          </w:tcPr>
          <w:p w14:paraId="1C31FE60"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1</w:t>
            </w:r>
          </w:p>
        </w:tc>
      </w:tr>
      <w:tr w:rsidR="00852466" w14:paraId="77AA0C79" w14:textId="77777777">
        <w:tc>
          <w:tcPr>
            <w:tcW w:w="2233" w:type="dxa"/>
            <w:vAlign w:val="center"/>
          </w:tcPr>
          <w:p w14:paraId="083DABE3" w14:textId="77777777" w:rsidR="00852466" w:rsidRPr="00C44BC1" w:rsidRDefault="00852466">
            <w:pPr>
              <w:pStyle w:val="TableText0"/>
              <w:keepNext w:val="0"/>
            </w:pPr>
            <w:r w:rsidRPr="008810AA">
              <w:t>Adalimumab (Private) 40</w:t>
            </w:r>
            <w:r>
              <w:t> </w:t>
            </w:r>
            <w:r w:rsidRPr="008810AA">
              <w:t>mg/0.4 mL injection, 2 x 0.4 mL pen devices &amp; syringes - Initiating</w:t>
            </w:r>
          </w:p>
        </w:tc>
        <w:tc>
          <w:tcPr>
            <w:tcW w:w="1129" w:type="dxa"/>
            <w:vAlign w:val="center"/>
          </w:tcPr>
          <w:p w14:paraId="40F7D54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1</w:t>
            </w:r>
          </w:p>
        </w:tc>
        <w:tc>
          <w:tcPr>
            <w:tcW w:w="1129" w:type="dxa"/>
            <w:vAlign w:val="center"/>
          </w:tcPr>
          <w:p w14:paraId="7EBE7010"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1</w:t>
            </w:r>
          </w:p>
        </w:tc>
        <w:tc>
          <w:tcPr>
            <w:tcW w:w="1138" w:type="dxa"/>
            <w:vAlign w:val="center"/>
          </w:tcPr>
          <w:p w14:paraId="6ADE2380"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1</w:t>
            </w:r>
          </w:p>
        </w:tc>
        <w:tc>
          <w:tcPr>
            <w:tcW w:w="1134" w:type="dxa"/>
            <w:vAlign w:val="center"/>
          </w:tcPr>
          <w:p w14:paraId="6704D1E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1</w:t>
            </w:r>
          </w:p>
        </w:tc>
        <w:tc>
          <w:tcPr>
            <w:tcW w:w="1129" w:type="dxa"/>
            <w:vAlign w:val="center"/>
          </w:tcPr>
          <w:p w14:paraId="3EF61E48"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1</w:t>
            </w:r>
          </w:p>
        </w:tc>
        <w:tc>
          <w:tcPr>
            <w:tcW w:w="1129" w:type="dxa"/>
            <w:vAlign w:val="center"/>
          </w:tcPr>
          <w:p w14:paraId="02F477F1"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1</w:t>
            </w:r>
          </w:p>
        </w:tc>
      </w:tr>
      <w:tr w:rsidR="00852466" w14:paraId="58B5CF2F" w14:textId="77777777">
        <w:trPr>
          <w:trHeight w:val="458"/>
        </w:trPr>
        <w:tc>
          <w:tcPr>
            <w:tcW w:w="2233" w:type="dxa"/>
            <w:vMerge w:val="restart"/>
            <w:vAlign w:val="center"/>
          </w:tcPr>
          <w:p w14:paraId="51AD7971" w14:textId="77777777" w:rsidR="00852466" w:rsidRPr="00C44BC1" w:rsidRDefault="00852466">
            <w:pPr>
              <w:pStyle w:val="TableText0"/>
              <w:keepNext w:val="0"/>
            </w:pPr>
            <w:r w:rsidRPr="008810AA">
              <w:t>Adalimumab (public) 20</w:t>
            </w:r>
            <w:r>
              <w:t> </w:t>
            </w:r>
            <w:r w:rsidRPr="008810AA">
              <w:t>mg/0.2 mL injection, 2 x 0.2 mL syringes - Continuing</w:t>
            </w:r>
          </w:p>
        </w:tc>
        <w:tc>
          <w:tcPr>
            <w:tcW w:w="1129" w:type="dxa"/>
            <w:vAlign w:val="center"/>
          </w:tcPr>
          <w:p w14:paraId="0718BBCC"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5AE9291F"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1</w:t>
            </w:r>
            <w:r w:rsidRPr="008810AA">
              <w:t xml:space="preserve"> </w:t>
            </w:r>
          </w:p>
        </w:tc>
        <w:tc>
          <w:tcPr>
            <w:tcW w:w="1138" w:type="dxa"/>
            <w:vAlign w:val="center"/>
          </w:tcPr>
          <w:p w14:paraId="3DDB63F4"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1</w:t>
            </w:r>
            <w:r w:rsidRPr="008810AA">
              <w:t xml:space="preserve"> </w:t>
            </w:r>
          </w:p>
        </w:tc>
        <w:tc>
          <w:tcPr>
            <w:tcW w:w="1134" w:type="dxa"/>
            <w:vAlign w:val="center"/>
          </w:tcPr>
          <w:p w14:paraId="24964B61"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34D68382"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247FDFB4"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1</w:t>
            </w:r>
            <w:r w:rsidRPr="008810AA">
              <w:t xml:space="preserve"> </w:t>
            </w:r>
          </w:p>
        </w:tc>
      </w:tr>
      <w:tr w:rsidR="00852466" w14:paraId="528EE688" w14:textId="77777777">
        <w:trPr>
          <w:trHeight w:val="457"/>
        </w:trPr>
        <w:tc>
          <w:tcPr>
            <w:tcW w:w="2233" w:type="dxa"/>
            <w:vMerge/>
            <w:vAlign w:val="center"/>
          </w:tcPr>
          <w:p w14:paraId="51DA3343" w14:textId="77777777" w:rsidR="00852466" w:rsidRPr="00146F1D" w:rsidRDefault="00852466">
            <w:pPr>
              <w:pStyle w:val="TableText0"/>
              <w:keepNext w:val="0"/>
            </w:pPr>
          </w:p>
        </w:tc>
        <w:tc>
          <w:tcPr>
            <w:tcW w:w="1129" w:type="dxa"/>
            <w:vAlign w:val="center"/>
          </w:tcPr>
          <w:p w14:paraId="3AED6E7A"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2</w:t>
            </w:r>
          </w:p>
        </w:tc>
        <w:tc>
          <w:tcPr>
            <w:tcW w:w="1129" w:type="dxa"/>
            <w:vAlign w:val="center"/>
          </w:tcPr>
          <w:p w14:paraId="41B40FB1"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2</w:t>
            </w:r>
          </w:p>
        </w:tc>
        <w:tc>
          <w:tcPr>
            <w:tcW w:w="1138" w:type="dxa"/>
            <w:vAlign w:val="center"/>
          </w:tcPr>
          <w:p w14:paraId="33CADD2E"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2</w:t>
            </w:r>
          </w:p>
        </w:tc>
        <w:tc>
          <w:tcPr>
            <w:tcW w:w="1134" w:type="dxa"/>
            <w:vAlign w:val="center"/>
          </w:tcPr>
          <w:p w14:paraId="08940C6D"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2</w:t>
            </w:r>
          </w:p>
        </w:tc>
        <w:tc>
          <w:tcPr>
            <w:tcW w:w="1129" w:type="dxa"/>
            <w:vAlign w:val="center"/>
          </w:tcPr>
          <w:p w14:paraId="32AD557D"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2</w:t>
            </w:r>
          </w:p>
        </w:tc>
        <w:tc>
          <w:tcPr>
            <w:tcW w:w="1129" w:type="dxa"/>
            <w:vAlign w:val="center"/>
          </w:tcPr>
          <w:p w14:paraId="3EB57679" w14:textId="77777777" w:rsidR="00852466" w:rsidRPr="00146F1D" w:rsidRDefault="00852466">
            <w:pPr>
              <w:pStyle w:val="TableText0"/>
              <w:keepNext w:val="0"/>
            </w:pPr>
            <w:r>
              <w:t xml:space="preserve">RPBS: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2</w:t>
            </w:r>
          </w:p>
        </w:tc>
      </w:tr>
      <w:tr w:rsidR="00852466" w14:paraId="7B427759" w14:textId="77777777">
        <w:trPr>
          <w:trHeight w:val="458"/>
        </w:trPr>
        <w:tc>
          <w:tcPr>
            <w:tcW w:w="2233" w:type="dxa"/>
            <w:vMerge w:val="restart"/>
            <w:vAlign w:val="center"/>
          </w:tcPr>
          <w:p w14:paraId="4F2EE2CC" w14:textId="77777777" w:rsidR="00852466" w:rsidRPr="00C44BC1" w:rsidRDefault="00852466">
            <w:pPr>
              <w:pStyle w:val="TableText0"/>
              <w:keepNext w:val="0"/>
            </w:pPr>
            <w:r w:rsidRPr="008810AA">
              <w:t>Adalimumab (Private) 20</w:t>
            </w:r>
            <w:r>
              <w:t> </w:t>
            </w:r>
            <w:r w:rsidRPr="008810AA">
              <w:t>mg/0.2 mL injection, 2 x 0.2 mL syringes - Continuing</w:t>
            </w:r>
          </w:p>
        </w:tc>
        <w:tc>
          <w:tcPr>
            <w:tcW w:w="1129" w:type="dxa"/>
            <w:vAlign w:val="center"/>
          </w:tcPr>
          <w:p w14:paraId="54BF7B75"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1</w:t>
            </w:r>
            <w:r w:rsidRPr="008810AA">
              <w:t xml:space="preserve"> </w:t>
            </w:r>
          </w:p>
        </w:tc>
        <w:tc>
          <w:tcPr>
            <w:tcW w:w="1129" w:type="dxa"/>
            <w:vAlign w:val="center"/>
          </w:tcPr>
          <w:p w14:paraId="50F01F0E"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1</w:t>
            </w:r>
            <w:r w:rsidRPr="008810AA">
              <w:t xml:space="preserve"> </w:t>
            </w:r>
          </w:p>
        </w:tc>
        <w:tc>
          <w:tcPr>
            <w:tcW w:w="1138" w:type="dxa"/>
            <w:vAlign w:val="center"/>
          </w:tcPr>
          <w:p w14:paraId="26E436FA"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1</w:t>
            </w:r>
            <w:r w:rsidRPr="008810AA">
              <w:t xml:space="preserve"> </w:t>
            </w:r>
          </w:p>
        </w:tc>
        <w:tc>
          <w:tcPr>
            <w:tcW w:w="1134" w:type="dxa"/>
            <w:vAlign w:val="center"/>
          </w:tcPr>
          <w:p w14:paraId="1C1DD4F6"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1</w:t>
            </w:r>
            <w:r w:rsidRPr="008810AA">
              <w:t xml:space="preserve"> </w:t>
            </w:r>
          </w:p>
        </w:tc>
        <w:tc>
          <w:tcPr>
            <w:tcW w:w="1129" w:type="dxa"/>
            <w:vAlign w:val="center"/>
          </w:tcPr>
          <w:p w14:paraId="3F7FA76D"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1</w:t>
            </w:r>
            <w:r w:rsidRPr="008810AA">
              <w:t xml:space="preserve"> </w:t>
            </w:r>
          </w:p>
        </w:tc>
        <w:tc>
          <w:tcPr>
            <w:tcW w:w="1129" w:type="dxa"/>
            <w:vAlign w:val="center"/>
          </w:tcPr>
          <w:p w14:paraId="1F46D412"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1</w:t>
            </w:r>
            <w:r w:rsidRPr="008810AA">
              <w:t xml:space="preserve"> </w:t>
            </w:r>
          </w:p>
        </w:tc>
      </w:tr>
      <w:tr w:rsidR="00852466" w14:paraId="54CC97E5" w14:textId="77777777">
        <w:trPr>
          <w:trHeight w:val="457"/>
        </w:trPr>
        <w:tc>
          <w:tcPr>
            <w:tcW w:w="2233" w:type="dxa"/>
            <w:vMerge/>
            <w:vAlign w:val="center"/>
          </w:tcPr>
          <w:p w14:paraId="3FE9961B" w14:textId="77777777" w:rsidR="00852466" w:rsidRPr="0073495F" w:rsidRDefault="00852466">
            <w:pPr>
              <w:pStyle w:val="TableText0"/>
              <w:keepNext w:val="0"/>
            </w:pPr>
          </w:p>
        </w:tc>
        <w:tc>
          <w:tcPr>
            <w:tcW w:w="1129" w:type="dxa"/>
            <w:vAlign w:val="center"/>
          </w:tcPr>
          <w:p w14:paraId="7F305E8D"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2</w:t>
            </w:r>
          </w:p>
        </w:tc>
        <w:tc>
          <w:tcPr>
            <w:tcW w:w="1129" w:type="dxa"/>
            <w:vAlign w:val="center"/>
          </w:tcPr>
          <w:p w14:paraId="7DA831C4"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2</w:t>
            </w:r>
          </w:p>
        </w:tc>
        <w:tc>
          <w:tcPr>
            <w:tcW w:w="1138" w:type="dxa"/>
            <w:vAlign w:val="center"/>
          </w:tcPr>
          <w:p w14:paraId="388A37CC"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2</w:t>
            </w:r>
          </w:p>
        </w:tc>
        <w:tc>
          <w:tcPr>
            <w:tcW w:w="1134" w:type="dxa"/>
            <w:vAlign w:val="center"/>
          </w:tcPr>
          <w:p w14:paraId="298B4FDF"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2</w:t>
            </w:r>
          </w:p>
        </w:tc>
        <w:tc>
          <w:tcPr>
            <w:tcW w:w="1129" w:type="dxa"/>
            <w:vAlign w:val="center"/>
          </w:tcPr>
          <w:p w14:paraId="6083F1C8"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2</w:t>
            </w:r>
          </w:p>
        </w:tc>
        <w:tc>
          <w:tcPr>
            <w:tcW w:w="1129" w:type="dxa"/>
            <w:vAlign w:val="center"/>
          </w:tcPr>
          <w:p w14:paraId="40DF6258" w14:textId="77777777" w:rsidR="00852466" w:rsidRPr="0073495F" w:rsidRDefault="00852466">
            <w:pPr>
              <w:pStyle w:val="TableText0"/>
              <w:keepNext w:val="0"/>
            </w:pPr>
            <w:r>
              <w:t xml:space="preserve">RPBS: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2</w:t>
            </w:r>
          </w:p>
        </w:tc>
      </w:tr>
      <w:tr w:rsidR="00852466" w14:paraId="4F38B7C1" w14:textId="77777777">
        <w:trPr>
          <w:trHeight w:val="575"/>
        </w:trPr>
        <w:tc>
          <w:tcPr>
            <w:tcW w:w="2233" w:type="dxa"/>
            <w:vMerge w:val="restart"/>
            <w:vAlign w:val="center"/>
          </w:tcPr>
          <w:p w14:paraId="47EC026F" w14:textId="77777777" w:rsidR="00852466" w:rsidRPr="00C44BC1" w:rsidRDefault="00852466">
            <w:pPr>
              <w:pStyle w:val="TableText0"/>
              <w:keepNext w:val="0"/>
            </w:pPr>
            <w:r w:rsidRPr="008810AA">
              <w:t>Adalimumab (public) 40</w:t>
            </w:r>
            <w:r>
              <w:t> </w:t>
            </w:r>
            <w:r w:rsidRPr="008810AA">
              <w:t>mg/0.4 mL injection, 2 x 0.4 mL pen devices &amp; syringes - Continuing</w:t>
            </w:r>
          </w:p>
        </w:tc>
        <w:tc>
          <w:tcPr>
            <w:tcW w:w="1129" w:type="dxa"/>
            <w:vAlign w:val="center"/>
          </w:tcPr>
          <w:p w14:paraId="442638C9"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095D5668"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3</w:t>
            </w:r>
            <w:r w:rsidRPr="008810AA">
              <w:t xml:space="preserve"> </w:t>
            </w:r>
          </w:p>
        </w:tc>
        <w:tc>
          <w:tcPr>
            <w:tcW w:w="1138" w:type="dxa"/>
            <w:vAlign w:val="center"/>
          </w:tcPr>
          <w:p w14:paraId="5CC89006"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3</w:t>
            </w:r>
            <w:r w:rsidRPr="008810AA">
              <w:t xml:space="preserve"> </w:t>
            </w:r>
          </w:p>
        </w:tc>
        <w:tc>
          <w:tcPr>
            <w:tcW w:w="1134" w:type="dxa"/>
            <w:vAlign w:val="center"/>
          </w:tcPr>
          <w:p w14:paraId="154A1185"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558EDEE7"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650A179C" w14:textId="77777777" w:rsidR="00852466" w:rsidRPr="00C44BC1" w:rsidRDefault="00852466">
            <w:pPr>
              <w:pStyle w:val="TableText0"/>
              <w:keepNext w:val="0"/>
            </w:pPr>
            <w:r>
              <w:t xml:space="preserve">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3</w:t>
            </w:r>
            <w:r w:rsidRPr="008810AA">
              <w:t xml:space="preserve"> </w:t>
            </w:r>
          </w:p>
        </w:tc>
      </w:tr>
      <w:tr w:rsidR="00852466" w14:paraId="54288D6B" w14:textId="77777777">
        <w:trPr>
          <w:trHeight w:val="575"/>
        </w:trPr>
        <w:tc>
          <w:tcPr>
            <w:tcW w:w="2233" w:type="dxa"/>
            <w:vMerge/>
            <w:vAlign w:val="center"/>
          </w:tcPr>
          <w:p w14:paraId="4DEE3929" w14:textId="77777777" w:rsidR="00852466" w:rsidRPr="00FB34C0" w:rsidRDefault="00852466">
            <w:pPr>
              <w:pStyle w:val="TableText0"/>
              <w:keepNext w:val="0"/>
            </w:pPr>
          </w:p>
        </w:tc>
        <w:tc>
          <w:tcPr>
            <w:tcW w:w="1129" w:type="dxa"/>
            <w:vAlign w:val="center"/>
          </w:tcPr>
          <w:p w14:paraId="4713AFC3"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2</w:t>
            </w:r>
          </w:p>
        </w:tc>
        <w:tc>
          <w:tcPr>
            <w:tcW w:w="1129" w:type="dxa"/>
            <w:vAlign w:val="center"/>
          </w:tcPr>
          <w:p w14:paraId="594AABD2"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2</w:t>
            </w:r>
          </w:p>
        </w:tc>
        <w:tc>
          <w:tcPr>
            <w:tcW w:w="1138" w:type="dxa"/>
            <w:vAlign w:val="center"/>
          </w:tcPr>
          <w:p w14:paraId="20AE8B48"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2</w:t>
            </w:r>
          </w:p>
        </w:tc>
        <w:tc>
          <w:tcPr>
            <w:tcW w:w="1134" w:type="dxa"/>
            <w:vAlign w:val="center"/>
          </w:tcPr>
          <w:p w14:paraId="63220386"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2</w:t>
            </w:r>
          </w:p>
        </w:tc>
        <w:tc>
          <w:tcPr>
            <w:tcW w:w="1129" w:type="dxa"/>
            <w:vAlign w:val="center"/>
          </w:tcPr>
          <w:p w14:paraId="2AEE18A1"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2</w:t>
            </w:r>
          </w:p>
        </w:tc>
        <w:tc>
          <w:tcPr>
            <w:tcW w:w="1129" w:type="dxa"/>
            <w:vAlign w:val="center"/>
          </w:tcPr>
          <w:p w14:paraId="0B339004"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2</w:t>
            </w:r>
          </w:p>
        </w:tc>
      </w:tr>
      <w:tr w:rsidR="00852466" w14:paraId="543F4D79" w14:textId="77777777">
        <w:trPr>
          <w:trHeight w:val="575"/>
        </w:trPr>
        <w:tc>
          <w:tcPr>
            <w:tcW w:w="2233" w:type="dxa"/>
            <w:vMerge w:val="restart"/>
            <w:vAlign w:val="center"/>
          </w:tcPr>
          <w:p w14:paraId="32C622E8" w14:textId="77777777" w:rsidR="00852466" w:rsidRPr="004F4854" w:rsidRDefault="00852466">
            <w:pPr>
              <w:pStyle w:val="TableText0"/>
              <w:keepNext w:val="0"/>
            </w:pPr>
            <w:r w:rsidRPr="008810AA">
              <w:t>Adalimumab (Private) 40</w:t>
            </w:r>
            <w:r>
              <w:t> </w:t>
            </w:r>
            <w:r w:rsidRPr="008810AA">
              <w:t>mg/0.4 mL injection, 2 x 0.4 mL pen devices &amp; syringes - Continuing</w:t>
            </w:r>
          </w:p>
        </w:tc>
        <w:tc>
          <w:tcPr>
            <w:tcW w:w="1129" w:type="dxa"/>
            <w:vAlign w:val="center"/>
          </w:tcPr>
          <w:p w14:paraId="7635DA5F"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0B076248"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3</w:t>
            </w:r>
            <w:r w:rsidRPr="008810AA">
              <w:t xml:space="preserve"> </w:t>
            </w:r>
          </w:p>
        </w:tc>
        <w:tc>
          <w:tcPr>
            <w:tcW w:w="1138" w:type="dxa"/>
            <w:vAlign w:val="center"/>
          </w:tcPr>
          <w:p w14:paraId="355209B2"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3</w:t>
            </w:r>
            <w:r w:rsidRPr="008810AA">
              <w:t xml:space="preserve"> </w:t>
            </w:r>
          </w:p>
        </w:tc>
        <w:tc>
          <w:tcPr>
            <w:tcW w:w="1134" w:type="dxa"/>
            <w:vAlign w:val="center"/>
          </w:tcPr>
          <w:p w14:paraId="274ACB94"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7B70C567"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3051FC0D" w14:textId="77777777" w:rsidR="00852466" w:rsidRPr="004F4854" w:rsidRDefault="00852466">
            <w:pPr>
              <w:pStyle w:val="TableText0"/>
              <w:keepNext w:val="0"/>
            </w:pPr>
            <w:r>
              <w:t xml:space="preserve">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3</w:t>
            </w:r>
            <w:r w:rsidRPr="008810AA">
              <w:t xml:space="preserve"> </w:t>
            </w:r>
          </w:p>
        </w:tc>
      </w:tr>
      <w:tr w:rsidR="00852466" w14:paraId="00F61CEA" w14:textId="77777777">
        <w:trPr>
          <w:trHeight w:val="575"/>
        </w:trPr>
        <w:tc>
          <w:tcPr>
            <w:tcW w:w="2233" w:type="dxa"/>
            <w:vMerge/>
            <w:vAlign w:val="center"/>
          </w:tcPr>
          <w:p w14:paraId="1B8BF121" w14:textId="77777777" w:rsidR="00852466" w:rsidRPr="00247829" w:rsidRDefault="00852466">
            <w:pPr>
              <w:pStyle w:val="TableText0"/>
              <w:keepNext w:val="0"/>
            </w:pPr>
          </w:p>
        </w:tc>
        <w:tc>
          <w:tcPr>
            <w:tcW w:w="1129" w:type="dxa"/>
            <w:vAlign w:val="center"/>
          </w:tcPr>
          <w:p w14:paraId="62AE2E1E"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2</w:t>
            </w:r>
          </w:p>
        </w:tc>
        <w:tc>
          <w:tcPr>
            <w:tcW w:w="1129" w:type="dxa"/>
            <w:vAlign w:val="center"/>
          </w:tcPr>
          <w:p w14:paraId="4F2C1867"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2</w:t>
            </w:r>
          </w:p>
        </w:tc>
        <w:tc>
          <w:tcPr>
            <w:tcW w:w="1138" w:type="dxa"/>
            <w:vAlign w:val="center"/>
          </w:tcPr>
          <w:p w14:paraId="69B109A6"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2</w:t>
            </w:r>
          </w:p>
        </w:tc>
        <w:tc>
          <w:tcPr>
            <w:tcW w:w="1134" w:type="dxa"/>
            <w:vAlign w:val="center"/>
          </w:tcPr>
          <w:p w14:paraId="47CC042A"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2</w:t>
            </w:r>
          </w:p>
        </w:tc>
        <w:tc>
          <w:tcPr>
            <w:tcW w:w="1129" w:type="dxa"/>
            <w:vAlign w:val="center"/>
          </w:tcPr>
          <w:p w14:paraId="78C89772"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2</w:t>
            </w:r>
          </w:p>
        </w:tc>
        <w:tc>
          <w:tcPr>
            <w:tcW w:w="1129" w:type="dxa"/>
            <w:vAlign w:val="center"/>
          </w:tcPr>
          <w:p w14:paraId="4266E899"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2</w:t>
            </w:r>
          </w:p>
        </w:tc>
      </w:tr>
      <w:tr w:rsidR="00852466" w14:paraId="0D95AD75" w14:textId="77777777">
        <w:tc>
          <w:tcPr>
            <w:tcW w:w="2233" w:type="dxa"/>
          </w:tcPr>
          <w:p w14:paraId="7CBFDCA0" w14:textId="77777777" w:rsidR="00852466" w:rsidRPr="00725DC5" w:rsidRDefault="00852466">
            <w:pPr>
              <w:pStyle w:val="TableText0"/>
              <w:keepNext w:val="0"/>
            </w:pPr>
            <w:r>
              <w:t>Total</w:t>
            </w:r>
          </w:p>
        </w:tc>
        <w:tc>
          <w:tcPr>
            <w:tcW w:w="1129" w:type="dxa"/>
            <w:vAlign w:val="center"/>
          </w:tcPr>
          <w:p w14:paraId="677FD8FD" w14:textId="77777777" w:rsidR="00852466" w:rsidRPr="0000255A" w:rsidRDefault="00852466">
            <w:pPr>
              <w:pStyle w:val="TableText0"/>
              <w:keepNext w:val="0"/>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4</w:t>
            </w:r>
            <w:r w:rsidRPr="008810AA">
              <w:t xml:space="preserve"> </w:t>
            </w:r>
          </w:p>
        </w:tc>
        <w:tc>
          <w:tcPr>
            <w:tcW w:w="1129" w:type="dxa"/>
            <w:vAlign w:val="center"/>
          </w:tcPr>
          <w:p w14:paraId="2EB458D3" w14:textId="77777777" w:rsidR="00852466" w:rsidRPr="0000255A" w:rsidRDefault="00852466">
            <w:pPr>
              <w:pStyle w:val="TableText0"/>
              <w:keepNext w:val="0"/>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4</w:t>
            </w:r>
            <w:r w:rsidRPr="008810AA">
              <w:t xml:space="preserve"> </w:t>
            </w:r>
          </w:p>
        </w:tc>
        <w:tc>
          <w:tcPr>
            <w:tcW w:w="1138" w:type="dxa"/>
            <w:vAlign w:val="center"/>
          </w:tcPr>
          <w:p w14:paraId="57C0543E" w14:textId="77777777" w:rsidR="00852466" w:rsidRPr="0000255A" w:rsidRDefault="00852466">
            <w:pPr>
              <w:pStyle w:val="TableText0"/>
              <w:keepNext w:val="0"/>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4</w:t>
            </w:r>
            <w:r w:rsidRPr="008810AA">
              <w:t xml:space="preserve"> </w:t>
            </w:r>
          </w:p>
        </w:tc>
        <w:tc>
          <w:tcPr>
            <w:tcW w:w="1134" w:type="dxa"/>
            <w:vAlign w:val="center"/>
          </w:tcPr>
          <w:p w14:paraId="086CB434" w14:textId="77777777" w:rsidR="00852466" w:rsidRPr="0000255A" w:rsidRDefault="00852466">
            <w:pPr>
              <w:pStyle w:val="TableText0"/>
              <w:keepNext w:val="0"/>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4</w:t>
            </w:r>
            <w:r w:rsidRPr="008810AA">
              <w:t xml:space="preserve"> </w:t>
            </w:r>
          </w:p>
        </w:tc>
        <w:tc>
          <w:tcPr>
            <w:tcW w:w="1129" w:type="dxa"/>
            <w:vAlign w:val="center"/>
          </w:tcPr>
          <w:p w14:paraId="4D49F506" w14:textId="77777777" w:rsidR="00852466" w:rsidRPr="0000255A" w:rsidRDefault="00852466">
            <w:pPr>
              <w:pStyle w:val="TableText0"/>
              <w:keepNext w:val="0"/>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4</w:t>
            </w:r>
            <w:r w:rsidRPr="008810AA">
              <w:t xml:space="preserve"> </w:t>
            </w:r>
          </w:p>
        </w:tc>
        <w:tc>
          <w:tcPr>
            <w:tcW w:w="1129" w:type="dxa"/>
            <w:vAlign w:val="center"/>
          </w:tcPr>
          <w:p w14:paraId="2949C19F" w14:textId="77777777" w:rsidR="00852466" w:rsidRPr="0000255A" w:rsidRDefault="00852466">
            <w:pPr>
              <w:pStyle w:val="TableText0"/>
              <w:keepNext w:val="0"/>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4</w:t>
            </w:r>
            <w:r w:rsidRPr="008810AA">
              <w:t xml:space="preserve"> </w:t>
            </w:r>
          </w:p>
        </w:tc>
      </w:tr>
      <w:tr w:rsidR="00852466" w14:paraId="30EB6A52" w14:textId="77777777">
        <w:tc>
          <w:tcPr>
            <w:tcW w:w="9021" w:type="dxa"/>
            <w:gridSpan w:val="7"/>
          </w:tcPr>
          <w:p w14:paraId="422C19ED" w14:textId="77777777" w:rsidR="00852466" w:rsidRPr="00EE4A69" w:rsidRDefault="00852466">
            <w:pPr>
              <w:pStyle w:val="TableText0"/>
              <w:keepNext w:val="0"/>
            </w:pPr>
            <w:r w:rsidRPr="00EE4A69">
              <w:t>Estimated financial implications</w:t>
            </w:r>
          </w:p>
        </w:tc>
      </w:tr>
      <w:tr w:rsidR="00852466" w14:paraId="756E29FA" w14:textId="77777777">
        <w:tc>
          <w:tcPr>
            <w:tcW w:w="2233" w:type="dxa"/>
          </w:tcPr>
          <w:p w14:paraId="525AA1BB" w14:textId="77777777" w:rsidR="00852466" w:rsidRPr="00166DCB" w:rsidRDefault="00852466">
            <w:pPr>
              <w:pStyle w:val="TableText0"/>
              <w:keepNext w:val="0"/>
            </w:pPr>
            <w:r w:rsidRPr="00166DCB">
              <w:t xml:space="preserve">Net Cost to PBS/RPBS </w:t>
            </w:r>
          </w:p>
        </w:tc>
        <w:tc>
          <w:tcPr>
            <w:tcW w:w="1129" w:type="dxa"/>
            <w:vAlign w:val="center"/>
          </w:tcPr>
          <w:p w14:paraId="79FB69E2" w14:textId="77777777" w:rsidR="00852466" w:rsidRPr="00E159A8" w:rsidRDefault="00852466">
            <w:pPr>
              <w:pStyle w:val="TableText0"/>
              <w:keepNext w:val="0"/>
              <w:rPr>
                <w:bCs w:val="0"/>
                <w:vertAlign w:val="superscript"/>
              </w:rPr>
            </w:pPr>
            <w:r w:rsidRPr="008810AA">
              <w:t>$</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5</w:t>
            </w:r>
          </w:p>
        </w:tc>
        <w:tc>
          <w:tcPr>
            <w:tcW w:w="1129" w:type="dxa"/>
            <w:vAlign w:val="center"/>
          </w:tcPr>
          <w:p w14:paraId="3D19F2F8" w14:textId="77777777" w:rsidR="00852466" w:rsidRPr="00D25A3C" w:rsidRDefault="00852466">
            <w:pPr>
              <w:pStyle w:val="TableText0"/>
              <w:keepNext w:val="0"/>
            </w:pPr>
            <w:r w:rsidRPr="008810AA">
              <w:t>$</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5</w:t>
            </w:r>
          </w:p>
        </w:tc>
        <w:tc>
          <w:tcPr>
            <w:tcW w:w="1138" w:type="dxa"/>
            <w:vAlign w:val="center"/>
          </w:tcPr>
          <w:p w14:paraId="278AF547" w14:textId="77777777" w:rsidR="00852466" w:rsidRPr="00D25A3C" w:rsidRDefault="00852466">
            <w:pPr>
              <w:pStyle w:val="TableText0"/>
              <w:keepNext w:val="0"/>
            </w:pPr>
            <w:r w:rsidRPr="008810AA">
              <w:t>$</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5</w:t>
            </w:r>
          </w:p>
        </w:tc>
        <w:tc>
          <w:tcPr>
            <w:tcW w:w="1134" w:type="dxa"/>
            <w:vAlign w:val="center"/>
          </w:tcPr>
          <w:p w14:paraId="18F06ED3" w14:textId="77777777" w:rsidR="00852466" w:rsidRPr="00D25A3C" w:rsidRDefault="00852466">
            <w:pPr>
              <w:pStyle w:val="TableText0"/>
              <w:keepNext w:val="0"/>
            </w:pPr>
            <w:r w:rsidRPr="008810AA">
              <w:t>$</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5</w:t>
            </w:r>
          </w:p>
        </w:tc>
        <w:tc>
          <w:tcPr>
            <w:tcW w:w="1129" w:type="dxa"/>
            <w:vAlign w:val="center"/>
          </w:tcPr>
          <w:p w14:paraId="5AD859CF" w14:textId="77777777" w:rsidR="00852466" w:rsidRPr="00D25A3C" w:rsidRDefault="00852466">
            <w:pPr>
              <w:pStyle w:val="TableText0"/>
              <w:keepNext w:val="0"/>
            </w:pPr>
            <w:r w:rsidRPr="008810AA">
              <w:t>$</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5</w:t>
            </w:r>
          </w:p>
        </w:tc>
        <w:tc>
          <w:tcPr>
            <w:tcW w:w="1129" w:type="dxa"/>
            <w:vAlign w:val="center"/>
          </w:tcPr>
          <w:p w14:paraId="38FA4D24" w14:textId="77777777" w:rsidR="00852466" w:rsidRPr="00D25A3C" w:rsidRDefault="00852466">
            <w:pPr>
              <w:pStyle w:val="TableText0"/>
              <w:keepNext w:val="0"/>
            </w:pPr>
            <w:r w:rsidRPr="008810AA">
              <w:t>$</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5</w:t>
            </w:r>
          </w:p>
        </w:tc>
      </w:tr>
    </w:tbl>
    <w:p w14:paraId="1E4D5C1A" w14:textId="77777777" w:rsidR="00852466" w:rsidRPr="00917508" w:rsidRDefault="00852466" w:rsidP="00852466">
      <w:pPr>
        <w:pStyle w:val="TableFigureFooter"/>
      </w:pPr>
      <w:r w:rsidRPr="00917508">
        <w:t>PBS = Pharmaceutical Benefits Scheme; RPBS = Repatriation Pharmaceutical Benefits Scheme</w:t>
      </w:r>
    </w:p>
    <w:p w14:paraId="18D303BA" w14:textId="77777777" w:rsidR="00852466" w:rsidRDefault="00852466" w:rsidP="00852466">
      <w:pPr>
        <w:pStyle w:val="TableFigureFooter"/>
      </w:pPr>
      <w:r w:rsidRPr="00E159A8">
        <w:t>The redacted values correspond to the following ranges:</w:t>
      </w:r>
    </w:p>
    <w:p w14:paraId="7242A579" w14:textId="77777777" w:rsidR="00852466" w:rsidRPr="00E159A8" w:rsidRDefault="00852466" w:rsidP="00852466">
      <w:pPr>
        <w:pStyle w:val="TableFigureFooter"/>
      </w:pPr>
      <w:r w:rsidRPr="00E159A8">
        <w:rPr>
          <w:vertAlign w:val="superscript"/>
        </w:rPr>
        <w:t>1</w:t>
      </w:r>
      <w:r w:rsidRPr="00E159A8">
        <w:t xml:space="preserve"> 500 to &lt; 5,000</w:t>
      </w:r>
    </w:p>
    <w:p w14:paraId="01D307ED" w14:textId="77777777" w:rsidR="00852466" w:rsidRPr="00E159A8" w:rsidRDefault="00852466" w:rsidP="00852466">
      <w:pPr>
        <w:pStyle w:val="TableFigureFooter"/>
      </w:pPr>
      <w:r w:rsidRPr="00E159A8">
        <w:rPr>
          <w:vertAlign w:val="superscript"/>
        </w:rPr>
        <w:t>2</w:t>
      </w:r>
      <w:r w:rsidRPr="00E159A8">
        <w:t xml:space="preserve"> &lt; 500</w:t>
      </w:r>
    </w:p>
    <w:p w14:paraId="17E3B10B" w14:textId="77777777" w:rsidR="00852466" w:rsidRPr="00E159A8" w:rsidRDefault="00852466" w:rsidP="00852466">
      <w:pPr>
        <w:pStyle w:val="TableFigureFooter"/>
      </w:pPr>
      <w:r w:rsidRPr="00E159A8">
        <w:rPr>
          <w:vertAlign w:val="superscript"/>
        </w:rPr>
        <w:t>3</w:t>
      </w:r>
      <w:r w:rsidRPr="00E159A8">
        <w:t xml:space="preserve"> </w:t>
      </w:r>
      <w:bookmarkStart w:id="7" w:name="_Hlk113629206"/>
      <w:r w:rsidRPr="00E159A8">
        <w:t>5,000 to &lt; 10,000</w:t>
      </w:r>
      <w:bookmarkEnd w:id="7"/>
    </w:p>
    <w:p w14:paraId="150BB157" w14:textId="77777777" w:rsidR="00852466" w:rsidRPr="00E159A8" w:rsidRDefault="00852466" w:rsidP="00852466">
      <w:pPr>
        <w:pStyle w:val="TableFigureFooter"/>
      </w:pPr>
      <w:r w:rsidRPr="00E159A8">
        <w:rPr>
          <w:vertAlign w:val="superscript"/>
        </w:rPr>
        <w:t>4</w:t>
      </w:r>
      <w:r w:rsidRPr="00E159A8">
        <w:t xml:space="preserve"> 20,000 to &lt; 30,000</w:t>
      </w:r>
    </w:p>
    <w:p w14:paraId="7C9F25E0" w14:textId="77777777" w:rsidR="00852466" w:rsidRPr="00917508" w:rsidRDefault="00852466" w:rsidP="00852466">
      <w:pPr>
        <w:pStyle w:val="TableFigureFooter"/>
      </w:pPr>
      <w:r w:rsidRPr="00E159A8">
        <w:rPr>
          <w:vertAlign w:val="superscript"/>
        </w:rPr>
        <w:t>5</w:t>
      </w:r>
      <w:r w:rsidRPr="00E159A8">
        <w:t xml:space="preserve"> $10 million to &lt; $20 million</w:t>
      </w:r>
    </w:p>
    <w:p w14:paraId="007D0953" w14:textId="77777777" w:rsidR="00852466" w:rsidRPr="003E73D3" w:rsidRDefault="00852466" w:rsidP="00852466">
      <w:pPr>
        <w:pStyle w:val="TableFigureHeading"/>
        <w:keepNext w:val="0"/>
      </w:pPr>
      <w:r w:rsidRPr="003E73D3">
        <w:t xml:space="preserve">Table </w:t>
      </w:r>
      <w:r>
        <w:t>21:</w:t>
      </w:r>
      <w:r w:rsidRPr="003E73D3">
        <w:t xml:space="preserve"> </w:t>
      </w:r>
      <w:r w:rsidRPr="00DC52F0">
        <w:t>Financial estimates</w:t>
      </w:r>
      <w:r w:rsidRPr="003E73D3">
        <w:t xml:space="preserve"> – adalimumab – </w:t>
      </w:r>
      <w:r>
        <w:t>severe active JIA (prevalence of 1 in 1,000 patients, 22% treated population)</w:t>
      </w:r>
    </w:p>
    <w:tbl>
      <w:tblPr>
        <w:tblStyle w:val="TableGrid"/>
        <w:tblW w:w="0" w:type="auto"/>
        <w:tblInd w:w="-5" w:type="dxa"/>
        <w:tblLook w:val="04A0" w:firstRow="1" w:lastRow="0" w:firstColumn="1" w:lastColumn="0" w:noHBand="0" w:noVBand="1"/>
        <w:tblCaption w:val="Financial estimates – adalimumab – severe active JIA (prevalence of 1 in 1,000 patients, 22% treated population)"/>
      </w:tblPr>
      <w:tblGrid>
        <w:gridCol w:w="2167"/>
        <w:gridCol w:w="1129"/>
        <w:gridCol w:w="1129"/>
        <w:gridCol w:w="1178"/>
        <w:gridCol w:w="1129"/>
        <w:gridCol w:w="1129"/>
        <w:gridCol w:w="1160"/>
      </w:tblGrid>
      <w:tr w:rsidR="00852466" w14:paraId="2920B6EB" w14:textId="77777777">
        <w:tc>
          <w:tcPr>
            <w:tcW w:w="2167" w:type="dxa"/>
          </w:tcPr>
          <w:p w14:paraId="57DB6DDF" w14:textId="77777777" w:rsidR="00852466" w:rsidRPr="00725DC5" w:rsidRDefault="00852466">
            <w:pPr>
              <w:pStyle w:val="TableText0"/>
              <w:keepNext w:val="0"/>
            </w:pPr>
          </w:p>
        </w:tc>
        <w:tc>
          <w:tcPr>
            <w:tcW w:w="1129" w:type="dxa"/>
          </w:tcPr>
          <w:p w14:paraId="1812F11C" w14:textId="77777777" w:rsidR="00852466" w:rsidRPr="00E3305C" w:rsidRDefault="00852466">
            <w:pPr>
              <w:pStyle w:val="TableText0"/>
              <w:keepNext w:val="0"/>
            </w:pPr>
            <w:r w:rsidRPr="00E3305C">
              <w:t>Year 1 (2025)</w:t>
            </w:r>
          </w:p>
        </w:tc>
        <w:tc>
          <w:tcPr>
            <w:tcW w:w="1129" w:type="dxa"/>
          </w:tcPr>
          <w:p w14:paraId="29B89019" w14:textId="77777777" w:rsidR="00852466" w:rsidRPr="00E3305C" w:rsidRDefault="00852466">
            <w:pPr>
              <w:pStyle w:val="TableText0"/>
              <w:keepNext w:val="0"/>
            </w:pPr>
            <w:r w:rsidRPr="00E3305C">
              <w:t>Year 2 (2026)</w:t>
            </w:r>
          </w:p>
        </w:tc>
        <w:tc>
          <w:tcPr>
            <w:tcW w:w="1178" w:type="dxa"/>
          </w:tcPr>
          <w:p w14:paraId="287CC927" w14:textId="77777777" w:rsidR="00852466" w:rsidRPr="00E3305C" w:rsidRDefault="00852466">
            <w:pPr>
              <w:pStyle w:val="TableText0"/>
              <w:keepNext w:val="0"/>
            </w:pPr>
            <w:r w:rsidRPr="00E3305C">
              <w:t>Year 3 (2027)</w:t>
            </w:r>
          </w:p>
        </w:tc>
        <w:tc>
          <w:tcPr>
            <w:tcW w:w="1129" w:type="dxa"/>
          </w:tcPr>
          <w:p w14:paraId="563DAE3D" w14:textId="77777777" w:rsidR="00852466" w:rsidRPr="00E3305C" w:rsidRDefault="00852466">
            <w:pPr>
              <w:pStyle w:val="TableText0"/>
              <w:keepNext w:val="0"/>
            </w:pPr>
            <w:r w:rsidRPr="00E3305C">
              <w:t>Year 4 (2028)</w:t>
            </w:r>
          </w:p>
        </w:tc>
        <w:tc>
          <w:tcPr>
            <w:tcW w:w="1129" w:type="dxa"/>
          </w:tcPr>
          <w:p w14:paraId="17524888" w14:textId="77777777" w:rsidR="00852466" w:rsidRPr="00E3305C" w:rsidRDefault="00852466">
            <w:pPr>
              <w:pStyle w:val="TableText0"/>
              <w:keepNext w:val="0"/>
            </w:pPr>
            <w:r w:rsidRPr="00E3305C">
              <w:t>Year 5 (2029)</w:t>
            </w:r>
          </w:p>
        </w:tc>
        <w:tc>
          <w:tcPr>
            <w:tcW w:w="1160" w:type="dxa"/>
          </w:tcPr>
          <w:p w14:paraId="4AB5523C" w14:textId="77777777" w:rsidR="00852466" w:rsidRPr="00E3305C" w:rsidRDefault="00852466">
            <w:pPr>
              <w:pStyle w:val="TableText0"/>
              <w:keepNext w:val="0"/>
            </w:pPr>
            <w:r w:rsidRPr="00E3305C">
              <w:t>Year 6 (2030)</w:t>
            </w:r>
          </w:p>
        </w:tc>
      </w:tr>
      <w:tr w:rsidR="00852466" w14:paraId="558345CD" w14:textId="77777777">
        <w:tc>
          <w:tcPr>
            <w:tcW w:w="9021" w:type="dxa"/>
            <w:gridSpan w:val="7"/>
          </w:tcPr>
          <w:p w14:paraId="67161728" w14:textId="77777777" w:rsidR="00852466" w:rsidRPr="00EE4A69" w:rsidRDefault="00852466">
            <w:pPr>
              <w:pStyle w:val="TableText0"/>
              <w:keepNext w:val="0"/>
            </w:pPr>
            <w:r w:rsidRPr="00EE4A69">
              <w:t>Estimated extent of use</w:t>
            </w:r>
            <w:r>
              <w:t xml:space="preserve"> </w:t>
            </w:r>
          </w:p>
        </w:tc>
      </w:tr>
      <w:tr w:rsidR="00852466" w14:paraId="7D4FC690" w14:textId="77777777">
        <w:tc>
          <w:tcPr>
            <w:tcW w:w="9021" w:type="dxa"/>
            <w:gridSpan w:val="7"/>
          </w:tcPr>
          <w:p w14:paraId="2819B55F" w14:textId="77777777" w:rsidR="00852466" w:rsidRPr="006669C5" w:rsidRDefault="00852466">
            <w:pPr>
              <w:pStyle w:val="TableText0"/>
              <w:keepNext w:val="0"/>
            </w:pPr>
            <w:r w:rsidRPr="006669C5">
              <w:t>Number of patients treated</w:t>
            </w:r>
          </w:p>
        </w:tc>
      </w:tr>
      <w:tr w:rsidR="00852466" w14:paraId="531E74EF" w14:textId="77777777">
        <w:tc>
          <w:tcPr>
            <w:tcW w:w="2167" w:type="dxa"/>
          </w:tcPr>
          <w:p w14:paraId="78818655" w14:textId="77777777" w:rsidR="00852466" w:rsidRPr="00725DC5" w:rsidRDefault="00852466">
            <w:pPr>
              <w:pStyle w:val="TableText0"/>
              <w:keepNext w:val="0"/>
            </w:pPr>
            <w:r w:rsidRPr="006669C5">
              <w:t>Total initiating patients</w:t>
            </w:r>
          </w:p>
        </w:tc>
        <w:tc>
          <w:tcPr>
            <w:tcW w:w="1129" w:type="dxa"/>
            <w:vAlign w:val="center"/>
          </w:tcPr>
          <w:p w14:paraId="1C0B6D2F"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E159A8">
              <w:rPr>
                <w:vertAlign w:val="superscript"/>
              </w:rPr>
              <w:t>1</w:t>
            </w:r>
          </w:p>
        </w:tc>
        <w:tc>
          <w:tcPr>
            <w:tcW w:w="1129" w:type="dxa"/>
            <w:vAlign w:val="center"/>
          </w:tcPr>
          <w:p w14:paraId="7D6852C0"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1</w:t>
            </w:r>
          </w:p>
        </w:tc>
        <w:tc>
          <w:tcPr>
            <w:tcW w:w="1178" w:type="dxa"/>
            <w:vAlign w:val="center"/>
          </w:tcPr>
          <w:p w14:paraId="263B962C"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1</w:t>
            </w:r>
          </w:p>
        </w:tc>
        <w:tc>
          <w:tcPr>
            <w:tcW w:w="1129" w:type="dxa"/>
            <w:vAlign w:val="center"/>
          </w:tcPr>
          <w:p w14:paraId="56FCEABA"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1</w:t>
            </w:r>
          </w:p>
        </w:tc>
        <w:tc>
          <w:tcPr>
            <w:tcW w:w="1129" w:type="dxa"/>
            <w:vAlign w:val="center"/>
          </w:tcPr>
          <w:p w14:paraId="3FC5CC1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1</w:t>
            </w:r>
          </w:p>
        </w:tc>
        <w:tc>
          <w:tcPr>
            <w:tcW w:w="1160" w:type="dxa"/>
            <w:vAlign w:val="center"/>
          </w:tcPr>
          <w:p w14:paraId="22347FF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1</w:t>
            </w:r>
          </w:p>
        </w:tc>
      </w:tr>
      <w:tr w:rsidR="00852466" w14:paraId="37554AA5" w14:textId="77777777">
        <w:tc>
          <w:tcPr>
            <w:tcW w:w="2167" w:type="dxa"/>
          </w:tcPr>
          <w:p w14:paraId="5278C9DE" w14:textId="77777777" w:rsidR="00852466" w:rsidRPr="00725DC5" w:rsidRDefault="00852466">
            <w:pPr>
              <w:pStyle w:val="TableText0"/>
              <w:keepNext w:val="0"/>
            </w:pPr>
            <w:r w:rsidRPr="006669C5">
              <w:t>Total continuing patients</w:t>
            </w:r>
          </w:p>
        </w:tc>
        <w:tc>
          <w:tcPr>
            <w:tcW w:w="1129" w:type="dxa"/>
            <w:vAlign w:val="center"/>
          </w:tcPr>
          <w:p w14:paraId="7EE529B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1</w:t>
            </w:r>
          </w:p>
        </w:tc>
        <w:tc>
          <w:tcPr>
            <w:tcW w:w="1129" w:type="dxa"/>
            <w:vAlign w:val="center"/>
          </w:tcPr>
          <w:p w14:paraId="387DD959"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1</w:t>
            </w:r>
          </w:p>
        </w:tc>
        <w:tc>
          <w:tcPr>
            <w:tcW w:w="1178" w:type="dxa"/>
            <w:vAlign w:val="center"/>
          </w:tcPr>
          <w:p w14:paraId="4F080805"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1</w:t>
            </w:r>
          </w:p>
        </w:tc>
        <w:tc>
          <w:tcPr>
            <w:tcW w:w="1129" w:type="dxa"/>
            <w:vAlign w:val="center"/>
          </w:tcPr>
          <w:p w14:paraId="022875BF"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1</w:t>
            </w:r>
          </w:p>
        </w:tc>
        <w:tc>
          <w:tcPr>
            <w:tcW w:w="1129" w:type="dxa"/>
            <w:vAlign w:val="center"/>
          </w:tcPr>
          <w:p w14:paraId="6539D04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1</w:t>
            </w:r>
          </w:p>
        </w:tc>
        <w:tc>
          <w:tcPr>
            <w:tcW w:w="1160" w:type="dxa"/>
            <w:vAlign w:val="center"/>
          </w:tcPr>
          <w:p w14:paraId="75F79D2A"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1</w:t>
            </w:r>
          </w:p>
        </w:tc>
      </w:tr>
      <w:tr w:rsidR="00852466" w14:paraId="2B30CBD9" w14:textId="77777777">
        <w:tc>
          <w:tcPr>
            <w:tcW w:w="9021" w:type="dxa"/>
            <w:gridSpan w:val="7"/>
          </w:tcPr>
          <w:p w14:paraId="5E1D757B" w14:textId="77777777" w:rsidR="00852466" w:rsidRPr="00EE4A69" w:rsidRDefault="00852466">
            <w:pPr>
              <w:pStyle w:val="TableText0"/>
              <w:keepNext w:val="0"/>
            </w:pPr>
            <w:r w:rsidRPr="00EE4A69">
              <w:t>Number of prescriptions dispense</w:t>
            </w:r>
            <w:r>
              <w:t>d</w:t>
            </w:r>
          </w:p>
        </w:tc>
      </w:tr>
      <w:tr w:rsidR="00852466" w14:paraId="7E98656D" w14:textId="77777777">
        <w:tc>
          <w:tcPr>
            <w:tcW w:w="2167" w:type="dxa"/>
            <w:vAlign w:val="center"/>
          </w:tcPr>
          <w:p w14:paraId="0A090759" w14:textId="77777777" w:rsidR="00852466" w:rsidRPr="00C44BC1" w:rsidRDefault="00852466">
            <w:pPr>
              <w:pStyle w:val="TableText0"/>
              <w:keepNext w:val="0"/>
            </w:pPr>
            <w:r w:rsidRPr="00E7732D">
              <w:t>Adalimumab (public) 20</w:t>
            </w:r>
            <w:r>
              <w:t> </w:t>
            </w:r>
            <w:r w:rsidRPr="00E7732D">
              <w:t>mg/0.2 mL injection, 2 x 0.2 mL syringes - Initiating</w:t>
            </w:r>
          </w:p>
        </w:tc>
        <w:tc>
          <w:tcPr>
            <w:tcW w:w="1129" w:type="dxa"/>
            <w:vAlign w:val="center"/>
          </w:tcPr>
          <w:p w14:paraId="176B87B3"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E159A8">
              <w:rPr>
                <w:vertAlign w:val="superscript"/>
              </w:rPr>
              <w:t>2</w:t>
            </w:r>
          </w:p>
        </w:tc>
        <w:tc>
          <w:tcPr>
            <w:tcW w:w="1129" w:type="dxa"/>
            <w:vAlign w:val="center"/>
          </w:tcPr>
          <w:p w14:paraId="13419182"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2</w:t>
            </w:r>
          </w:p>
        </w:tc>
        <w:tc>
          <w:tcPr>
            <w:tcW w:w="1178" w:type="dxa"/>
            <w:vAlign w:val="center"/>
          </w:tcPr>
          <w:p w14:paraId="5577D389"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2</w:t>
            </w:r>
          </w:p>
        </w:tc>
        <w:tc>
          <w:tcPr>
            <w:tcW w:w="1129" w:type="dxa"/>
            <w:vAlign w:val="center"/>
          </w:tcPr>
          <w:p w14:paraId="70FB0828"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2</w:t>
            </w:r>
          </w:p>
        </w:tc>
        <w:tc>
          <w:tcPr>
            <w:tcW w:w="1129" w:type="dxa"/>
            <w:vAlign w:val="center"/>
          </w:tcPr>
          <w:p w14:paraId="6974DB1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2</w:t>
            </w:r>
          </w:p>
        </w:tc>
        <w:tc>
          <w:tcPr>
            <w:tcW w:w="1160" w:type="dxa"/>
            <w:vAlign w:val="center"/>
          </w:tcPr>
          <w:p w14:paraId="4307000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2</w:t>
            </w:r>
          </w:p>
        </w:tc>
      </w:tr>
      <w:tr w:rsidR="00852466" w14:paraId="37383E26" w14:textId="77777777">
        <w:tc>
          <w:tcPr>
            <w:tcW w:w="2167" w:type="dxa"/>
            <w:vAlign w:val="center"/>
          </w:tcPr>
          <w:p w14:paraId="37780DD8" w14:textId="77777777" w:rsidR="00852466" w:rsidRPr="00C44BC1" w:rsidRDefault="00852466">
            <w:pPr>
              <w:pStyle w:val="TableText0"/>
              <w:keepNext w:val="0"/>
            </w:pPr>
            <w:r w:rsidRPr="00E7732D">
              <w:t>Adalimumab (Private) 20</w:t>
            </w:r>
            <w:r>
              <w:t> </w:t>
            </w:r>
            <w:r w:rsidRPr="00E7732D">
              <w:t>mg/0.2 mL injection, 2 x 0.2 mL syringes - Initiating</w:t>
            </w:r>
          </w:p>
        </w:tc>
        <w:tc>
          <w:tcPr>
            <w:tcW w:w="1129" w:type="dxa"/>
            <w:vAlign w:val="center"/>
          </w:tcPr>
          <w:p w14:paraId="13B7EC11"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2</w:t>
            </w:r>
          </w:p>
        </w:tc>
        <w:tc>
          <w:tcPr>
            <w:tcW w:w="1129" w:type="dxa"/>
            <w:vAlign w:val="center"/>
          </w:tcPr>
          <w:p w14:paraId="11E7FE6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2</w:t>
            </w:r>
          </w:p>
        </w:tc>
        <w:tc>
          <w:tcPr>
            <w:tcW w:w="1178" w:type="dxa"/>
            <w:vAlign w:val="center"/>
          </w:tcPr>
          <w:p w14:paraId="0C18628F"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2</w:t>
            </w:r>
          </w:p>
        </w:tc>
        <w:tc>
          <w:tcPr>
            <w:tcW w:w="1129" w:type="dxa"/>
            <w:vAlign w:val="center"/>
          </w:tcPr>
          <w:p w14:paraId="1E89BBF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2</w:t>
            </w:r>
          </w:p>
        </w:tc>
        <w:tc>
          <w:tcPr>
            <w:tcW w:w="1129" w:type="dxa"/>
            <w:vAlign w:val="center"/>
          </w:tcPr>
          <w:p w14:paraId="24FC355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2</w:t>
            </w:r>
          </w:p>
        </w:tc>
        <w:tc>
          <w:tcPr>
            <w:tcW w:w="1160" w:type="dxa"/>
            <w:vAlign w:val="center"/>
          </w:tcPr>
          <w:p w14:paraId="7A9813B0"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2</w:t>
            </w:r>
          </w:p>
        </w:tc>
      </w:tr>
      <w:tr w:rsidR="00852466" w14:paraId="1B7DD740" w14:textId="77777777">
        <w:tc>
          <w:tcPr>
            <w:tcW w:w="2167" w:type="dxa"/>
            <w:vAlign w:val="center"/>
          </w:tcPr>
          <w:p w14:paraId="03B51159" w14:textId="77777777" w:rsidR="00852466" w:rsidRPr="00C44BC1" w:rsidRDefault="00852466">
            <w:pPr>
              <w:pStyle w:val="TableText0"/>
              <w:keepNext w:val="0"/>
            </w:pPr>
            <w:r w:rsidRPr="00E7732D">
              <w:t>Adalimumab (public) 40</w:t>
            </w:r>
            <w:r>
              <w:t> </w:t>
            </w:r>
            <w:r w:rsidRPr="00E7732D">
              <w:t>mg/0.4 mL injection, 2 x 0.4 mL pen devices &amp; syringes - Initiating</w:t>
            </w:r>
          </w:p>
        </w:tc>
        <w:tc>
          <w:tcPr>
            <w:tcW w:w="1129" w:type="dxa"/>
            <w:vAlign w:val="center"/>
          </w:tcPr>
          <w:p w14:paraId="54673921"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1</w:t>
            </w:r>
          </w:p>
        </w:tc>
        <w:tc>
          <w:tcPr>
            <w:tcW w:w="1129" w:type="dxa"/>
            <w:vAlign w:val="center"/>
          </w:tcPr>
          <w:p w14:paraId="170790D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sidRPr="007A7879">
              <w:rPr>
                <w:vertAlign w:val="superscript"/>
              </w:rPr>
              <w:t>1</w:t>
            </w:r>
          </w:p>
        </w:tc>
        <w:tc>
          <w:tcPr>
            <w:tcW w:w="1178" w:type="dxa"/>
            <w:vAlign w:val="center"/>
          </w:tcPr>
          <w:p w14:paraId="184D3B0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sidRPr="007A7879">
              <w:rPr>
                <w:vertAlign w:val="superscript"/>
              </w:rPr>
              <w:t>1</w:t>
            </w:r>
          </w:p>
        </w:tc>
        <w:tc>
          <w:tcPr>
            <w:tcW w:w="1129" w:type="dxa"/>
            <w:vAlign w:val="center"/>
          </w:tcPr>
          <w:p w14:paraId="65DDBBE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sidRPr="007A7879">
              <w:rPr>
                <w:vertAlign w:val="superscript"/>
              </w:rPr>
              <w:t>1</w:t>
            </w:r>
          </w:p>
        </w:tc>
        <w:tc>
          <w:tcPr>
            <w:tcW w:w="1129" w:type="dxa"/>
            <w:vAlign w:val="center"/>
          </w:tcPr>
          <w:p w14:paraId="067F6B23"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sidRPr="007A7879">
              <w:rPr>
                <w:vertAlign w:val="superscript"/>
              </w:rPr>
              <w:t>1</w:t>
            </w:r>
          </w:p>
        </w:tc>
        <w:tc>
          <w:tcPr>
            <w:tcW w:w="1160" w:type="dxa"/>
            <w:vAlign w:val="center"/>
          </w:tcPr>
          <w:p w14:paraId="613DD0B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sidRPr="007A7879">
              <w:rPr>
                <w:vertAlign w:val="superscript"/>
              </w:rPr>
              <w:t>1</w:t>
            </w:r>
          </w:p>
        </w:tc>
      </w:tr>
      <w:tr w:rsidR="00852466" w14:paraId="5136C6C0" w14:textId="77777777">
        <w:tc>
          <w:tcPr>
            <w:tcW w:w="2167" w:type="dxa"/>
            <w:vAlign w:val="center"/>
          </w:tcPr>
          <w:p w14:paraId="45B77E01" w14:textId="77777777" w:rsidR="00852466" w:rsidRPr="00C44BC1" w:rsidRDefault="00852466">
            <w:pPr>
              <w:pStyle w:val="TableText0"/>
              <w:keepNext w:val="0"/>
            </w:pPr>
            <w:r w:rsidRPr="00E7732D">
              <w:t>Adalimumab (Private) 40</w:t>
            </w:r>
            <w:r>
              <w:t> </w:t>
            </w:r>
            <w:r w:rsidRPr="00E7732D">
              <w:t>mg/0.4 mL injection, 2 x 0.4 mL pen devices &amp; syringes - Initiating</w:t>
            </w:r>
          </w:p>
        </w:tc>
        <w:tc>
          <w:tcPr>
            <w:tcW w:w="1129" w:type="dxa"/>
            <w:vAlign w:val="center"/>
          </w:tcPr>
          <w:p w14:paraId="2B69B858"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sidRPr="007A7879">
              <w:rPr>
                <w:vertAlign w:val="superscript"/>
              </w:rPr>
              <w:t>1</w:t>
            </w:r>
          </w:p>
        </w:tc>
        <w:tc>
          <w:tcPr>
            <w:tcW w:w="1129" w:type="dxa"/>
            <w:vAlign w:val="center"/>
          </w:tcPr>
          <w:p w14:paraId="11D1C27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1</w:t>
            </w:r>
          </w:p>
        </w:tc>
        <w:tc>
          <w:tcPr>
            <w:tcW w:w="1178" w:type="dxa"/>
            <w:vAlign w:val="center"/>
          </w:tcPr>
          <w:p w14:paraId="371F09EE"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1</w:t>
            </w:r>
            <w:r w:rsidRPr="00A46567">
              <w:t xml:space="preserve"> </w:t>
            </w:r>
          </w:p>
        </w:tc>
        <w:tc>
          <w:tcPr>
            <w:tcW w:w="1129" w:type="dxa"/>
            <w:vAlign w:val="center"/>
          </w:tcPr>
          <w:p w14:paraId="3CCCC51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1</w:t>
            </w:r>
            <w:r w:rsidRPr="00A46567">
              <w:t xml:space="preserve"> </w:t>
            </w:r>
          </w:p>
        </w:tc>
        <w:tc>
          <w:tcPr>
            <w:tcW w:w="1129" w:type="dxa"/>
            <w:vAlign w:val="center"/>
          </w:tcPr>
          <w:p w14:paraId="16B267E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1</w:t>
            </w:r>
            <w:r w:rsidRPr="00A46567">
              <w:t xml:space="preserve"> </w:t>
            </w:r>
          </w:p>
        </w:tc>
        <w:tc>
          <w:tcPr>
            <w:tcW w:w="1160" w:type="dxa"/>
            <w:vAlign w:val="center"/>
          </w:tcPr>
          <w:p w14:paraId="55484974"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1</w:t>
            </w:r>
            <w:r w:rsidRPr="00A46567">
              <w:t xml:space="preserve"> </w:t>
            </w:r>
          </w:p>
        </w:tc>
      </w:tr>
      <w:tr w:rsidR="00852466" w14:paraId="0487C875" w14:textId="77777777">
        <w:trPr>
          <w:trHeight w:val="458"/>
        </w:trPr>
        <w:tc>
          <w:tcPr>
            <w:tcW w:w="2167" w:type="dxa"/>
            <w:vMerge w:val="restart"/>
            <w:vAlign w:val="center"/>
          </w:tcPr>
          <w:p w14:paraId="3D7384E6" w14:textId="77777777" w:rsidR="00852466" w:rsidRPr="00C44BC1" w:rsidRDefault="00852466">
            <w:pPr>
              <w:pStyle w:val="TableText0"/>
              <w:keepNext w:val="0"/>
            </w:pPr>
            <w:r w:rsidRPr="00E7732D">
              <w:t>Adalimumab (public) 20</w:t>
            </w:r>
            <w:r>
              <w:t> </w:t>
            </w:r>
            <w:r w:rsidRPr="00E7732D">
              <w:t>mg/0.2 mL injection, 2 x 0.2 mL syringes - Continuing</w:t>
            </w:r>
          </w:p>
        </w:tc>
        <w:tc>
          <w:tcPr>
            <w:tcW w:w="1129" w:type="dxa"/>
            <w:vAlign w:val="center"/>
          </w:tcPr>
          <w:p w14:paraId="13BE3A88"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03D8381F"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1</w:t>
            </w:r>
            <w:r w:rsidRPr="008810AA">
              <w:t xml:space="preserve"> </w:t>
            </w:r>
          </w:p>
        </w:tc>
        <w:tc>
          <w:tcPr>
            <w:tcW w:w="1178" w:type="dxa"/>
            <w:vAlign w:val="center"/>
          </w:tcPr>
          <w:p w14:paraId="18EDA008"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6F21112B"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629C9CA6"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sidRPr="007A7879">
              <w:rPr>
                <w:vertAlign w:val="superscript"/>
              </w:rPr>
              <w:t>1</w:t>
            </w:r>
            <w:r w:rsidRPr="008810AA">
              <w:t xml:space="preserve"> </w:t>
            </w:r>
          </w:p>
        </w:tc>
        <w:tc>
          <w:tcPr>
            <w:tcW w:w="1160" w:type="dxa"/>
            <w:vAlign w:val="center"/>
          </w:tcPr>
          <w:p w14:paraId="2D327A3A" w14:textId="77777777" w:rsidR="00852466" w:rsidRPr="004436CD" w:rsidRDefault="00852466">
            <w:pPr>
              <w:pStyle w:val="TableText0"/>
              <w:keepNext w:val="0"/>
            </w:pPr>
            <w:r>
              <w:t xml:space="preserve">PBS: </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sidRPr="007A7879">
              <w:rPr>
                <w:vertAlign w:val="superscript"/>
              </w:rPr>
              <w:t>1</w:t>
            </w:r>
            <w:r w:rsidRPr="008810AA">
              <w:t xml:space="preserve"> </w:t>
            </w:r>
          </w:p>
        </w:tc>
      </w:tr>
      <w:tr w:rsidR="00852466" w14:paraId="7974F364" w14:textId="77777777">
        <w:trPr>
          <w:trHeight w:val="457"/>
        </w:trPr>
        <w:tc>
          <w:tcPr>
            <w:tcW w:w="2167" w:type="dxa"/>
            <w:vMerge/>
            <w:vAlign w:val="center"/>
          </w:tcPr>
          <w:p w14:paraId="6821EB9F" w14:textId="77777777" w:rsidR="00852466" w:rsidRPr="00E7732D" w:rsidRDefault="00852466">
            <w:pPr>
              <w:pStyle w:val="TableText0"/>
              <w:keepNext w:val="0"/>
            </w:pPr>
          </w:p>
        </w:tc>
        <w:tc>
          <w:tcPr>
            <w:tcW w:w="1129" w:type="dxa"/>
            <w:vAlign w:val="center"/>
          </w:tcPr>
          <w:p w14:paraId="785918A9" w14:textId="77777777" w:rsidR="00852466" w:rsidRPr="00E159A8" w:rsidRDefault="00852466">
            <w:pPr>
              <w:pStyle w:val="TableText0"/>
              <w:keepNext w:val="0"/>
              <w:rPr>
                <w:vertAlign w:val="superscript"/>
              </w:rPr>
            </w:pPr>
            <w:r>
              <w:t xml:space="preserve">RPBS: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2</w:t>
            </w:r>
          </w:p>
        </w:tc>
        <w:tc>
          <w:tcPr>
            <w:tcW w:w="1129" w:type="dxa"/>
            <w:vAlign w:val="center"/>
          </w:tcPr>
          <w:p w14:paraId="0D140CCD"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2</w:t>
            </w:r>
          </w:p>
        </w:tc>
        <w:tc>
          <w:tcPr>
            <w:tcW w:w="1178" w:type="dxa"/>
            <w:vAlign w:val="center"/>
          </w:tcPr>
          <w:p w14:paraId="553BBC42"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2</w:t>
            </w:r>
          </w:p>
        </w:tc>
        <w:tc>
          <w:tcPr>
            <w:tcW w:w="1129" w:type="dxa"/>
            <w:vAlign w:val="center"/>
          </w:tcPr>
          <w:p w14:paraId="6FB21B1F"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2</w:t>
            </w:r>
          </w:p>
        </w:tc>
        <w:tc>
          <w:tcPr>
            <w:tcW w:w="1129" w:type="dxa"/>
            <w:vAlign w:val="center"/>
          </w:tcPr>
          <w:p w14:paraId="1EC76ABA"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2</w:t>
            </w:r>
          </w:p>
        </w:tc>
        <w:tc>
          <w:tcPr>
            <w:tcW w:w="1160" w:type="dxa"/>
            <w:vAlign w:val="center"/>
          </w:tcPr>
          <w:p w14:paraId="63561BCA"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2</w:t>
            </w:r>
          </w:p>
        </w:tc>
      </w:tr>
      <w:tr w:rsidR="00852466" w14:paraId="41D0AEC1" w14:textId="77777777">
        <w:trPr>
          <w:trHeight w:val="458"/>
        </w:trPr>
        <w:tc>
          <w:tcPr>
            <w:tcW w:w="2167" w:type="dxa"/>
            <w:vMerge w:val="restart"/>
            <w:vAlign w:val="center"/>
          </w:tcPr>
          <w:p w14:paraId="16AA2975" w14:textId="77777777" w:rsidR="00852466" w:rsidRPr="00C44BC1" w:rsidRDefault="00852466">
            <w:pPr>
              <w:pStyle w:val="TableText0"/>
              <w:keepNext w:val="0"/>
            </w:pPr>
            <w:r w:rsidRPr="00E7732D">
              <w:t>Adalimumab (Private) 20</w:t>
            </w:r>
            <w:r>
              <w:t> </w:t>
            </w:r>
            <w:r w:rsidRPr="00E7732D">
              <w:t>mg/0.2 mL injection, 2 x 0.2 mL syringes - Continuing</w:t>
            </w:r>
          </w:p>
        </w:tc>
        <w:tc>
          <w:tcPr>
            <w:tcW w:w="1129" w:type="dxa"/>
            <w:vAlign w:val="center"/>
          </w:tcPr>
          <w:p w14:paraId="19053729"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7821E892"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sidRPr="007A7879">
              <w:rPr>
                <w:vertAlign w:val="superscript"/>
              </w:rPr>
              <w:t>1</w:t>
            </w:r>
            <w:r w:rsidRPr="008810AA">
              <w:t xml:space="preserve"> </w:t>
            </w:r>
          </w:p>
        </w:tc>
        <w:tc>
          <w:tcPr>
            <w:tcW w:w="1178" w:type="dxa"/>
            <w:vAlign w:val="center"/>
          </w:tcPr>
          <w:p w14:paraId="47E43096"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1828B499"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1</w:t>
            </w:r>
            <w:r w:rsidRPr="008810AA">
              <w:t xml:space="preserve"> </w:t>
            </w:r>
          </w:p>
        </w:tc>
        <w:tc>
          <w:tcPr>
            <w:tcW w:w="1129" w:type="dxa"/>
            <w:vAlign w:val="center"/>
          </w:tcPr>
          <w:p w14:paraId="6CA51DB5"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1</w:t>
            </w:r>
            <w:r w:rsidRPr="008810AA">
              <w:t xml:space="preserve"> </w:t>
            </w:r>
          </w:p>
        </w:tc>
        <w:tc>
          <w:tcPr>
            <w:tcW w:w="1160" w:type="dxa"/>
            <w:vAlign w:val="center"/>
          </w:tcPr>
          <w:p w14:paraId="15719793" w14:textId="77777777" w:rsidR="00852466" w:rsidRPr="00332423" w:rsidRDefault="00852466">
            <w:pPr>
              <w:pStyle w:val="TableText0"/>
              <w:keepNext w:val="0"/>
            </w:pPr>
            <w:r>
              <w:t xml:space="preserve">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1</w:t>
            </w:r>
            <w:r w:rsidRPr="008810AA">
              <w:t xml:space="preserve"> </w:t>
            </w:r>
          </w:p>
        </w:tc>
      </w:tr>
      <w:tr w:rsidR="00852466" w14:paraId="0BC826B8" w14:textId="77777777">
        <w:trPr>
          <w:trHeight w:val="457"/>
        </w:trPr>
        <w:tc>
          <w:tcPr>
            <w:tcW w:w="2167" w:type="dxa"/>
            <w:vMerge/>
            <w:vAlign w:val="center"/>
          </w:tcPr>
          <w:p w14:paraId="7DCCFF78" w14:textId="77777777" w:rsidR="00852466" w:rsidRPr="00E7732D" w:rsidRDefault="00852466">
            <w:pPr>
              <w:pStyle w:val="TableText0"/>
              <w:keepNext w:val="0"/>
            </w:pPr>
          </w:p>
        </w:tc>
        <w:tc>
          <w:tcPr>
            <w:tcW w:w="1129" w:type="dxa"/>
            <w:vAlign w:val="center"/>
          </w:tcPr>
          <w:p w14:paraId="3C71AB3C"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2</w:t>
            </w:r>
          </w:p>
        </w:tc>
        <w:tc>
          <w:tcPr>
            <w:tcW w:w="1129" w:type="dxa"/>
            <w:vAlign w:val="center"/>
          </w:tcPr>
          <w:p w14:paraId="6FC2F463"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2</w:t>
            </w:r>
          </w:p>
        </w:tc>
        <w:tc>
          <w:tcPr>
            <w:tcW w:w="1178" w:type="dxa"/>
            <w:vAlign w:val="center"/>
          </w:tcPr>
          <w:p w14:paraId="252660C5"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2</w:t>
            </w:r>
          </w:p>
        </w:tc>
        <w:tc>
          <w:tcPr>
            <w:tcW w:w="1129" w:type="dxa"/>
            <w:vAlign w:val="center"/>
          </w:tcPr>
          <w:p w14:paraId="4C5B2122"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2</w:t>
            </w:r>
          </w:p>
        </w:tc>
        <w:tc>
          <w:tcPr>
            <w:tcW w:w="1129" w:type="dxa"/>
            <w:vAlign w:val="center"/>
          </w:tcPr>
          <w:p w14:paraId="5F12FEB3"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2</w:t>
            </w:r>
          </w:p>
        </w:tc>
        <w:tc>
          <w:tcPr>
            <w:tcW w:w="1160" w:type="dxa"/>
            <w:vAlign w:val="center"/>
          </w:tcPr>
          <w:p w14:paraId="76C201B3" w14:textId="77777777" w:rsidR="00852466" w:rsidRPr="00DA2F04" w:rsidRDefault="00852466">
            <w:pPr>
              <w:pStyle w:val="TableText0"/>
              <w:keepNext w:val="0"/>
            </w:pPr>
            <w:r>
              <w:t xml:space="preserve">RPBS: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2</w:t>
            </w:r>
          </w:p>
        </w:tc>
      </w:tr>
      <w:tr w:rsidR="00852466" w14:paraId="130FE149" w14:textId="77777777">
        <w:trPr>
          <w:trHeight w:val="575"/>
        </w:trPr>
        <w:tc>
          <w:tcPr>
            <w:tcW w:w="2167" w:type="dxa"/>
            <w:vMerge w:val="restart"/>
            <w:vAlign w:val="center"/>
          </w:tcPr>
          <w:p w14:paraId="18820988" w14:textId="77777777" w:rsidR="00852466" w:rsidRPr="00C44BC1" w:rsidRDefault="00852466">
            <w:pPr>
              <w:pStyle w:val="TableText0"/>
              <w:keepNext w:val="0"/>
            </w:pPr>
            <w:r w:rsidRPr="00E7732D">
              <w:t>Adalimumab (public) 40</w:t>
            </w:r>
            <w:r>
              <w:t> </w:t>
            </w:r>
            <w:r w:rsidRPr="00E7732D">
              <w:t>mg/0.4 mL injection, 2 x 0.4 mL pen devices &amp; syringes - Continuing</w:t>
            </w:r>
          </w:p>
        </w:tc>
        <w:tc>
          <w:tcPr>
            <w:tcW w:w="1129" w:type="dxa"/>
            <w:vAlign w:val="center"/>
          </w:tcPr>
          <w:p w14:paraId="4FB47215"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58897B00"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3</w:t>
            </w:r>
            <w:r w:rsidRPr="008810AA">
              <w:t xml:space="preserve"> </w:t>
            </w:r>
          </w:p>
        </w:tc>
        <w:tc>
          <w:tcPr>
            <w:tcW w:w="1178" w:type="dxa"/>
            <w:vAlign w:val="center"/>
          </w:tcPr>
          <w:p w14:paraId="2D409401"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217ABE83"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7CEB5A63"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3</w:t>
            </w:r>
            <w:r w:rsidRPr="008810AA">
              <w:t xml:space="preserve"> </w:t>
            </w:r>
          </w:p>
        </w:tc>
        <w:tc>
          <w:tcPr>
            <w:tcW w:w="1160" w:type="dxa"/>
            <w:vAlign w:val="center"/>
          </w:tcPr>
          <w:p w14:paraId="6BF78E02" w14:textId="77777777" w:rsidR="00852466" w:rsidRPr="002B4068" w:rsidRDefault="00852466">
            <w:pPr>
              <w:pStyle w:val="TableText0"/>
              <w:keepNext w:val="0"/>
            </w:pPr>
            <w:r>
              <w:t xml:space="preserve">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3</w:t>
            </w:r>
            <w:r w:rsidRPr="008810AA">
              <w:t xml:space="preserve"> </w:t>
            </w:r>
          </w:p>
        </w:tc>
      </w:tr>
      <w:tr w:rsidR="00852466" w14:paraId="42EBD9E1" w14:textId="77777777">
        <w:trPr>
          <w:trHeight w:val="575"/>
        </w:trPr>
        <w:tc>
          <w:tcPr>
            <w:tcW w:w="2167" w:type="dxa"/>
            <w:vMerge/>
            <w:vAlign w:val="center"/>
          </w:tcPr>
          <w:p w14:paraId="6342590D" w14:textId="77777777" w:rsidR="00852466" w:rsidRPr="00FB34C0" w:rsidRDefault="00852466">
            <w:pPr>
              <w:pStyle w:val="TableText0"/>
              <w:keepNext w:val="0"/>
            </w:pPr>
          </w:p>
        </w:tc>
        <w:tc>
          <w:tcPr>
            <w:tcW w:w="1129" w:type="dxa"/>
            <w:vAlign w:val="center"/>
          </w:tcPr>
          <w:p w14:paraId="035F3605"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2</w:t>
            </w:r>
          </w:p>
        </w:tc>
        <w:tc>
          <w:tcPr>
            <w:tcW w:w="1129" w:type="dxa"/>
            <w:vAlign w:val="center"/>
          </w:tcPr>
          <w:p w14:paraId="76A81FAD"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Pr>
                <w:vertAlign w:val="superscript"/>
              </w:rPr>
              <w:t>2</w:t>
            </w:r>
          </w:p>
        </w:tc>
        <w:tc>
          <w:tcPr>
            <w:tcW w:w="1178" w:type="dxa"/>
            <w:vAlign w:val="center"/>
          </w:tcPr>
          <w:p w14:paraId="2AD42317"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Pr>
                <w:vertAlign w:val="superscript"/>
              </w:rPr>
              <w:t>2</w:t>
            </w:r>
          </w:p>
        </w:tc>
        <w:tc>
          <w:tcPr>
            <w:tcW w:w="1129" w:type="dxa"/>
            <w:vAlign w:val="center"/>
          </w:tcPr>
          <w:p w14:paraId="2752EAEB"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Pr>
                <w:vertAlign w:val="superscript"/>
              </w:rPr>
              <w:t>2</w:t>
            </w:r>
          </w:p>
        </w:tc>
        <w:tc>
          <w:tcPr>
            <w:tcW w:w="1129" w:type="dxa"/>
            <w:vAlign w:val="center"/>
          </w:tcPr>
          <w:p w14:paraId="330B10BD"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Pr>
                <w:vertAlign w:val="superscript"/>
              </w:rPr>
              <w:t>2</w:t>
            </w:r>
          </w:p>
        </w:tc>
        <w:tc>
          <w:tcPr>
            <w:tcW w:w="1160" w:type="dxa"/>
            <w:vAlign w:val="center"/>
          </w:tcPr>
          <w:p w14:paraId="4A8DF48E" w14:textId="77777777" w:rsidR="00852466" w:rsidRPr="00FB34C0" w:rsidRDefault="00852466">
            <w:pPr>
              <w:pStyle w:val="TableText0"/>
              <w:keepNext w:val="0"/>
            </w:pPr>
            <w:r>
              <w:t xml:space="preserve">RPBS: </w:t>
            </w: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Pr>
                <w:vertAlign w:val="superscript"/>
              </w:rPr>
              <w:t>2</w:t>
            </w:r>
          </w:p>
        </w:tc>
      </w:tr>
      <w:tr w:rsidR="00852466" w14:paraId="5B4951F6" w14:textId="77777777">
        <w:trPr>
          <w:trHeight w:val="575"/>
        </w:trPr>
        <w:tc>
          <w:tcPr>
            <w:tcW w:w="2167" w:type="dxa"/>
            <w:vMerge w:val="restart"/>
            <w:vAlign w:val="center"/>
          </w:tcPr>
          <w:p w14:paraId="6D1274F6" w14:textId="77777777" w:rsidR="00852466" w:rsidRPr="004F4854" w:rsidRDefault="00852466">
            <w:pPr>
              <w:pStyle w:val="TableText0"/>
              <w:keepNext w:val="0"/>
            </w:pPr>
            <w:r w:rsidRPr="00E7732D">
              <w:t>Adalimumab (Private) 40</w:t>
            </w:r>
            <w:r>
              <w:t> </w:t>
            </w:r>
            <w:r w:rsidRPr="00E7732D">
              <w:t>mg/0.4 mL injection, 2 x 0.4 mL pen devices &amp; syringes - Continuing</w:t>
            </w:r>
          </w:p>
        </w:tc>
        <w:tc>
          <w:tcPr>
            <w:tcW w:w="1129" w:type="dxa"/>
            <w:vAlign w:val="center"/>
          </w:tcPr>
          <w:p w14:paraId="781DF49B"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303DC63C"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3</w:t>
            </w:r>
            <w:r w:rsidRPr="008810AA">
              <w:t xml:space="preserve"> </w:t>
            </w:r>
          </w:p>
        </w:tc>
        <w:tc>
          <w:tcPr>
            <w:tcW w:w="1178" w:type="dxa"/>
            <w:vAlign w:val="center"/>
          </w:tcPr>
          <w:p w14:paraId="4CEAC33D"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6550D406"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3</w:t>
            </w:r>
            <w:r w:rsidRPr="008810AA">
              <w:t xml:space="preserve"> </w:t>
            </w:r>
          </w:p>
        </w:tc>
        <w:tc>
          <w:tcPr>
            <w:tcW w:w="1129" w:type="dxa"/>
            <w:vAlign w:val="center"/>
          </w:tcPr>
          <w:p w14:paraId="68E2D45A"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3</w:t>
            </w:r>
            <w:r w:rsidRPr="008810AA">
              <w:t xml:space="preserve"> </w:t>
            </w:r>
          </w:p>
        </w:tc>
        <w:tc>
          <w:tcPr>
            <w:tcW w:w="1160" w:type="dxa"/>
            <w:vAlign w:val="center"/>
          </w:tcPr>
          <w:p w14:paraId="60F9694B" w14:textId="77777777" w:rsidR="00852466" w:rsidRPr="00754961" w:rsidRDefault="00852466">
            <w:pPr>
              <w:pStyle w:val="TableText0"/>
              <w:keepNext w:val="0"/>
            </w:pPr>
            <w:r>
              <w:t xml:space="preserve">PBS: </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3</w:t>
            </w:r>
            <w:r w:rsidRPr="008810AA">
              <w:t xml:space="preserve"> </w:t>
            </w:r>
          </w:p>
        </w:tc>
      </w:tr>
      <w:tr w:rsidR="00852466" w14:paraId="79683B39" w14:textId="77777777">
        <w:trPr>
          <w:trHeight w:val="575"/>
        </w:trPr>
        <w:tc>
          <w:tcPr>
            <w:tcW w:w="2167" w:type="dxa"/>
            <w:vMerge/>
            <w:vAlign w:val="center"/>
          </w:tcPr>
          <w:p w14:paraId="26DA43E7" w14:textId="77777777" w:rsidR="00852466" w:rsidRPr="00247829" w:rsidRDefault="00852466">
            <w:pPr>
              <w:pStyle w:val="TableText0"/>
              <w:keepNext w:val="0"/>
            </w:pPr>
          </w:p>
        </w:tc>
        <w:tc>
          <w:tcPr>
            <w:tcW w:w="1129" w:type="dxa"/>
            <w:vAlign w:val="center"/>
          </w:tcPr>
          <w:p w14:paraId="1E6BC039"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2</w:t>
            </w:r>
          </w:p>
        </w:tc>
        <w:tc>
          <w:tcPr>
            <w:tcW w:w="1129" w:type="dxa"/>
            <w:vAlign w:val="center"/>
          </w:tcPr>
          <w:p w14:paraId="26BA133D"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8"/>
                <w14:textFill>
                  <w14:solidFill>
                    <w14:srgbClr w14:val="000000">
                      <w14:alpha w14:val="100000"/>
                    </w14:srgbClr>
                  </w14:solidFill>
                </w14:textFill>
              </w:rPr>
              <w:t>|||</w:t>
            </w:r>
            <w:r w:rsidRPr="00E729E5">
              <w:rPr>
                <w:color w:val="000000"/>
                <w:spacing w:val="2"/>
                <w:shd w:val="solid" w:color="000000" w:fill="000000"/>
                <w:fitText w:val="330" w:id="-649849088"/>
                <w14:textFill>
                  <w14:solidFill>
                    <w14:srgbClr w14:val="000000">
                      <w14:alpha w14:val="100000"/>
                    </w14:srgbClr>
                  </w14:solidFill>
                </w14:textFill>
              </w:rPr>
              <w:t>|</w:t>
            </w:r>
            <w:r>
              <w:rPr>
                <w:vertAlign w:val="superscript"/>
              </w:rPr>
              <w:t>2</w:t>
            </w:r>
          </w:p>
        </w:tc>
        <w:tc>
          <w:tcPr>
            <w:tcW w:w="1178" w:type="dxa"/>
            <w:vAlign w:val="center"/>
          </w:tcPr>
          <w:p w14:paraId="4B80DE68"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7"/>
                <w14:textFill>
                  <w14:solidFill>
                    <w14:srgbClr w14:val="000000">
                      <w14:alpha w14:val="100000"/>
                    </w14:srgbClr>
                  </w14:solidFill>
                </w14:textFill>
              </w:rPr>
              <w:t>|||</w:t>
            </w:r>
            <w:r w:rsidRPr="00E729E5">
              <w:rPr>
                <w:color w:val="000000"/>
                <w:spacing w:val="2"/>
                <w:shd w:val="solid" w:color="000000" w:fill="000000"/>
                <w:fitText w:val="330" w:id="-649849087"/>
                <w14:textFill>
                  <w14:solidFill>
                    <w14:srgbClr w14:val="000000">
                      <w14:alpha w14:val="100000"/>
                    </w14:srgbClr>
                  </w14:solidFill>
                </w14:textFill>
              </w:rPr>
              <w:t>|</w:t>
            </w:r>
            <w:r>
              <w:rPr>
                <w:vertAlign w:val="superscript"/>
              </w:rPr>
              <w:t>2</w:t>
            </w:r>
          </w:p>
        </w:tc>
        <w:tc>
          <w:tcPr>
            <w:tcW w:w="1129" w:type="dxa"/>
            <w:vAlign w:val="center"/>
          </w:tcPr>
          <w:p w14:paraId="29E10E0E"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6"/>
                <w14:textFill>
                  <w14:solidFill>
                    <w14:srgbClr w14:val="000000">
                      <w14:alpha w14:val="100000"/>
                    </w14:srgbClr>
                  </w14:solidFill>
                </w14:textFill>
              </w:rPr>
              <w:t>|||</w:t>
            </w:r>
            <w:r w:rsidRPr="00E729E5">
              <w:rPr>
                <w:color w:val="000000"/>
                <w:spacing w:val="2"/>
                <w:shd w:val="solid" w:color="000000" w:fill="000000"/>
                <w:fitText w:val="330" w:id="-649849086"/>
                <w14:textFill>
                  <w14:solidFill>
                    <w14:srgbClr w14:val="000000">
                      <w14:alpha w14:val="100000"/>
                    </w14:srgbClr>
                  </w14:solidFill>
                </w14:textFill>
              </w:rPr>
              <w:t>|</w:t>
            </w:r>
            <w:r>
              <w:rPr>
                <w:vertAlign w:val="superscript"/>
              </w:rPr>
              <w:t>2</w:t>
            </w:r>
          </w:p>
        </w:tc>
        <w:tc>
          <w:tcPr>
            <w:tcW w:w="1129" w:type="dxa"/>
            <w:vAlign w:val="center"/>
          </w:tcPr>
          <w:p w14:paraId="39E4F37F"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5"/>
                <w14:textFill>
                  <w14:solidFill>
                    <w14:srgbClr w14:val="000000">
                      <w14:alpha w14:val="100000"/>
                    </w14:srgbClr>
                  </w14:solidFill>
                </w14:textFill>
              </w:rPr>
              <w:t>|||</w:t>
            </w:r>
            <w:r w:rsidRPr="00E729E5">
              <w:rPr>
                <w:color w:val="000000"/>
                <w:spacing w:val="2"/>
                <w:shd w:val="solid" w:color="000000" w:fill="000000"/>
                <w:fitText w:val="330" w:id="-649849085"/>
                <w14:textFill>
                  <w14:solidFill>
                    <w14:srgbClr w14:val="000000">
                      <w14:alpha w14:val="100000"/>
                    </w14:srgbClr>
                  </w14:solidFill>
                </w14:textFill>
              </w:rPr>
              <w:t>|</w:t>
            </w:r>
            <w:r>
              <w:rPr>
                <w:vertAlign w:val="superscript"/>
              </w:rPr>
              <w:t>2</w:t>
            </w:r>
          </w:p>
        </w:tc>
        <w:tc>
          <w:tcPr>
            <w:tcW w:w="1160" w:type="dxa"/>
            <w:vAlign w:val="center"/>
          </w:tcPr>
          <w:p w14:paraId="1F5E22C2" w14:textId="77777777" w:rsidR="00852466" w:rsidRPr="00247829" w:rsidRDefault="00852466">
            <w:pPr>
              <w:pStyle w:val="TableText0"/>
              <w:keepNext w:val="0"/>
            </w:pPr>
            <w:r>
              <w:t xml:space="preserve">RPBS: </w:t>
            </w:r>
            <w:r w:rsidRPr="00E729E5">
              <w:rPr>
                <w:color w:val="000000"/>
                <w:spacing w:val="40"/>
                <w:shd w:val="solid" w:color="000000" w:fill="000000"/>
                <w:fitText w:val="330" w:id="-649849084"/>
                <w14:textFill>
                  <w14:solidFill>
                    <w14:srgbClr w14:val="000000">
                      <w14:alpha w14:val="100000"/>
                    </w14:srgbClr>
                  </w14:solidFill>
                </w14:textFill>
              </w:rPr>
              <w:t>|||</w:t>
            </w:r>
            <w:r w:rsidRPr="00E729E5">
              <w:rPr>
                <w:color w:val="000000"/>
                <w:spacing w:val="2"/>
                <w:shd w:val="solid" w:color="000000" w:fill="000000"/>
                <w:fitText w:val="330" w:id="-649849084"/>
                <w14:textFill>
                  <w14:solidFill>
                    <w14:srgbClr w14:val="000000">
                      <w14:alpha w14:val="100000"/>
                    </w14:srgbClr>
                  </w14:solidFill>
                </w14:textFill>
              </w:rPr>
              <w:t>|</w:t>
            </w:r>
            <w:r>
              <w:rPr>
                <w:vertAlign w:val="superscript"/>
              </w:rPr>
              <w:t>2</w:t>
            </w:r>
          </w:p>
        </w:tc>
      </w:tr>
      <w:tr w:rsidR="00852466" w14:paraId="72D2AA55" w14:textId="77777777">
        <w:tc>
          <w:tcPr>
            <w:tcW w:w="2167" w:type="dxa"/>
          </w:tcPr>
          <w:p w14:paraId="2EB4F63D" w14:textId="77777777" w:rsidR="00852466" w:rsidRPr="00725DC5" w:rsidRDefault="00852466">
            <w:pPr>
              <w:pStyle w:val="TableText0"/>
              <w:keepNext w:val="0"/>
            </w:pPr>
            <w:r>
              <w:t>Total</w:t>
            </w:r>
          </w:p>
        </w:tc>
        <w:tc>
          <w:tcPr>
            <w:tcW w:w="1129" w:type="dxa"/>
            <w:vAlign w:val="center"/>
          </w:tcPr>
          <w:p w14:paraId="6F5757CD"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3"/>
                <w14:textFill>
                  <w14:solidFill>
                    <w14:srgbClr w14:val="000000">
                      <w14:alpha w14:val="100000"/>
                    </w14:srgbClr>
                  </w14:solidFill>
                </w14:textFill>
              </w:rPr>
              <w:t>|||</w:t>
            </w:r>
            <w:r w:rsidRPr="00E729E5">
              <w:rPr>
                <w:color w:val="000000"/>
                <w:spacing w:val="2"/>
                <w:shd w:val="solid" w:color="000000" w:fill="000000"/>
                <w:fitText w:val="330" w:id="-649849083"/>
                <w14:textFill>
                  <w14:solidFill>
                    <w14:srgbClr w14:val="000000">
                      <w14:alpha w14:val="100000"/>
                    </w14:srgbClr>
                  </w14:solidFill>
                </w14:textFill>
              </w:rPr>
              <w:t>|</w:t>
            </w:r>
            <w:r w:rsidRPr="00E159A8">
              <w:rPr>
                <w:vertAlign w:val="superscript"/>
              </w:rPr>
              <w:t>4</w:t>
            </w:r>
            <w:r w:rsidRPr="00A46567">
              <w:t xml:space="preserve"> </w:t>
            </w:r>
          </w:p>
        </w:tc>
        <w:tc>
          <w:tcPr>
            <w:tcW w:w="1129" w:type="dxa"/>
            <w:vAlign w:val="center"/>
          </w:tcPr>
          <w:p w14:paraId="04D044EB"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2"/>
                <w14:textFill>
                  <w14:solidFill>
                    <w14:srgbClr w14:val="000000">
                      <w14:alpha w14:val="100000"/>
                    </w14:srgbClr>
                  </w14:solidFill>
                </w14:textFill>
              </w:rPr>
              <w:t>|||</w:t>
            </w:r>
            <w:r w:rsidRPr="00E729E5">
              <w:rPr>
                <w:color w:val="000000"/>
                <w:spacing w:val="2"/>
                <w:shd w:val="solid" w:color="000000" w:fill="000000"/>
                <w:fitText w:val="330" w:id="-649849082"/>
                <w14:textFill>
                  <w14:solidFill>
                    <w14:srgbClr w14:val="000000">
                      <w14:alpha w14:val="100000"/>
                    </w14:srgbClr>
                  </w14:solidFill>
                </w14:textFill>
              </w:rPr>
              <w:t>|</w:t>
            </w:r>
            <w:r w:rsidRPr="007A7879">
              <w:rPr>
                <w:vertAlign w:val="superscript"/>
              </w:rPr>
              <w:t>4</w:t>
            </w:r>
            <w:r w:rsidRPr="00A46567">
              <w:t xml:space="preserve"> </w:t>
            </w:r>
          </w:p>
        </w:tc>
        <w:tc>
          <w:tcPr>
            <w:tcW w:w="1178" w:type="dxa"/>
            <w:vAlign w:val="center"/>
          </w:tcPr>
          <w:p w14:paraId="44F09F26"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1"/>
                <w14:textFill>
                  <w14:solidFill>
                    <w14:srgbClr w14:val="000000">
                      <w14:alpha w14:val="100000"/>
                    </w14:srgbClr>
                  </w14:solidFill>
                </w14:textFill>
              </w:rPr>
              <w:t>|||</w:t>
            </w:r>
            <w:r w:rsidRPr="00E729E5">
              <w:rPr>
                <w:color w:val="000000"/>
                <w:spacing w:val="2"/>
                <w:shd w:val="solid" w:color="000000" w:fill="000000"/>
                <w:fitText w:val="330" w:id="-649849081"/>
                <w14:textFill>
                  <w14:solidFill>
                    <w14:srgbClr w14:val="000000">
                      <w14:alpha w14:val="100000"/>
                    </w14:srgbClr>
                  </w14:solidFill>
                </w14:textFill>
              </w:rPr>
              <w:t>|</w:t>
            </w:r>
            <w:r w:rsidRPr="007A7879">
              <w:rPr>
                <w:vertAlign w:val="superscript"/>
              </w:rPr>
              <w:t>4</w:t>
            </w:r>
            <w:r w:rsidRPr="00A46567">
              <w:t xml:space="preserve"> </w:t>
            </w:r>
          </w:p>
        </w:tc>
        <w:tc>
          <w:tcPr>
            <w:tcW w:w="1129" w:type="dxa"/>
            <w:vAlign w:val="center"/>
          </w:tcPr>
          <w:p w14:paraId="5E163BFC"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80"/>
                <w14:textFill>
                  <w14:solidFill>
                    <w14:srgbClr w14:val="000000">
                      <w14:alpha w14:val="100000"/>
                    </w14:srgbClr>
                  </w14:solidFill>
                </w14:textFill>
              </w:rPr>
              <w:t>|||</w:t>
            </w:r>
            <w:r w:rsidRPr="00E729E5">
              <w:rPr>
                <w:color w:val="000000"/>
                <w:spacing w:val="2"/>
                <w:shd w:val="solid" w:color="000000" w:fill="000000"/>
                <w:fitText w:val="330" w:id="-649849080"/>
                <w14:textFill>
                  <w14:solidFill>
                    <w14:srgbClr w14:val="000000">
                      <w14:alpha w14:val="100000"/>
                    </w14:srgbClr>
                  </w14:solidFill>
                </w14:textFill>
              </w:rPr>
              <w:t>|</w:t>
            </w:r>
            <w:r w:rsidRPr="007A7879">
              <w:rPr>
                <w:vertAlign w:val="superscript"/>
              </w:rPr>
              <w:t>4</w:t>
            </w:r>
            <w:r w:rsidRPr="00A46567">
              <w:t xml:space="preserve"> </w:t>
            </w:r>
          </w:p>
        </w:tc>
        <w:tc>
          <w:tcPr>
            <w:tcW w:w="1129" w:type="dxa"/>
            <w:vAlign w:val="center"/>
          </w:tcPr>
          <w:p w14:paraId="160821D1"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9"/>
                <w14:textFill>
                  <w14:solidFill>
                    <w14:srgbClr w14:val="000000">
                      <w14:alpha w14:val="100000"/>
                    </w14:srgbClr>
                  </w14:solidFill>
                </w14:textFill>
              </w:rPr>
              <w:t>|||</w:t>
            </w:r>
            <w:r w:rsidRPr="00E729E5">
              <w:rPr>
                <w:color w:val="000000"/>
                <w:spacing w:val="2"/>
                <w:shd w:val="solid" w:color="000000" w:fill="000000"/>
                <w:fitText w:val="330" w:id="-649849079"/>
                <w14:textFill>
                  <w14:solidFill>
                    <w14:srgbClr w14:val="000000">
                      <w14:alpha w14:val="100000"/>
                    </w14:srgbClr>
                  </w14:solidFill>
                </w14:textFill>
              </w:rPr>
              <w:t>|</w:t>
            </w:r>
            <w:r w:rsidRPr="007A7879">
              <w:rPr>
                <w:vertAlign w:val="superscript"/>
              </w:rPr>
              <w:t>4</w:t>
            </w:r>
            <w:r w:rsidRPr="00A46567">
              <w:t xml:space="preserve"> </w:t>
            </w:r>
          </w:p>
        </w:tc>
        <w:tc>
          <w:tcPr>
            <w:tcW w:w="1160" w:type="dxa"/>
            <w:vAlign w:val="center"/>
          </w:tcPr>
          <w:p w14:paraId="51061EA6" w14:textId="77777777" w:rsidR="00852466" w:rsidRPr="00E159A8" w:rsidRDefault="00852466">
            <w:pPr>
              <w:pStyle w:val="TableText0"/>
              <w:keepNext w:val="0"/>
              <w:rPr>
                <w:highlight w:val="darkGray"/>
              </w:rPr>
            </w:pPr>
            <w:r w:rsidRPr="00E729E5">
              <w:rPr>
                <w:color w:val="000000"/>
                <w:spacing w:val="40"/>
                <w:shd w:val="solid" w:color="000000" w:fill="000000"/>
                <w:fitText w:val="330" w:id="-649849078"/>
                <w14:textFill>
                  <w14:solidFill>
                    <w14:srgbClr w14:val="000000">
                      <w14:alpha w14:val="100000"/>
                    </w14:srgbClr>
                  </w14:solidFill>
                </w14:textFill>
              </w:rPr>
              <w:t>|||</w:t>
            </w:r>
            <w:r w:rsidRPr="00E729E5">
              <w:rPr>
                <w:color w:val="000000"/>
                <w:spacing w:val="2"/>
                <w:shd w:val="solid" w:color="000000" w:fill="000000"/>
                <w:fitText w:val="330" w:id="-649849078"/>
                <w14:textFill>
                  <w14:solidFill>
                    <w14:srgbClr w14:val="000000">
                      <w14:alpha w14:val="100000"/>
                    </w14:srgbClr>
                  </w14:solidFill>
                </w14:textFill>
              </w:rPr>
              <w:t>|</w:t>
            </w:r>
            <w:r w:rsidRPr="007A7879">
              <w:rPr>
                <w:vertAlign w:val="superscript"/>
              </w:rPr>
              <w:t>4</w:t>
            </w:r>
            <w:r w:rsidRPr="00A46567">
              <w:t xml:space="preserve"> </w:t>
            </w:r>
          </w:p>
        </w:tc>
      </w:tr>
      <w:tr w:rsidR="00852466" w14:paraId="4772DC34" w14:textId="77777777">
        <w:tc>
          <w:tcPr>
            <w:tcW w:w="9021" w:type="dxa"/>
            <w:gridSpan w:val="7"/>
          </w:tcPr>
          <w:p w14:paraId="16DD6B87" w14:textId="77777777" w:rsidR="00852466" w:rsidRPr="00EE4A69" w:rsidRDefault="00852466">
            <w:pPr>
              <w:pStyle w:val="TableText0"/>
              <w:keepNext w:val="0"/>
            </w:pPr>
            <w:r w:rsidRPr="00EE4A69">
              <w:t>Estimated financial implications</w:t>
            </w:r>
          </w:p>
        </w:tc>
      </w:tr>
      <w:tr w:rsidR="00852466" w14:paraId="70032D71" w14:textId="77777777">
        <w:tc>
          <w:tcPr>
            <w:tcW w:w="2167" w:type="dxa"/>
          </w:tcPr>
          <w:p w14:paraId="1C769FA5" w14:textId="77777777" w:rsidR="00852466" w:rsidRPr="00166DCB" w:rsidRDefault="00852466">
            <w:pPr>
              <w:pStyle w:val="TableText0"/>
              <w:keepNext w:val="0"/>
            </w:pPr>
            <w:r w:rsidRPr="00166DCB">
              <w:t xml:space="preserve">Net Cost to PBS/RPBS </w:t>
            </w:r>
          </w:p>
        </w:tc>
        <w:tc>
          <w:tcPr>
            <w:tcW w:w="1129" w:type="dxa"/>
            <w:vAlign w:val="center"/>
          </w:tcPr>
          <w:p w14:paraId="0DD72DDF" w14:textId="77777777" w:rsidR="00852466" w:rsidRPr="00E159A8" w:rsidRDefault="00852466">
            <w:pPr>
              <w:pStyle w:val="TableText0"/>
              <w:keepNext w:val="0"/>
              <w:rPr>
                <w:bCs w:val="0"/>
                <w:vertAlign w:val="superscript"/>
              </w:rPr>
            </w:pPr>
            <w:r w:rsidRPr="008810AA">
              <w:t>$</w:t>
            </w:r>
            <w:r w:rsidRPr="00E729E5">
              <w:rPr>
                <w:color w:val="000000"/>
                <w:spacing w:val="40"/>
                <w:shd w:val="solid" w:color="000000" w:fill="000000"/>
                <w:fitText w:val="330" w:id="-649849077"/>
                <w14:textFill>
                  <w14:solidFill>
                    <w14:srgbClr w14:val="000000">
                      <w14:alpha w14:val="100000"/>
                    </w14:srgbClr>
                  </w14:solidFill>
                </w14:textFill>
              </w:rPr>
              <w:t>|||</w:t>
            </w:r>
            <w:r w:rsidRPr="00E729E5">
              <w:rPr>
                <w:color w:val="000000"/>
                <w:spacing w:val="2"/>
                <w:shd w:val="solid" w:color="000000" w:fill="000000"/>
                <w:fitText w:val="330" w:id="-649849077"/>
                <w14:textFill>
                  <w14:solidFill>
                    <w14:srgbClr w14:val="000000">
                      <w14:alpha w14:val="100000"/>
                    </w14:srgbClr>
                  </w14:solidFill>
                </w14:textFill>
              </w:rPr>
              <w:t>|</w:t>
            </w:r>
            <w:r>
              <w:rPr>
                <w:vertAlign w:val="superscript"/>
              </w:rPr>
              <w:t>5</w:t>
            </w:r>
          </w:p>
        </w:tc>
        <w:tc>
          <w:tcPr>
            <w:tcW w:w="1129" w:type="dxa"/>
            <w:vAlign w:val="center"/>
          </w:tcPr>
          <w:p w14:paraId="13078EF1" w14:textId="77777777" w:rsidR="00852466" w:rsidRPr="00E85270" w:rsidRDefault="00852466">
            <w:pPr>
              <w:pStyle w:val="TableText0"/>
              <w:keepNext w:val="0"/>
            </w:pPr>
            <w:r w:rsidRPr="008810AA">
              <w:t>$</w:t>
            </w:r>
            <w:r w:rsidRPr="00E729E5">
              <w:rPr>
                <w:color w:val="000000"/>
                <w:spacing w:val="40"/>
                <w:shd w:val="solid" w:color="000000" w:fill="000000"/>
                <w:fitText w:val="330" w:id="-649849076"/>
                <w14:textFill>
                  <w14:solidFill>
                    <w14:srgbClr w14:val="000000">
                      <w14:alpha w14:val="100000"/>
                    </w14:srgbClr>
                  </w14:solidFill>
                </w14:textFill>
              </w:rPr>
              <w:t>|||</w:t>
            </w:r>
            <w:r w:rsidRPr="00E729E5">
              <w:rPr>
                <w:color w:val="000000"/>
                <w:spacing w:val="2"/>
                <w:shd w:val="solid" w:color="000000" w:fill="000000"/>
                <w:fitText w:val="330" w:id="-649849076"/>
                <w14:textFill>
                  <w14:solidFill>
                    <w14:srgbClr w14:val="000000">
                      <w14:alpha w14:val="100000"/>
                    </w14:srgbClr>
                  </w14:solidFill>
                </w14:textFill>
              </w:rPr>
              <w:t>|</w:t>
            </w:r>
            <w:r>
              <w:rPr>
                <w:vertAlign w:val="superscript"/>
              </w:rPr>
              <w:t>5</w:t>
            </w:r>
          </w:p>
        </w:tc>
        <w:tc>
          <w:tcPr>
            <w:tcW w:w="1178" w:type="dxa"/>
            <w:vAlign w:val="center"/>
          </w:tcPr>
          <w:p w14:paraId="24037F9B" w14:textId="77777777" w:rsidR="00852466" w:rsidRPr="00E85270" w:rsidRDefault="00852466">
            <w:pPr>
              <w:pStyle w:val="TableText0"/>
              <w:keepNext w:val="0"/>
            </w:pPr>
            <w:r w:rsidRPr="008810AA">
              <w:t>$</w:t>
            </w:r>
            <w:r w:rsidRPr="00E729E5">
              <w:rPr>
                <w:color w:val="000000"/>
                <w:spacing w:val="40"/>
                <w:shd w:val="solid" w:color="000000" w:fill="000000"/>
                <w:fitText w:val="330" w:id="-649849075"/>
                <w14:textFill>
                  <w14:solidFill>
                    <w14:srgbClr w14:val="000000">
                      <w14:alpha w14:val="100000"/>
                    </w14:srgbClr>
                  </w14:solidFill>
                </w14:textFill>
              </w:rPr>
              <w:t>|||</w:t>
            </w:r>
            <w:r w:rsidRPr="00E729E5">
              <w:rPr>
                <w:color w:val="000000"/>
                <w:spacing w:val="2"/>
                <w:shd w:val="solid" w:color="000000" w:fill="000000"/>
                <w:fitText w:val="330" w:id="-649849075"/>
                <w14:textFill>
                  <w14:solidFill>
                    <w14:srgbClr w14:val="000000">
                      <w14:alpha w14:val="100000"/>
                    </w14:srgbClr>
                  </w14:solidFill>
                </w14:textFill>
              </w:rPr>
              <w:t>|</w:t>
            </w:r>
            <w:r>
              <w:rPr>
                <w:vertAlign w:val="superscript"/>
              </w:rPr>
              <w:t>5</w:t>
            </w:r>
          </w:p>
        </w:tc>
        <w:tc>
          <w:tcPr>
            <w:tcW w:w="1129" w:type="dxa"/>
            <w:vAlign w:val="center"/>
          </w:tcPr>
          <w:p w14:paraId="35431ECC" w14:textId="77777777" w:rsidR="00852466" w:rsidRPr="00E85270" w:rsidRDefault="00852466">
            <w:pPr>
              <w:pStyle w:val="TableText0"/>
              <w:keepNext w:val="0"/>
            </w:pPr>
            <w:r w:rsidRPr="008810AA">
              <w:t>$</w:t>
            </w:r>
            <w:r w:rsidRPr="00E729E5">
              <w:rPr>
                <w:color w:val="000000"/>
                <w:spacing w:val="40"/>
                <w:shd w:val="solid" w:color="000000" w:fill="000000"/>
                <w:fitText w:val="330" w:id="-649849074"/>
                <w14:textFill>
                  <w14:solidFill>
                    <w14:srgbClr w14:val="000000">
                      <w14:alpha w14:val="100000"/>
                    </w14:srgbClr>
                  </w14:solidFill>
                </w14:textFill>
              </w:rPr>
              <w:t>|||</w:t>
            </w:r>
            <w:r w:rsidRPr="00E729E5">
              <w:rPr>
                <w:color w:val="000000"/>
                <w:spacing w:val="2"/>
                <w:shd w:val="solid" w:color="000000" w:fill="000000"/>
                <w:fitText w:val="330" w:id="-649849074"/>
                <w14:textFill>
                  <w14:solidFill>
                    <w14:srgbClr w14:val="000000">
                      <w14:alpha w14:val="100000"/>
                    </w14:srgbClr>
                  </w14:solidFill>
                </w14:textFill>
              </w:rPr>
              <w:t>|</w:t>
            </w:r>
            <w:r>
              <w:rPr>
                <w:vertAlign w:val="superscript"/>
              </w:rPr>
              <w:t>5</w:t>
            </w:r>
          </w:p>
        </w:tc>
        <w:tc>
          <w:tcPr>
            <w:tcW w:w="1129" w:type="dxa"/>
            <w:vAlign w:val="center"/>
          </w:tcPr>
          <w:p w14:paraId="6B014881" w14:textId="77777777" w:rsidR="00852466" w:rsidRPr="00E85270" w:rsidRDefault="00852466">
            <w:pPr>
              <w:pStyle w:val="TableText0"/>
              <w:keepNext w:val="0"/>
            </w:pPr>
            <w:r w:rsidRPr="008810AA">
              <w:t>$</w:t>
            </w:r>
            <w:r w:rsidRPr="00E729E5">
              <w:rPr>
                <w:color w:val="000000"/>
                <w:spacing w:val="40"/>
                <w:shd w:val="solid" w:color="000000" w:fill="000000"/>
                <w:fitText w:val="330" w:id="-649849073"/>
                <w14:textFill>
                  <w14:solidFill>
                    <w14:srgbClr w14:val="000000">
                      <w14:alpha w14:val="100000"/>
                    </w14:srgbClr>
                  </w14:solidFill>
                </w14:textFill>
              </w:rPr>
              <w:t>|||</w:t>
            </w:r>
            <w:r w:rsidRPr="00E729E5">
              <w:rPr>
                <w:color w:val="000000"/>
                <w:spacing w:val="2"/>
                <w:shd w:val="solid" w:color="000000" w:fill="000000"/>
                <w:fitText w:val="330" w:id="-649849073"/>
                <w14:textFill>
                  <w14:solidFill>
                    <w14:srgbClr w14:val="000000">
                      <w14:alpha w14:val="100000"/>
                    </w14:srgbClr>
                  </w14:solidFill>
                </w14:textFill>
              </w:rPr>
              <w:t>|</w:t>
            </w:r>
            <w:r>
              <w:rPr>
                <w:vertAlign w:val="superscript"/>
              </w:rPr>
              <w:t>5</w:t>
            </w:r>
          </w:p>
        </w:tc>
        <w:tc>
          <w:tcPr>
            <w:tcW w:w="1160" w:type="dxa"/>
            <w:vAlign w:val="center"/>
          </w:tcPr>
          <w:p w14:paraId="2B47793F" w14:textId="77777777" w:rsidR="00852466" w:rsidRPr="00E85270" w:rsidRDefault="00852466">
            <w:pPr>
              <w:pStyle w:val="TableText0"/>
              <w:keepNext w:val="0"/>
            </w:pPr>
            <w:r w:rsidRPr="008810AA">
              <w:t>$</w:t>
            </w:r>
            <w:r w:rsidRPr="00E729E5">
              <w:rPr>
                <w:color w:val="000000"/>
                <w:spacing w:val="40"/>
                <w:shd w:val="solid" w:color="000000" w:fill="000000"/>
                <w:fitText w:val="330" w:id="-649849072"/>
                <w14:textFill>
                  <w14:solidFill>
                    <w14:srgbClr w14:val="000000">
                      <w14:alpha w14:val="100000"/>
                    </w14:srgbClr>
                  </w14:solidFill>
                </w14:textFill>
              </w:rPr>
              <w:t>|||</w:t>
            </w:r>
            <w:r w:rsidRPr="00E729E5">
              <w:rPr>
                <w:color w:val="000000"/>
                <w:spacing w:val="2"/>
                <w:shd w:val="solid" w:color="000000" w:fill="000000"/>
                <w:fitText w:val="330" w:id="-649849072"/>
                <w14:textFill>
                  <w14:solidFill>
                    <w14:srgbClr w14:val="000000">
                      <w14:alpha w14:val="100000"/>
                    </w14:srgbClr>
                  </w14:solidFill>
                </w14:textFill>
              </w:rPr>
              <w:t>|</w:t>
            </w:r>
            <w:r>
              <w:rPr>
                <w:vertAlign w:val="superscript"/>
              </w:rPr>
              <w:t>5</w:t>
            </w:r>
          </w:p>
        </w:tc>
      </w:tr>
    </w:tbl>
    <w:p w14:paraId="44F333CC" w14:textId="77777777" w:rsidR="00852466" w:rsidRPr="00A25379" w:rsidRDefault="00852466" w:rsidP="00852466">
      <w:pPr>
        <w:pStyle w:val="TableFigureFooter"/>
      </w:pPr>
      <w:r w:rsidRPr="00A25379">
        <w:t>PBS = Pharmaceutical Benefits Scheme; RPBS = Repatriation Pharmaceutical Benefits Scheme</w:t>
      </w:r>
    </w:p>
    <w:p w14:paraId="4116FABE" w14:textId="77777777" w:rsidR="00852466" w:rsidRDefault="00852466" w:rsidP="00852466">
      <w:pPr>
        <w:pStyle w:val="TableFigureFooter"/>
        <w:rPr>
          <w:bCs/>
          <w:i/>
        </w:rPr>
      </w:pPr>
      <w:r w:rsidRPr="00CC058C">
        <w:rPr>
          <w:bCs/>
          <w:i/>
        </w:rPr>
        <w:t>The redacted values correspond to the following ranges:</w:t>
      </w:r>
    </w:p>
    <w:p w14:paraId="299E1880" w14:textId="77777777" w:rsidR="00852466" w:rsidRPr="00CC058C" w:rsidRDefault="00852466" w:rsidP="00852466">
      <w:pPr>
        <w:pStyle w:val="TableFigureFooter"/>
        <w:rPr>
          <w:bCs/>
        </w:rPr>
      </w:pPr>
      <w:r w:rsidRPr="00CC058C">
        <w:rPr>
          <w:bCs/>
          <w:i/>
          <w:vertAlign w:val="superscript"/>
        </w:rPr>
        <w:t>1</w:t>
      </w:r>
      <w:r w:rsidRPr="00CC058C">
        <w:rPr>
          <w:bCs/>
          <w:i/>
        </w:rPr>
        <w:t xml:space="preserve"> </w:t>
      </w:r>
      <w:r w:rsidRPr="00CC058C">
        <w:rPr>
          <w:bCs/>
        </w:rPr>
        <w:t>500 to &lt; 5,000</w:t>
      </w:r>
    </w:p>
    <w:p w14:paraId="311EB94C" w14:textId="77777777" w:rsidR="00852466" w:rsidRPr="00CC058C" w:rsidRDefault="00852466" w:rsidP="00852466">
      <w:pPr>
        <w:pStyle w:val="TableFigureFooter"/>
        <w:rPr>
          <w:bCs/>
        </w:rPr>
      </w:pPr>
      <w:r w:rsidRPr="00CC058C">
        <w:rPr>
          <w:bCs/>
          <w:i/>
          <w:vertAlign w:val="superscript"/>
        </w:rPr>
        <w:t>2</w:t>
      </w:r>
      <w:r>
        <w:rPr>
          <w:bCs/>
          <w:i/>
          <w:vertAlign w:val="superscript"/>
        </w:rPr>
        <w:t xml:space="preserve"> </w:t>
      </w:r>
      <w:r w:rsidRPr="00CC058C">
        <w:rPr>
          <w:bCs/>
          <w:i/>
        </w:rPr>
        <w:t xml:space="preserve"> </w:t>
      </w:r>
      <w:r w:rsidRPr="00CC058C">
        <w:rPr>
          <w:bCs/>
        </w:rPr>
        <w:t>&lt; 500</w:t>
      </w:r>
    </w:p>
    <w:p w14:paraId="02B76770" w14:textId="77777777" w:rsidR="00852466" w:rsidRPr="00CC058C" w:rsidRDefault="00852466" w:rsidP="00852466">
      <w:pPr>
        <w:pStyle w:val="TableFigureFooter"/>
        <w:rPr>
          <w:bCs/>
        </w:rPr>
      </w:pPr>
      <w:r w:rsidRPr="00CC058C">
        <w:rPr>
          <w:bCs/>
          <w:i/>
          <w:vertAlign w:val="superscript"/>
        </w:rPr>
        <w:t>3</w:t>
      </w:r>
      <w:r w:rsidRPr="00CC058C">
        <w:rPr>
          <w:bCs/>
          <w:i/>
        </w:rPr>
        <w:t xml:space="preserve"> </w:t>
      </w:r>
      <w:r w:rsidRPr="00CC058C">
        <w:rPr>
          <w:bCs/>
        </w:rPr>
        <w:t>5,000 to &lt; 10,000</w:t>
      </w:r>
    </w:p>
    <w:p w14:paraId="5107EA76" w14:textId="77777777" w:rsidR="00852466" w:rsidRPr="00CC058C" w:rsidRDefault="00852466" w:rsidP="00852466">
      <w:pPr>
        <w:pStyle w:val="TableFigureFooter"/>
        <w:rPr>
          <w:bCs/>
          <w:i/>
        </w:rPr>
      </w:pPr>
      <w:r w:rsidRPr="00CC058C">
        <w:rPr>
          <w:bCs/>
          <w:i/>
          <w:vertAlign w:val="superscript"/>
        </w:rPr>
        <w:t xml:space="preserve">4 </w:t>
      </w:r>
      <w:r w:rsidRPr="00CC058C">
        <w:rPr>
          <w:bCs/>
        </w:rPr>
        <w:t>20,000 to &lt; 30,000</w:t>
      </w:r>
    </w:p>
    <w:p w14:paraId="37BA823E" w14:textId="77777777" w:rsidR="00852466" w:rsidRPr="008810AA" w:rsidRDefault="00852466" w:rsidP="00852466">
      <w:pPr>
        <w:pStyle w:val="TableFigureFooter"/>
      </w:pPr>
      <w:r w:rsidRPr="00CC058C">
        <w:rPr>
          <w:bCs/>
          <w:i/>
          <w:vertAlign w:val="superscript"/>
        </w:rPr>
        <w:t>5</w:t>
      </w:r>
      <w:r w:rsidRPr="00CC058C">
        <w:rPr>
          <w:bCs/>
          <w:i/>
        </w:rPr>
        <w:t xml:space="preserve"> </w:t>
      </w:r>
      <w:r w:rsidRPr="00CC058C">
        <w:rPr>
          <w:bCs/>
        </w:rPr>
        <w:t>$10 million to &lt; $20 million</w:t>
      </w:r>
    </w:p>
    <w:p w14:paraId="0923590C" w14:textId="77777777" w:rsidR="00852466" w:rsidRPr="003E73D3" w:rsidRDefault="00852466" w:rsidP="00852466">
      <w:pPr>
        <w:pStyle w:val="TableFigureHeading"/>
        <w:keepNext w:val="0"/>
      </w:pPr>
      <w:r w:rsidRPr="003E73D3">
        <w:t xml:space="preserve">Table </w:t>
      </w:r>
      <w:r>
        <w:t>22:</w:t>
      </w:r>
      <w:r w:rsidRPr="003E73D3">
        <w:t xml:space="preserve"> </w:t>
      </w:r>
      <w:r w:rsidRPr="00DC52F0">
        <w:t>Financial estimates</w:t>
      </w:r>
      <w:r w:rsidRPr="003E73D3">
        <w:t xml:space="preserve"> – adalimumab – </w:t>
      </w:r>
      <w:r>
        <w:t>severe active JIA (prevalence of 5,000 patients, 29% treated population)</w:t>
      </w:r>
    </w:p>
    <w:tbl>
      <w:tblPr>
        <w:tblStyle w:val="TableGrid"/>
        <w:tblW w:w="0" w:type="auto"/>
        <w:tblInd w:w="-5" w:type="dxa"/>
        <w:tblLook w:val="04A0" w:firstRow="1" w:lastRow="0" w:firstColumn="1" w:lastColumn="0" w:noHBand="0" w:noVBand="1"/>
        <w:tblCaption w:val="Financial estimates – adalimumab – severe active JIA (prevalence of 5,000 patients, 29% treated population)"/>
      </w:tblPr>
      <w:tblGrid>
        <w:gridCol w:w="2167"/>
        <w:gridCol w:w="1129"/>
        <w:gridCol w:w="1129"/>
        <w:gridCol w:w="1178"/>
        <w:gridCol w:w="1129"/>
        <w:gridCol w:w="1129"/>
        <w:gridCol w:w="1160"/>
      </w:tblGrid>
      <w:tr w:rsidR="00852466" w:rsidRPr="0075084D" w14:paraId="547E9902" w14:textId="77777777">
        <w:tc>
          <w:tcPr>
            <w:tcW w:w="2167" w:type="dxa"/>
          </w:tcPr>
          <w:p w14:paraId="2C1BD0A4" w14:textId="77777777" w:rsidR="00852466" w:rsidRPr="0075084D" w:rsidRDefault="00852466">
            <w:pPr>
              <w:pStyle w:val="TableText0"/>
              <w:keepNext w:val="0"/>
              <w:rPr>
                <w:szCs w:val="20"/>
              </w:rPr>
            </w:pPr>
          </w:p>
        </w:tc>
        <w:tc>
          <w:tcPr>
            <w:tcW w:w="1129" w:type="dxa"/>
          </w:tcPr>
          <w:p w14:paraId="421FEEA8" w14:textId="77777777" w:rsidR="00852466" w:rsidRPr="0075084D" w:rsidRDefault="00852466">
            <w:pPr>
              <w:pStyle w:val="TableText0"/>
              <w:keepNext w:val="0"/>
              <w:rPr>
                <w:szCs w:val="20"/>
              </w:rPr>
            </w:pPr>
            <w:r w:rsidRPr="0075084D">
              <w:rPr>
                <w:szCs w:val="20"/>
              </w:rPr>
              <w:t>Year 1 (2025)</w:t>
            </w:r>
          </w:p>
        </w:tc>
        <w:tc>
          <w:tcPr>
            <w:tcW w:w="1129" w:type="dxa"/>
          </w:tcPr>
          <w:p w14:paraId="5E137D05" w14:textId="77777777" w:rsidR="00852466" w:rsidRPr="0075084D" w:rsidRDefault="00852466">
            <w:pPr>
              <w:pStyle w:val="TableText0"/>
              <w:keepNext w:val="0"/>
              <w:rPr>
                <w:szCs w:val="20"/>
              </w:rPr>
            </w:pPr>
            <w:r w:rsidRPr="0075084D">
              <w:rPr>
                <w:szCs w:val="20"/>
              </w:rPr>
              <w:t>Year 2 (2026)</w:t>
            </w:r>
          </w:p>
        </w:tc>
        <w:tc>
          <w:tcPr>
            <w:tcW w:w="1178" w:type="dxa"/>
          </w:tcPr>
          <w:p w14:paraId="2CB0086D" w14:textId="77777777" w:rsidR="00852466" w:rsidRPr="0075084D" w:rsidRDefault="00852466">
            <w:pPr>
              <w:pStyle w:val="TableText0"/>
              <w:keepNext w:val="0"/>
              <w:rPr>
                <w:szCs w:val="20"/>
              </w:rPr>
            </w:pPr>
            <w:r w:rsidRPr="0075084D">
              <w:rPr>
                <w:szCs w:val="20"/>
              </w:rPr>
              <w:t>Year 3 (2027)</w:t>
            </w:r>
          </w:p>
        </w:tc>
        <w:tc>
          <w:tcPr>
            <w:tcW w:w="1129" w:type="dxa"/>
          </w:tcPr>
          <w:p w14:paraId="78400EBE" w14:textId="77777777" w:rsidR="00852466" w:rsidRPr="0075084D" w:rsidRDefault="00852466">
            <w:pPr>
              <w:pStyle w:val="TableText0"/>
              <w:keepNext w:val="0"/>
              <w:rPr>
                <w:szCs w:val="20"/>
              </w:rPr>
            </w:pPr>
            <w:r w:rsidRPr="0075084D">
              <w:rPr>
                <w:szCs w:val="20"/>
              </w:rPr>
              <w:t>Year 4 (2028)</w:t>
            </w:r>
          </w:p>
        </w:tc>
        <w:tc>
          <w:tcPr>
            <w:tcW w:w="1129" w:type="dxa"/>
          </w:tcPr>
          <w:p w14:paraId="4C82845C" w14:textId="77777777" w:rsidR="00852466" w:rsidRPr="0075084D" w:rsidRDefault="00852466">
            <w:pPr>
              <w:pStyle w:val="TableText0"/>
              <w:keepNext w:val="0"/>
              <w:rPr>
                <w:szCs w:val="20"/>
              </w:rPr>
            </w:pPr>
            <w:r w:rsidRPr="0075084D">
              <w:rPr>
                <w:szCs w:val="20"/>
              </w:rPr>
              <w:t>Year 5 (2029)</w:t>
            </w:r>
          </w:p>
        </w:tc>
        <w:tc>
          <w:tcPr>
            <w:tcW w:w="1160" w:type="dxa"/>
          </w:tcPr>
          <w:p w14:paraId="461CA8A5" w14:textId="77777777" w:rsidR="00852466" w:rsidRPr="0075084D" w:rsidRDefault="00852466">
            <w:pPr>
              <w:pStyle w:val="TableText0"/>
              <w:keepNext w:val="0"/>
              <w:rPr>
                <w:szCs w:val="20"/>
              </w:rPr>
            </w:pPr>
            <w:r w:rsidRPr="0075084D">
              <w:rPr>
                <w:szCs w:val="20"/>
              </w:rPr>
              <w:t>Year 6 (2030)</w:t>
            </w:r>
          </w:p>
        </w:tc>
      </w:tr>
      <w:tr w:rsidR="00852466" w:rsidRPr="0075084D" w14:paraId="584A36F3" w14:textId="77777777">
        <w:tc>
          <w:tcPr>
            <w:tcW w:w="9021" w:type="dxa"/>
            <w:gridSpan w:val="7"/>
          </w:tcPr>
          <w:p w14:paraId="17C0BE1E" w14:textId="77777777" w:rsidR="00852466" w:rsidRPr="0075084D" w:rsidRDefault="00852466">
            <w:pPr>
              <w:pStyle w:val="TableText0"/>
              <w:keepNext w:val="0"/>
              <w:rPr>
                <w:szCs w:val="20"/>
              </w:rPr>
            </w:pPr>
            <w:r w:rsidRPr="0075084D">
              <w:rPr>
                <w:szCs w:val="20"/>
              </w:rPr>
              <w:t xml:space="preserve">Estimated extent of use </w:t>
            </w:r>
          </w:p>
        </w:tc>
      </w:tr>
      <w:tr w:rsidR="00852466" w:rsidRPr="0075084D" w14:paraId="341FD454" w14:textId="77777777">
        <w:tc>
          <w:tcPr>
            <w:tcW w:w="9021" w:type="dxa"/>
            <w:gridSpan w:val="7"/>
          </w:tcPr>
          <w:p w14:paraId="322AEF01" w14:textId="77777777" w:rsidR="00852466" w:rsidRPr="0075084D" w:rsidRDefault="00852466">
            <w:pPr>
              <w:pStyle w:val="TableText0"/>
              <w:keepNext w:val="0"/>
              <w:rPr>
                <w:szCs w:val="20"/>
              </w:rPr>
            </w:pPr>
            <w:r w:rsidRPr="0075084D">
              <w:rPr>
                <w:szCs w:val="20"/>
              </w:rPr>
              <w:t>Number of patients treated</w:t>
            </w:r>
          </w:p>
        </w:tc>
      </w:tr>
      <w:tr w:rsidR="00852466" w:rsidRPr="0075084D" w14:paraId="3D664F51" w14:textId="77777777">
        <w:tc>
          <w:tcPr>
            <w:tcW w:w="2167" w:type="dxa"/>
          </w:tcPr>
          <w:p w14:paraId="4421619F" w14:textId="77777777" w:rsidR="00852466" w:rsidRPr="0075084D" w:rsidRDefault="00852466">
            <w:pPr>
              <w:pStyle w:val="TableText0"/>
              <w:keepNext w:val="0"/>
              <w:rPr>
                <w:szCs w:val="20"/>
              </w:rPr>
            </w:pPr>
            <w:r w:rsidRPr="0075084D">
              <w:rPr>
                <w:szCs w:val="20"/>
              </w:rPr>
              <w:t>Total initiating patients</w:t>
            </w:r>
          </w:p>
        </w:tc>
        <w:tc>
          <w:tcPr>
            <w:tcW w:w="1129" w:type="dxa"/>
          </w:tcPr>
          <w:p w14:paraId="4FAAF91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tcPr>
          <w:p w14:paraId="6D21AEA8"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78" w:type="dxa"/>
          </w:tcPr>
          <w:p w14:paraId="403646B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tcPr>
          <w:p w14:paraId="7D4297E3"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tcPr>
          <w:p w14:paraId="7EC9EA61"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1</w:t>
            </w:r>
          </w:p>
        </w:tc>
        <w:tc>
          <w:tcPr>
            <w:tcW w:w="1160" w:type="dxa"/>
          </w:tcPr>
          <w:p w14:paraId="23318274"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1</w:t>
            </w:r>
          </w:p>
        </w:tc>
      </w:tr>
      <w:tr w:rsidR="00852466" w:rsidRPr="0075084D" w14:paraId="505C9F8B" w14:textId="77777777">
        <w:tc>
          <w:tcPr>
            <w:tcW w:w="2167" w:type="dxa"/>
          </w:tcPr>
          <w:p w14:paraId="18FDB297" w14:textId="77777777" w:rsidR="00852466" w:rsidRPr="0075084D" w:rsidRDefault="00852466">
            <w:pPr>
              <w:pStyle w:val="TableText0"/>
              <w:keepNext w:val="0"/>
              <w:rPr>
                <w:szCs w:val="20"/>
              </w:rPr>
            </w:pPr>
            <w:r w:rsidRPr="0075084D">
              <w:rPr>
                <w:szCs w:val="20"/>
              </w:rPr>
              <w:t>Total continuing patients</w:t>
            </w:r>
          </w:p>
        </w:tc>
        <w:tc>
          <w:tcPr>
            <w:tcW w:w="1129" w:type="dxa"/>
          </w:tcPr>
          <w:p w14:paraId="57B90E5D"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tcPr>
          <w:p w14:paraId="7168F8DF"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78" w:type="dxa"/>
          </w:tcPr>
          <w:p w14:paraId="63208336"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tcPr>
          <w:p w14:paraId="7156A6B9"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1</w:t>
            </w:r>
          </w:p>
        </w:tc>
        <w:tc>
          <w:tcPr>
            <w:tcW w:w="1129" w:type="dxa"/>
          </w:tcPr>
          <w:p w14:paraId="24470DEE"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1</w:t>
            </w:r>
          </w:p>
        </w:tc>
        <w:tc>
          <w:tcPr>
            <w:tcW w:w="1160" w:type="dxa"/>
          </w:tcPr>
          <w:p w14:paraId="54EE2DB7"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7"/>
                <w14:textFill>
                  <w14:solidFill>
                    <w14:srgbClr w14:val="000000">
                      <w14:alpha w14:val="100000"/>
                    </w14:srgbClr>
                  </w14:solidFill>
                </w14:textFill>
              </w:rPr>
              <w:t>|||</w:t>
            </w:r>
            <w:r w:rsidRPr="00E729E5">
              <w:rPr>
                <w:color w:val="000000"/>
                <w:spacing w:val="2"/>
                <w:szCs w:val="20"/>
                <w:shd w:val="solid" w:color="000000" w:fill="000000"/>
                <w:fitText w:val="330" w:id="-649849077"/>
                <w14:textFill>
                  <w14:solidFill>
                    <w14:srgbClr w14:val="000000">
                      <w14:alpha w14:val="100000"/>
                    </w14:srgbClr>
                  </w14:solidFill>
                </w14:textFill>
              </w:rPr>
              <w:t>|</w:t>
            </w:r>
            <w:r w:rsidRPr="0075084D">
              <w:rPr>
                <w:szCs w:val="20"/>
                <w:vertAlign w:val="superscript"/>
              </w:rPr>
              <w:t>1</w:t>
            </w:r>
            <w:r w:rsidRPr="00A46567">
              <w:rPr>
                <w:szCs w:val="20"/>
              </w:rPr>
              <w:t xml:space="preserve"> </w:t>
            </w:r>
          </w:p>
        </w:tc>
      </w:tr>
      <w:tr w:rsidR="00852466" w:rsidRPr="0075084D" w14:paraId="132E6BEF" w14:textId="77777777">
        <w:tc>
          <w:tcPr>
            <w:tcW w:w="9021" w:type="dxa"/>
            <w:gridSpan w:val="7"/>
          </w:tcPr>
          <w:p w14:paraId="0C617E14" w14:textId="77777777" w:rsidR="00852466" w:rsidRPr="0075084D" w:rsidRDefault="00852466">
            <w:pPr>
              <w:pStyle w:val="TableText0"/>
              <w:keepNext w:val="0"/>
              <w:rPr>
                <w:szCs w:val="20"/>
              </w:rPr>
            </w:pPr>
            <w:r w:rsidRPr="0075084D">
              <w:rPr>
                <w:szCs w:val="20"/>
              </w:rPr>
              <w:t>Number of prescriptions dispensed</w:t>
            </w:r>
          </w:p>
        </w:tc>
      </w:tr>
      <w:tr w:rsidR="00852466" w:rsidRPr="0075084D" w14:paraId="7AF20A4C" w14:textId="77777777">
        <w:tc>
          <w:tcPr>
            <w:tcW w:w="2167" w:type="dxa"/>
            <w:vAlign w:val="center"/>
          </w:tcPr>
          <w:p w14:paraId="76EF58CF" w14:textId="77777777" w:rsidR="00852466" w:rsidRPr="0075084D" w:rsidRDefault="00852466">
            <w:pPr>
              <w:pStyle w:val="TableText0"/>
              <w:keepNext w:val="0"/>
              <w:rPr>
                <w:szCs w:val="20"/>
              </w:rPr>
            </w:pPr>
            <w:r w:rsidRPr="0075084D">
              <w:rPr>
                <w:szCs w:val="20"/>
              </w:rPr>
              <w:t>Adalimumab (public) 20 mg/0.2 mL injection, 2 x 0.2 mL syringes - Initiating</w:t>
            </w:r>
          </w:p>
        </w:tc>
        <w:tc>
          <w:tcPr>
            <w:tcW w:w="1129" w:type="dxa"/>
            <w:vAlign w:val="center"/>
          </w:tcPr>
          <w:p w14:paraId="572EE4C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6"/>
                <w14:textFill>
                  <w14:solidFill>
                    <w14:srgbClr w14:val="000000">
                      <w14:alpha w14:val="100000"/>
                    </w14:srgbClr>
                  </w14:solidFill>
                </w14:textFill>
              </w:rPr>
              <w:t>|||</w:t>
            </w:r>
            <w:r w:rsidRPr="00E729E5">
              <w:rPr>
                <w:color w:val="000000"/>
                <w:spacing w:val="2"/>
                <w:szCs w:val="20"/>
                <w:shd w:val="solid" w:color="000000" w:fill="000000"/>
                <w:fitText w:val="330" w:id="-649849076"/>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3D0A74CA"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5"/>
                <w14:textFill>
                  <w14:solidFill>
                    <w14:srgbClr w14:val="000000">
                      <w14:alpha w14:val="100000"/>
                    </w14:srgbClr>
                  </w14:solidFill>
                </w14:textFill>
              </w:rPr>
              <w:t>|||</w:t>
            </w:r>
            <w:r w:rsidRPr="00E729E5">
              <w:rPr>
                <w:color w:val="000000"/>
                <w:spacing w:val="2"/>
                <w:szCs w:val="20"/>
                <w:shd w:val="solid" w:color="000000" w:fill="000000"/>
                <w:fitText w:val="330" w:id="-649849075"/>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78" w:type="dxa"/>
            <w:vAlign w:val="center"/>
          </w:tcPr>
          <w:p w14:paraId="552F3775"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4"/>
                <w14:textFill>
                  <w14:solidFill>
                    <w14:srgbClr w14:val="000000">
                      <w14:alpha w14:val="100000"/>
                    </w14:srgbClr>
                  </w14:solidFill>
                </w14:textFill>
              </w:rPr>
              <w:t>|||</w:t>
            </w:r>
            <w:r w:rsidRPr="00E729E5">
              <w:rPr>
                <w:color w:val="000000"/>
                <w:spacing w:val="2"/>
                <w:szCs w:val="20"/>
                <w:shd w:val="solid" w:color="000000" w:fill="000000"/>
                <w:fitText w:val="330" w:id="-649849074"/>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0F6F67B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3"/>
                <w14:textFill>
                  <w14:solidFill>
                    <w14:srgbClr w14:val="000000">
                      <w14:alpha w14:val="100000"/>
                    </w14:srgbClr>
                  </w14:solidFill>
                </w14:textFill>
              </w:rPr>
              <w:t>|||</w:t>
            </w:r>
            <w:r w:rsidRPr="00E729E5">
              <w:rPr>
                <w:color w:val="000000"/>
                <w:spacing w:val="2"/>
                <w:szCs w:val="20"/>
                <w:shd w:val="solid" w:color="000000" w:fill="000000"/>
                <w:fitText w:val="330" w:id="-649849073"/>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3FE978CB"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2"/>
                <w14:textFill>
                  <w14:solidFill>
                    <w14:srgbClr w14:val="000000">
                      <w14:alpha w14:val="100000"/>
                    </w14:srgbClr>
                  </w14:solidFill>
                </w14:textFill>
              </w:rPr>
              <w:t>|||</w:t>
            </w:r>
            <w:r w:rsidRPr="00E729E5">
              <w:rPr>
                <w:color w:val="000000"/>
                <w:spacing w:val="2"/>
                <w:szCs w:val="20"/>
                <w:shd w:val="solid" w:color="000000" w:fill="000000"/>
                <w:fitText w:val="330" w:id="-649849072"/>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60" w:type="dxa"/>
            <w:vAlign w:val="center"/>
          </w:tcPr>
          <w:p w14:paraId="7ACBE3E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2</w:t>
            </w:r>
            <w:r w:rsidRPr="00A46567">
              <w:rPr>
                <w:szCs w:val="20"/>
              </w:rPr>
              <w:t xml:space="preserve"> </w:t>
            </w:r>
          </w:p>
        </w:tc>
      </w:tr>
      <w:tr w:rsidR="00852466" w:rsidRPr="0075084D" w14:paraId="23CC190F" w14:textId="77777777">
        <w:tc>
          <w:tcPr>
            <w:tcW w:w="2167" w:type="dxa"/>
            <w:vAlign w:val="center"/>
          </w:tcPr>
          <w:p w14:paraId="3282049D" w14:textId="77777777" w:rsidR="00852466" w:rsidRPr="0075084D" w:rsidRDefault="00852466">
            <w:pPr>
              <w:pStyle w:val="TableText0"/>
              <w:keepNext w:val="0"/>
              <w:rPr>
                <w:szCs w:val="20"/>
              </w:rPr>
            </w:pPr>
            <w:r w:rsidRPr="0075084D">
              <w:rPr>
                <w:szCs w:val="20"/>
              </w:rPr>
              <w:t>Adalimumab (Private) 20 mg/0.2 mL injection, 2 x 0.2 mL syringes - Initiating</w:t>
            </w:r>
          </w:p>
        </w:tc>
        <w:tc>
          <w:tcPr>
            <w:tcW w:w="1129" w:type="dxa"/>
            <w:vAlign w:val="center"/>
          </w:tcPr>
          <w:p w14:paraId="40F7D061"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7E01EECE"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78" w:type="dxa"/>
            <w:vAlign w:val="center"/>
          </w:tcPr>
          <w:p w14:paraId="2B333F50"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681097E2"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29" w:type="dxa"/>
            <w:vAlign w:val="center"/>
          </w:tcPr>
          <w:p w14:paraId="5F9F9F4D"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2</w:t>
            </w:r>
            <w:r w:rsidRPr="00A46567">
              <w:rPr>
                <w:szCs w:val="20"/>
              </w:rPr>
              <w:t xml:space="preserve"> </w:t>
            </w:r>
          </w:p>
        </w:tc>
        <w:tc>
          <w:tcPr>
            <w:tcW w:w="1160" w:type="dxa"/>
            <w:vAlign w:val="center"/>
          </w:tcPr>
          <w:p w14:paraId="09AF43E3"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2</w:t>
            </w:r>
            <w:r w:rsidRPr="00A46567">
              <w:rPr>
                <w:szCs w:val="20"/>
              </w:rPr>
              <w:t xml:space="preserve"> </w:t>
            </w:r>
          </w:p>
        </w:tc>
      </w:tr>
      <w:tr w:rsidR="00852466" w:rsidRPr="0075084D" w14:paraId="57C1B0B2" w14:textId="77777777">
        <w:tc>
          <w:tcPr>
            <w:tcW w:w="2167" w:type="dxa"/>
            <w:vAlign w:val="center"/>
          </w:tcPr>
          <w:p w14:paraId="67EA13C3" w14:textId="77777777" w:rsidR="00852466" w:rsidRPr="0075084D" w:rsidRDefault="00852466">
            <w:pPr>
              <w:pStyle w:val="TableText0"/>
              <w:keepNext w:val="0"/>
              <w:rPr>
                <w:szCs w:val="20"/>
              </w:rPr>
            </w:pPr>
            <w:r w:rsidRPr="0075084D">
              <w:rPr>
                <w:szCs w:val="20"/>
              </w:rPr>
              <w:t>Adalimumab (public) 40 mg/0.4 mL injection, 2 x 0.4 mL pen devices &amp; syringes - Initiating</w:t>
            </w:r>
          </w:p>
        </w:tc>
        <w:tc>
          <w:tcPr>
            <w:tcW w:w="1129" w:type="dxa"/>
            <w:vAlign w:val="center"/>
          </w:tcPr>
          <w:p w14:paraId="1A050C57"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4EB719AE"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78" w:type="dxa"/>
            <w:vAlign w:val="center"/>
          </w:tcPr>
          <w:p w14:paraId="61610B44"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62FA0E7C"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2E0AA2A2"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7"/>
                <w14:textFill>
                  <w14:solidFill>
                    <w14:srgbClr w14:val="000000">
                      <w14:alpha w14:val="100000"/>
                    </w14:srgbClr>
                  </w14:solidFill>
                </w14:textFill>
              </w:rPr>
              <w:t>|||</w:t>
            </w:r>
            <w:r w:rsidRPr="00E729E5">
              <w:rPr>
                <w:color w:val="000000"/>
                <w:spacing w:val="2"/>
                <w:szCs w:val="20"/>
                <w:shd w:val="solid" w:color="000000" w:fill="000000"/>
                <w:fitText w:val="330" w:id="-649849077"/>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60" w:type="dxa"/>
            <w:vAlign w:val="center"/>
          </w:tcPr>
          <w:p w14:paraId="690DF6CB"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6"/>
                <w14:textFill>
                  <w14:solidFill>
                    <w14:srgbClr w14:val="000000">
                      <w14:alpha w14:val="100000"/>
                    </w14:srgbClr>
                  </w14:solidFill>
                </w14:textFill>
              </w:rPr>
              <w:t>|||</w:t>
            </w:r>
            <w:r w:rsidRPr="00E729E5">
              <w:rPr>
                <w:color w:val="000000"/>
                <w:spacing w:val="2"/>
                <w:szCs w:val="20"/>
                <w:shd w:val="solid" w:color="000000" w:fill="000000"/>
                <w:fitText w:val="330" w:id="-649849076"/>
                <w14:textFill>
                  <w14:solidFill>
                    <w14:srgbClr w14:val="000000">
                      <w14:alpha w14:val="100000"/>
                    </w14:srgbClr>
                  </w14:solidFill>
                </w14:textFill>
              </w:rPr>
              <w:t>|</w:t>
            </w:r>
            <w:r w:rsidRPr="0075084D">
              <w:rPr>
                <w:szCs w:val="20"/>
                <w:vertAlign w:val="superscript"/>
              </w:rPr>
              <w:t>1</w:t>
            </w:r>
            <w:r w:rsidRPr="00A46567">
              <w:rPr>
                <w:szCs w:val="20"/>
              </w:rPr>
              <w:t xml:space="preserve"> </w:t>
            </w:r>
          </w:p>
        </w:tc>
      </w:tr>
      <w:tr w:rsidR="00852466" w:rsidRPr="0075084D" w14:paraId="3818ECC9" w14:textId="77777777">
        <w:tc>
          <w:tcPr>
            <w:tcW w:w="2167" w:type="dxa"/>
            <w:vAlign w:val="center"/>
          </w:tcPr>
          <w:p w14:paraId="3CA48C88" w14:textId="77777777" w:rsidR="00852466" w:rsidRPr="0075084D" w:rsidRDefault="00852466">
            <w:pPr>
              <w:pStyle w:val="TableText0"/>
              <w:keepNext w:val="0"/>
              <w:rPr>
                <w:szCs w:val="20"/>
              </w:rPr>
            </w:pPr>
            <w:r w:rsidRPr="0075084D">
              <w:rPr>
                <w:szCs w:val="20"/>
              </w:rPr>
              <w:t>Adalimumab (Private) 40 mg/0.4 mL injection, 2 x 0.4 mL pen devices &amp; syringes - Initiating</w:t>
            </w:r>
          </w:p>
        </w:tc>
        <w:tc>
          <w:tcPr>
            <w:tcW w:w="1129" w:type="dxa"/>
            <w:vAlign w:val="center"/>
          </w:tcPr>
          <w:p w14:paraId="0FB01E84"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5"/>
                <w14:textFill>
                  <w14:solidFill>
                    <w14:srgbClr w14:val="000000">
                      <w14:alpha w14:val="100000"/>
                    </w14:srgbClr>
                  </w14:solidFill>
                </w14:textFill>
              </w:rPr>
              <w:t>|||</w:t>
            </w:r>
            <w:r w:rsidRPr="00E729E5">
              <w:rPr>
                <w:color w:val="000000"/>
                <w:spacing w:val="2"/>
                <w:szCs w:val="20"/>
                <w:shd w:val="solid" w:color="000000" w:fill="000000"/>
                <w:fitText w:val="330" w:id="-649849075"/>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728F7103"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4"/>
                <w14:textFill>
                  <w14:solidFill>
                    <w14:srgbClr w14:val="000000">
                      <w14:alpha w14:val="100000"/>
                    </w14:srgbClr>
                  </w14:solidFill>
                </w14:textFill>
              </w:rPr>
              <w:t>|||</w:t>
            </w:r>
            <w:r w:rsidRPr="00E729E5">
              <w:rPr>
                <w:color w:val="000000"/>
                <w:spacing w:val="2"/>
                <w:szCs w:val="20"/>
                <w:shd w:val="solid" w:color="000000" w:fill="000000"/>
                <w:fitText w:val="330" w:id="-649849074"/>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78" w:type="dxa"/>
            <w:vAlign w:val="center"/>
          </w:tcPr>
          <w:p w14:paraId="03EF6FBD"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3"/>
                <w14:textFill>
                  <w14:solidFill>
                    <w14:srgbClr w14:val="000000">
                      <w14:alpha w14:val="100000"/>
                    </w14:srgbClr>
                  </w14:solidFill>
                </w14:textFill>
              </w:rPr>
              <w:t>|||</w:t>
            </w:r>
            <w:r w:rsidRPr="00E729E5">
              <w:rPr>
                <w:color w:val="000000"/>
                <w:spacing w:val="2"/>
                <w:szCs w:val="20"/>
                <w:shd w:val="solid" w:color="000000" w:fill="000000"/>
                <w:fitText w:val="330" w:id="-649849073"/>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139E4BA7"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2"/>
                <w14:textFill>
                  <w14:solidFill>
                    <w14:srgbClr w14:val="000000">
                      <w14:alpha w14:val="100000"/>
                    </w14:srgbClr>
                  </w14:solidFill>
                </w14:textFill>
              </w:rPr>
              <w:t>|||</w:t>
            </w:r>
            <w:r w:rsidRPr="00E729E5">
              <w:rPr>
                <w:color w:val="000000"/>
                <w:spacing w:val="2"/>
                <w:szCs w:val="20"/>
                <w:shd w:val="solid" w:color="000000" w:fill="000000"/>
                <w:fitText w:val="330" w:id="-649849072"/>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29" w:type="dxa"/>
            <w:vAlign w:val="center"/>
          </w:tcPr>
          <w:p w14:paraId="3AC8FCAA"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1</w:t>
            </w:r>
            <w:r w:rsidRPr="00A46567">
              <w:rPr>
                <w:szCs w:val="20"/>
              </w:rPr>
              <w:t xml:space="preserve"> </w:t>
            </w:r>
          </w:p>
        </w:tc>
        <w:tc>
          <w:tcPr>
            <w:tcW w:w="1160" w:type="dxa"/>
            <w:vAlign w:val="center"/>
          </w:tcPr>
          <w:p w14:paraId="4B91EC09"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1</w:t>
            </w:r>
            <w:r w:rsidRPr="00A46567">
              <w:rPr>
                <w:szCs w:val="20"/>
              </w:rPr>
              <w:t xml:space="preserve"> </w:t>
            </w:r>
          </w:p>
        </w:tc>
      </w:tr>
      <w:tr w:rsidR="00852466" w:rsidRPr="0075084D" w14:paraId="50FAB10B" w14:textId="77777777">
        <w:trPr>
          <w:trHeight w:val="458"/>
        </w:trPr>
        <w:tc>
          <w:tcPr>
            <w:tcW w:w="2167" w:type="dxa"/>
            <w:vMerge w:val="restart"/>
            <w:vAlign w:val="center"/>
          </w:tcPr>
          <w:p w14:paraId="2F40BADB" w14:textId="77777777" w:rsidR="00852466" w:rsidRPr="0075084D" w:rsidRDefault="00852466">
            <w:pPr>
              <w:pStyle w:val="TableText0"/>
              <w:keepNext w:val="0"/>
              <w:rPr>
                <w:szCs w:val="20"/>
              </w:rPr>
            </w:pPr>
            <w:r w:rsidRPr="0075084D">
              <w:rPr>
                <w:szCs w:val="20"/>
              </w:rPr>
              <w:t>Adalimumab (public) 20 mg/0.2 mL injection, 2 x 0.2 mL syringes - Continuing</w:t>
            </w:r>
          </w:p>
        </w:tc>
        <w:tc>
          <w:tcPr>
            <w:tcW w:w="1129" w:type="dxa"/>
            <w:vAlign w:val="center"/>
          </w:tcPr>
          <w:p w14:paraId="614D233F"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674E10DC"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78" w:type="dxa"/>
            <w:vAlign w:val="center"/>
          </w:tcPr>
          <w:p w14:paraId="38E9B41E"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78AFC7D3"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0A91DD32"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60" w:type="dxa"/>
            <w:vAlign w:val="center"/>
          </w:tcPr>
          <w:p w14:paraId="18DF7E3D"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1</w:t>
            </w:r>
            <w:r w:rsidRPr="0075084D">
              <w:rPr>
                <w:szCs w:val="20"/>
              </w:rPr>
              <w:t xml:space="preserve"> </w:t>
            </w:r>
          </w:p>
        </w:tc>
      </w:tr>
      <w:tr w:rsidR="00852466" w:rsidRPr="0075084D" w14:paraId="0150ED94" w14:textId="77777777">
        <w:trPr>
          <w:trHeight w:val="457"/>
        </w:trPr>
        <w:tc>
          <w:tcPr>
            <w:tcW w:w="2167" w:type="dxa"/>
            <w:vMerge/>
            <w:vAlign w:val="center"/>
          </w:tcPr>
          <w:p w14:paraId="3C66C664" w14:textId="77777777" w:rsidR="00852466" w:rsidRPr="0075084D" w:rsidRDefault="00852466">
            <w:pPr>
              <w:pStyle w:val="TableText0"/>
              <w:keepNext w:val="0"/>
              <w:rPr>
                <w:szCs w:val="20"/>
              </w:rPr>
            </w:pPr>
          </w:p>
        </w:tc>
        <w:tc>
          <w:tcPr>
            <w:tcW w:w="1129" w:type="dxa"/>
            <w:vAlign w:val="center"/>
          </w:tcPr>
          <w:p w14:paraId="4DD5CA89"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2</w:t>
            </w:r>
            <w:r w:rsidRPr="0075084D">
              <w:rPr>
                <w:szCs w:val="20"/>
              </w:rPr>
              <w:t xml:space="preserve"> </w:t>
            </w:r>
          </w:p>
        </w:tc>
        <w:tc>
          <w:tcPr>
            <w:tcW w:w="1129" w:type="dxa"/>
            <w:vAlign w:val="center"/>
          </w:tcPr>
          <w:p w14:paraId="1DC7CC4D"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2</w:t>
            </w:r>
          </w:p>
        </w:tc>
        <w:tc>
          <w:tcPr>
            <w:tcW w:w="1178" w:type="dxa"/>
            <w:vAlign w:val="center"/>
          </w:tcPr>
          <w:p w14:paraId="14F57A58"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2</w:t>
            </w:r>
          </w:p>
        </w:tc>
        <w:tc>
          <w:tcPr>
            <w:tcW w:w="1129" w:type="dxa"/>
            <w:vAlign w:val="center"/>
          </w:tcPr>
          <w:p w14:paraId="286349AD"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7"/>
                <w14:textFill>
                  <w14:solidFill>
                    <w14:srgbClr w14:val="000000">
                      <w14:alpha w14:val="100000"/>
                    </w14:srgbClr>
                  </w14:solidFill>
                </w14:textFill>
              </w:rPr>
              <w:t>|||</w:t>
            </w:r>
            <w:r w:rsidRPr="00E729E5">
              <w:rPr>
                <w:color w:val="000000"/>
                <w:spacing w:val="2"/>
                <w:szCs w:val="20"/>
                <w:shd w:val="solid" w:color="000000" w:fill="000000"/>
                <w:fitText w:val="330" w:id="-649849077"/>
                <w14:textFill>
                  <w14:solidFill>
                    <w14:srgbClr w14:val="000000">
                      <w14:alpha w14:val="100000"/>
                    </w14:srgbClr>
                  </w14:solidFill>
                </w14:textFill>
              </w:rPr>
              <w:t>|</w:t>
            </w:r>
            <w:r w:rsidRPr="0075084D">
              <w:rPr>
                <w:szCs w:val="20"/>
                <w:vertAlign w:val="superscript"/>
              </w:rPr>
              <w:t>2</w:t>
            </w:r>
          </w:p>
        </w:tc>
        <w:tc>
          <w:tcPr>
            <w:tcW w:w="1129" w:type="dxa"/>
            <w:vAlign w:val="center"/>
          </w:tcPr>
          <w:p w14:paraId="040E452C"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6"/>
                <w14:textFill>
                  <w14:solidFill>
                    <w14:srgbClr w14:val="000000">
                      <w14:alpha w14:val="100000"/>
                    </w14:srgbClr>
                  </w14:solidFill>
                </w14:textFill>
              </w:rPr>
              <w:t>|||</w:t>
            </w:r>
            <w:r w:rsidRPr="00E729E5">
              <w:rPr>
                <w:color w:val="000000"/>
                <w:spacing w:val="2"/>
                <w:szCs w:val="20"/>
                <w:shd w:val="solid" w:color="000000" w:fill="000000"/>
                <w:fitText w:val="330" w:id="-649849076"/>
                <w14:textFill>
                  <w14:solidFill>
                    <w14:srgbClr w14:val="000000">
                      <w14:alpha w14:val="100000"/>
                    </w14:srgbClr>
                  </w14:solidFill>
                </w14:textFill>
              </w:rPr>
              <w:t>|</w:t>
            </w:r>
            <w:r w:rsidRPr="0075084D">
              <w:rPr>
                <w:szCs w:val="20"/>
                <w:vertAlign w:val="superscript"/>
              </w:rPr>
              <w:t>2</w:t>
            </w:r>
          </w:p>
        </w:tc>
        <w:tc>
          <w:tcPr>
            <w:tcW w:w="1160" w:type="dxa"/>
            <w:vAlign w:val="center"/>
          </w:tcPr>
          <w:p w14:paraId="32805BDD"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5"/>
                <w14:textFill>
                  <w14:solidFill>
                    <w14:srgbClr w14:val="000000">
                      <w14:alpha w14:val="100000"/>
                    </w14:srgbClr>
                  </w14:solidFill>
                </w14:textFill>
              </w:rPr>
              <w:t>|||</w:t>
            </w:r>
            <w:r w:rsidRPr="00E729E5">
              <w:rPr>
                <w:color w:val="000000"/>
                <w:spacing w:val="2"/>
                <w:szCs w:val="20"/>
                <w:shd w:val="solid" w:color="000000" w:fill="000000"/>
                <w:fitText w:val="330" w:id="-649849075"/>
                <w14:textFill>
                  <w14:solidFill>
                    <w14:srgbClr w14:val="000000">
                      <w14:alpha w14:val="100000"/>
                    </w14:srgbClr>
                  </w14:solidFill>
                </w14:textFill>
              </w:rPr>
              <w:t>|</w:t>
            </w:r>
            <w:r w:rsidRPr="0075084D">
              <w:rPr>
                <w:szCs w:val="20"/>
                <w:vertAlign w:val="superscript"/>
              </w:rPr>
              <w:t>2</w:t>
            </w:r>
          </w:p>
        </w:tc>
      </w:tr>
      <w:tr w:rsidR="00852466" w:rsidRPr="0075084D" w14:paraId="614D1A34" w14:textId="77777777">
        <w:trPr>
          <w:trHeight w:val="458"/>
        </w:trPr>
        <w:tc>
          <w:tcPr>
            <w:tcW w:w="2167" w:type="dxa"/>
            <w:vMerge w:val="restart"/>
            <w:vAlign w:val="center"/>
          </w:tcPr>
          <w:p w14:paraId="18B6F466" w14:textId="77777777" w:rsidR="00852466" w:rsidRPr="0075084D" w:rsidRDefault="00852466">
            <w:pPr>
              <w:pStyle w:val="TableText0"/>
              <w:keepNext w:val="0"/>
              <w:rPr>
                <w:szCs w:val="20"/>
              </w:rPr>
            </w:pPr>
            <w:r w:rsidRPr="0075084D">
              <w:rPr>
                <w:szCs w:val="20"/>
              </w:rPr>
              <w:t>Adalimumab (Private) 20 mg/0.2 mL injection, 2 x 0.2 mL syringes - Continuing</w:t>
            </w:r>
          </w:p>
        </w:tc>
        <w:tc>
          <w:tcPr>
            <w:tcW w:w="1129" w:type="dxa"/>
            <w:vAlign w:val="center"/>
          </w:tcPr>
          <w:p w14:paraId="3DCAB849"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4"/>
                <w14:textFill>
                  <w14:solidFill>
                    <w14:srgbClr w14:val="000000">
                      <w14:alpha w14:val="100000"/>
                    </w14:srgbClr>
                  </w14:solidFill>
                </w14:textFill>
              </w:rPr>
              <w:t>|||</w:t>
            </w:r>
            <w:r w:rsidRPr="00E729E5">
              <w:rPr>
                <w:color w:val="000000"/>
                <w:spacing w:val="2"/>
                <w:szCs w:val="20"/>
                <w:shd w:val="solid" w:color="000000" w:fill="000000"/>
                <w:fitText w:val="330" w:id="-649849074"/>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250C9596"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3"/>
                <w14:textFill>
                  <w14:solidFill>
                    <w14:srgbClr w14:val="000000">
                      <w14:alpha w14:val="100000"/>
                    </w14:srgbClr>
                  </w14:solidFill>
                </w14:textFill>
              </w:rPr>
              <w:t>|||</w:t>
            </w:r>
            <w:r w:rsidRPr="00E729E5">
              <w:rPr>
                <w:color w:val="000000"/>
                <w:spacing w:val="2"/>
                <w:szCs w:val="20"/>
                <w:shd w:val="solid" w:color="000000" w:fill="000000"/>
                <w:fitText w:val="330" w:id="-649849073"/>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78" w:type="dxa"/>
            <w:vAlign w:val="center"/>
          </w:tcPr>
          <w:p w14:paraId="6ED35B2E"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2"/>
                <w14:textFill>
                  <w14:solidFill>
                    <w14:srgbClr w14:val="000000">
                      <w14:alpha w14:val="100000"/>
                    </w14:srgbClr>
                  </w14:solidFill>
                </w14:textFill>
              </w:rPr>
              <w:t>|||</w:t>
            </w:r>
            <w:r w:rsidRPr="00E729E5">
              <w:rPr>
                <w:color w:val="000000"/>
                <w:spacing w:val="2"/>
                <w:szCs w:val="20"/>
                <w:shd w:val="solid" w:color="000000" w:fill="000000"/>
                <w:fitText w:val="330" w:id="-649849072"/>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3D5DDCB0"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29" w:type="dxa"/>
            <w:vAlign w:val="center"/>
          </w:tcPr>
          <w:p w14:paraId="54E811D8"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1</w:t>
            </w:r>
            <w:r w:rsidRPr="0075084D">
              <w:rPr>
                <w:szCs w:val="20"/>
              </w:rPr>
              <w:t xml:space="preserve"> </w:t>
            </w:r>
          </w:p>
        </w:tc>
        <w:tc>
          <w:tcPr>
            <w:tcW w:w="1160" w:type="dxa"/>
            <w:vAlign w:val="center"/>
          </w:tcPr>
          <w:p w14:paraId="6601775D"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1</w:t>
            </w:r>
            <w:r w:rsidRPr="0075084D">
              <w:rPr>
                <w:szCs w:val="20"/>
              </w:rPr>
              <w:t xml:space="preserve"> </w:t>
            </w:r>
          </w:p>
        </w:tc>
      </w:tr>
      <w:tr w:rsidR="00852466" w:rsidRPr="0075084D" w14:paraId="02D08308" w14:textId="77777777">
        <w:trPr>
          <w:trHeight w:val="457"/>
        </w:trPr>
        <w:tc>
          <w:tcPr>
            <w:tcW w:w="2167" w:type="dxa"/>
            <w:vMerge/>
            <w:vAlign w:val="center"/>
          </w:tcPr>
          <w:p w14:paraId="65F31A8D" w14:textId="77777777" w:rsidR="00852466" w:rsidRPr="0075084D" w:rsidRDefault="00852466">
            <w:pPr>
              <w:pStyle w:val="TableText0"/>
              <w:keepNext w:val="0"/>
              <w:rPr>
                <w:szCs w:val="20"/>
              </w:rPr>
            </w:pPr>
          </w:p>
        </w:tc>
        <w:tc>
          <w:tcPr>
            <w:tcW w:w="1129" w:type="dxa"/>
            <w:vAlign w:val="center"/>
          </w:tcPr>
          <w:p w14:paraId="3A4E6F03"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2</w:t>
            </w:r>
          </w:p>
        </w:tc>
        <w:tc>
          <w:tcPr>
            <w:tcW w:w="1129" w:type="dxa"/>
            <w:vAlign w:val="center"/>
          </w:tcPr>
          <w:p w14:paraId="6E058D1F"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2</w:t>
            </w:r>
          </w:p>
        </w:tc>
        <w:tc>
          <w:tcPr>
            <w:tcW w:w="1178" w:type="dxa"/>
            <w:vAlign w:val="center"/>
          </w:tcPr>
          <w:p w14:paraId="6603BF97"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2</w:t>
            </w:r>
          </w:p>
        </w:tc>
        <w:tc>
          <w:tcPr>
            <w:tcW w:w="1129" w:type="dxa"/>
            <w:vAlign w:val="center"/>
          </w:tcPr>
          <w:p w14:paraId="38DA0243"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2</w:t>
            </w:r>
          </w:p>
        </w:tc>
        <w:tc>
          <w:tcPr>
            <w:tcW w:w="1129" w:type="dxa"/>
            <w:vAlign w:val="center"/>
          </w:tcPr>
          <w:p w14:paraId="1E95883A"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2</w:t>
            </w:r>
          </w:p>
        </w:tc>
        <w:tc>
          <w:tcPr>
            <w:tcW w:w="1160" w:type="dxa"/>
            <w:vAlign w:val="center"/>
          </w:tcPr>
          <w:p w14:paraId="6997E246"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2</w:t>
            </w:r>
          </w:p>
        </w:tc>
      </w:tr>
      <w:tr w:rsidR="00852466" w:rsidRPr="0075084D" w14:paraId="2F54332F" w14:textId="77777777">
        <w:trPr>
          <w:trHeight w:val="575"/>
        </w:trPr>
        <w:tc>
          <w:tcPr>
            <w:tcW w:w="2167" w:type="dxa"/>
            <w:vMerge w:val="restart"/>
            <w:vAlign w:val="center"/>
          </w:tcPr>
          <w:p w14:paraId="143F7717" w14:textId="77777777" w:rsidR="00852466" w:rsidRPr="0075084D" w:rsidRDefault="00852466">
            <w:pPr>
              <w:pStyle w:val="TableText0"/>
              <w:keepNext w:val="0"/>
              <w:rPr>
                <w:szCs w:val="20"/>
              </w:rPr>
            </w:pPr>
            <w:r w:rsidRPr="0075084D">
              <w:rPr>
                <w:szCs w:val="20"/>
              </w:rPr>
              <w:t>Adalimumab (public) 40 mg/0.4 mL injection, 2 x 0.4 mL pen devices &amp; syringes - Continuing</w:t>
            </w:r>
          </w:p>
        </w:tc>
        <w:tc>
          <w:tcPr>
            <w:tcW w:w="1129" w:type="dxa"/>
            <w:vAlign w:val="center"/>
          </w:tcPr>
          <w:p w14:paraId="61C87523"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6242B101"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78" w:type="dxa"/>
            <w:vAlign w:val="center"/>
          </w:tcPr>
          <w:p w14:paraId="338D65C8"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7"/>
                <w14:textFill>
                  <w14:solidFill>
                    <w14:srgbClr w14:val="000000">
                      <w14:alpha w14:val="100000"/>
                    </w14:srgbClr>
                  </w14:solidFill>
                </w14:textFill>
              </w:rPr>
              <w:t>|||</w:t>
            </w:r>
            <w:r w:rsidRPr="00E729E5">
              <w:rPr>
                <w:color w:val="000000"/>
                <w:spacing w:val="2"/>
                <w:szCs w:val="20"/>
                <w:shd w:val="solid" w:color="000000" w:fill="000000"/>
                <w:fitText w:val="330" w:id="-649849077"/>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52866B25"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6"/>
                <w14:textFill>
                  <w14:solidFill>
                    <w14:srgbClr w14:val="000000">
                      <w14:alpha w14:val="100000"/>
                    </w14:srgbClr>
                  </w14:solidFill>
                </w14:textFill>
              </w:rPr>
              <w:t>|||</w:t>
            </w:r>
            <w:r w:rsidRPr="00E729E5">
              <w:rPr>
                <w:color w:val="000000"/>
                <w:spacing w:val="2"/>
                <w:szCs w:val="20"/>
                <w:shd w:val="solid" w:color="000000" w:fill="000000"/>
                <w:fitText w:val="330" w:id="-649849076"/>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09C93AD8"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5"/>
                <w14:textFill>
                  <w14:solidFill>
                    <w14:srgbClr w14:val="000000">
                      <w14:alpha w14:val="100000"/>
                    </w14:srgbClr>
                  </w14:solidFill>
                </w14:textFill>
              </w:rPr>
              <w:t>|||</w:t>
            </w:r>
            <w:r w:rsidRPr="00E729E5">
              <w:rPr>
                <w:color w:val="000000"/>
                <w:spacing w:val="2"/>
                <w:szCs w:val="20"/>
                <w:shd w:val="solid" w:color="000000" w:fill="000000"/>
                <w:fitText w:val="330" w:id="-649849075"/>
                <w14:textFill>
                  <w14:solidFill>
                    <w14:srgbClr w14:val="000000">
                      <w14:alpha w14:val="100000"/>
                    </w14:srgbClr>
                  </w14:solidFill>
                </w14:textFill>
              </w:rPr>
              <w:t>|</w:t>
            </w:r>
            <w:r w:rsidRPr="0075084D">
              <w:rPr>
                <w:szCs w:val="20"/>
                <w:vertAlign w:val="superscript"/>
              </w:rPr>
              <w:t>3</w:t>
            </w:r>
            <w:r w:rsidRPr="0075084D">
              <w:rPr>
                <w:szCs w:val="20"/>
              </w:rPr>
              <w:t xml:space="preserve"> </w:t>
            </w:r>
          </w:p>
        </w:tc>
        <w:tc>
          <w:tcPr>
            <w:tcW w:w="1160" w:type="dxa"/>
            <w:vAlign w:val="center"/>
          </w:tcPr>
          <w:p w14:paraId="07E32020"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4"/>
                <w14:textFill>
                  <w14:solidFill>
                    <w14:srgbClr w14:val="000000">
                      <w14:alpha w14:val="100000"/>
                    </w14:srgbClr>
                  </w14:solidFill>
                </w14:textFill>
              </w:rPr>
              <w:t>|||</w:t>
            </w:r>
            <w:r w:rsidRPr="00E729E5">
              <w:rPr>
                <w:color w:val="000000"/>
                <w:spacing w:val="2"/>
                <w:szCs w:val="20"/>
                <w:shd w:val="solid" w:color="000000" w:fill="000000"/>
                <w:fitText w:val="330" w:id="-649849074"/>
                <w14:textFill>
                  <w14:solidFill>
                    <w14:srgbClr w14:val="000000">
                      <w14:alpha w14:val="100000"/>
                    </w14:srgbClr>
                  </w14:solidFill>
                </w14:textFill>
              </w:rPr>
              <w:t>|</w:t>
            </w:r>
            <w:r w:rsidRPr="0075084D">
              <w:rPr>
                <w:szCs w:val="20"/>
                <w:vertAlign w:val="superscript"/>
              </w:rPr>
              <w:t>3</w:t>
            </w:r>
            <w:r w:rsidRPr="00A46567">
              <w:rPr>
                <w:szCs w:val="20"/>
              </w:rPr>
              <w:t xml:space="preserve"> </w:t>
            </w:r>
          </w:p>
        </w:tc>
      </w:tr>
      <w:tr w:rsidR="00852466" w:rsidRPr="0075084D" w14:paraId="000A8940" w14:textId="77777777">
        <w:trPr>
          <w:trHeight w:val="575"/>
        </w:trPr>
        <w:tc>
          <w:tcPr>
            <w:tcW w:w="2167" w:type="dxa"/>
            <w:vMerge/>
            <w:vAlign w:val="center"/>
          </w:tcPr>
          <w:p w14:paraId="4C3C5775" w14:textId="77777777" w:rsidR="00852466" w:rsidRPr="0075084D" w:rsidRDefault="00852466">
            <w:pPr>
              <w:pStyle w:val="TableText0"/>
              <w:keepNext w:val="0"/>
              <w:rPr>
                <w:szCs w:val="20"/>
              </w:rPr>
            </w:pPr>
          </w:p>
        </w:tc>
        <w:tc>
          <w:tcPr>
            <w:tcW w:w="1129" w:type="dxa"/>
            <w:vAlign w:val="center"/>
          </w:tcPr>
          <w:p w14:paraId="41F404FC" w14:textId="77777777" w:rsidR="00852466" w:rsidRPr="0075084D" w:rsidRDefault="00852466">
            <w:pPr>
              <w:pStyle w:val="TableText0"/>
              <w:keepNext w:val="0"/>
              <w:rPr>
                <w:szCs w:val="20"/>
                <w:vertAlign w:val="superscript"/>
              </w:rPr>
            </w:pPr>
            <w:r w:rsidRPr="0075084D">
              <w:rPr>
                <w:szCs w:val="20"/>
              </w:rPr>
              <w:t xml:space="preserve">RPBS: </w:t>
            </w:r>
            <w:r w:rsidRPr="00E729E5">
              <w:rPr>
                <w:color w:val="000000"/>
                <w:spacing w:val="40"/>
                <w:szCs w:val="20"/>
                <w:shd w:val="solid" w:color="000000" w:fill="000000"/>
                <w:fitText w:val="330" w:id="-649849073"/>
                <w14:textFill>
                  <w14:solidFill>
                    <w14:srgbClr w14:val="000000">
                      <w14:alpha w14:val="100000"/>
                    </w14:srgbClr>
                  </w14:solidFill>
                </w14:textFill>
              </w:rPr>
              <w:t>|||</w:t>
            </w:r>
            <w:r w:rsidRPr="00E729E5">
              <w:rPr>
                <w:color w:val="000000"/>
                <w:spacing w:val="2"/>
                <w:szCs w:val="20"/>
                <w:shd w:val="solid" w:color="000000" w:fill="000000"/>
                <w:fitText w:val="330" w:id="-649849073"/>
                <w14:textFill>
                  <w14:solidFill>
                    <w14:srgbClr w14:val="000000">
                      <w14:alpha w14:val="100000"/>
                    </w14:srgbClr>
                  </w14:solidFill>
                </w14:textFill>
              </w:rPr>
              <w:t>|</w:t>
            </w:r>
            <w:r w:rsidRPr="0075084D">
              <w:rPr>
                <w:szCs w:val="20"/>
                <w:vertAlign w:val="superscript"/>
              </w:rPr>
              <w:t>2</w:t>
            </w:r>
          </w:p>
        </w:tc>
        <w:tc>
          <w:tcPr>
            <w:tcW w:w="1129" w:type="dxa"/>
            <w:vAlign w:val="center"/>
          </w:tcPr>
          <w:p w14:paraId="49701D73"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2"/>
                <w14:textFill>
                  <w14:solidFill>
                    <w14:srgbClr w14:val="000000">
                      <w14:alpha w14:val="100000"/>
                    </w14:srgbClr>
                  </w14:solidFill>
                </w14:textFill>
              </w:rPr>
              <w:t>|||</w:t>
            </w:r>
            <w:r w:rsidRPr="00E729E5">
              <w:rPr>
                <w:color w:val="000000"/>
                <w:spacing w:val="2"/>
                <w:szCs w:val="20"/>
                <w:shd w:val="solid" w:color="000000" w:fill="000000"/>
                <w:fitText w:val="330" w:id="-649849072"/>
                <w14:textFill>
                  <w14:solidFill>
                    <w14:srgbClr w14:val="000000">
                      <w14:alpha w14:val="100000"/>
                    </w14:srgbClr>
                  </w14:solidFill>
                </w14:textFill>
              </w:rPr>
              <w:t>|</w:t>
            </w:r>
            <w:r w:rsidRPr="0075084D">
              <w:rPr>
                <w:szCs w:val="20"/>
                <w:vertAlign w:val="superscript"/>
              </w:rPr>
              <w:t>2</w:t>
            </w:r>
          </w:p>
        </w:tc>
        <w:tc>
          <w:tcPr>
            <w:tcW w:w="1178" w:type="dxa"/>
            <w:vAlign w:val="center"/>
          </w:tcPr>
          <w:p w14:paraId="6D269FD0"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2</w:t>
            </w:r>
          </w:p>
        </w:tc>
        <w:tc>
          <w:tcPr>
            <w:tcW w:w="1129" w:type="dxa"/>
            <w:vAlign w:val="center"/>
          </w:tcPr>
          <w:p w14:paraId="7DCDE2FF"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2</w:t>
            </w:r>
          </w:p>
        </w:tc>
        <w:tc>
          <w:tcPr>
            <w:tcW w:w="1129" w:type="dxa"/>
            <w:vAlign w:val="center"/>
          </w:tcPr>
          <w:p w14:paraId="5E8A5B54"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2</w:t>
            </w:r>
          </w:p>
        </w:tc>
        <w:tc>
          <w:tcPr>
            <w:tcW w:w="1160" w:type="dxa"/>
            <w:vAlign w:val="center"/>
          </w:tcPr>
          <w:p w14:paraId="7CDE87BE"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2</w:t>
            </w:r>
          </w:p>
        </w:tc>
      </w:tr>
      <w:tr w:rsidR="00852466" w:rsidRPr="0075084D" w14:paraId="481E8C94" w14:textId="77777777">
        <w:trPr>
          <w:trHeight w:val="575"/>
        </w:trPr>
        <w:tc>
          <w:tcPr>
            <w:tcW w:w="2167" w:type="dxa"/>
            <w:vMerge w:val="restart"/>
            <w:vAlign w:val="center"/>
          </w:tcPr>
          <w:p w14:paraId="2F400E3B" w14:textId="77777777" w:rsidR="00852466" w:rsidRPr="0075084D" w:rsidRDefault="00852466">
            <w:pPr>
              <w:pStyle w:val="TableText0"/>
              <w:keepNext w:val="0"/>
              <w:rPr>
                <w:szCs w:val="20"/>
              </w:rPr>
            </w:pPr>
            <w:r w:rsidRPr="0075084D">
              <w:rPr>
                <w:szCs w:val="20"/>
              </w:rPr>
              <w:t>Adalimumab (Private) 40 mg/0.4 mL injection, 2 x 0.4 mL pen devices &amp; syringes - Continuing</w:t>
            </w:r>
          </w:p>
        </w:tc>
        <w:tc>
          <w:tcPr>
            <w:tcW w:w="1129" w:type="dxa"/>
            <w:vAlign w:val="center"/>
          </w:tcPr>
          <w:p w14:paraId="476EA6D4"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7B02FFBC"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78" w:type="dxa"/>
            <w:vAlign w:val="center"/>
          </w:tcPr>
          <w:p w14:paraId="3D19BEA4"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1FB3706C"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29" w:type="dxa"/>
            <w:vAlign w:val="center"/>
          </w:tcPr>
          <w:p w14:paraId="41ECA6B7"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3</w:t>
            </w:r>
            <w:r w:rsidRPr="00A46567">
              <w:rPr>
                <w:szCs w:val="20"/>
              </w:rPr>
              <w:t xml:space="preserve"> </w:t>
            </w:r>
          </w:p>
        </w:tc>
        <w:tc>
          <w:tcPr>
            <w:tcW w:w="1160" w:type="dxa"/>
            <w:vAlign w:val="center"/>
          </w:tcPr>
          <w:p w14:paraId="2EC49F43" w14:textId="77777777" w:rsidR="00852466" w:rsidRPr="0075084D" w:rsidRDefault="00852466">
            <w:pPr>
              <w:pStyle w:val="TableText0"/>
              <w:keepNext w:val="0"/>
              <w:rPr>
                <w:szCs w:val="20"/>
              </w:rPr>
            </w:pPr>
            <w:r w:rsidRPr="0075084D">
              <w:rPr>
                <w:szCs w:val="20"/>
              </w:rPr>
              <w:t xml:space="preserve">PBS: </w:t>
            </w: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3</w:t>
            </w:r>
            <w:r w:rsidRPr="00A46567">
              <w:rPr>
                <w:szCs w:val="20"/>
              </w:rPr>
              <w:t xml:space="preserve"> </w:t>
            </w:r>
          </w:p>
        </w:tc>
      </w:tr>
      <w:tr w:rsidR="00852466" w:rsidRPr="0075084D" w14:paraId="7CD27829" w14:textId="77777777">
        <w:trPr>
          <w:trHeight w:val="575"/>
        </w:trPr>
        <w:tc>
          <w:tcPr>
            <w:tcW w:w="2167" w:type="dxa"/>
            <w:vMerge/>
            <w:vAlign w:val="center"/>
          </w:tcPr>
          <w:p w14:paraId="5703EF4B" w14:textId="77777777" w:rsidR="00852466" w:rsidRPr="0075084D" w:rsidRDefault="00852466">
            <w:pPr>
              <w:pStyle w:val="TableText0"/>
              <w:keepNext w:val="0"/>
              <w:rPr>
                <w:szCs w:val="20"/>
              </w:rPr>
            </w:pPr>
          </w:p>
        </w:tc>
        <w:tc>
          <w:tcPr>
            <w:tcW w:w="1129" w:type="dxa"/>
            <w:vAlign w:val="center"/>
          </w:tcPr>
          <w:p w14:paraId="4CFFEECE"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2</w:t>
            </w:r>
          </w:p>
        </w:tc>
        <w:tc>
          <w:tcPr>
            <w:tcW w:w="1129" w:type="dxa"/>
            <w:vAlign w:val="center"/>
          </w:tcPr>
          <w:p w14:paraId="11793785"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7"/>
                <w14:textFill>
                  <w14:solidFill>
                    <w14:srgbClr w14:val="000000">
                      <w14:alpha w14:val="100000"/>
                    </w14:srgbClr>
                  </w14:solidFill>
                </w14:textFill>
              </w:rPr>
              <w:t>|||</w:t>
            </w:r>
            <w:r w:rsidRPr="00E729E5">
              <w:rPr>
                <w:color w:val="000000"/>
                <w:spacing w:val="2"/>
                <w:szCs w:val="20"/>
                <w:shd w:val="solid" w:color="000000" w:fill="000000"/>
                <w:fitText w:val="330" w:id="-649849077"/>
                <w14:textFill>
                  <w14:solidFill>
                    <w14:srgbClr w14:val="000000">
                      <w14:alpha w14:val="100000"/>
                    </w14:srgbClr>
                  </w14:solidFill>
                </w14:textFill>
              </w:rPr>
              <w:t>|</w:t>
            </w:r>
            <w:r w:rsidRPr="0075084D">
              <w:rPr>
                <w:szCs w:val="20"/>
                <w:vertAlign w:val="superscript"/>
              </w:rPr>
              <w:t>2</w:t>
            </w:r>
          </w:p>
        </w:tc>
        <w:tc>
          <w:tcPr>
            <w:tcW w:w="1178" w:type="dxa"/>
            <w:vAlign w:val="center"/>
          </w:tcPr>
          <w:p w14:paraId="7253A542"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6"/>
                <w14:textFill>
                  <w14:solidFill>
                    <w14:srgbClr w14:val="000000">
                      <w14:alpha w14:val="100000"/>
                    </w14:srgbClr>
                  </w14:solidFill>
                </w14:textFill>
              </w:rPr>
              <w:t>|||</w:t>
            </w:r>
            <w:r w:rsidRPr="00E729E5">
              <w:rPr>
                <w:color w:val="000000"/>
                <w:spacing w:val="2"/>
                <w:szCs w:val="20"/>
                <w:shd w:val="solid" w:color="000000" w:fill="000000"/>
                <w:fitText w:val="330" w:id="-649849076"/>
                <w14:textFill>
                  <w14:solidFill>
                    <w14:srgbClr w14:val="000000">
                      <w14:alpha w14:val="100000"/>
                    </w14:srgbClr>
                  </w14:solidFill>
                </w14:textFill>
              </w:rPr>
              <w:t>|</w:t>
            </w:r>
            <w:r w:rsidRPr="0075084D">
              <w:rPr>
                <w:szCs w:val="20"/>
                <w:vertAlign w:val="superscript"/>
              </w:rPr>
              <w:t>2</w:t>
            </w:r>
          </w:p>
        </w:tc>
        <w:tc>
          <w:tcPr>
            <w:tcW w:w="1129" w:type="dxa"/>
            <w:vAlign w:val="center"/>
          </w:tcPr>
          <w:p w14:paraId="0DF7BACF"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5"/>
                <w14:textFill>
                  <w14:solidFill>
                    <w14:srgbClr w14:val="000000">
                      <w14:alpha w14:val="100000"/>
                    </w14:srgbClr>
                  </w14:solidFill>
                </w14:textFill>
              </w:rPr>
              <w:t>|||</w:t>
            </w:r>
            <w:r w:rsidRPr="00E729E5">
              <w:rPr>
                <w:color w:val="000000"/>
                <w:spacing w:val="2"/>
                <w:szCs w:val="20"/>
                <w:shd w:val="solid" w:color="000000" w:fill="000000"/>
                <w:fitText w:val="330" w:id="-649849075"/>
                <w14:textFill>
                  <w14:solidFill>
                    <w14:srgbClr w14:val="000000">
                      <w14:alpha w14:val="100000"/>
                    </w14:srgbClr>
                  </w14:solidFill>
                </w14:textFill>
              </w:rPr>
              <w:t>|</w:t>
            </w:r>
            <w:r w:rsidRPr="0075084D">
              <w:rPr>
                <w:szCs w:val="20"/>
                <w:vertAlign w:val="superscript"/>
              </w:rPr>
              <w:t>2</w:t>
            </w:r>
          </w:p>
        </w:tc>
        <w:tc>
          <w:tcPr>
            <w:tcW w:w="1129" w:type="dxa"/>
            <w:vAlign w:val="center"/>
          </w:tcPr>
          <w:p w14:paraId="73C644FA"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4"/>
                <w14:textFill>
                  <w14:solidFill>
                    <w14:srgbClr w14:val="000000">
                      <w14:alpha w14:val="100000"/>
                    </w14:srgbClr>
                  </w14:solidFill>
                </w14:textFill>
              </w:rPr>
              <w:t>|||</w:t>
            </w:r>
            <w:r w:rsidRPr="00E729E5">
              <w:rPr>
                <w:color w:val="000000"/>
                <w:spacing w:val="2"/>
                <w:szCs w:val="20"/>
                <w:shd w:val="solid" w:color="000000" w:fill="000000"/>
                <w:fitText w:val="330" w:id="-649849074"/>
                <w14:textFill>
                  <w14:solidFill>
                    <w14:srgbClr w14:val="000000">
                      <w14:alpha w14:val="100000"/>
                    </w14:srgbClr>
                  </w14:solidFill>
                </w14:textFill>
              </w:rPr>
              <w:t>|</w:t>
            </w:r>
            <w:r w:rsidRPr="0075084D">
              <w:rPr>
                <w:szCs w:val="20"/>
                <w:vertAlign w:val="superscript"/>
              </w:rPr>
              <w:t>2</w:t>
            </w:r>
          </w:p>
        </w:tc>
        <w:tc>
          <w:tcPr>
            <w:tcW w:w="1160" w:type="dxa"/>
            <w:vAlign w:val="center"/>
          </w:tcPr>
          <w:p w14:paraId="18512A5A" w14:textId="77777777" w:rsidR="00852466" w:rsidRPr="0075084D" w:rsidRDefault="00852466">
            <w:pPr>
              <w:pStyle w:val="TableText0"/>
              <w:keepNext w:val="0"/>
              <w:rPr>
                <w:szCs w:val="20"/>
              </w:rPr>
            </w:pPr>
            <w:r w:rsidRPr="0075084D">
              <w:rPr>
                <w:szCs w:val="20"/>
              </w:rPr>
              <w:t xml:space="preserve">RPBS: </w:t>
            </w:r>
            <w:r w:rsidRPr="00E729E5">
              <w:rPr>
                <w:color w:val="000000"/>
                <w:spacing w:val="40"/>
                <w:szCs w:val="20"/>
                <w:shd w:val="solid" w:color="000000" w:fill="000000"/>
                <w:fitText w:val="330" w:id="-649849073"/>
                <w14:textFill>
                  <w14:solidFill>
                    <w14:srgbClr w14:val="000000">
                      <w14:alpha w14:val="100000"/>
                    </w14:srgbClr>
                  </w14:solidFill>
                </w14:textFill>
              </w:rPr>
              <w:t>|||</w:t>
            </w:r>
            <w:r w:rsidRPr="00E729E5">
              <w:rPr>
                <w:color w:val="000000"/>
                <w:spacing w:val="2"/>
                <w:szCs w:val="20"/>
                <w:shd w:val="solid" w:color="000000" w:fill="000000"/>
                <w:fitText w:val="330" w:id="-649849073"/>
                <w14:textFill>
                  <w14:solidFill>
                    <w14:srgbClr w14:val="000000">
                      <w14:alpha w14:val="100000"/>
                    </w14:srgbClr>
                  </w14:solidFill>
                </w14:textFill>
              </w:rPr>
              <w:t>|</w:t>
            </w:r>
            <w:r w:rsidRPr="0075084D">
              <w:rPr>
                <w:szCs w:val="20"/>
                <w:vertAlign w:val="superscript"/>
              </w:rPr>
              <w:t>2</w:t>
            </w:r>
          </w:p>
        </w:tc>
      </w:tr>
      <w:tr w:rsidR="00852466" w:rsidRPr="0075084D" w14:paraId="1737023C" w14:textId="77777777">
        <w:tc>
          <w:tcPr>
            <w:tcW w:w="2167" w:type="dxa"/>
          </w:tcPr>
          <w:p w14:paraId="3158C950" w14:textId="77777777" w:rsidR="00852466" w:rsidRPr="0075084D" w:rsidRDefault="00852466">
            <w:pPr>
              <w:pStyle w:val="TableText0"/>
              <w:keepNext w:val="0"/>
              <w:rPr>
                <w:szCs w:val="20"/>
              </w:rPr>
            </w:pPr>
            <w:r w:rsidRPr="0075084D">
              <w:rPr>
                <w:szCs w:val="20"/>
              </w:rPr>
              <w:t>Total</w:t>
            </w:r>
          </w:p>
        </w:tc>
        <w:tc>
          <w:tcPr>
            <w:tcW w:w="1129" w:type="dxa"/>
            <w:vAlign w:val="center"/>
          </w:tcPr>
          <w:p w14:paraId="362FC4D3"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72"/>
                <w14:textFill>
                  <w14:solidFill>
                    <w14:srgbClr w14:val="000000">
                      <w14:alpha w14:val="100000"/>
                    </w14:srgbClr>
                  </w14:solidFill>
                </w14:textFill>
              </w:rPr>
              <w:t>|||</w:t>
            </w:r>
            <w:r w:rsidRPr="00E729E5">
              <w:rPr>
                <w:color w:val="000000"/>
                <w:spacing w:val="2"/>
                <w:szCs w:val="20"/>
                <w:shd w:val="solid" w:color="000000" w:fill="000000"/>
                <w:fitText w:val="330" w:id="-649849072"/>
                <w14:textFill>
                  <w14:solidFill>
                    <w14:srgbClr w14:val="000000">
                      <w14:alpha w14:val="100000"/>
                    </w14:srgbClr>
                  </w14:solidFill>
                </w14:textFill>
              </w:rPr>
              <w:t>|</w:t>
            </w:r>
            <w:r w:rsidRPr="0075084D">
              <w:rPr>
                <w:szCs w:val="20"/>
                <w:vertAlign w:val="superscript"/>
              </w:rPr>
              <w:t>4</w:t>
            </w:r>
            <w:r w:rsidRPr="0075084D">
              <w:rPr>
                <w:szCs w:val="20"/>
              </w:rPr>
              <w:t xml:space="preserve"> </w:t>
            </w:r>
          </w:p>
        </w:tc>
        <w:tc>
          <w:tcPr>
            <w:tcW w:w="1129" w:type="dxa"/>
            <w:vAlign w:val="center"/>
          </w:tcPr>
          <w:p w14:paraId="619EA66C"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8"/>
                <w14:textFill>
                  <w14:solidFill>
                    <w14:srgbClr w14:val="000000">
                      <w14:alpha w14:val="100000"/>
                    </w14:srgbClr>
                  </w14:solidFill>
                </w14:textFill>
              </w:rPr>
              <w:t>|||</w:t>
            </w:r>
            <w:r w:rsidRPr="00E729E5">
              <w:rPr>
                <w:color w:val="000000"/>
                <w:spacing w:val="2"/>
                <w:szCs w:val="20"/>
                <w:shd w:val="solid" w:color="000000" w:fill="000000"/>
                <w:fitText w:val="330" w:id="-649849088"/>
                <w14:textFill>
                  <w14:solidFill>
                    <w14:srgbClr w14:val="000000">
                      <w14:alpha w14:val="100000"/>
                    </w14:srgbClr>
                  </w14:solidFill>
                </w14:textFill>
              </w:rPr>
              <w:t>|</w:t>
            </w:r>
            <w:r w:rsidRPr="0075084D">
              <w:rPr>
                <w:szCs w:val="20"/>
                <w:vertAlign w:val="superscript"/>
              </w:rPr>
              <w:t>4</w:t>
            </w:r>
            <w:r w:rsidRPr="00A46567">
              <w:rPr>
                <w:szCs w:val="20"/>
              </w:rPr>
              <w:t xml:space="preserve"> </w:t>
            </w:r>
          </w:p>
        </w:tc>
        <w:tc>
          <w:tcPr>
            <w:tcW w:w="1178" w:type="dxa"/>
            <w:vAlign w:val="center"/>
          </w:tcPr>
          <w:p w14:paraId="1E6359EC"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7"/>
                <w14:textFill>
                  <w14:solidFill>
                    <w14:srgbClr w14:val="000000">
                      <w14:alpha w14:val="100000"/>
                    </w14:srgbClr>
                  </w14:solidFill>
                </w14:textFill>
              </w:rPr>
              <w:t>|||</w:t>
            </w:r>
            <w:r w:rsidRPr="00E729E5">
              <w:rPr>
                <w:color w:val="000000"/>
                <w:spacing w:val="2"/>
                <w:szCs w:val="20"/>
                <w:shd w:val="solid" w:color="000000" w:fill="000000"/>
                <w:fitText w:val="330" w:id="-649849087"/>
                <w14:textFill>
                  <w14:solidFill>
                    <w14:srgbClr w14:val="000000">
                      <w14:alpha w14:val="100000"/>
                    </w14:srgbClr>
                  </w14:solidFill>
                </w14:textFill>
              </w:rPr>
              <w:t>|</w:t>
            </w:r>
            <w:r w:rsidRPr="0075084D">
              <w:rPr>
                <w:szCs w:val="20"/>
                <w:vertAlign w:val="superscript"/>
              </w:rPr>
              <w:t>4</w:t>
            </w:r>
            <w:r w:rsidRPr="00A46567">
              <w:rPr>
                <w:szCs w:val="20"/>
              </w:rPr>
              <w:t xml:space="preserve"> </w:t>
            </w:r>
          </w:p>
        </w:tc>
        <w:tc>
          <w:tcPr>
            <w:tcW w:w="1129" w:type="dxa"/>
            <w:vAlign w:val="center"/>
          </w:tcPr>
          <w:p w14:paraId="647D80A8"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6"/>
                <w14:textFill>
                  <w14:solidFill>
                    <w14:srgbClr w14:val="000000">
                      <w14:alpha w14:val="100000"/>
                    </w14:srgbClr>
                  </w14:solidFill>
                </w14:textFill>
              </w:rPr>
              <w:t>|||</w:t>
            </w:r>
            <w:r w:rsidRPr="00E729E5">
              <w:rPr>
                <w:color w:val="000000"/>
                <w:spacing w:val="2"/>
                <w:szCs w:val="20"/>
                <w:shd w:val="solid" w:color="000000" w:fill="000000"/>
                <w:fitText w:val="330" w:id="-649849086"/>
                <w14:textFill>
                  <w14:solidFill>
                    <w14:srgbClr w14:val="000000">
                      <w14:alpha w14:val="100000"/>
                    </w14:srgbClr>
                  </w14:solidFill>
                </w14:textFill>
              </w:rPr>
              <w:t>|</w:t>
            </w:r>
            <w:r w:rsidRPr="0075084D">
              <w:rPr>
                <w:szCs w:val="20"/>
                <w:vertAlign w:val="superscript"/>
              </w:rPr>
              <w:t>4</w:t>
            </w:r>
            <w:r w:rsidRPr="00A46567">
              <w:rPr>
                <w:szCs w:val="20"/>
              </w:rPr>
              <w:t xml:space="preserve"> </w:t>
            </w:r>
          </w:p>
        </w:tc>
        <w:tc>
          <w:tcPr>
            <w:tcW w:w="1129" w:type="dxa"/>
            <w:vAlign w:val="center"/>
          </w:tcPr>
          <w:p w14:paraId="3DBDA9A3"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5"/>
                <w14:textFill>
                  <w14:solidFill>
                    <w14:srgbClr w14:val="000000">
                      <w14:alpha w14:val="100000"/>
                    </w14:srgbClr>
                  </w14:solidFill>
                </w14:textFill>
              </w:rPr>
              <w:t>|||</w:t>
            </w:r>
            <w:r w:rsidRPr="00E729E5">
              <w:rPr>
                <w:color w:val="000000"/>
                <w:spacing w:val="2"/>
                <w:szCs w:val="20"/>
                <w:shd w:val="solid" w:color="000000" w:fill="000000"/>
                <w:fitText w:val="330" w:id="-649849085"/>
                <w14:textFill>
                  <w14:solidFill>
                    <w14:srgbClr w14:val="000000">
                      <w14:alpha w14:val="100000"/>
                    </w14:srgbClr>
                  </w14:solidFill>
                </w14:textFill>
              </w:rPr>
              <w:t>|</w:t>
            </w:r>
            <w:r w:rsidRPr="0075084D">
              <w:rPr>
                <w:szCs w:val="20"/>
                <w:vertAlign w:val="superscript"/>
              </w:rPr>
              <w:t>4</w:t>
            </w:r>
            <w:r w:rsidRPr="00A46567">
              <w:rPr>
                <w:szCs w:val="20"/>
              </w:rPr>
              <w:t xml:space="preserve"> </w:t>
            </w:r>
          </w:p>
        </w:tc>
        <w:tc>
          <w:tcPr>
            <w:tcW w:w="1160" w:type="dxa"/>
            <w:vAlign w:val="center"/>
          </w:tcPr>
          <w:p w14:paraId="3021AEAD" w14:textId="77777777" w:rsidR="00852466" w:rsidRPr="0075084D" w:rsidRDefault="00852466">
            <w:pPr>
              <w:pStyle w:val="TableText0"/>
              <w:keepNext w:val="0"/>
              <w:rPr>
                <w:szCs w:val="20"/>
                <w:highlight w:val="darkGray"/>
              </w:rPr>
            </w:pPr>
            <w:r w:rsidRPr="00E729E5">
              <w:rPr>
                <w:color w:val="000000"/>
                <w:spacing w:val="40"/>
                <w:szCs w:val="20"/>
                <w:shd w:val="solid" w:color="000000" w:fill="000000"/>
                <w:fitText w:val="330" w:id="-649849084"/>
                <w14:textFill>
                  <w14:solidFill>
                    <w14:srgbClr w14:val="000000">
                      <w14:alpha w14:val="100000"/>
                    </w14:srgbClr>
                  </w14:solidFill>
                </w14:textFill>
              </w:rPr>
              <w:t>|||</w:t>
            </w:r>
            <w:r w:rsidRPr="00E729E5">
              <w:rPr>
                <w:color w:val="000000"/>
                <w:spacing w:val="2"/>
                <w:szCs w:val="20"/>
                <w:shd w:val="solid" w:color="000000" w:fill="000000"/>
                <w:fitText w:val="330" w:id="-649849084"/>
                <w14:textFill>
                  <w14:solidFill>
                    <w14:srgbClr w14:val="000000">
                      <w14:alpha w14:val="100000"/>
                    </w14:srgbClr>
                  </w14:solidFill>
                </w14:textFill>
              </w:rPr>
              <w:t>|</w:t>
            </w:r>
            <w:r w:rsidRPr="0075084D">
              <w:rPr>
                <w:szCs w:val="20"/>
                <w:vertAlign w:val="superscript"/>
              </w:rPr>
              <w:t>4</w:t>
            </w:r>
            <w:r w:rsidRPr="00A46567">
              <w:rPr>
                <w:szCs w:val="20"/>
              </w:rPr>
              <w:t xml:space="preserve"> </w:t>
            </w:r>
          </w:p>
        </w:tc>
      </w:tr>
      <w:tr w:rsidR="00852466" w:rsidRPr="0075084D" w14:paraId="00397EFA" w14:textId="77777777">
        <w:tc>
          <w:tcPr>
            <w:tcW w:w="9021" w:type="dxa"/>
            <w:gridSpan w:val="7"/>
          </w:tcPr>
          <w:p w14:paraId="345D740A" w14:textId="77777777" w:rsidR="00852466" w:rsidRPr="0075084D" w:rsidRDefault="00852466">
            <w:pPr>
              <w:pStyle w:val="TableText0"/>
              <w:keepNext w:val="0"/>
              <w:rPr>
                <w:szCs w:val="20"/>
              </w:rPr>
            </w:pPr>
            <w:r w:rsidRPr="0075084D">
              <w:rPr>
                <w:szCs w:val="20"/>
              </w:rPr>
              <w:t>Estimated financial implications</w:t>
            </w:r>
          </w:p>
        </w:tc>
      </w:tr>
      <w:tr w:rsidR="00852466" w:rsidRPr="0075084D" w14:paraId="0E15E785" w14:textId="77777777">
        <w:tc>
          <w:tcPr>
            <w:tcW w:w="2167" w:type="dxa"/>
          </w:tcPr>
          <w:p w14:paraId="38C8DA0B" w14:textId="77777777" w:rsidR="00852466" w:rsidRPr="0075084D" w:rsidRDefault="00852466">
            <w:pPr>
              <w:pStyle w:val="TableText0"/>
              <w:keepNext w:val="0"/>
              <w:rPr>
                <w:szCs w:val="20"/>
              </w:rPr>
            </w:pPr>
            <w:r w:rsidRPr="0075084D">
              <w:rPr>
                <w:szCs w:val="20"/>
              </w:rPr>
              <w:t xml:space="preserve">Net Cost to PBS/RPBS </w:t>
            </w:r>
          </w:p>
        </w:tc>
        <w:tc>
          <w:tcPr>
            <w:tcW w:w="1129" w:type="dxa"/>
            <w:vAlign w:val="center"/>
          </w:tcPr>
          <w:p w14:paraId="0C61ABB2" w14:textId="77777777" w:rsidR="00852466" w:rsidRPr="0075084D" w:rsidRDefault="00852466">
            <w:pPr>
              <w:pStyle w:val="TableText0"/>
              <w:keepNext w:val="0"/>
              <w:rPr>
                <w:bCs w:val="0"/>
                <w:szCs w:val="20"/>
                <w:vertAlign w:val="superscript"/>
              </w:rPr>
            </w:pPr>
            <w:r w:rsidRPr="0075084D">
              <w:rPr>
                <w:szCs w:val="20"/>
              </w:rPr>
              <w:t>$</w:t>
            </w:r>
            <w:r w:rsidRPr="00E729E5">
              <w:rPr>
                <w:color w:val="000000"/>
                <w:spacing w:val="40"/>
                <w:szCs w:val="20"/>
                <w:shd w:val="solid" w:color="000000" w:fill="000000"/>
                <w:fitText w:val="330" w:id="-649849083"/>
                <w14:textFill>
                  <w14:solidFill>
                    <w14:srgbClr w14:val="000000">
                      <w14:alpha w14:val="100000"/>
                    </w14:srgbClr>
                  </w14:solidFill>
                </w14:textFill>
              </w:rPr>
              <w:t>|||</w:t>
            </w:r>
            <w:r w:rsidRPr="00E729E5">
              <w:rPr>
                <w:color w:val="000000"/>
                <w:spacing w:val="2"/>
                <w:szCs w:val="20"/>
                <w:shd w:val="solid" w:color="000000" w:fill="000000"/>
                <w:fitText w:val="330" w:id="-649849083"/>
                <w14:textFill>
                  <w14:solidFill>
                    <w14:srgbClr w14:val="000000">
                      <w14:alpha w14:val="100000"/>
                    </w14:srgbClr>
                  </w14:solidFill>
                </w14:textFill>
              </w:rPr>
              <w:t>|</w:t>
            </w:r>
            <w:r w:rsidRPr="0075084D">
              <w:rPr>
                <w:szCs w:val="20"/>
                <w:vertAlign w:val="superscript"/>
              </w:rPr>
              <w:t>5</w:t>
            </w:r>
          </w:p>
        </w:tc>
        <w:tc>
          <w:tcPr>
            <w:tcW w:w="1129" w:type="dxa"/>
            <w:vAlign w:val="center"/>
          </w:tcPr>
          <w:p w14:paraId="1A048968" w14:textId="77777777" w:rsidR="00852466" w:rsidRPr="0075084D" w:rsidRDefault="00852466">
            <w:pPr>
              <w:pStyle w:val="TableText0"/>
              <w:keepNext w:val="0"/>
              <w:rPr>
                <w:szCs w:val="20"/>
              </w:rPr>
            </w:pPr>
            <w:r w:rsidRPr="0075084D">
              <w:rPr>
                <w:szCs w:val="20"/>
              </w:rPr>
              <w:t>$</w:t>
            </w:r>
            <w:r w:rsidRPr="00E729E5">
              <w:rPr>
                <w:color w:val="000000"/>
                <w:spacing w:val="40"/>
                <w:szCs w:val="20"/>
                <w:shd w:val="solid" w:color="000000" w:fill="000000"/>
                <w:fitText w:val="330" w:id="-649849082"/>
                <w14:textFill>
                  <w14:solidFill>
                    <w14:srgbClr w14:val="000000">
                      <w14:alpha w14:val="100000"/>
                    </w14:srgbClr>
                  </w14:solidFill>
                </w14:textFill>
              </w:rPr>
              <w:t>|||</w:t>
            </w:r>
            <w:r w:rsidRPr="00E729E5">
              <w:rPr>
                <w:color w:val="000000"/>
                <w:spacing w:val="2"/>
                <w:szCs w:val="20"/>
                <w:shd w:val="solid" w:color="000000" w:fill="000000"/>
                <w:fitText w:val="330" w:id="-649849082"/>
                <w14:textFill>
                  <w14:solidFill>
                    <w14:srgbClr w14:val="000000">
                      <w14:alpha w14:val="100000"/>
                    </w14:srgbClr>
                  </w14:solidFill>
                </w14:textFill>
              </w:rPr>
              <w:t>|</w:t>
            </w:r>
            <w:r w:rsidRPr="0075084D">
              <w:rPr>
                <w:szCs w:val="20"/>
                <w:vertAlign w:val="superscript"/>
              </w:rPr>
              <w:t>5</w:t>
            </w:r>
          </w:p>
        </w:tc>
        <w:tc>
          <w:tcPr>
            <w:tcW w:w="1178" w:type="dxa"/>
            <w:vAlign w:val="center"/>
          </w:tcPr>
          <w:p w14:paraId="3B182808" w14:textId="77777777" w:rsidR="00852466" w:rsidRPr="0075084D" w:rsidRDefault="00852466">
            <w:pPr>
              <w:pStyle w:val="TableText0"/>
              <w:keepNext w:val="0"/>
              <w:rPr>
                <w:szCs w:val="20"/>
              </w:rPr>
            </w:pPr>
            <w:r w:rsidRPr="0075084D">
              <w:rPr>
                <w:szCs w:val="20"/>
              </w:rPr>
              <w:t>$</w:t>
            </w:r>
            <w:r w:rsidRPr="00E729E5">
              <w:rPr>
                <w:color w:val="000000"/>
                <w:spacing w:val="40"/>
                <w:szCs w:val="20"/>
                <w:shd w:val="solid" w:color="000000" w:fill="000000"/>
                <w:fitText w:val="330" w:id="-649849081"/>
                <w14:textFill>
                  <w14:solidFill>
                    <w14:srgbClr w14:val="000000">
                      <w14:alpha w14:val="100000"/>
                    </w14:srgbClr>
                  </w14:solidFill>
                </w14:textFill>
              </w:rPr>
              <w:t>|||</w:t>
            </w:r>
            <w:r w:rsidRPr="00E729E5">
              <w:rPr>
                <w:color w:val="000000"/>
                <w:spacing w:val="2"/>
                <w:szCs w:val="20"/>
                <w:shd w:val="solid" w:color="000000" w:fill="000000"/>
                <w:fitText w:val="330" w:id="-649849081"/>
                <w14:textFill>
                  <w14:solidFill>
                    <w14:srgbClr w14:val="000000">
                      <w14:alpha w14:val="100000"/>
                    </w14:srgbClr>
                  </w14:solidFill>
                </w14:textFill>
              </w:rPr>
              <w:t>|</w:t>
            </w:r>
            <w:r w:rsidRPr="0075084D">
              <w:rPr>
                <w:szCs w:val="20"/>
                <w:vertAlign w:val="superscript"/>
              </w:rPr>
              <w:t>5</w:t>
            </w:r>
          </w:p>
        </w:tc>
        <w:tc>
          <w:tcPr>
            <w:tcW w:w="1129" w:type="dxa"/>
            <w:vAlign w:val="center"/>
          </w:tcPr>
          <w:p w14:paraId="28C49F29" w14:textId="77777777" w:rsidR="00852466" w:rsidRPr="0075084D" w:rsidRDefault="00852466">
            <w:pPr>
              <w:pStyle w:val="TableText0"/>
              <w:keepNext w:val="0"/>
              <w:rPr>
                <w:szCs w:val="20"/>
              </w:rPr>
            </w:pPr>
            <w:r w:rsidRPr="0075084D">
              <w:rPr>
                <w:szCs w:val="20"/>
              </w:rPr>
              <w:t>$</w:t>
            </w:r>
            <w:r w:rsidRPr="00E729E5">
              <w:rPr>
                <w:color w:val="000000"/>
                <w:spacing w:val="40"/>
                <w:szCs w:val="20"/>
                <w:shd w:val="solid" w:color="000000" w:fill="000000"/>
                <w:fitText w:val="330" w:id="-649849080"/>
                <w14:textFill>
                  <w14:solidFill>
                    <w14:srgbClr w14:val="000000">
                      <w14:alpha w14:val="100000"/>
                    </w14:srgbClr>
                  </w14:solidFill>
                </w14:textFill>
              </w:rPr>
              <w:t>|||</w:t>
            </w:r>
            <w:r w:rsidRPr="00E729E5">
              <w:rPr>
                <w:color w:val="000000"/>
                <w:spacing w:val="2"/>
                <w:szCs w:val="20"/>
                <w:shd w:val="solid" w:color="000000" w:fill="000000"/>
                <w:fitText w:val="330" w:id="-649849080"/>
                <w14:textFill>
                  <w14:solidFill>
                    <w14:srgbClr w14:val="000000">
                      <w14:alpha w14:val="100000"/>
                    </w14:srgbClr>
                  </w14:solidFill>
                </w14:textFill>
              </w:rPr>
              <w:t>|</w:t>
            </w:r>
            <w:r w:rsidRPr="0075084D">
              <w:rPr>
                <w:szCs w:val="20"/>
                <w:vertAlign w:val="superscript"/>
              </w:rPr>
              <w:t>5</w:t>
            </w:r>
          </w:p>
        </w:tc>
        <w:tc>
          <w:tcPr>
            <w:tcW w:w="1129" w:type="dxa"/>
            <w:vAlign w:val="center"/>
          </w:tcPr>
          <w:p w14:paraId="1A1AC316" w14:textId="77777777" w:rsidR="00852466" w:rsidRPr="0075084D" w:rsidRDefault="00852466">
            <w:pPr>
              <w:pStyle w:val="TableText0"/>
              <w:keepNext w:val="0"/>
              <w:rPr>
                <w:szCs w:val="20"/>
              </w:rPr>
            </w:pPr>
            <w:r w:rsidRPr="0075084D">
              <w:rPr>
                <w:szCs w:val="20"/>
              </w:rPr>
              <w:t>$</w:t>
            </w:r>
            <w:r w:rsidRPr="00E729E5">
              <w:rPr>
                <w:color w:val="000000"/>
                <w:spacing w:val="40"/>
                <w:szCs w:val="20"/>
                <w:shd w:val="solid" w:color="000000" w:fill="000000"/>
                <w:fitText w:val="330" w:id="-649849079"/>
                <w14:textFill>
                  <w14:solidFill>
                    <w14:srgbClr w14:val="000000">
                      <w14:alpha w14:val="100000"/>
                    </w14:srgbClr>
                  </w14:solidFill>
                </w14:textFill>
              </w:rPr>
              <w:t>|||</w:t>
            </w:r>
            <w:r w:rsidRPr="00E729E5">
              <w:rPr>
                <w:color w:val="000000"/>
                <w:spacing w:val="2"/>
                <w:szCs w:val="20"/>
                <w:shd w:val="solid" w:color="000000" w:fill="000000"/>
                <w:fitText w:val="330" w:id="-649849079"/>
                <w14:textFill>
                  <w14:solidFill>
                    <w14:srgbClr w14:val="000000">
                      <w14:alpha w14:val="100000"/>
                    </w14:srgbClr>
                  </w14:solidFill>
                </w14:textFill>
              </w:rPr>
              <w:t>|</w:t>
            </w:r>
            <w:r w:rsidRPr="0075084D">
              <w:rPr>
                <w:szCs w:val="20"/>
                <w:vertAlign w:val="superscript"/>
              </w:rPr>
              <w:t>5</w:t>
            </w:r>
          </w:p>
        </w:tc>
        <w:tc>
          <w:tcPr>
            <w:tcW w:w="1160" w:type="dxa"/>
            <w:vAlign w:val="center"/>
          </w:tcPr>
          <w:p w14:paraId="0FBAD8A5" w14:textId="77777777" w:rsidR="00852466" w:rsidRPr="0075084D" w:rsidRDefault="00852466">
            <w:pPr>
              <w:pStyle w:val="TableText0"/>
              <w:keepNext w:val="0"/>
              <w:rPr>
                <w:szCs w:val="20"/>
              </w:rPr>
            </w:pPr>
            <w:r w:rsidRPr="0075084D">
              <w:rPr>
                <w:szCs w:val="20"/>
              </w:rPr>
              <w:t>$</w:t>
            </w:r>
            <w:r w:rsidRPr="00E729E5">
              <w:rPr>
                <w:color w:val="000000"/>
                <w:spacing w:val="40"/>
                <w:szCs w:val="20"/>
                <w:shd w:val="solid" w:color="000000" w:fill="000000"/>
                <w:fitText w:val="330" w:id="-649849078"/>
                <w14:textFill>
                  <w14:solidFill>
                    <w14:srgbClr w14:val="000000">
                      <w14:alpha w14:val="100000"/>
                    </w14:srgbClr>
                  </w14:solidFill>
                </w14:textFill>
              </w:rPr>
              <w:t>|||</w:t>
            </w:r>
            <w:r w:rsidRPr="00E729E5">
              <w:rPr>
                <w:color w:val="000000"/>
                <w:spacing w:val="2"/>
                <w:szCs w:val="20"/>
                <w:shd w:val="solid" w:color="000000" w:fill="000000"/>
                <w:fitText w:val="330" w:id="-649849078"/>
                <w14:textFill>
                  <w14:solidFill>
                    <w14:srgbClr w14:val="000000">
                      <w14:alpha w14:val="100000"/>
                    </w14:srgbClr>
                  </w14:solidFill>
                </w14:textFill>
              </w:rPr>
              <w:t>|</w:t>
            </w:r>
            <w:r w:rsidRPr="0075084D">
              <w:rPr>
                <w:szCs w:val="20"/>
                <w:vertAlign w:val="superscript"/>
              </w:rPr>
              <w:t>5</w:t>
            </w:r>
          </w:p>
        </w:tc>
      </w:tr>
    </w:tbl>
    <w:p w14:paraId="795F87EB" w14:textId="77777777" w:rsidR="00852466" w:rsidRDefault="00852466" w:rsidP="00852466">
      <w:pPr>
        <w:pStyle w:val="TableFigureFooter"/>
      </w:pPr>
      <w:r>
        <w:t>PBS = Pharmaceutical Benefits Scheme; RPBS = Repatriation Pharmaceutical Benefits Scheme</w:t>
      </w:r>
    </w:p>
    <w:p w14:paraId="60EE41D3" w14:textId="77777777" w:rsidR="00852466" w:rsidRDefault="00852466" w:rsidP="00852466">
      <w:pPr>
        <w:pStyle w:val="TableFigureFooter"/>
        <w:rPr>
          <w:i/>
          <w:iCs/>
        </w:rPr>
      </w:pPr>
      <w:r w:rsidRPr="004C6435">
        <w:rPr>
          <w:i/>
          <w:iCs/>
        </w:rPr>
        <w:t>The redacted values correspond to the following ranges:</w:t>
      </w:r>
    </w:p>
    <w:p w14:paraId="2F601472" w14:textId="77777777" w:rsidR="00852466" w:rsidRPr="004C6435" w:rsidRDefault="00852466" w:rsidP="00852466">
      <w:pPr>
        <w:pStyle w:val="TableFigureFooter"/>
        <w:rPr>
          <w:i/>
          <w:iCs/>
        </w:rPr>
      </w:pPr>
      <w:r w:rsidRPr="004C6435">
        <w:rPr>
          <w:i/>
          <w:iCs/>
          <w:vertAlign w:val="superscript"/>
        </w:rPr>
        <w:t>1</w:t>
      </w:r>
      <w:r w:rsidRPr="004C6435">
        <w:rPr>
          <w:i/>
          <w:iCs/>
        </w:rPr>
        <w:t xml:space="preserve"> 500 to &lt; 5,000</w:t>
      </w:r>
    </w:p>
    <w:p w14:paraId="13FD1642" w14:textId="77777777" w:rsidR="00852466" w:rsidRPr="004C6435" w:rsidRDefault="00852466" w:rsidP="00852466">
      <w:pPr>
        <w:pStyle w:val="TableFigureFooter"/>
        <w:rPr>
          <w:i/>
          <w:iCs/>
        </w:rPr>
      </w:pPr>
      <w:r w:rsidRPr="004C6435">
        <w:rPr>
          <w:i/>
          <w:iCs/>
          <w:vertAlign w:val="superscript"/>
        </w:rPr>
        <w:t>2</w:t>
      </w:r>
      <w:r w:rsidRPr="004C6435">
        <w:rPr>
          <w:i/>
          <w:iCs/>
        </w:rPr>
        <w:t xml:space="preserve"> &lt; 500</w:t>
      </w:r>
    </w:p>
    <w:p w14:paraId="6F4BA855" w14:textId="77777777" w:rsidR="00852466" w:rsidRPr="004C6435" w:rsidRDefault="00852466" w:rsidP="00852466">
      <w:pPr>
        <w:pStyle w:val="TableFigureFooter"/>
        <w:rPr>
          <w:i/>
          <w:iCs/>
        </w:rPr>
      </w:pPr>
      <w:r w:rsidRPr="004C6435">
        <w:rPr>
          <w:i/>
          <w:iCs/>
          <w:vertAlign w:val="superscript"/>
        </w:rPr>
        <w:t>3</w:t>
      </w:r>
      <w:r w:rsidRPr="004C6435">
        <w:rPr>
          <w:i/>
          <w:iCs/>
        </w:rPr>
        <w:t xml:space="preserve"> 5,000 to &lt; 10,000</w:t>
      </w:r>
    </w:p>
    <w:p w14:paraId="4485B439" w14:textId="77777777" w:rsidR="00852466" w:rsidRPr="004C6435" w:rsidRDefault="00852466" w:rsidP="00852466">
      <w:pPr>
        <w:pStyle w:val="TableFigureFooter"/>
        <w:rPr>
          <w:i/>
          <w:iCs/>
        </w:rPr>
      </w:pPr>
      <w:r w:rsidRPr="004C6435">
        <w:rPr>
          <w:i/>
          <w:iCs/>
          <w:vertAlign w:val="superscript"/>
        </w:rPr>
        <w:t>4</w:t>
      </w:r>
      <w:r w:rsidRPr="004C6435">
        <w:rPr>
          <w:i/>
          <w:iCs/>
        </w:rPr>
        <w:t xml:space="preserve"> 20,000 to &lt; 30,000</w:t>
      </w:r>
    </w:p>
    <w:p w14:paraId="585FC58C" w14:textId="77777777" w:rsidR="00852466" w:rsidRDefault="00852466" w:rsidP="00852466">
      <w:pPr>
        <w:pStyle w:val="TableFigureFooter"/>
      </w:pPr>
      <w:r w:rsidRPr="004C6435">
        <w:rPr>
          <w:i/>
          <w:iCs/>
          <w:vertAlign w:val="superscript"/>
        </w:rPr>
        <w:t>5</w:t>
      </w:r>
      <w:r w:rsidRPr="004C6435">
        <w:rPr>
          <w:i/>
          <w:iCs/>
        </w:rPr>
        <w:t xml:space="preserve"> $10 million to &lt; $20 million</w:t>
      </w:r>
    </w:p>
    <w:p w14:paraId="6D2A79B4" w14:textId="77777777" w:rsidR="00852466" w:rsidRPr="004C6435" w:rsidRDefault="00852466" w:rsidP="00852466">
      <w:pPr>
        <w:pStyle w:val="3-BodyText"/>
        <w:numPr>
          <w:ilvl w:val="1"/>
          <w:numId w:val="2"/>
        </w:numPr>
        <w:spacing w:before="120"/>
        <w:rPr>
          <w:rFonts w:cstheme="minorHAnsi"/>
        </w:rPr>
      </w:pPr>
      <w:r>
        <w:t xml:space="preserve">The total net additional cost to the PBS/RPBS for the proposed revised PBS listings for adalimumab for severe active JIA using the base case was </w:t>
      </w:r>
      <w:r w:rsidRPr="004C6435">
        <w:rPr>
          <w:rFonts w:cstheme="minorHAnsi"/>
        </w:rPr>
        <w:t xml:space="preserve">estimated to be </w:t>
      </w:r>
      <w:r w:rsidRPr="004C6435">
        <w:rPr>
          <w:rFonts w:cstheme="minorHAnsi"/>
          <w:color w:val="333333"/>
        </w:rPr>
        <w:t>$10 million to &lt; $20 million</w:t>
      </w:r>
      <w:r w:rsidRPr="004C6435">
        <w:rPr>
          <w:rFonts w:cstheme="minorHAnsi"/>
        </w:rPr>
        <w:t xml:space="preserve"> in year 6, and a net cost of </w:t>
      </w:r>
      <w:r w:rsidRPr="004C6435">
        <w:rPr>
          <w:rFonts w:cstheme="minorHAnsi"/>
          <w:color w:val="333333"/>
        </w:rPr>
        <w:t>$60 million to &lt; $70 million</w:t>
      </w:r>
      <w:r w:rsidRPr="004C6435">
        <w:rPr>
          <w:rFonts w:cstheme="minorHAnsi"/>
        </w:rPr>
        <w:t xml:space="preserve"> in the first 6 years of listing.</w:t>
      </w:r>
    </w:p>
    <w:p w14:paraId="118BD32C" w14:textId="77777777" w:rsidR="00852466" w:rsidRPr="004C6435" w:rsidRDefault="00852466" w:rsidP="00852466">
      <w:pPr>
        <w:pStyle w:val="3-BodyText"/>
        <w:numPr>
          <w:ilvl w:val="1"/>
          <w:numId w:val="2"/>
        </w:numPr>
        <w:spacing w:before="120"/>
        <w:rPr>
          <w:rFonts w:cstheme="minorHAnsi"/>
        </w:rPr>
      </w:pPr>
      <w:r w:rsidRPr="004C6435">
        <w:rPr>
          <w:rFonts w:cstheme="minorHAnsi"/>
        </w:rPr>
        <w:t xml:space="preserve">The total net additional cost to the PBS/RPBS for the proposed revised PBS listings for adalimumab for severe active JIA using a prevalence of 1 in 1,000 patients and 22% treated population was estimated to be </w:t>
      </w:r>
      <w:r w:rsidRPr="004C6435">
        <w:rPr>
          <w:rFonts w:cstheme="minorHAnsi"/>
          <w:color w:val="333333"/>
        </w:rPr>
        <w:t>$10 million to &lt; $20 million</w:t>
      </w:r>
      <w:r w:rsidRPr="004C6435">
        <w:rPr>
          <w:rFonts w:cstheme="minorHAnsi"/>
        </w:rPr>
        <w:t xml:space="preserve"> in year 6, and a net cost of </w:t>
      </w:r>
      <w:r w:rsidRPr="004C6435">
        <w:rPr>
          <w:rFonts w:cstheme="minorHAnsi"/>
          <w:color w:val="333333"/>
        </w:rPr>
        <w:t>$60 million to &lt; $70 million</w:t>
      </w:r>
      <w:r w:rsidRPr="004C6435">
        <w:rPr>
          <w:rFonts w:cstheme="minorHAnsi"/>
        </w:rPr>
        <w:t xml:space="preserve"> in the first 6 years of listing.</w:t>
      </w:r>
    </w:p>
    <w:p w14:paraId="3C30FE4D" w14:textId="77777777" w:rsidR="00852466" w:rsidRDefault="00852466" w:rsidP="00852466">
      <w:pPr>
        <w:pStyle w:val="3-BodyText"/>
        <w:numPr>
          <w:ilvl w:val="1"/>
          <w:numId w:val="2"/>
        </w:numPr>
        <w:spacing w:before="120"/>
      </w:pPr>
      <w:r w:rsidRPr="004C6435">
        <w:rPr>
          <w:rFonts w:cstheme="minorHAnsi"/>
        </w:rPr>
        <w:t xml:space="preserve">The total net additional cost to the PBS/RPBS for the proposed revised PBS listings for adalimumab for severe active JIA using a prevalence of 5,000 patients and 29% treated population was estimated to be </w:t>
      </w:r>
      <w:r w:rsidRPr="004C6435">
        <w:rPr>
          <w:rFonts w:cstheme="minorHAnsi"/>
          <w:color w:val="333333"/>
        </w:rPr>
        <w:t>$10 million to &lt; $20 million</w:t>
      </w:r>
      <w:r w:rsidRPr="004C6435">
        <w:rPr>
          <w:rFonts w:cstheme="minorHAnsi"/>
        </w:rPr>
        <w:t xml:space="preserve"> in year 6, and a net cost of </w:t>
      </w:r>
      <w:r w:rsidRPr="004C6435">
        <w:rPr>
          <w:rFonts w:cstheme="minorHAnsi"/>
          <w:color w:val="333333"/>
        </w:rPr>
        <w:t>$60 million to &lt; $70 million</w:t>
      </w:r>
      <w:r w:rsidRPr="004C6435">
        <w:rPr>
          <w:rFonts w:cstheme="minorHAnsi"/>
        </w:rPr>
        <w:t xml:space="preserve"> in the first 6 years of listing.</w:t>
      </w:r>
    </w:p>
    <w:p w14:paraId="3E98961B" w14:textId="77777777" w:rsidR="00852466" w:rsidRPr="004E2040" w:rsidRDefault="00852466" w:rsidP="00852466">
      <w:pPr>
        <w:jc w:val="center"/>
        <w:rPr>
          <w:rFonts w:asciiTheme="minorHAnsi" w:hAnsiTheme="minorHAnsi"/>
          <w:b/>
          <w:bCs/>
          <w:i/>
          <w:iCs/>
        </w:rPr>
      </w:pPr>
      <w:r w:rsidRPr="004E2040">
        <w:rPr>
          <w:rFonts w:asciiTheme="minorHAnsi" w:hAnsiTheme="minorHAnsi"/>
          <w:b/>
          <w:bCs/>
          <w:i/>
          <w:iCs/>
        </w:rPr>
        <w:t>Committee-In-Confidence information</w:t>
      </w:r>
    </w:p>
    <w:p w14:paraId="7EC3643E" w14:textId="77777777" w:rsidR="00852466" w:rsidRDefault="00852466" w:rsidP="00852466">
      <w:pPr>
        <w:pStyle w:val="3-BodyText"/>
        <w:numPr>
          <w:ilvl w:val="1"/>
          <w:numId w:val="2"/>
        </w:numPr>
        <w:spacing w:before="120"/>
      </w:pPr>
      <w:r w:rsidRPr="00852466">
        <w:rPr>
          <w:color w:val="000000"/>
          <w:w w:val="81"/>
          <w:shd w:val="solid" w:color="000000" w:fill="000000"/>
          <w:fitText w:val="360" w:id="-649849077"/>
          <w14:textFill>
            <w14:solidFill>
              <w14:srgbClr w14:val="000000">
                <w14:alpha w14:val="100000"/>
              </w14:srgbClr>
            </w14:solidFill>
          </w14:textFill>
        </w:rPr>
        <w:t>|||</w:t>
      </w:r>
      <w:r w:rsidRPr="00852466">
        <w:rPr>
          <w:color w:val="000000"/>
          <w:spacing w:val="1"/>
          <w:w w:val="81"/>
          <w:shd w:val="solid" w:color="000000" w:fill="000000"/>
          <w:fitText w:val="360" w:id="-649849077"/>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6"/>
          <w14:textFill>
            <w14:solidFill>
              <w14:srgbClr w14:val="000000">
                <w14:alpha w14:val="100000"/>
              </w14:srgbClr>
            </w14:solidFill>
          </w14:textFill>
        </w:rPr>
        <w:t>|||</w:t>
      </w:r>
      <w:r w:rsidRPr="00852466">
        <w:rPr>
          <w:color w:val="000000"/>
          <w:spacing w:val="1"/>
          <w:w w:val="81"/>
          <w:shd w:val="solid" w:color="000000" w:fill="000000"/>
          <w:fitText w:val="360" w:id="-649849076"/>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5"/>
          <w14:textFill>
            <w14:solidFill>
              <w14:srgbClr w14:val="000000">
                <w14:alpha w14:val="100000"/>
              </w14:srgbClr>
            </w14:solidFill>
          </w14:textFill>
        </w:rPr>
        <w:t>|||</w:t>
      </w:r>
      <w:r w:rsidRPr="00852466">
        <w:rPr>
          <w:color w:val="000000"/>
          <w:spacing w:val="1"/>
          <w:w w:val="81"/>
          <w:shd w:val="solid" w:color="000000" w:fill="000000"/>
          <w:fitText w:val="360" w:id="-649849075"/>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4"/>
          <w14:textFill>
            <w14:solidFill>
              <w14:srgbClr w14:val="000000">
                <w14:alpha w14:val="100000"/>
              </w14:srgbClr>
            </w14:solidFill>
          </w14:textFill>
        </w:rPr>
        <w:t>|||</w:t>
      </w:r>
      <w:r w:rsidRPr="00852466">
        <w:rPr>
          <w:color w:val="000000"/>
          <w:spacing w:val="1"/>
          <w:w w:val="81"/>
          <w:shd w:val="solid" w:color="000000" w:fill="000000"/>
          <w:fitText w:val="360" w:id="-649849074"/>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3"/>
          <w14:textFill>
            <w14:solidFill>
              <w14:srgbClr w14:val="000000">
                <w14:alpha w14:val="100000"/>
              </w14:srgbClr>
            </w14:solidFill>
          </w14:textFill>
        </w:rPr>
        <w:t>|||</w:t>
      </w:r>
      <w:r w:rsidRPr="00852466">
        <w:rPr>
          <w:color w:val="000000"/>
          <w:spacing w:val="1"/>
          <w:w w:val="81"/>
          <w:shd w:val="solid" w:color="000000" w:fill="000000"/>
          <w:fitText w:val="360" w:id="-649849073"/>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2"/>
          <w14:textFill>
            <w14:solidFill>
              <w14:srgbClr w14:val="000000">
                <w14:alpha w14:val="100000"/>
              </w14:srgbClr>
            </w14:solidFill>
          </w14:textFill>
        </w:rPr>
        <w:t>|||</w:t>
      </w:r>
      <w:r w:rsidRPr="00852466">
        <w:rPr>
          <w:color w:val="000000"/>
          <w:spacing w:val="1"/>
          <w:w w:val="81"/>
          <w:shd w:val="solid" w:color="000000" w:fill="000000"/>
          <w:fitText w:val="360" w:id="-649849072"/>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8"/>
          <w14:textFill>
            <w14:solidFill>
              <w14:srgbClr w14:val="000000">
                <w14:alpha w14:val="100000"/>
              </w14:srgbClr>
            </w14:solidFill>
          </w14:textFill>
        </w:rPr>
        <w:t>|||</w:t>
      </w:r>
      <w:r w:rsidRPr="00852466">
        <w:rPr>
          <w:color w:val="000000"/>
          <w:spacing w:val="1"/>
          <w:w w:val="81"/>
          <w:shd w:val="solid" w:color="000000" w:fill="000000"/>
          <w:fitText w:val="360" w:id="-649849088"/>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7"/>
          <w14:textFill>
            <w14:solidFill>
              <w14:srgbClr w14:val="000000">
                <w14:alpha w14:val="100000"/>
              </w14:srgbClr>
            </w14:solidFill>
          </w14:textFill>
        </w:rPr>
        <w:t>|||</w:t>
      </w:r>
      <w:r w:rsidRPr="00852466">
        <w:rPr>
          <w:color w:val="000000"/>
          <w:spacing w:val="1"/>
          <w:w w:val="81"/>
          <w:shd w:val="solid" w:color="000000" w:fill="000000"/>
          <w:fitText w:val="360" w:id="-649849087"/>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6"/>
          <w14:textFill>
            <w14:solidFill>
              <w14:srgbClr w14:val="000000">
                <w14:alpha w14:val="100000"/>
              </w14:srgbClr>
            </w14:solidFill>
          </w14:textFill>
        </w:rPr>
        <w:t>|||</w:t>
      </w:r>
      <w:r w:rsidRPr="00852466">
        <w:rPr>
          <w:color w:val="000000"/>
          <w:spacing w:val="1"/>
          <w:w w:val="81"/>
          <w:shd w:val="solid" w:color="000000" w:fill="000000"/>
          <w:fitText w:val="360" w:id="-649849086"/>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5"/>
          <w14:textFill>
            <w14:solidFill>
              <w14:srgbClr w14:val="000000">
                <w14:alpha w14:val="100000"/>
              </w14:srgbClr>
            </w14:solidFill>
          </w14:textFill>
        </w:rPr>
        <w:t>|||</w:t>
      </w:r>
      <w:r w:rsidRPr="00852466">
        <w:rPr>
          <w:color w:val="000000"/>
          <w:spacing w:val="1"/>
          <w:w w:val="81"/>
          <w:shd w:val="solid" w:color="000000" w:fill="000000"/>
          <w:fitText w:val="360" w:id="-649849085"/>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4"/>
          <w14:textFill>
            <w14:solidFill>
              <w14:srgbClr w14:val="000000">
                <w14:alpha w14:val="100000"/>
              </w14:srgbClr>
            </w14:solidFill>
          </w14:textFill>
        </w:rPr>
        <w:t>|||</w:t>
      </w:r>
      <w:r w:rsidRPr="00852466">
        <w:rPr>
          <w:color w:val="000000"/>
          <w:spacing w:val="1"/>
          <w:w w:val="81"/>
          <w:shd w:val="solid" w:color="000000" w:fill="000000"/>
          <w:fitText w:val="360" w:id="-649849084"/>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3"/>
          <w14:textFill>
            <w14:solidFill>
              <w14:srgbClr w14:val="000000">
                <w14:alpha w14:val="100000"/>
              </w14:srgbClr>
            </w14:solidFill>
          </w14:textFill>
        </w:rPr>
        <w:t>|||</w:t>
      </w:r>
      <w:r w:rsidRPr="00852466">
        <w:rPr>
          <w:color w:val="000000"/>
          <w:spacing w:val="1"/>
          <w:w w:val="81"/>
          <w:shd w:val="solid" w:color="000000" w:fill="000000"/>
          <w:fitText w:val="360" w:id="-649849083"/>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2"/>
          <w14:textFill>
            <w14:solidFill>
              <w14:srgbClr w14:val="000000">
                <w14:alpha w14:val="100000"/>
              </w14:srgbClr>
            </w14:solidFill>
          </w14:textFill>
        </w:rPr>
        <w:t>|||</w:t>
      </w:r>
      <w:r w:rsidRPr="00852466">
        <w:rPr>
          <w:color w:val="000000"/>
          <w:spacing w:val="1"/>
          <w:w w:val="81"/>
          <w:shd w:val="solid" w:color="000000" w:fill="000000"/>
          <w:fitText w:val="360" w:id="-649849082"/>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1"/>
          <w14:textFill>
            <w14:solidFill>
              <w14:srgbClr w14:val="000000">
                <w14:alpha w14:val="100000"/>
              </w14:srgbClr>
            </w14:solidFill>
          </w14:textFill>
        </w:rPr>
        <w:t>|||</w:t>
      </w:r>
      <w:r w:rsidRPr="00852466">
        <w:rPr>
          <w:color w:val="000000"/>
          <w:spacing w:val="1"/>
          <w:w w:val="81"/>
          <w:shd w:val="solid" w:color="000000" w:fill="000000"/>
          <w:fitText w:val="360" w:id="-649849081"/>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80"/>
          <w14:textFill>
            <w14:solidFill>
              <w14:srgbClr w14:val="000000">
                <w14:alpha w14:val="100000"/>
              </w14:srgbClr>
            </w14:solidFill>
          </w14:textFill>
        </w:rPr>
        <w:t>|||</w:t>
      </w:r>
      <w:r w:rsidRPr="00852466">
        <w:rPr>
          <w:color w:val="000000"/>
          <w:spacing w:val="1"/>
          <w:w w:val="81"/>
          <w:shd w:val="solid" w:color="000000" w:fill="000000"/>
          <w:fitText w:val="360" w:id="-649849080"/>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9"/>
          <w14:textFill>
            <w14:solidFill>
              <w14:srgbClr w14:val="000000">
                <w14:alpha w14:val="100000"/>
              </w14:srgbClr>
            </w14:solidFill>
          </w14:textFill>
        </w:rPr>
        <w:t>|||</w:t>
      </w:r>
      <w:r w:rsidRPr="00852466">
        <w:rPr>
          <w:color w:val="000000"/>
          <w:spacing w:val="1"/>
          <w:w w:val="81"/>
          <w:shd w:val="solid" w:color="000000" w:fill="000000"/>
          <w:fitText w:val="360" w:id="-649849079"/>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8"/>
          <w14:textFill>
            <w14:solidFill>
              <w14:srgbClr w14:val="000000">
                <w14:alpha w14:val="100000"/>
              </w14:srgbClr>
            </w14:solidFill>
          </w14:textFill>
        </w:rPr>
        <w:t>|||</w:t>
      </w:r>
      <w:r w:rsidRPr="00852466">
        <w:rPr>
          <w:color w:val="000000"/>
          <w:spacing w:val="1"/>
          <w:w w:val="81"/>
          <w:shd w:val="solid" w:color="000000" w:fill="000000"/>
          <w:fitText w:val="360" w:id="-649849078"/>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7"/>
          <w14:textFill>
            <w14:solidFill>
              <w14:srgbClr w14:val="000000">
                <w14:alpha w14:val="100000"/>
              </w14:srgbClr>
            </w14:solidFill>
          </w14:textFill>
        </w:rPr>
        <w:t>|||</w:t>
      </w:r>
      <w:r w:rsidRPr="00852466">
        <w:rPr>
          <w:color w:val="000000"/>
          <w:spacing w:val="1"/>
          <w:w w:val="81"/>
          <w:shd w:val="solid" w:color="000000" w:fill="000000"/>
          <w:fitText w:val="360" w:id="-649849077"/>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6"/>
          <w14:textFill>
            <w14:solidFill>
              <w14:srgbClr w14:val="000000">
                <w14:alpha w14:val="100000"/>
              </w14:srgbClr>
            </w14:solidFill>
          </w14:textFill>
        </w:rPr>
        <w:t>|||</w:t>
      </w:r>
      <w:r w:rsidRPr="00852466">
        <w:rPr>
          <w:color w:val="000000"/>
          <w:spacing w:val="1"/>
          <w:w w:val="81"/>
          <w:shd w:val="solid" w:color="000000" w:fill="000000"/>
          <w:fitText w:val="360" w:id="-649849076"/>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5"/>
          <w14:textFill>
            <w14:solidFill>
              <w14:srgbClr w14:val="000000">
                <w14:alpha w14:val="100000"/>
              </w14:srgbClr>
            </w14:solidFill>
          </w14:textFill>
        </w:rPr>
        <w:t>|||</w:t>
      </w:r>
      <w:r w:rsidRPr="00852466">
        <w:rPr>
          <w:color w:val="000000"/>
          <w:spacing w:val="1"/>
          <w:w w:val="81"/>
          <w:shd w:val="solid" w:color="000000" w:fill="000000"/>
          <w:fitText w:val="360" w:id="-649849075"/>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4"/>
          <w14:textFill>
            <w14:solidFill>
              <w14:srgbClr w14:val="000000">
                <w14:alpha w14:val="100000"/>
              </w14:srgbClr>
            </w14:solidFill>
          </w14:textFill>
        </w:rPr>
        <w:t>|||</w:t>
      </w:r>
      <w:r w:rsidRPr="00852466">
        <w:rPr>
          <w:color w:val="000000"/>
          <w:spacing w:val="1"/>
          <w:w w:val="81"/>
          <w:shd w:val="solid" w:color="000000" w:fill="000000"/>
          <w:fitText w:val="360" w:id="-649849074"/>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3"/>
          <w14:textFill>
            <w14:solidFill>
              <w14:srgbClr w14:val="000000">
                <w14:alpha w14:val="100000"/>
              </w14:srgbClr>
            </w14:solidFill>
          </w14:textFill>
        </w:rPr>
        <w:t>|||</w:t>
      </w:r>
      <w:r w:rsidRPr="00852466">
        <w:rPr>
          <w:color w:val="000000"/>
          <w:spacing w:val="1"/>
          <w:w w:val="81"/>
          <w:shd w:val="solid" w:color="000000" w:fill="000000"/>
          <w:fitText w:val="360" w:id="-649849073"/>
          <w14:textFill>
            <w14:solidFill>
              <w14:srgbClr w14:val="000000">
                <w14:alpha w14:val="100000"/>
              </w14:srgbClr>
            </w14:solidFill>
          </w14:textFill>
        </w:rPr>
        <w:t>|</w:t>
      </w:r>
      <w:r w:rsidRPr="00112AF1">
        <w:t xml:space="preserve"> </w:t>
      </w:r>
      <w:r w:rsidRPr="00852466">
        <w:rPr>
          <w:color w:val="000000"/>
          <w:w w:val="81"/>
          <w:shd w:val="solid" w:color="000000" w:fill="000000"/>
          <w:fitText w:val="360" w:id="-649849072"/>
          <w14:textFill>
            <w14:solidFill>
              <w14:srgbClr w14:val="000000">
                <w14:alpha w14:val="100000"/>
              </w14:srgbClr>
            </w14:solidFill>
          </w14:textFill>
        </w:rPr>
        <w:t>|||</w:t>
      </w:r>
      <w:r w:rsidRPr="00852466">
        <w:rPr>
          <w:color w:val="000000"/>
          <w:spacing w:val="1"/>
          <w:w w:val="81"/>
          <w:shd w:val="solid" w:color="000000" w:fill="000000"/>
          <w:fitText w:val="360" w:id="-649849072"/>
          <w14:textFill>
            <w14:solidFill>
              <w14:srgbClr w14:val="000000">
                <w14:alpha w14:val="100000"/>
              </w14:srgbClr>
            </w14:solidFill>
          </w14:textFill>
        </w:rPr>
        <w:t>|</w:t>
      </w:r>
    </w:p>
    <w:p w14:paraId="28E9A7F2" w14:textId="77777777" w:rsidR="00852466" w:rsidRPr="002871B4" w:rsidRDefault="00852466" w:rsidP="00852466">
      <w:pPr>
        <w:pStyle w:val="3Bodytext"/>
        <w:numPr>
          <w:ilvl w:val="0"/>
          <w:numId w:val="0"/>
        </w:numPr>
        <w:rPr>
          <w:rFonts w:ascii="Arial Narrow" w:hAnsi="Arial Narrow"/>
          <w:b/>
          <w:bCs/>
          <w:sz w:val="20"/>
          <w:szCs w:val="18"/>
          <w:highlight w:val="yellow"/>
        </w:rPr>
      </w:pPr>
      <w:r w:rsidRPr="00852466">
        <w:rPr>
          <w:rFonts w:ascii="Arial Narrow" w:hAnsi="Arial Narrow"/>
          <w:b/>
          <w:bCs/>
          <w:color w:val="000000"/>
          <w:spacing w:val="45"/>
          <w:sz w:val="20"/>
          <w:szCs w:val="18"/>
          <w:shd w:val="solid" w:color="000000" w:fill="000000"/>
          <w:fitText w:val="358" w:id="-649849088"/>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88"/>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19"/>
          <w:sz w:val="20"/>
          <w:szCs w:val="18"/>
          <w:shd w:val="solid" w:color="000000" w:fill="000000"/>
          <w:fitText w:val="903" w:id="-649849087"/>
          <w14:textFill>
            <w14:solidFill>
              <w14:srgbClr w14:val="000000">
                <w14:alpha w14:val="100000"/>
              </w14:srgbClr>
            </w14:solidFill>
          </w14:textFill>
        </w:rPr>
        <w:t>|||||||||||||</w:t>
      </w:r>
      <w:r w:rsidRPr="00852466">
        <w:rPr>
          <w:rFonts w:ascii="Arial Narrow" w:hAnsi="Arial Narrow"/>
          <w:b/>
          <w:bCs/>
          <w:color w:val="000000"/>
          <w:spacing w:val="13"/>
          <w:sz w:val="20"/>
          <w:szCs w:val="18"/>
          <w:shd w:val="solid" w:color="000000" w:fill="000000"/>
          <w:fitText w:val="903" w:id="-649849087"/>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49" w:id="-649849086"/>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49" w:id="-649849086"/>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85"/>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85"/>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49" w:id="-649849084"/>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49" w:id="-649849084"/>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83"/>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83"/>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49" w:id="-649849082"/>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49" w:id="-649849082"/>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81"/>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81"/>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49" w:id="-649849080"/>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49" w:id="-649849080"/>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79"/>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79"/>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78"/>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78"/>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77"/>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77"/>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19"/>
          <w:sz w:val="20"/>
          <w:szCs w:val="18"/>
          <w:shd w:val="solid" w:color="000000" w:fill="000000"/>
          <w:fitText w:val="903" w:id="-649849076"/>
          <w14:textFill>
            <w14:solidFill>
              <w14:srgbClr w14:val="000000">
                <w14:alpha w14:val="100000"/>
              </w14:srgbClr>
            </w14:solidFill>
          </w14:textFill>
        </w:rPr>
        <w:t>|||||||||||||</w:t>
      </w:r>
      <w:r w:rsidRPr="00852466">
        <w:rPr>
          <w:rFonts w:ascii="Arial Narrow" w:hAnsi="Arial Narrow"/>
          <w:b/>
          <w:bCs/>
          <w:color w:val="000000"/>
          <w:spacing w:val="13"/>
          <w:sz w:val="20"/>
          <w:szCs w:val="18"/>
          <w:shd w:val="solid" w:color="000000" w:fill="000000"/>
          <w:fitText w:val="903" w:id="-649849076"/>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8" w:id="-649849075"/>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8" w:id="-649849075"/>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7" w:id="-649849074"/>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7" w:id="-649849074"/>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49" w:id="-649849073"/>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49" w:id="-649849073"/>
          <w14:textFill>
            <w14:solidFill>
              <w14:srgbClr w14:val="000000">
                <w14:alpha w14:val="100000"/>
              </w14:srgbClr>
            </w14:solidFill>
          </w14:textFill>
        </w:rPr>
        <w:t>|</w:t>
      </w:r>
      <w:r w:rsidRPr="00BC1E85">
        <w:rPr>
          <w:rFonts w:ascii="Arial Narrow" w:hAnsi="Arial Narrow"/>
          <w:b/>
          <w:bCs/>
          <w:sz w:val="20"/>
          <w:szCs w:val="18"/>
        </w:rPr>
        <w:t xml:space="preserve"> </w:t>
      </w:r>
      <w:r w:rsidRPr="00852466">
        <w:rPr>
          <w:rFonts w:ascii="Arial Narrow" w:hAnsi="Arial Narrow"/>
          <w:b/>
          <w:bCs/>
          <w:color w:val="000000"/>
          <w:spacing w:val="45"/>
          <w:sz w:val="20"/>
          <w:szCs w:val="18"/>
          <w:shd w:val="solid" w:color="000000" w:fill="000000"/>
          <w:fitText w:val="357" w:id="-649849072"/>
          <w14:textFill>
            <w14:solidFill>
              <w14:srgbClr w14:val="000000">
                <w14:alpha w14:val="100000"/>
              </w14:srgbClr>
            </w14:solidFill>
          </w14:textFill>
        </w:rPr>
        <w:t>|||</w:t>
      </w:r>
      <w:r w:rsidRPr="00852466">
        <w:rPr>
          <w:rFonts w:ascii="Arial Narrow" w:hAnsi="Arial Narrow"/>
          <w:b/>
          <w:bCs/>
          <w:color w:val="000000"/>
          <w:spacing w:val="30"/>
          <w:sz w:val="20"/>
          <w:szCs w:val="18"/>
          <w:shd w:val="solid" w:color="000000" w:fill="000000"/>
          <w:fitText w:val="357" w:id="-649849072"/>
          <w14:textFill>
            <w14:solidFill>
              <w14:srgbClr w14:val="000000">
                <w14:alpha w14:val="100000"/>
              </w14:srgbClr>
            </w14:solidFill>
          </w14:textFill>
        </w:rPr>
        <w:t>|</w:t>
      </w:r>
    </w:p>
    <w:tbl>
      <w:tblPr>
        <w:tblStyle w:val="TableGrid"/>
        <w:tblW w:w="0" w:type="auto"/>
        <w:tblInd w:w="-5" w:type="dxa"/>
        <w:tblLook w:val="04A0" w:firstRow="1" w:lastRow="0" w:firstColumn="1" w:lastColumn="0" w:noHBand="0" w:noVBand="1"/>
      </w:tblPr>
      <w:tblGrid>
        <w:gridCol w:w="2694"/>
        <w:gridCol w:w="1054"/>
        <w:gridCol w:w="1055"/>
        <w:gridCol w:w="1054"/>
        <w:gridCol w:w="1055"/>
        <w:gridCol w:w="1054"/>
        <w:gridCol w:w="1055"/>
      </w:tblGrid>
      <w:tr w:rsidR="00852466" w:rsidRPr="002871B4" w14:paraId="4CF121C0" w14:textId="77777777">
        <w:tc>
          <w:tcPr>
            <w:tcW w:w="2694" w:type="dxa"/>
          </w:tcPr>
          <w:p w14:paraId="26DCA77D" w14:textId="77777777" w:rsidR="00852466" w:rsidRPr="00AB40B1" w:rsidRDefault="00852466">
            <w:pPr>
              <w:pStyle w:val="3Bodytext"/>
              <w:numPr>
                <w:ilvl w:val="0"/>
                <w:numId w:val="0"/>
              </w:numPr>
              <w:spacing w:after="0"/>
              <w:rPr>
                <w:rFonts w:ascii="Arial Narrow" w:hAnsi="Arial Narrow"/>
                <w:sz w:val="20"/>
                <w:szCs w:val="20"/>
                <w:highlight w:val="yellow"/>
              </w:rPr>
            </w:pPr>
          </w:p>
        </w:tc>
        <w:tc>
          <w:tcPr>
            <w:tcW w:w="1054" w:type="dxa"/>
          </w:tcPr>
          <w:p w14:paraId="7A121F34"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7"/>
                <w:sz w:val="20"/>
                <w:szCs w:val="20"/>
                <w:shd w:val="solid" w:color="000000" w:fill="000000"/>
                <w:fitText w:val="77" w:id="-649849088"/>
                <w14:textFill>
                  <w14:solidFill>
                    <w14:srgbClr w14:val="000000">
                      <w14:alpha w14:val="100000"/>
                    </w14:srgbClr>
                  </w14:solidFill>
                </w14:textFill>
              </w:rPr>
              <w:t xml:space="preserve">　</w:t>
            </w:r>
            <w:r w:rsidRPr="00852466">
              <w:rPr>
                <w:rFonts w:ascii="Arial Narrow" w:hAnsi="Arial Narrow"/>
                <w:b/>
                <w:bCs/>
                <w:color w:val="000000"/>
                <w:w w:val="17"/>
                <w:sz w:val="20"/>
                <w:szCs w:val="20"/>
                <w:shd w:val="solid" w:color="000000" w:fill="000000"/>
                <w:fitText w:val="77" w:id="-649849088"/>
                <w14:textFill>
                  <w14:solidFill>
                    <w14:srgbClr w14:val="000000">
                      <w14:alpha w14:val="100000"/>
                    </w14:srgbClr>
                  </w14:solidFill>
                </w14:textFill>
              </w:rPr>
              <w:t>|</w:t>
            </w:r>
            <w:r w:rsidRPr="00852466">
              <w:rPr>
                <w:rFonts w:ascii="MS Gothic" w:eastAsia="MS Gothic" w:hAnsi="MS Gothic" w:cs="MS Gothic" w:hint="eastAsia"/>
                <w:b/>
                <w:bCs/>
                <w:color w:val="000000"/>
                <w:w w:val="17"/>
                <w:sz w:val="20"/>
                <w:szCs w:val="20"/>
                <w:shd w:val="solid" w:color="000000" w:fill="000000"/>
                <w:fitText w:val="77" w:id="-649849088"/>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84"/>
                <w:sz w:val="20"/>
                <w:szCs w:val="20"/>
                <w:shd w:val="solid" w:color="000000" w:fill="000000"/>
                <w:fitText w:val="196" w:id="-649849087"/>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96" w:id="-649849087"/>
                <w14:textFill>
                  <w14:solidFill>
                    <w14:srgbClr w14:val="000000">
                      <w14:alpha w14:val="100000"/>
                    </w14:srgbClr>
                  </w14:solidFill>
                </w14:textFill>
              </w:rPr>
              <w:t>|</w:t>
            </w:r>
          </w:p>
        </w:tc>
        <w:tc>
          <w:tcPr>
            <w:tcW w:w="1055" w:type="dxa"/>
          </w:tcPr>
          <w:p w14:paraId="244401F5"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6"/>
                <w:sz w:val="20"/>
                <w:szCs w:val="20"/>
                <w:shd w:val="solid" w:color="000000" w:fill="000000"/>
                <w:fitText w:val="76" w:id="-649849086"/>
                <w14:textFill>
                  <w14:solidFill>
                    <w14:srgbClr w14:val="000000">
                      <w14:alpha w14:val="100000"/>
                    </w14:srgbClr>
                  </w14:solidFill>
                </w14:textFill>
              </w:rPr>
              <w:t xml:space="preserve">　</w:t>
            </w:r>
            <w:r w:rsidRPr="00852466">
              <w:rPr>
                <w:rFonts w:ascii="Arial Narrow" w:hAnsi="Arial Narrow"/>
                <w:b/>
                <w:bCs/>
                <w:color w:val="000000"/>
                <w:w w:val="16"/>
                <w:sz w:val="20"/>
                <w:szCs w:val="20"/>
                <w:shd w:val="solid" w:color="000000" w:fill="000000"/>
                <w:fitText w:val="76" w:id="-649849086"/>
                <w14:textFill>
                  <w14:solidFill>
                    <w14:srgbClr w14:val="000000">
                      <w14:alpha w14:val="100000"/>
                    </w14:srgbClr>
                  </w14:solidFill>
                </w14:textFill>
              </w:rPr>
              <w:t>|</w:t>
            </w:r>
            <w:r w:rsidRPr="00852466">
              <w:rPr>
                <w:rFonts w:ascii="MS Gothic" w:eastAsia="MS Gothic" w:hAnsi="MS Gothic" w:cs="MS Gothic" w:hint="eastAsia"/>
                <w:b/>
                <w:bCs/>
                <w:color w:val="000000"/>
                <w:w w:val="16"/>
                <w:sz w:val="20"/>
                <w:szCs w:val="20"/>
                <w:shd w:val="solid" w:color="000000" w:fill="000000"/>
                <w:fitText w:val="76" w:id="-649849086"/>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75"/>
                <w:sz w:val="20"/>
                <w:szCs w:val="20"/>
                <w:shd w:val="solid" w:color="000000" w:fill="000000"/>
                <w:fitText w:val="187" w:id="-649849085"/>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87" w:id="-649849085"/>
                <w14:textFill>
                  <w14:solidFill>
                    <w14:srgbClr w14:val="000000">
                      <w14:alpha w14:val="100000"/>
                    </w14:srgbClr>
                  </w14:solidFill>
                </w14:textFill>
              </w:rPr>
              <w:t>|</w:t>
            </w:r>
          </w:p>
        </w:tc>
        <w:tc>
          <w:tcPr>
            <w:tcW w:w="1054" w:type="dxa"/>
          </w:tcPr>
          <w:p w14:paraId="600BD56A"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6"/>
                <w:sz w:val="20"/>
                <w:szCs w:val="20"/>
                <w:shd w:val="solid" w:color="000000" w:fill="000000"/>
                <w:fitText w:val="76" w:id="-649849084"/>
                <w14:textFill>
                  <w14:solidFill>
                    <w14:srgbClr w14:val="000000">
                      <w14:alpha w14:val="100000"/>
                    </w14:srgbClr>
                  </w14:solidFill>
                </w14:textFill>
              </w:rPr>
              <w:t xml:space="preserve">　</w:t>
            </w:r>
            <w:r w:rsidRPr="00852466">
              <w:rPr>
                <w:rFonts w:ascii="Arial Narrow" w:hAnsi="Arial Narrow"/>
                <w:b/>
                <w:bCs/>
                <w:color w:val="000000"/>
                <w:w w:val="16"/>
                <w:sz w:val="20"/>
                <w:szCs w:val="20"/>
                <w:shd w:val="solid" w:color="000000" w:fill="000000"/>
                <w:fitText w:val="76" w:id="-649849084"/>
                <w14:textFill>
                  <w14:solidFill>
                    <w14:srgbClr w14:val="000000">
                      <w14:alpha w14:val="100000"/>
                    </w14:srgbClr>
                  </w14:solidFill>
                </w14:textFill>
              </w:rPr>
              <w:t>|</w:t>
            </w:r>
            <w:r w:rsidRPr="00852466">
              <w:rPr>
                <w:rFonts w:ascii="MS Gothic" w:eastAsia="MS Gothic" w:hAnsi="MS Gothic" w:cs="MS Gothic" w:hint="eastAsia"/>
                <w:b/>
                <w:bCs/>
                <w:color w:val="000000"/>
                <w:w w:val="16"/>
                <w:sz w:val="20"/>
                <w:szCs w:val="20"/>
                <w:shd w:val="solid" w:color="000000" w:fill="000000"/>
                <w:fitText w:val="76" w:id="-649849084"/>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84"/>
                <w:sz w:val="20"/>
                <w:szCs w:val="20"/>
                <w:shd w:val="solid" w:color="000000" w:fill="000000"/>
                <w:fitText w:val="196" w:id="-649849083"/>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96" w:id="-649849083"/>
                <w14:textFill>
                  <w14:solidFill>
                    <w14:srgbClr w14:val="000000">
                      <w14:alpha w14:val="100000"/>
                    </w14:srgbClr>
                  </w14:solidFill>
                </w14:textFill>
              </w:rPr>
              <w:t>|</w:t>
            </w:r>
          </w:p>
        </w:tc>
        <w:tc>
          <w:tcPr>
            <w:tcW w:w="1055" w:type="dxa"/>
          </w:tcPr>
          <w:p w14:paraId="4107334D"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7"/>
                <w:sz w:val="20"/>
                <w:szCs w:val="20"/>
                <w:shd w:val="solid" w:color="000000" w:fill="000000"/>
                <w:fitText w:val="77" w:id="-649849082"/>
                <w14:textFill>
                  <w14:solidFill>
                    <w14:srgbClr w14:val="000000">
                      <w14:alpha w14:val="100000"/>
                    </w14:srgbClr>
                  </w14:solidFill>
                </w14:textFill>
              </w:rPr>
              <w:t xml:space="preserve">　</w:t>
            </w:r>
            <w:r w:rsidRPr="00852466">
              <w:rPr>
                <w:rFonts w:ascii="Arial Narrow" w:hAnsi="Arial Narrow"/>
                <w:b/>
                <w:bCs/>
                <w:color w:val="000000"/>
                <w:w w:val="17"/>
                <w:sz w:val="20"/>
                <w:szCs w:val="20"/>
                <w:shd w:val="solid" w:color="000000" w:fill="000000"/>
                <w:fitText w:val="77" w:id="-649849082"/>
                <w14:textFill>
                  <w14:solidFill>
                    <w14:srgbClr w14:val="000000">
                      <w14:alpha w14:val="100000"/>
                    </w14:srgbClr>
                  </w14:solidFill>
                </w14:textFill>
              </w:rPr>
              <w:t>|</w:t>
            </w:r>
            <w:r w:rsidRPr="00852466">
              <w:rPr>
                <w:rFonts w:ascii="MS Gothic" w:eastAsia="MS Gothic" w:hAnsi="MS Gothic" w:cs="MS Gothic" w:hint="eastAsia"/>
                <w:b/>
                <w:bCs/>
                <w:color w:val="000000"/>
                <w:w w:val="17"/>
                <w:sz w:val="20"/>
                <w:szCs w:val="20"/>
                <w:shd w:val="solid" w:color="000000" w:fill="000000"/>
                <w:fitText w:val="77" w:id="-649849082"/>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84"/>
                <w:sz w:val="20"/>
                <w:szCs w:val="20"/>
                <w:shd w:val="solid" w:color="000000" w:fill="000000"/>
                <w:fitText w:val="196" w:id="-649849081"/>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96" w:id="-649849081"/>
                <w14:textFill>
                  <w14:solidFill>
                    <w14:srgbClr w14:val="000000">
                      <w14:alpha w14:val="100000"/>
                    </w14:srgbClr>
                  </w14:solidFill>
                </w14:textFill>
              </w:rPr>
              <w:t>|</w:t>
            </w:r>
          </w:p>
        </w:tc>
        <w:tc>
          <w:tcPr>
            <w:tcW w:w="1054" w:type="dxa"/>
          </w:tcPr>
          <w:p w14:paraId="4C47EB1C"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6"/>
                <w:sz w:val="20"/>
                <w:szCs w:val="20"/>
                <w:shd w:val="solid" w:color="000000" w:fill="000000"/>
                <w:fitText w:val="76" w:id="-649849080"/>
                <w14:textFill>
                  <w14:solidFill>
                    <w14:srgbClr w14:val="000000">
                      <w14:alpha w14:val="100000"/>
                    </w14:srgbClr>
                  </w14:solidFill>
                </w14:textFill>
              </w:rPr>
              <w:t xml:space="preserve">　</w:t>
            </w:r>
            <w:r w:rsidRPr="00852466">
              <w:rPr>
                <w:rFonts w:ascii="Arial Narrow" w:hAnsi="Arial Narrow"/>
                <w:b/>
                <w:bCs/>
                <w:color w:val="000000"/>
                <w:w w:val="16"/>
                <w:sz w:val="20"/>
                <w:szCs w:val="20"/>
                <w:shd w:val="solid" w:color="000000" w:fill="000000"/>
                <w:fitText w:val="76" w:id="-649849080"/>
                <w14:textFill>
                  <w14:solidFill>
                    <w14:srgbClr w14:val="000000">
                      <w14:alpha w14:val="100000"/>
                    </w14:srgbClr>
                  </w14:solidFill>
                </w14:textFill>
              </w:rPr>
              <w:t>|</w:t>
            </w:r>
            <w:r w:rsidRPr="00852466">
              <w:rPr>
                <w:rFonts w:ascii="MS Gothic" w:eastAsia="MS Gothic" w:hAnsi="MS Gothic" w:cs="MS Gothic" w:hint="eastAsia"/>
                <w:b/>
                <w:bCs/>
                <w:color w:val="000000"/>
                <w:w w:val="16"/>
                <w:sz w:val="20"/>
                <w:szCs w:val="20"/>
                <w:shd w:val="solid" w:color="000000" w:fill="000000"/>
                <w:fitText w:val="76" w:id="-649849080"/>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84"/>
                <w:sz w:val="20"/>
                <w:szCs w:val="20"/>
                <w:shd w:val="solid" w:color="000000" w:fill="000000"/>
                <w:fitText w:val="196" w:id="-649849079"/>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96" w:id="-649849079"/>
                <w14:textFill>
                  <w14:solidFill>
                    <w14:srgbClr w14:val="000000">
                      <w14:alpha w14:val="100000"/>
                    </w14:srgbClr>
                  </w14:solidFill>
                </w14:textFill>
              </w:rPr>
              <w:t>|</w:t>
            </w:r>
          </w:p>
        </w:tc>
        <w:tc>
          <w:tcPr>
            <w:tcW w:w="1055" w:type="dxa"/>
          </w:tcPr>
          <w:p w14:paraId="7E137EB7" w14:textId="77777777" w:rsidR="00852466" w:rsidRPr="008810AA" w:rsidRDefault="00852466">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852466">
              <w:rPr>
                <w:rFonts w:ascii="MS Gothic" w:eastAsia="MS Gothic" w:hAnsi="MS Gothic" w:cs="MS Gothic" w:hint="eastAsia"/>
                <w:b/>
                <w:bCs/>
                <w:color w:val="000000"/>
                <w:w w:val="17"/>
                <w:sz w:val="20"/>
                <w:szCs w:val="20"/>
                <w:shd w:val="solid" w:color="000000" w:fill="000000"/>
                <w:fitText w:val="77" w:id="-649849078"/>
                <w14:textFill>
                  <w14:solidFill>
                    <w14:srgbClr w14:val="000000">
                      <w14:alpha w14:val="100000"/>
                    </w14:srgbClr>
                  </w14:solidFill>
                </w14:textFill>
              </w:rPr>
              <w:t xml:space="preserve">　</w:t>
            </w:r>
            <w:r w:rsidRPr="00852466">
              <w:rPr>
                <w:rFonts w:ascii="Arial Narrow" w:hAnsi="Arial Narrow"/>
                <w:b/>
                <w:bCs/>
                <w:color w:val="000000"/>
                <w:w w:val="17"/>
                <w:sz w:val="20"/>
                <w:szCs w:val="20"/>
                <w:shd w:val="solid" w:color="000000" w:fill="000000"/>
                <w:fitText w:val="77" w:id="-649849078"/>
                <w14:textFill>
                  <w14:solidFill>
                    <w14:srgbClr w14:val="000000">
                      <w14:alpha w14:val="100000"/>
                    </w14:srgbClr>
                  </w14:solidFill>
                </w14:textFill>
              </w:rPr>
              <w:t>|</w:t>
            </w:r>
            <w:r w:rsidRPr="00852466">
              <w:rPr>
                <w:rFonts w:ascii="MS Gothic" w:eastAsia="MS Gothic" w:hAnsi="MS Gothic" w:cs="MS Gothic" w:hint="eastAsia"/>
                <w:b/>
                <w:bCs/>
                <w:color w:val="000000"/>
                <w:w w:val="17"/>
                <w:sz w:val="20"/>
                <w:szCs w:val="20"/>
                <w:shd w:val="solid" w:color="000000" w:fill="000000"/>
                <w:fitText w:val="77" w:id="-649849078"/>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E729E5">
              <w:rPr>
                <w:rFonts w:ascii="Arial Narrow" w:hAnsi="Arial Narrow"/>
                <w:b/>
                <w:color w:val="000000"/>
                <w:spacing w:val="84"/>
                <w:sz w:val="20"/>
                <w:szCs w:val="20"/>
                <w:shd w:val="solid" w:color="000000" w:fill="000000"/>
                <w:fitText w:val="196" w:id="-649849077"/>
                <w14:textFill>
                  <w14:solidFill>
                    <w14:srgbClr w14:val="000000">
                      <w14:alpha w14:val="100000"/>
                    </w14:srgbClr>
                  </w14:solidFill>
                </w14:textFill>
              </w:rPr>
              <w:t>|</w:t>
            </w:r>
            <w:r w:rsidRPr="00E729E5">
              <w:rPr>
                <w:rFonts w:ascii="Arial Narrow" w:hAnsi="Arial Narrow"/>
                <w:b/>
                <w:color w:val="000000"/>
                <w:sz w:val="20"/>
                <w:szCs w:val="20"/>
                <w:shd w:val="solid" w:color="000000" w:fill="000000"/>
                <w:fitText w:val="196" w:id="-649849077"/>
                <w14:textFill>
                  <w14:solidFill>
                    <w14:srgbClr w14:val="000000">
                      <w14:alpha w14:val="100000"/>
                    </w14:srgbClr>
                  </w14:solidFill>
                </w14:textFill>
              </w:rPr>
              <w:t>|</w:t>
            </w:r>
          </w:p>
        </w:tc>
      </w:tr>
      <w:tr w:rsidR="00852466" w:rsidRPr="002871B4" w14:paraId="330AEFDC" w14:textId="77777777">
        <w:tc>
          <w:tcPr>
            <w:tcW w:w="9021" w:type="dxa"/>
            <w:gridSpan w:val="7"/>
          </w:tcPr>
          <w:p w14:paraId="59A8928C" w14:textId="77777777" w:rsidR="00852466" w:rsidRPr="00AB40B1" w:rsidRDefault="00852466">
            <w:pPr>
              <w:pStyle w:val="3Bodytext"/>
              <w:numPr>
                <w:ilvl w:val="0"/>
                <w:numId w:val="0"/>
              </w:numPr>
              <w:spacing w:after="0"/>
              <w:rPr>
                <w:rFonts w:ascii="Arial Narrow" w:hAnsi="Arial Narrow"/>
                <w:b/>
                <w:bCs/>
                <w:sz w:val="20"/>
                <w:szCs w:val="20"/>
                <w:highlight w:val="yellow"/>
              </w:rPr>
            </w:pPr>
            <w:r w:rsidRPr="00E729E5">
              <w:rPr>
                <w:rFonts w:ascii="Arial Narrow" w:hAnsi="Arial Narrow"/>
                <w:b/>
                <w:color w:val="000000"/>
                <w:spacing w:val="44"/>
                <w:sz w:val="20"/>
                <w:szCs w:val="20"/>
                <w:shd w:val="solid" w:color="000000" w:fill="000000"/>
                <w:fitText w:val="358" w:id="-649849076"/>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76"/>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7" w:id="-649849075"/>
                <w14:textFill>
                  <w14:solidFill>
                    <w14:srgbClr w14:val="000000">
                      <w14:alpha w14:val="100000"/>
                    </w14:srgbClr>
                  </w14:solidFill>
                </w14:textFill>
              </w:rPr>
              <w:t>|||</w:t>
            </w:r>
            <w:r w:rsidRPr="00E729E5">
              <w:rPr>
                <w:rFonts w:ascii="Arial Narrow" w:hAnsi="Arial Narrow"/>
                <w:b/>
                <w:color w:val="000000"/>
                <w:spacing w:val="1"/>
                <w:sz w:val="20"/>
                <w:szCs w:val="20"/>
                <w:shd w:val="solid" w:color="000000" w:fill="000000"/>
                <w:fitText w:val="357" w:id="-649849075"/>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1"/>
                <w:sz w:val="20"/>
                <w:szCs w:val="20"/>
                <w:shd w:val="solid" w:color="000000" w:fill="000000"/>
                <w:fitText w:val="349" w:id="-649849074"/>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49" w:id="-649849074"/>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8" w:id="-649849073"/>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73"/>
                <w14:textFill>
                  <w14:solidFill>
                    <w14:srgbClr w14:val="000000">
                      <w14:alpha w14:val="100000"/>
                    </w14:srgbClr>
                  </w14:solidFill>
                </w14:textFill>
              </w:rPr>
              <w:t>|</w:t>
            </w:r>
          </w:p>
        </w:tc>
      </w:tr>
      <w:tr w:rsidR="00852466" w:rsidRPr="002871B4" w14:paraId="3B514761" w14:textId="77777777">
        <w:tc>
          <w:tcPr>
            <w:tcW w:w="9021" w:type="dxa"/>
            <w:gridSpan w:val="7"/>
          </w:tcPr>
          <w:p w14:paraId="45A08D15" w14:textId="77777777" w:rsidR="00852466" w:rsidRPr="00AB40B1" w:rsidRDefault="00852466">
            <w:pPr>
              <w:pStyle w:val="3Bodytext"/>
              <w:numPr>
                <w:ilvl w:val="0"/>
                <w:numId w:val="0"/>
              </w:numPr>
              <w:spacing w:after="0"/>
              <w:rPr>
                <w:rFonts w:ascii="Arial Narrow" w:hAnsi="Arial Narrow"/>
                <w:b/>
                <w:bCs/>
                <w:sz w:val="20"/>
                <w:szCs w:val="20"/>
                <w:highlight w:val="yellow"/>
              </w:rPr>
            </w:pPr>
            <w:r w:rsidRPr="00E729E5">
              <w:rPr>
                <w:rFonts w:ascii="Arial Narrow" w:hAnsi="Arial Narrow"/>
                <w:b/>
                <w:color w:val="000000"/>
                <w:spacing w:val="44"/>
                <w:sz w:val="20"/>
                <w:szCs w:val="20"/>
                <w:shd w:val="solid" w:color="000000" w:fill="000000"/>
                <w:fitText w:val="358" w:id="-649849072"/>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72"/>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7" w:id="-649849088"/>
                <w14:textFill>
                  <w14:solidFill>
                    <w14:srgbClr w14:val="000000">
                      <w14:alpha w14:val="100000"/>
                    </w14:srgbClr>
                  </w14:solidFill>
                </w14:textFill>
              </w:rPr>
              <w:t>|||</w:t>
            </w:r>
            <w:r w:rsidRPr="00E729E5">
              <w:rPr>
                <w:rFonts w:ascii="Arial Narrow" w:hAnsi="Arial Narrow"/>
                <w:b/>
                <w:color w:val="000000"/>
                <w:spacing w:val="1"/>
                <w:sz w:val="20"/>
                <w:szCs w:val="20"/>
                <w:shd w:val="solid" w:color="000000" w:fill="000000"/>
                <w:fitText w:val="357" w:id="-649849088"/>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1"/>
                <w:sz w:val="20"/>
                <w:szCs w:val="20"/>
                <w:shd w:val="solid" w:color="000000" w:fill="000000"/>
                <w:fitText w:val="349" w:id="-649849087"/>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49" w:id="-649849087"/>
                <w14:textFill>
                  <w14:solidFill>
                    <w14:srgbClr w14:val="000000">
                      <w14:alpha w14:val="100000"/>
                    </w14:srgbClr>
                  </w14:solidFill>
                </w14:textFill>
              </w:rPr>
              <w:t>|</w:t>
            </w:r>
          </w:p>
        </w:tc>
      </w:tr>
      <w:tr w:rsidR="00852466" w:rsidRPr="002871B4" w14:paraId="4BF9938D" w14:textId="77777777">
        <w:tc>
          <w:tcPr>
            <w:tcW w:w="2694" w:type="dxa"/>
            <w:vAlign w:val="center"/>
          </w:tcPr>
          <w:p w14:paraId="382C2B88" w14:textId="77777777" w:rsidR="00852466" w:rsidRPr="00AB40B1" w:rsidRDefault="00852466">
            <w:pPr>
              <w:pStyle w:val="3Bodytext"/>
              <w:numPr>
                <w:ilvl w:val="0"/>
                <w:numId w:val="0"/>
              </w:numPr>
              <w:spacing w:after="0"/>
              <w:rPr>
                <w:rFonts w:ascii="Arial Narrow" w:hAnsi="Arial Narrow"/>
                <w:sz w:val="20"/>
                <w:szCs w:val="18"/>
                <w:highlight w:val="yellow"/>
              </w:rPr>
            </w:pPr>
            <w:r w:rsidRPr="00E729E5">
              <w:rPr>
                <w:rFonts w:ascii="Arial Narrow" w:hAnsi="Arial Narrow"/>
                <w:color w:val="000000"/>
                <w:spacing w:val="38"/>
                <w:sz w:val="20"/>
                <w:szCs w:val="20"/>
                <w:shd w:val="solid" w:color="000000" w:fill="000000"/>
                <w:fitText w:val="323" w:id="-649849086"/>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23" w:id="-649849086"/>
                <w14:textFill>
                  <w14:solidFill>
                    <w14:srgbClr w14:val="000000">
                      <w14:alpha w14:val="100000"/>
                    </w14:srgbClr>
                  </w14:solidFill>
                </w14:textFill>
              </w:rPr>
              <w:t>|</w:t>
            </w:r>
            <w:r w:rsidRPr="00BC1E85">
              <w:rPr>
                <w:rFonts w:ascii="Arial Narrow" w:hAnsi="Arial Narrow"/>
                <w:color w:val="000000"/>
                <w:sz w:val="20"/>
                <w:szCs w:val="20"/>
              </w:rPr>
              <w:t xml:space="preserve"> </w:t>
            </w:r>
            <w:r w:rsidRPr="00E729E5">
              <w:rPr>
                <w:rFonts w:ascii="Arial Narrow" w:hAnsi="Arial Narrow"/>
                <w:color w:val="000000"/>
                <w:spacing w:val="41"/>
                <w:sz w:val="20"/>
                <w:szCs w:val="20"/>
                <w:shd w:val="solid" w:color="000000" w:fill="000000"/>
                <w:fitText w:val="332" w:id="-649849085"/>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5"/>
                <w14:textFill>
                  <w14:solidFill>
                    <w14:srgbClr w14:val="000000">
                      <w14:alpha w14:val="100000"/>
                    </w14:srgbClr>
                  </w14:solidFill>
                </w14:textFill>
              </w:rPr>
              <w:t>|</w:t>
            </w:r>
            <w:r w:rsidRPr="00BC1E85">
              <w:rPr>
                <w:rFonts w:ascii="Arial Narrow" w:hAnsi="Arial Narrow"/>
                <w:color w:val="000000"/>
                <w:sz w:val="20"/>
                <w:szCs w:val="20"/>
              </w:rPr>
              <w:t xml:space="preserve"> </w:t>
            </w:r>
            <w:r w:rsidRPr="00E729E5">
              <w:rPr>
                <w:rFonts w:ascii="Arial Narrow" w:hAnsi="Arial Narrow"/>
                <w:color w:val="000000"/>
                <w:spacing w:val="38"/>
                <w:sz w:val="20"/>
                <w:szCs w:val="20"/>
                <w:shd w:val="solid" w:color="000000" w:fill="000000"/>
                <w:fitText w:val="324" w:id="-649849084"/>
                <w14:textFill>
                  <w14:solidFill>
                    <w14:srgbClr w14:val="000000">
                      <w14:alpha w14:val="100000"/>
                    </w14:srgbClr>
                  </w14:solidFill>
                </w14:textFill>
              </w:rPr>
              <w:t>|||</w:t>
            </w:r>
            <w:r w:rsidRPr="00E729E5">
              <w:rPr>
                <w:rFonts w:ascii="Arial Narrow" w:hAnsi="Arial Narrow"/>
                <w:color w:val="000000"/>
                <w:spacing w:val="2"/>
                <w:sz w:val="20"/>
                <w:szCs w:val="20"/>
                <w:shd w:val="solid" w:color="000000" w:fill="000000"/>
                <w:fitText w:val="324" w:id="-649849084"/>
                <w14:textFill>
                  <w14:solidFill>
                    <w14:srgbClr w14:val="000000">
                      <w14:alpha w14:val="100000"/>
                    </w14:srgbClr>
                  </w14:solidFill>
                </w14:textFill>
              </w:rPr>
              <w:t>|</w:t>
            </w:r>
          </w:p>
        </w:tc>
        <w:tc>
          <w:tcPr>
            <w:tcW w:w="1054" w:type="dxa"/>
            <w:vAlign w:val="center"/>
          </w:tcPr>
          <w:p w14:paraId="118ECB56"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2E1B6E4C"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6D631B18"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0E135E7C"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181C6AC7"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153922D2"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r>
      <w:tr w:rsidR="00852466" w:rsidRPr="002871B4" w14:paraId="7EBE6F7D" w14:textId="77777777">
        <w:tc>
          <w:tcPr>
            <w:tcW w:w="2694" w:type="dxa"/>
            <w:vAlign w:val="center"/>
          </w:tcPr>
          <w:p w14:paraId="409E6A14" w14:textId="77777777" w:rsidR="00852466" w:rsidRPr="00AB40B1" w:rsidRDefault="00852466">
            <w:pPr>
              <w:pStyle w:val="3Bodytext"/>
              <w:numPr>
                <w:ilvl w:val="0"/>
                <w:numId w:val="0"/>
              </w:numPr>
              <w:spacing w:after="0"/>
              <w:rPr>
                <w:rFonts w:ascii="Arial Narrow" w:hAnsi="Arial Narrow"/>
                <w:sz w:val="20"/>
                <w:szCs w:val="18"/>
                <w:highlight w:val="yellow"/>
              </w:rPr>
            </w:pPr>
            <w:r w:rsidRPr="00E729E5">
              <w:rPr>
                <w:rFonts w:ascii="Arial Narrow" w:hAnsi="Arial Narrow"/>
                <w:color w:val="000000"/>
                <w:spacing w:val="38"/>
                <w:sz w:val="20"/>
                <w:szCs w:val="20"/>
                <w:shd w:val="solid" w:color="000000" w:fill="000000"/>
                <w:fitText w:val="323" w:id="-649849083"/>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23" w:id="-649849083"/>
                <w14:textFill>
                  <w14:solidFill>
                    <w14:srgbClr w14:val="000000">
                      <w14:alpha w14:val="100000"/>
                    </w14:srgbClr>
                  </w14:solidFill>
                </w14:textFill>
              </w:rPr>
              <w:t>|</w:t>
            </w:r>
            <w:r w:rsidRPr="00BC1E85">
              <w:rPr>
                <w:rFonts w:ascii="Arial Narrow" w:hAnsi="Arial Narrow"/>
                <w:color w:val="000000"/>
                <w:sz w:val="20"/>
                <w:szCs w:val="20"/>
              </w:rPr>
              <w:t xml:space="preserve"> </w:t>
            </w:r>
            <w:r w:rsidRPr="00E729E5">
              <w:rPr>
                <w:rFonts w:ascii="Arial Narrow" w:hAnsi="Arial Narrow"/>
                <w:color w:val="000000"/>
                <w:spacing w:val="41"/>
                <w:sz w:val="20"/>
                <w:szCs w:val="20"/>
                <w:shd w:val="solid" w:color="000000" w:fill="000000"/>
                <w:fitText w:val="332" w:id="-649849082"/>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2"/>
                <w14:textFill>
                  <w14:solidFill>
                    <w14:srgbClr w14:val="000000">
                      <w14:alpha w14:val="100000"/>
                    </w14:srgbClr>
                  </w14:solidFill>
                </w14:textFill>
              </w:rPr>
              <w:t>|</w:t>
            </w:r>
            <w:r w:rsidRPr="00BC1E85">
              <w:rPr>
                <w:rFonts w:ascii="Arial Narrow" w:hAnsi="Arial Narrow"/>
                <w:color w:val="000000"/>
                <w:sz w:val="20"/>
                <w:szCs w:val="20"/>
              </w:rPr>
              <w:t xml:space="preserve"> </w:t>
            </w:r>
            <w:r w:rsidRPr="00E729E5">
              <w:rPr>
                <w:rFonts w:ascii="Arial Narrow" w:hAnsi="Arial Narrow"/>
                <w:color w:val="000000"/>
                <w:spacing w:val="41"/>
                <w:sz w:val="20"/>
                <w:szCs w:val="20"/>
                <w:shd w:val="solid" w:color="000000" w:fill="000000"/>
                <w:fitText w:val="332" w:id="-649849081"/>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1"/>
                <w14:textFill>
                  <w14:solidFill>
                    <w14:srgbClr w14:val="000000">
                      <w14:alpha w14:val="100000"/>
                    </w14:srgbClr>
                  </w14:solidFill>
                </w14:textFill>
              </w:rPr>
              <w:t>|</w:t>
            </w:r>
          </w:p>
        </w:tc>
        <w:tc>
          <w:tcPr>
            <w:tcW w:w="1054" w:type="dxa"/>
            <w:vAlign w:val="center"/>
          </w:tcPr>
          <w:p w14:paraId="185863A6"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11F39DBE"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49F72B9C"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2A50D23F"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799E74CE"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4EF3EC56" w14:textId="77777777" w:rsidR="00852466" w:rsidRPr="00AB40B1" w:rsidRDefault="00852466">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r>
      <w:tr w:rsidR="00852466" w:rsidRPr="002871B4" w14:paraId="153C2D83" w14:textId="77777777">
        <w:tc>
          <w:tcPr>
            <w:tcW w:w="9021" w:type="dxa"/>
            <w:gridSpan w:val="7"/>
          </w:tcPr>
          <w:p w14:paraId="6AC7FCDA" w14:textId="77777777" w:rsidR="00852466" w:rsidRPr="00AB40B1" w:rsidRDefault="00852466">
            <w:pPr>
              <w:pStyle w:val="3Bodytext"/>
              <w:numPr>
                <w:ilvl w:val="0"/>
                <w:numId w:val="0"/>
              </w:numPr>
              <w:spacing w:after="0"/>
              <w:rPr>
                <w:rFonts w:ascii="Arial Narrow" w:hAnsi="Arial Narrow"/>
                <w:b/>
                <w:bCs/>
                <w:sz w:val="20"/>
                <w:szCs w:val="20"/>
                <w:highlight w:val="yellow"/>
              </w:rPr>
            </w:pPr>
            <w:r w:rsidRPr="00E729E5">
              <w:rPr>
                <w:rFonts w:ascii="Arial Narrow" w:hAnsi="Arial Narrow"/>
                <w:b/>
                <w:color w:val="000000"/>
                <w:spacing w:val="44"/>
                <w:sz w:val="20"/>
                <w:szCs w:val="20"/>
                <w:shd w:val="solid" w:color="000000" w:fill="000000"/>
                <w:fitText w:val="358" w:id="-649849080"/>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80"/>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7" w:id="-649849079"/>
                <w14:textFill>
                  <w14:solidFill>
                    <w14:srgbClr w14:val="000000">
                      <w14:alpha w14:val="100000"/>
                    </w14:srgbClr>
                  </w14:solidFill>
                </w14:textFill>
              </w:rPr>
              <w:t>|||</w:t>
            </w:r>
            <w:r w:rsidRPr="00E729E5">
              <w:rPr>
                <w:rFonts w:ascii="Arial Narrow" w:hAnsi="Arial Narrow"/>
                <w:b/>
                <w:color w:val="000000"/>
                <w:spacing w:val="1"/>
                <w:sz w:val="20"/>
                <w:szCs w:val="20"/>
                <w:shd w:val="solid" w:color="000000" w:fill="000000"/>
                <w:fitText w:val="357" w:id="-649849079"/>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1"/>
                <w:sz w:val="20"/>
                <w:szCs w:val="20"/>
                <w:shd w:val="solid" w:color="000000" w:fill="000000"/>
                <w:fitText w:val="349" w:id="-649849078"/>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49" w:id="-649849078"/>
                <w14:textFill>
                  <w14:solidFill>
                    <w14:srgbClr w14:val="000000">
                      <w14:alpha w14:val="100000"/>
                    </w14:srgbClr>
                  </w14:solidFill>
                </w14:textFill>
              </w:rPr>
              <w:t>|</w:t>
            </w:r>
          </w:p>
        </w:tc>
      </w:tr>
      <w:tr w:rsidR="00852466" w:rsidRPr="002871B4" w14:paraId="677D4C97" w14:textId="77777777">
        <w:tc>
          <w:tcPr>
            <w:tcW w:w="2694" w:type="dxa"/>
          </w:tcPr>
          <w:p w14:paraId="40AAA6DF" w14:textId="77777777" w:rsidR="00852466" w:rsidRPr="00AB40B1" w:rsidRDefault="00852466">
            <w:pPr>
              <w:pStyle w:val="3Bodytext"/>
              <w:numPr>
                <w:ilvl w:val="0"/>
                <w:numId w:val="0"/>
              </w:numPr>
              <w:spacing w:after="0"/>
              <w:rPr>
                <w:rFonts w:ascii="Arial Narrow" w:hAnsi="Arial Narrow"/>
                <w:sz w:val="20"/>
                <w:szCs w:val="20"/>
                <w:highlight w:val="yellow"/>
              </w:rPr>
            </w:pPr>
            <w:r w:rsidRPr="00E729E5">
              <w:rPr>
                <w:rFonts w:ascii="Arial Narrow" w:hAnsi="Arial Narrow"/>
                <w:color w:val="000000"/>
                <w:spacing w:val="38"/>
                <w:sz w:val="20"/>
                <w:szCs w:val="20"/>
                <w:shd w:val="solid" w:color="000000" w:fill="000000"/>
                <w:fitText w:val="323" w:id="-649849077"/>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23" w:id="-649849077"/>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76"/>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76"/>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75"/>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75"/>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38"/>
                <w:sz w:val="20"/>
                <w:szCs w:val="20"/>
                <w:shd w:val="solid" w:color="000000" w:fill="000000"/>
                <w:fitText w:val="324" w:id="-649849074"/>
                <w14:textFill>
                  <w14:solidFill>
                    <w14:srgbClr w14:val="000000">
                      <w14:alpha w14:val="100000"/>
                    </w14:srgbClr>
                  </w14:solidFill>
                </w14:textFill>
              </w:rPr>
              <w:t>|||</w:t>
            </w:r>
            <w:r w:rsidRPr="00E729E5">
              <w:rPr>
                <w:rFonts w:ascii="Arial Narrow" w:hAnsi="Arial Narrow"/>
                <w:color w:val="000000"/>
                <w:spacing w:val="2"/>
                <w:sz w:val="20"/>
                <w:szCs w:val="20"/>
                <w:shd w:val="solid" w:color="000000" w:fill="000000"/>
                <w:fitText w:val="324" w:id="-649849074"/>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73"/>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73"/>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38"/>
                <w:sz w:val="20"/>
                <w:szCs w:val="20"/>
                <w:shd w:val="solid" w:color="000000" w:fill="000000"/>
                <w:fitText w:val="324" w:id="-649849072"/>
                <w14:textFill>
                  <w14:solidFill>
                    <w14:srgbClr w14:val="000000">
                      <w14:alpha w14:val="100000"/>
                    </w14:srgbClr>
                  </w14:solidFill>
                </w14:textFill>
              </w:rPr>
              <w:t>|||</w:t>
            </w:r>
            <w:r w:rsidRPr="00E729E5">
              <w:rPr>
                <w:rFonts w:ascii="Arial Narrow" w:hAnsi="Arial Narrow"/>
                <w:color w:val="000000"/>
                <w:spacing w:val="2"/>
                <w:sz w:val="20"/>
                <w:szCs w:val="20"/>
                <w:shd w:val="solid" w:color="000000" w:fill="000000"/>
                <w:fitText w:val="324" w:id="-649849072"/>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38"/>
                <w:sz w:val="20"/>
                <w:szCs w:val="20"/>
                <w:shd w:val="solid" w:color="000000" w:fill="000000"/>
                <w:fitText w:val="323" w:id="-649849088"/>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23" w:id="-649849088"/>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87"/>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7"/>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6DD0A043"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77A10FB7"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78E4D68A"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7E075E18"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7BB1C98F"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6E8E631D"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r>
      <w:tr w:rsidR="00852466" w:rsidRPr="002871B4" w14:paraId="26A85BB4" w14:textId="77777777">
        <w:tc>
          <w:tcPr>
            <w:tcW w:w="2694" w:type="dxa"/>
          </w:tcPr>
          <w:p w14:paraId="4CF01CD7" w14:textId="77777777" w:rsidR="00852466" w:rsidRPr="00AB40B1" w:rsidRDefault="00852466">
            <w:pPr>
              <w:pStyle w:val="3Bodytext"/>
              <w:numPr>
                <w:ilvl w:val="0"/>
                <w:numId w:val="0"/>
              </w:numPr>
              <w:spacing w:after="0"/>
              <w:rPr>
                <w:rFonts w:ascii="Arial Narrow" w:hAnsi="Arial Narrow"/>
                <w:sz w:val="20"/>
                <w:szCs w:val="20"/>
                <w:highlight w:val="yellow"/>
              </w:rPr>
            </w:pPr>
            <w:r w:rsidRPr="00E729E5">
              <w:rPr>
                <w:rFonts w:ascii="Arial Narrow" w:hAnsi="Arial Narrow"/>
                <w:color w:val="000000"/>
                <w:spacing w:val="38"/>
                <w:sz w:val="20"/>
                <w:szCs w:val="20"/>
                <w:shd w:val="solid" w:color="000000" w:fill="000000"/>
                <w:fitText w:val="323" w:id="-649849086"/>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23" w:id="-649849086"/>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85"/>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5"/>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84"/>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4"/>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38"/>
                <w:sz w:val="20"/>
                <w:szCs w:val="20"/>
                <w:shd w:val="solid" w:color="000000" w:fill="000000"/>
                <w:fitText w:val="324" w:id="-649849083"/>
                <w14:textFill>
                  <w14:solidFill>
                    <w14:srgbClr w14:val="000000">
                      <w14:alpha w14:val="100000"/>
                    </w14:srgbClr>
                  </w14:solidFill>
                </w14:textFill>
              </w:rPr>
              <w:t>|||</w:t>
            </w:r>
            <w:r w:rsidRPr="00E729E5">
              <w:rPr>
                <w:rFonts w:ascii="Arial Narrow" w:hAnsi="Arial Narrow"/>
                <w:color w:val="000000"/>
                <w:spacing w:val="2"/>
                <w:sz w:val="20"/>
                <w:szCs w:val="20"/>
                <w:shd w:val="solid" w:color="000000" w:fill="000000"/>
                <w:fitText w:val="324" w:id="-649849083"/>
                <w14:textFill>
                  <w14:solidFill>
                    <w14:srgbClr w14:val="000000">
                      <w14:alpha w14:val="100000"/>
                    </w14:srgbClr>
                  </w14:solidFill>
                </w14:textFill>
              </w:rPr>
              <w:t>|</w:t>
            </w:r>
            <w:r w:rsidRPr="00BC1E85">
              <w:rPr>
                <w:rFonts w:ascii="Arial Narrow" w:hAnsi="Arial Narrow"/>
                <w:sz w:val="20"/>
                <w:szCs w:val="20"/>
              </w:rPr>
              <w:t xml:space="preserve"> </w:t>
            </w:r>
            <w:r w:rsidRPr="00E729E5">
              <w:rPr>
                <w:rFonts w:ascii="Arial Narrow" w:hAnsi="Arial Narrow"/>
                <w:color w:val="000000"/>
                <w:spacing w:val="41"/>
                <w:sz w:val="20"/>
                <w:szCs w:val="20"/>
                <w:shd w:val="solid" w:color="000000" w:fill="000000"/>
                <w:fitText w:val="332" w:id="-649849082"/>
                <w14:textFill>
                  <w14:solidFill>
                    <w14:srgbClr w14:val="000000">
                      <w14:alpha w14:val="100000"/>
                    </w14:srgbClr>
                  </w14:solidFill>
                </w14:textFill>
              </w:rPr>
              <w:t>|||</w:t>
            </w:r>
            <w:r w:rsidRPr="00E729E5">
              <w:rPr>
                <w:rFonts w:ascii="Arial Narrow" w:hAnsi="Arial Narrow"/>
                <w:color w:val="000000"/>
                <w:spacing w:val="1"/>
                <w:sz w:val="20"/>
                <w:szCs w:val="20"/>
                <w:shd w:val="solid" w:color="000000" w:fill="000000"/>
                <w:fitText w:val="332" w:id="-649849082"/>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328F31BB"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3A73B3AB"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03C06DB5"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083D7048"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38091E1F"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50D56C4B" w14:textId="77777777" w:rsidR="00852466" w:rsidRPr="00AB40B1" w:rsidRDefault="00852466">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r>
      <w:tr w:rsidR="00852466" w:rsidRPr="002871B4" w14:paraId="4262D003" w14:textId="77777777">
        <w:tc>
          <w:tcPr>
            <w:tcW w:w="2694" w:type="dxa"/>
          </w:tcPr>
          <w:p w14:paraId="23D2D5CB" w14:textId="77777777" w:rsidR="00852466" w:rsidRPr="00AB40B1" w:rsidRDefault="00852466">
            <w:pPr>
              <w:pStyle w:val="3Bodytext"/>
              <w:numPr>
                <w:ilvl w:val="0"/>
                <w:numId w:val="0"/>
              </w:numPr>
              <w:spacing w:after="0"/>
              <w:rPr>
                <w:rFonts w:ascii="Arial Narrow" w:hAnsi="Arial Narrow"/>
                <w:b/>
                <w:bCs/>
                <w:sz w:val="20"/>
                <w:szCs w:val="20"/>
                <w:highlight w:val="yellow"/>
              </w:rPr>
            </w:pPr>
            <w:r w:rsidRPr="00E729E5">
              <w:rPr>
                <w:rFonts w:ascii="Arial Narrow" w:hAnsi="Arial Narrow"/>
                <w:b/>
                <w:color w:val="000000"/>
                <w:spacing w:val="44"/>
                <w:sz w:val="20"/>
                <w:szCs w:val="20"/>
                <w:shd w:val="solid" w:color="000000" w:fill="000000"/>
                <w:fitText w:val="358" w:id="-649849081"/>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81"/>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7" w:id="-649849080"/>
                <w14:textFill>
                  <w14:solidFill>
                    <w14:srgbClr w14:val="000000">
                      <w14:alpha w14:val="100000"/>
                    </w14:srgbClr>
                  </w14:solidFill>
                </w14:textFill>
              </w:rPr>
              <w:t>|||</w:t>
            </w:r>
            <w:r w:rsidRPr="00E729E5">
              <w:rPr>
                <w:rFonts w:ascii="Arial Narrow" w:hAnsi="Arial Narrow"/>
                <w:b/>
                <w:color w:val="000000"/>
                <w:spacing w:val="1"/>
                <w:sz w:val="20"/>
                <w:szCs w:val="20"/>
                <w:shd w:val="solid" w:color="000000" w:fill="000000"/>
                <w:fitText w:val="357" w:id="-649849080"/>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1"/>
                <w:sz w:val="20"/>
                <w:szCs w:val="20"/>
                <w:shd w:val="solid" w:color="000000" w:fill="000000"/>
                <w:fitText w:val="349" w:id="-649849079"/>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49" w:id="-649849079"/>
                <w14:textFill>
                  <w14:solidFill>
                    <w14:srgbClr w14:val="000000">
                      <w14:alpha w14:val="100000"/>
                    </w14:srgbClr>
                  </w14:solidFill>
                </w14:textFill>
              </w:rPr>
              <w:t>|</w:t>
            </w:r>
            <w:r w:rsidRPr="00BC1E85">
              <w:rPr>
                <w:rFonts w:ascii="Arial Narrow" w:hAnsi="Arial Narrow"/>
                <w:b/>
                <w:bCs/>
                <w:sz w:val="20"/>
                <w:szCs w:val="20"/>
              </w:rPr>
              <w:t xml:space="preserve"> </w:t>
            </w:r>
            <w:r w:rsidRPr="00E729E5">
              <w:rPr>
                <w:rFonts w:ascii="Arial Narrow" w:hAnsi="Arial Narrow"/>
                <w:b/>
                <w:color w:val="000000"/>
                <w:spacing w:val="44"/>
                <w:sz w:val="20"/>
                <w:szCs w:val="20"/>
                <w:shd w:val="solid" w:color="000000" w:fill="000000"/>
                <w:fitText w:val="358" w:id="-649849078"/>
                <w14:textFill>
                  <w14:solidFill>
                    <w14:srgbClr w14:val="000000">
                      <w14:alpha w14:val="100000"/>
                    </w14:srgbClr>
                  </w14:solidFill>
                </w14:textFill>
              </w:rPr>
              <w:t>|||</w:t>
            </w:r>
            <w:r w:rsidRPr="00E729E5">
              <w:rPr>
                <w:rFonts w:ascii="Arial Narrow" w:hAnsi="Arial Narrow"/>
                <w:b/>
                <w:color w:val="000000"/>
                <w:spacing w:val="2"/>
                <w:sz w:val="20"/>
                <w:szCs w:val="20"/>
                <w:shd w:val="solid" w:color="000000" w:fill="000000"/>
                <w:fitText w:val="358" w:id="-649849078"/>
                <w14:textFill>
                  <w14:solidFill>
                    <w14:srgbClr w14:val="000000">
                      <w14:alpha w14:val="100000"/>
                    </w14:srgbClr>
                  </w14:solidFill>
                </w14:textFill>
              </w:rPr>
              <w:t>|</w:t>
            </w:r>
            <w:r w:rsidRPr="00BC1E85">
              <w:rPr>
                <w:rFonts w:ascii="Arial Narrow" w:hAnsi="Arial Narrow"/>
                <w:b/>
                <w:bCs/>
                <w:sz w:val="20"/>
                <w:szCs w:val="20"/>
              </w:rPr>
              <w:t xml:space="preserve"> </w:t>
            </w:r>
          </w:p>
        </w:tc>
        <w:tc>
          <w:tcPr>
            <w:tcW w:w="1054" w:type="dxa"/>
            <w:shd w:val="solid" w:color="000000" w:fill="000000"/>
          </w:tcPr>
          <w:p w14:paraId="6A609892" w14:textId="77777777" w:rsidR="00852466" w:rsidRPr="00AB40B1" w:rsidRDefault="00852466">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16CA125A" w14:textId="77777777" w:rsidR="00852466" w:rsidRPr="00AB40B1" w:rsidRDefault="00852466">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4" w:type="dxa"/>
            <w:shd w:val="solid" w:color="000000" w:fill="000000"/>
          </w:tcPr>
          <w:p w14:paraId="612EBD17" w14:textId="77777777" w:rsidR="00852466" w:rsidRPr="00AB40B1" w:rsidRDefault="00852466">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5919169C" w14:textId="77777777" w:rsidR="00852466" w:rsidRPr="00AB40B1" w:rsidRDefault="00852466">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4" w:type="dxa"/>
            <w:shd w:val="solid" w:color="000000" w:fill="000000"/>
          </w:tcPr>
          <w:p w14:paraId="32855728" w14:textId="77777777" w:rsidR="00852466" w:rsidRPr="00AB40B1" w:rsidRDefault="00852466">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406D765E" w14:textId="77777777" w:rsidR="00852466" w:rsidRPr="00AB40B1" w:rsidRDefault="00852466">
            <w:pPr>
              <w:pStyle w:val="3Bodytext"/>
              <w:numPr>
                <w:ilvl w:val="0"/>
                <w:numId w:val="0"/>
              </w:numPr>
              <w:spacing w:after="0"/>
              <w:jc w:val="right"/>
              <w:rPr>
                <w:rFonts w:ascii="Arial Narrow" w:hAnsi="Arial Narrow"/>
                <w:b/>
                <w:bCs/>
                <w:color w:val="000000"/>
                <w:sz w:val="20"/>
                <w:szCs w:val="20"/>
              </w:rPr>
            </w:pPr>
            <w:r w:rsidRPr="00F16CF3">
              <w:rPr>
                <w:rFonts w:ascii="Arial Narrow" w:hAnsi="Arial Narrow"/>
                <w:b/>
                <w:bCs/>
                <w:color w:val="000000"/>
                <w:sz w:val="20"/>
                <w:szCs w:val="20"/>
                <w14:textFill>
                  <w14:solidFill>
                    <w14:srgbClr w14:val="000000">
                      <w14:alpha w14:val="100000"/>
                    </w14:srgbClr>
                  </w14:solidFill>
                </w14:textFill>
              </w:rPr>
              <w:t>|</w:t>
            </w:r>
          </w:p>
        </w:tc>
      </w:tr>
    </w:tbl>
    <w:p w14:paraId="63D2D117" w14:textId="77777777" w:rsidR="00852466" w:rsidRDefault="00852466" w:rsidP="00852466">
      <w:pPr>
        <w:jc w:val="center"/>
        <w:rPr>
          <w:rFonts w:asciiTheme="minorHAnsi" w:hAnsiTheme="minorHAnsi"/>
          <w:b/>
          <w:bCs/>
          <w:i/>
          <w:iCs/>
          <w:sz w:val="22"/>
          <w:szCs w:val="22"/>
        </w:rPr>
      </w:pPr>
    </w:p>
    <w:p w14:paraId="29AC3C91" w14:textId="77777777" w:rsidR="00852466" w:rsidRPr="00BC1E85" w:rsidRDefault="00852466" w:rsidP="00852466">
      <w:pPr>
        <w:pStyle w:val="3Bodytext"/>
      </w:pPr>
      <w:r w:rsidRPr="00852466">
        <w:rPr>
          <w:color w:val="000000"/>
          <w:w w:val="73"/>
          <w:shd w:val="solid" w:color="000000" w:fill="000000"/>
          <w:fitText w:val="486" w:id="-649849077"/>
          <w14:textFill>
            <w14:solidFill>
              <w14:srgbClr w14:val="000000">
                <w14:alpha w14:val="100000"/>
              </w14:srgbClr>
            </w14:solidFill>
          </w14:textFill>
        </w:rPr>
        <w:t>|||||</w:t>
      </w:r>
      <w:r w:rsidRPr="00852466">
        <w:rPr>
          <w:color w:val="000000"/>
          <w:spacing w:val="2"/>
          <w:w w:val="73"/>
          <w:shd w:val="solid" w:color="000000" w:fill="000000"/>
          <w:fitText w:val="486" w:id="-649849077"/>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76"/>
          <w14:textFill>
            <w14:solidFill>
              <w14:srgbClr w14:val="000000">
                <w14:alpha w14:val="100000"/>
              </w14:srgbClr>
            </w14:solidFill>
          </w14:textFill>
        </w:rPr>
        <w:t>|||||</w:t>
      </w:r>
      <w:r w:rsidRPr="00852466">
        <w:rPr>
          <w:color w:val="000000"/>
          <w:spacing w:val="3"/>
          <w:w w:val="74"/>
          <w:shd w:val="solid" w:color="000000" w:fill="000000"/>
          <w:fitText w:val="494" w:id="-649849076"/>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75"/>
          <w14:textFill>
            <w14:solidFill>
              <w14:srgbClr w14:val="000000">
                <w14:alpha w14:val="100000"/>
              </w14:srgbClr>
            </w14:solidFill>
          </w14:textFill>
        </w:rPr>
        <w:t>|||||</w:t>
      </w:r>
      <w:r w:rsidRPr="00852466">
        <w:rPr>
          <w:color w:val="000000"/>
          <w:spacing w:val="3"/>
          <w:w w:val="74"/>
          <w:shd w:val="solid" w:color="000000" w:fill="000000"/>
          <w:fitText w:val="494" w:id="-649849075"/>
          <w14:textFill>
            <w14:solidFill>
              <w14:srgbClr w14:val="000000">
                <w14:alpha w14:val="100000"/>
              </w14:srgbClr>
            </w14:solidFill>
          </w14:textFill>
        </w:rPr>
        <w:t>|</w:t>
      </w:r>
      <w:r w:rsidRPr="00BC1E85">
        <w:t xml:space="preserve"> </w:t>
      </w:r>
      <w:r w:rsidRPr="00852466">
        <w:rPr>
          <w:color w:val="000000"/>
          <w:w w:val="73"/>
          <w:shd w:val="solid" w:color="000000" w:fill="000000"/>
          <w:fitText w:val="486" w:id="-649849074"/>
          <w14:textFill>
            <w14:solidFill>
              <w14:srgbClr w14:val="000000">
                <w14:alpha w14:val="100000"/>
              </w14:srgbClr>
            </w14:solidFill>
          </w14:textFill>
        </w:rPr>
        <w:t>|||||</w:t>
      </w:r>
      <w:r w:rsidRPr="00852466">
        <w:rPr>
          <w:color w:val="000000"/>
          <w:spacing w:val="2"/>
          <w:w w:val="73"/>
          <w:shd w:val="solid" w:color="000000" w:fill="000000"/>
          <w:fitText w:val="486" w:id="-649849074"/>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73"/>
          <w14:textFill>
            <w14:solidFill>
              <w14:srgbClr w14:val="000000">
                <w14:alpha w14:val="100000"/>
              </w14:srgbClr>
            </w14:solidFill>
          </w14:textFill>
        </w:rPr>
        <w:t>|||||</w:t>
      </w:r>
      <w:r w:rsidRPr="00852466">
        <w:rPr>
          <w:color w:val="000000"/>
          <w:spacing w:val="3"/>
          <w:w w:val="74"/>
          <w:shd w:val="solid" w:color="000000" w:fill="000000"/>
          <w:fitText w:val="494" w:id="-649849073"/>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72"/>
          <w14:textFill>
            <w14:solidFill>
              <w14:srgbClr w14:val="000000">
                <w14:alpha w14:val="100000"/>
              </w14:srgbClr>
            </w14:solidFill>
          </w14:textFill>
        </w:rPr>
        <w:t>|||||</w:t>
      </w:r>
      <w:r w:rsidRPr="00852466">
        <w:rPr>
          <w:color w:val="000000"/>
          <w:spacing w:val="3"/>
          <w:w w:val="74"/>
          <w:shd w:val="solid" w:color="000000" w:fill="000000"/>
          <w:fitText w:val="494" w:id="-649849072"/>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8"/>
          <w14:textFill>
            <w14:solidFill>
              <w14:srgbClr w14:val="000000">
                <w14:alpha w14:val="100000"/>
              </w14:srgbClr>
            </w14:solidFill>
          </w14:textFill>
        </w:rPr>
        <w:t>|||||</w:t>
      </w:r>
      <w:r w:rsidRPr="00852466">
        <w:rPr>
          <w:color w:val="000000"/>
          <w:spacing w:val="3"/>
          <w:w w:val="74"/>
          <w:shd w:val="solid" w:color="000000" w:fill="000000"/>
          <w:fitText w:val="494" w:id="-649849088"/>
          <w14:textFill>
            <w14:solidFill>
              <w14:srgbClr w14:val="000000">
                <w14:alpha w14:val="100000"/>
              </w14:srgbClr>
            </w14:solidFill>
          </w14:textFill>
        </w:rPr>
        <w:t>|</w:t>
      </w:r>
      <w:r w:rsidRPr="00BC1E85">
        <w:t xml:space="preserve"> </w:t>
      </w:r>
      <w:r w:rsidRPr="00852466">
        <w:rPr>
          <w:color w:val="000000"/>
          <w:w w:val="73"/>
          <w:shd w:val="solid" w:color="000000" w:fill="000000"/>
          <w:fitText w:val="486" w:id="-649849087"/>
          <w14:textFill>
            <w14:solidFill>
              <w14:srgbClr w14:val="000000">
                <w14:alpha w14:val="100000"/>
              </w14:srgbClr>
            </w14:solidFill>
          </w14:textFill>
        </w:rPr>
        <w:t>|||||</w:t>
      </w:r>
      <w:r w:rsidRPr="00852466">
        <w:rPr>
          <w:color w:val="000000"/>
          <w:spacing w:val="2"/>
          <w:w w:val="73"/>
          <w:shd w:val="solid" w:color="000000" w:fill="000000"/>
          <w:fitText w:val="486" w:id="-649849087"/>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6"/>
          <w14:textFill>
            <w14:solidFill>
              <w14:srgbClr w14:val="000000">
                <w14:alpha w14:val="100000"/>
              </w14:srgbClr>
            </w14:solidFill>
          </w14:textFill>
        </w:rPr>
        <w:t>|||||</w:t>
      </w:r>
      <w:r w:rsidRPr="00852466">
        <w:rPr>
          <w:color w:val="000000"/>
          <w:spacing w:val="3"/>
          <w:w w:val="74"/>
          <w:shd w:val="solid" w:color="000000" w:fill="000000"/>
          <w:fitText w:val="494" w:id="-649849086"/>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5"/>
          <w14:textFill>
            <w14:solidFill>
              <w14:srgbClr w14:val="000000">
                <w14:alpha w14:val="100000"/>
              </w14:srgbClr>
            </w14:solidFill>
          </w14:textFill>
        </w:rPr>
        <w:t>|||||</w:t>
      </w:r>
      <w:r w:rsidRPr="00852466">
        <w:rPr>
          <w:color w:val="000000"/>
          <w:spacing w:val="3"/>
          <w:w w:val="74"/>
          <w:shd w:val="solid" w:color="000000" w:fill="000000"/>
          <w:fitText w:val="494" w:id="-649849085"/>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4"/>
          <w14:textFill>
            <w14:solidFill>
              <w14:srgbClr w14:val="000000">
                <w14:alpha w14:val="100000"/>
              </w14:srgbClr>
            </w14:solidFill>
          </w14:textFill>
        </w:rPr>
        <w:t>|||||</w:t>
      </w:r>
      <w:r w:rsidRPr="00852466">
        <w:rPr>
          <w:color w:val="000000"/>
          <w:spacing w:val="3"/>
          <w:w w:val="74"/>
          <w:shd w:val="solid" w:color="000000" w:fill="000000"/>
          <w:fitText w:val="494" w:id="-649849084"/>
          <w14:textFill>
            <w14:solidFill>
              <w14:srgbClr w14:val="000000">
                <w14:alpha w14:val="100000"/>
              </w14:srgbClr>
            </w14:solidFill>
          </w14:textFill>
        </w:rPr>
        <w:t>|</w:t>
      </w:r>
      <w:r w:rsidRPr="00BC1E85">
        <w:t xml:space="preserve"> </w:t>
      </w:r>
      <w:r w:rsidRPr="00852466">
        <w:rPr>
          <w:color w:val="000000"/>
          <w:w w:val="73"/>
          <w:shd w:val="solid" w:color="000000" w:fill="000000"/>
          <w:fitText w:val="485" w:id="-649849083"/>
          <w14:textFill>
            <w14:solidFill>
              <w14:srgbClr w14:val="000000">
                <w14:alpha w14:val="100000"/>
              </w14:srgbClr>
            </w14:solidFill>
          </w14:textFill>
        </w:rPr>
        <w:t>|||||</w:t>
      </w:r>
      <w:r w:rsidRPr="00852466">
        <w:rPr>
          <w:color w:val="000000"/>
          <w:spacing w:val="1"/>
          <w:w w:val="73"/>
          <w:shd w:val="solid" w:color="000000" w:fill="000000"/>
          <w:fitText w:val="485" w:id="-649849083"/>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2"/>
          <w14:textFill>
            <w14:solidFill>
              <w14:srgbClr w14:val="000000">
                <w14:alpha w14:val="100000"/>
              </w14:srgbClr>
            </w14:solidFill>
          </w14:textFill>
        </w:rPr>
        <w:t>|||||</w:t>
      </w:r>
      <w:r w:rsidRPr="00852466">
        <w:rPr>
          <w:color w:val="000000"/>
          <w:spacing w:val="3"/>
          <w:w w:val="74"/>
          <w:shd w:val="solid" w:color="000000" w:fill="000000"/>
          <w:fitText w:val="494" w:id="-649849082"/>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1"/>
          <w14:textFill>
            <w14:solidFill>
              <w14:srgbClr w14:val="000000">
                <w14:alpha w14:val="100000"/>
              </w14:srgbClr>
            </w14:solidFill>
          </w14:textFill>
        </w:rPr>
        <w:t>|||||</w:t>
      </w:r>
      <w:r w:rsidRPr="00852466">
        <w:rPr>
          <w:color w:val="000000"/>
          <w:spacing w:val="3"/>
          <w:w w:val="74"/>
          <w:shd w:val="solid" w:color="000000" w:fill="000000"/>
          <w:fitText w:val="494" w:id="-649849081"/>
          <w14:textFill>
            <w14:solidFill>
              <w14:srgbClr w14:val="000000">
                <w14:alpha w14:val="100000"/>
              </w14:srgbClr>
            </w14:solidFill>
          </w14:textFill>
        </w:rPr>
        <w:t>|</w:t>
      </w:r>
      <w:r w:rsidRPr="00BC1E85">
        <w:t xml:space="preserve"> </w:t>
      </w:r>
      <w:r w:rsidRPr="00852466">
        <w:rPr>
          <w:color w:val="000000"/>
          <w:w w:val="74"/>
          <w:shd w:val="solid" w:color="000000" w:fill="000000"/>
          <w:fitText w:val="494" w:id="-649849080"/>
          <w14:textFill>
            <w14:solidFill>
              <w14:srgbClr w14:val="000000">
                <w14:alpha w14:val="100000"/>
              </w14:srgbClr>
            </w14:solidFill>
          </w14:textFill>
        </w:rPr>
        <w:t>|||||</w:t>
      </w:r>
      <w:r w:rsidRPr="00852466">
        <w:rPr>
          <w:color w:val="000000"/>
          <w:spacing w:val="3"/>
          <w:w w:val="74"/>
          <w:shd w:val="solid" w:color="000000" w:fill="000000"/>
          <w:fitText w:val="494" w:id="-64984908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p>
    <w:p w14:paraId="4F9C5F04" w14:textId="77777777" w:rsidR="00852466" w:rsidRPr="008F330F" w:rsidRDefault="00852466" w:rsidP="00852466">
      <w:pPr>
        <w:spacing w:after="240"/>
        <w:jc w:val="center"/>
        <w:rPr>
          <w:rFonts w:asciiTheme="minorHAnsi" w:hAnsiTheme="minorHAnsi"/>
          <w:b/>
          <w:bCs/>
          <w:i/>
          <w:iCs/>
        </w:rPr>
      </w:pPr>
      <w:r w:rsidRPr="008F330F">
        <w:rPr>
          <w:rFonts w:asciiTheme="minorHAnsi" w:hAnsiTheme="minorHAnsi"/>
          <w:b/>
          <w:bCs/>
          <w:i/>
          <w:iCs/>
        </w:rPr>
        <w:t>End Committee-In-Confidence information</w:t>
      </w:r>
    </w:p>
    <w:p w14:paraId="3CF5FC36" w14:textId="77777777" w:rsidR="00852466" w:rsidRPr="00D5405F" w:rsidRDefault="00852466" w:rsidP="00852466">
      <w:pPr>
        <w:pStyle w:val="3Bodytext"/>
        <w:numPr>
          <w:ilvl w:val="0"/>
          <w:numId w:val="0"/>
        </w:numPr>
        <w:ind w:left="720"/>
        <w:rPr>
          <w:i/>
          <w:iCs/>
        </w:rPr>
      </w:pPr>
      <w:r w:rsidRPr="00D5405F">
        <w:rPr>
          <w:i/>
          <w:iCs/>
        </w:rPr>
        <w:t xml:space="preserve">For more detail on PBAC’s view, see section </w:t>
      </w:r>
      <w:r w:rsidRPr="00A46567">
        <w:rPr>
          <w:i/>
          <w:iCs/>
        </w:rPr>
        <w:t>16</w:t>
      </w:r>
      <w:r w:rsidRPr="00D5405F">
        <w:rPr>
          <w:i/>
          <w:iCs/>
        </w:rPr>
        <w:t xml:space="preserve"> PBAC outcome.</w:t>
      </w:r>
    </w:p>
    <w:p w14:paraId="43D982B4" w14:textId="77777777" w:rsidR="00852466" w:rsidRPr="0090150D" w:rsidRDefault="00852466" w:rsidP="00852466">
      <w:pPr>
        <w:pStyle w:val="2-SectionHeading"/>
        <w:numPr>
          <w:ilvl w:val="0"/>
          <w:numId w:val="2"/>
        </w:numPr>
      </w:pPr>
      <w:r w:rsidRPr="0090150D">
        <w:t>PBAC Outcome</w:t>
      </w:r>
    </w:p>
    <w:p w14:paraId="0A77FA20" w14:textId="77777777" w:rsidR="00852466" w:rsidRDefault="00852466" w:rsidP="00852466">
      <w:pPr>
        <w:widowControl w:val="0"/>
        <w:numPr>
          <w:ilvl w:val="1"/>
          <w:numId w:val="2"/>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listing of </w:t>
      </w:r>
      <w:r>
        <w:rPr>
          <w:rFonts w:asciiTheme="minorHAnsi" w:hAnsiTheme="minorHAnsi"/>
          <w:snapToGrid w:val="0"/>
          <w:lang w:val="en-GB"/>
        </w:rPr>
        <w:t>adalimumab for enthesitis/spondylitis related JIA and chronic plaque psoriasis for paediatric patients</w:t>
      </w:r>
      <w:r w:rsidRPr="00CE42B4">
        <w:rPr>
          <w:rFonts w:asciiTheme="minorHAnsi" w:hAnsiTheme="minorHAnsi"/>
          <w:snapToGrid w:val="0"/>
          <w:lang w:val="en-GB"/>
        </w:rPr>
        <w:t>,</w:t>
      </w:r>
      <w:r>
        <w:rPr>
          <w:rFonts w:asciiTheme="minorHAnsi" w:hAnsiTheme="minorHAnsi"/>
          <w:snapToGrid w:val="0"/>
          <w:lang w:val="en-GB"/>
        </w:rPr>
        <w:t xml:space="preserve"> and recommended changes to the current listings for adalimumab for moderate to severe ulcerative colitis, severe Crohn disease and JIA for paediatric patients to reflect current evidence and practice in managing these conditions.</w:t>
      </w:r>
    </w:p>
    <w:p w14:paraId="37C36316"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recalled it had previously considered a submission at its March 2024 meeting, requesting to list Humira as a General Schedule Authority Required (STREAMLINED) listing for the treatment of IMID in paediatric patients. At this meeting it had deferred making a recommendation to allow further consultation with relevant clinical groups. The PBAC had requested advice be sought from clinical groups on the current PBS listings for adalimumab for paediatric </w:t>
      </w:r>
      <w:proofErr w:type="gramStart"/>
      <w:r>
        <w:rPr>
          <w:rFonts w:asciiTheme="minorHAnsi" w:hAnsiTheme="minorHAnsi"/>
          <w:snapToGrid w:val="0"/>
          <w:lang w:val="en-GB"/>
        </w:rPr>
        <w:t>conditions, and</w:t>
      </w:r>
      <w:proofErr w:type="gramEnd"/>
      <w:r>
        <w:rPr>
          <w:rFonts w:asciiTheme="minorHAnsi" w:hAnsiTheme="minorHAnsi"/>
          <w:snapToGrid w:val="0"/>
          <w:lang w:val="en-GB"/>
        </w:rPr>
        <w:t xml:space="preserve"> provide advice on where the listings did not meet current evidence and practice.</w:t>
      </w:r>
    </w:p>
    <w:p w14:paraId="5DBD0514"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acknowledged the comprehensive advice received from clinical groups and clinicians from rheumatology, gastroenterology, and dermatology specialties. Advice was provided on how adalimumab is used in practice when managing paediatric patients, and where this differs from the current eligibility criteria for PBS listings for adalimumab for paediatric conditions. The PBAC noted the following advice for adalimumab on the PBS for paediatric patients:</w:t>
      </w:r>
    </w:p>
    <w:p w14:paraId="3778B20C" w14:textId="77777777" w:rsidR="00852466" w:rsidRDefault="00852466" w:rsidP="00852466">
      <w:pPr>
        <w:pStyle w:val="ListParagraph"/>
        <w:ind w:hanging="360"/>
        <w:jc w:val="both"/>
        <w:rPr>
          <w:lang w:val="en-GB"/>
        </w:rPr>
      </w:pPr>
      <w:r>
        <w:rPr>
          <w:lang w:val="en-GB"/>
        </w:rPr>
        <w:t xml:space="preserve">Suggested new listings for chronic plaque psoriasis and enthesitis/spondylitis related </w:t>
      </w:r>
      <w:proofErr w:type="gramStart"/>
      <w:r>
        <w:rPr>
          <w:lang w:val="en-GB"/>
        </w:rPr>
        <w:t>JIA;</w:t>
      </w:r>
      <w:proofErr w:type="gramEnd"/>
    </w:p>
    <w:p w14:paraId="2C5351C6" w14:textId="77777777" w:rsidR="00852466" w:rsidRDefault="00852466" w:rsidP="00852466">
      <w:pPr>
        <w:pStyle w:val="ListParagraph"/>
        <w:ind w:hanging="360"/>
        <w:jc w:val="both"/>
        <w:rPr>
          <w:lang w:val="en-GB"/>
        </w:rPr>
      </w:pPr>
      <w:r>
        <w:rPr>
          <w:lang w:val="en-GB"/>
        </w:rPr>
        <w:t>Suggested changes to the current listings for adalimumab for moderate to severe ulcerative colitis, severe Crohn disease and severe active JIA.</w:t>
      </w:r>
    </w:p>
    <w:p w14:paraId="1374E37D" w14:textId="77777777" w:rsidR="00852466" w:rsidRPr="008810AA" w:rsidRDefault="00852466" w:rsidP="00852466">
      <w:pPr>
        <w:pStyle w:val="3Bodytext"/>
        <w:numPr>
          <w:ilvl w:val="0"/>
          <w:numId w:val="0"/>
        </w:numPr>
        <w:ind w:left="720"/>
        <w:rPr>
          <w:lang w:val="en-GB"/>
        </w:rPr>
      </w:pPr>
      <w:r>
        <w:rPr>
          <w:lang w:val="en-GB"/>
        </w:rPr>
        <w:t>The PBAC noted advice received from the ACD stating that the current listings for adalimumab for hidradenitis suppurativa were appropriate, and no changes were suggested for these listings.</w:t>
      </w:r>
    </w:p>
    <w:p w14:paraId="0647DBA0" w14:textId="77777777" w:rsidR="00852466" w:rsidRDefault="00852466" w:rsidP="00852466">
      <w:pPr>
        <w:widowControl w:val="0"/>
        <w:numPr>
          <w:ilvl w:val="1"/>
          <w:numId w:val="2"/>
        </w:numPr>
        <w:contextualSpacing/>
        <w:rPr>
          <w:rFonts w:asciiTheme="minorHAnsi" w:hAnsiTheme="minorHAnsi"/>
          <w:snapToGrid w:val="0"/>
          <w:lang w:val="en-GB"/>
        </w:rPr>
      </w:pPr>
      <w:r>
        <w:rPr>
          <w:rFonts w:asciiTheme="minorHAnsi" w:hAnsiTheme="minorHAnsi"/>
          <w:snapToGrid w:val="0"/>
          <w:lang w:val="en-GB"/>
        </w:rPr>
        <w:t>Based on the clinical advice received, the PBAC recommended the following revised and new listings for adalimumab for paediatric patients:</w:t>
      </w:r>
    </w:p>
    <w:p w14:paraId="0DC138DC" w14:textId="77777777" w:rsidR="00852466" w:rsidRDefault="00852466" w:rsidP="00852466">
      <w:pPr>
        <w:pStyle w:val="ListParagraph"/>
        <w:ind w:hanging="360"/>
        <w:jc w:val="both"/>
        <w:rPr>
          <w:lang w:val="en-GB"/>
        </w:rPr>
      </w:pPr>
      <w:r>
        <w:rPr>
          <w:lang w:val="en-GB"/>
        </w:rPr>
        <w:t xml:space="preserve">Changes to the current PBS listings for moderate to severe ulcerative colitis </w:t>
      </w:r>
      <w:r w:rsidRPr="0042573F">
        <w:t>and</w:t>
      </w:r>
      <w:r>
        <w:rPr>
          <w:lang w:val="en-GB"/>
        </w:rPr>
        <w:t xml:space="preserve"> severe Crohn disease to allow for dose escalation and more flexible dosing. The PBAC noted dose escalations were already permitted for continuing therapy listings for severe Crohn disease and moderate to severe ulcerative colitis, albeit at higher authority level. The PBAC recommended the treatment durations for the different stages of treatment remain the same for these listings.</w:t>
      </w:r>
    </w:p>
    <w:p w14:paraId="48AEF815" w14:textId="77777777" w:rsidR="00852466" w:rsidRDefault="00852466" w:rsidP="00852466">
      <w:pPr>
        <w:pStyle w:val="ListParagraph"/>
        <w:ind w:hanging="360"/>
        <w:jc w:val="both"/>
        <w:rPr>
          <w:lang w:val="en-GB"/>
        </w:rPr>
      </w:pPr>
      <w:r>
        <w:rPr>
          <w:lang w:val="en-GB"/>
        </w:rPr>
        <w:t>Changes to the clinical criteria of the current Initial therapy PBS listings for severe Crohn disease to facilitate access to paediatric patients with Crohn disease who have extensive small bowel disease. The PBAC recommended these changes also be flowed on to the PBS listings for infliximab for Crohn disease.</w:t>
      </w:r>
    </w:p>
    <w:p w14:paraId="7B702540" w14:textId="77777777" w:rsidR="00852466" w:rsidRDefault="00852466" w:rsidP="00852466">
      <w:pPr>
        <w:pStyle w:val="ListParagraph"/>
        <w:ind w:hanging="360"/>
        <w:jc w:val="both"/>
        <w:rPr>
          <w:lang w:val="en-GB"/>
        </w:rPr>
      </w:pPr>
      <w:r>
        <w:rPr>
          <w:lang w:val="en-GB"/>
        </w:rPr>
        <w:t xml:space="preserve">Changes to the clinical criteria of the current PBS listings for severe active JIA to include a reduced methotrexate dose (15 mg per square metre) as prior treatment, and changes to the Prescribing Instructions for the criteria indicating failure to achieve an adequate response to prior treatment. The PBAC noted clinical advice stating the challenges with measuring response to </w:t>
      </w:r>
      <w:proofErr w:type="gramStart"/>
      <w:r>
        <w:rPr>
          <w:lang w:val="en-GB"/>
        </w:rPr>
        <w:t>treatment, and</w:t>
      </w:r>
      <w:proofErr w:type="gramEnd"/>
      <w:r>
        <w:rPr>
          <w:lang w:val="en-GB"/>
        </w:rPr>
        <w:t xml:space="preserve"> advised that a global assessment of 50% improvement to measure response was appropriate. The PBAC requested that these changes be flowed on to the current PBS listings for etanercept, tocilizumab and tofacitinib for severe active JIA.</w:t>
      </w:r>
    </w:p>
    <w:p w14:paraId="18521079" w14:textId="77777777" w:rsidR="00852466" w:rsidRDefault="00852466" w:rsidP="00852466">
      <w:pPr>
        <w:pStyle w:val="ListParagraph"/>
        <w:ind w:hanging="360"/>
        <w:jc w:val="both"/>
        <w:rPr>
          <w:rFonts w:ascii="Calibri" w:hAnsi="Calibri" w:cs="Times New Roman"/>
          <w:snapToGrid/>
          <w:lang w:val="en-GB"/>
        </w:rPr>
      </w:pPr>
      <w:r w:rsidRPr="00567B24">
        <w:rPr>
          <w:lang w:val="en-GB"/>
        </w:rPr>
        <w:t xml:space="preserve">New listings for chronic plaque psoriasis, consistent with the current PBS listings for other bDMARDs for chronic plaque psoriasis for paediatric patients (etanercept, ustekinumab) and </w:t>
      </w:r>
      <w:r>
        <w:rPr>
          <w:lang w:val="en-GB"/>
        </w:rPr>
        <w:t>r</w:t>
      </w:r>
      <w:r w:rsidRPr="00567B24">
        <w:rPr>
          <w:rFonts w:ascii="Calibri" w:hAnsi="Calibri" w:cs="Times New Roman"/>
          <w:snapToGrid/>
          <w:lang w:val="en-GB"/>
        </w:rPr>
        <w:t xml:space="preserve">evise the restriction criteria so that patients are allowed to have failed the same </w:t>
      </w:r>
      <w:proofErr w:type="spellStart"/>
      <w:r w:rsidRPr="00567B24">
        <w:rPr>
          <w:rFonts w:ascii="Calibri" w:hAnsi="Calibri" w:cs="Times New Roman"/>
          <w:snapToGrid/>
          <w:lang w:val="en-GB"/>
        </w:rPr>
        <w:t>bDMARD</w:t>
      </w:r>
      <w:proofErr w:type="spellEnd"/>
      <w:r w:rsidRPr="00567B24">
        <w:rPr>
          <w:rFonts w:ascii="Calibri" w:hAnsi="Calibri" w:cs="Times New Roman"/>
          <w:snapToGrid/>
          <w:lang w:val="en-GB"/>
        </w:rPr>
        <w:t xml:space="preserve"> from twice to once during each treatment cycle.</w:t>
      </w:r>
    </w:p>
    <w:p w14:paraId="1F4EAE20" w14:textId="77777777" w:rsidR="00852466" w:rsidRPr="008810AA" w:rsidRDefault="00852466" w:rsidP="00852466">
      <w:pPr>
        <w:pStyle w:val="ListParagraph"/>
        <w:ind w:hanging="360"/>
        <w:jc w:val="both"/>
        <w:rPr>
          <w:lang w:val="en-GB"/>
        </w:rPr>
      </w:pPr>
      <w:r>
        <w:rPr>
          <w:lang w:val="en-GB"/>
        </w:rPr>
        <w:t xml:space="preserve">New listings for enthesitis/spondylitis related JIA, aligning with the TGA-registered indication for adalimumab and feedback and advice received from clinical groups and stakeholders. The PBAC advised the proposed eligibility criteria and scoring system to measure adequate response to treatment was appropriate. The PBAC recommended a </w:t>
      </w:r>
      <w:proofErr w:type="gramStart"/>
      <w:r>
        <w:rPr>
          <w:lang w:val="en-GB"/>
        </w:rPr>
        <w:t>Grandfather</w:t>
      </w:r>
      <w:proofErr w:type="gramEnd"/>
      <w:r>
        <w:rPr>
          <w:lang w:val="en-GB"/>
        </w:rPr>
        <w:t xml:space="preserve"> listing for adalimumab for this indication, to allow patients who are currently using adalimumab through self-funding or compassionate access programs and who would otherwise meet the criteria in the recommended listing, to access treatment through the PBS.</w:t>
      </w:r>
    </w:p>
    <w:p w14:paraId="287AD5FF"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noted advice provided by the ACD that pustular psoriasis requires urgent medical treatment with a biologic, such as adalimumab. However, the PBAC noted that pustular psoriasis is not a TGA-registered indication for </w:t>
      </w:r>
      <w:proofErr w:type="gramStart"/>
      <w:r>
        <w:rPr>
          <w:rFonts w:asciiTheme="minorHAnsi" w:hAnsiTheme="minorHAnsi"/>
          <w:snapToGrid w:val="0"/>
          <w:lang w:val="en-GB"/>
        </w:rPr>
        <w:t>adalimumab, and</w:t>
      </w:r>
      <w:proofErr w:type="gramEnd"/>
      <w:r>
        <w:rPr>
          <w:rFonts w:asciiTheme="minorHAnsi" w:hAnsiTheme="minorHAnsi"/>
          <w:snapToGrid w:val="0"/>
          <w:lang w:val="en-GB"/>
        </w:rPr>
        <w:t xml:space="preserve"> advised that this condition should not be included in the PBS listings for adalimumab.</w:t>
      </w:r>
    </w:p>
    <w:p w14:paraId="0B705F59"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noted feedback from clinical groups stating that the Authority requirements for adalimumab placed an unnecessary administrative burden for prescribers, reducing time available to provide patient care. The PBAC recommended the Authority requirements for Initial treatment listings for adalimumab for paediatric conditions remain unchanged, but that the Authority requirements for subsequent continuing treatment for these listings be changed to Authority Required (STREAMLINED). For the purposes of dosing escalation for severe Crohn and moderate to severe Ulcerative Colitis, the PBAC advised to not amend the listed quantities, however recommended that the ‘no increase to quantity’ clauses can be removed from the Streamlined listings to enable higher dosing. The PBAC noted these changes would apply to listings for the treatment of paediatric patients only, </w:t>
      </w:r>
      <w:proofErr w:type="gramStart"/>
      <w:r>
        <w:rPr>
          <w:rFonts w:asciiTheme="minorHAnsi" w:hAnsiTheme="minorHAnsi"/>
          <w:snapToGrid w:val="0"/>
          <w:lang w:val="en-GB"/>
        </w:rPr>
        <w:t>with the exception of</w:t>
      </w:r>
      <w:proofErr w:type="gramEnd"/>
      <w:r>
        <w:rPr>
          <w:rFonts w:asciiTheme="minorHAnsi" w:hAnsiTheme="minorHAnsi"/>
          <w:snapToGrid w:val="0"/>
          <w:lang w:val="en-GB"/>
        </w:rPr>
        <w:t xml:space="preserve"> listings for moderate to severe ulcerative colitis, which include both paediatric and adult patients in the same listing.</w:t>
      </w:r>
    </w:p>
    <w:p w14:paraId="71068649"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acknowledged the collaborative effort and spirit in which the proposed revised and new listings were developed, and the clinical advice provided by clinical groups and clinicians to guide the proposed listings. The PBAC requested the Department provide the clinical groups who gave advice with the relevant recommended listings for adalimumab to ensure the listings are suitable in practice, prior to implementation.</w:t>
      </w:r>
    </w:p>
    <w:p w14:paraId="225A9E20" w14:textId="77777777" w:rsidR="00852466" w:rsidRDefault="00852466" w:rsidP="00852466">
      <w:pPr>
        <w:widowControl w:val="0"/>
        <w:numPr>
          <w:ilvl w:val="1"/>
          <w:numId w:val="2"/>
        </w:numPr>
        <w:spacing w:after="120"/>
        <w:rPr>
          <w:rFonts w:asciiTheme="minorHAnsi" w:hAnsiTheme="minorHAnsi"/>
          <w:lang w:val="en-GB"/>
        </w:rPr>
      </w:pPr>
      <w:r w:rsidRPr="10A20FC9">
        <w:rPr>
          <w:rFonts w:asciiTheme="minorHAnsi" w:hAnsiTheme="minorHAnsi"/>
          <w:lang w:val="en-GB"/>
        </w:rPr>
        <w:t>The PBAC noted there are multiple biosimilars for adalimumab listed on the PBS for paediatric conditions. The PBAC recommended that, for current PBS listings for adalimumab where changes were recommended, biosimilars currently listed for these indications be included in these revised listings</w:t>
      </w:r>
      <w:r>
        <w:rPr>
          <w:rFonts w:asciiTheme="minorHAnsi" w:hAnsiTheme="minorHAnsi"/>
          <w:lang w:val="en-GB"/>
        </w:rPr>
        <w:t>.</w:t>
      </w:r>
    </w:p>
    <w:p w14:paraId="0970F1FE" w14:textId="77777777" w:rsidR="00852466" w:rsidRDefault="00852466" w:rsidP="00852466">
      <w:pPr>
        <w:widowControl w:val="0"/>
        <w:numPr>
          <w:ilvl w:val="1"/>
          <w:numId w:val="2"/>
        </w:numPr>
        <w:spacing w:after="120"/>
        <w:rPr>
          <w:rFonts w:asciiTheme="minorHAnsi" w:hAnsiTheme="minorHAnsi"/>
          <w:snapToGrid w:val="0"/>
          <w:lang w:val="en-GB"/>
        </w:rPr>
      </w:pPr>
      <w:r w:rsidRPr="10A20FC9">
        <w:rPr>
          <w:rFonts w:asciiTheme="minorHAnsi" w:hAnsiTheme="minorHAnsi"/>
          <w:lang w:val="en-GB"/>
        </w:rPr>
        <w:t>The PBAC recommended that, for the recommended new listings for adalimumab for chronic plaque psoriasis and enthesitis/spondylitis related JIA for paediatric patients, biosimilars that are TGA-registered for these indications be included in these listings</w:t>
      </w:r>
    </w:p>
    <w:p w14:paraId="4D0051DF" w14:textId="77777777" w:rsidR="00852466" w:rsidRDefault="00852466" w:rsidP="00852466">
      <w:pPr>
        <w:widowControl w:val="0"/>
        <w:numPr>
          <w:ilvl w:val="1"/>
          <w:numId w:val="2"/>
        </w:numPr>
        <w:spacing w:after="120"/>
        <w:rPr>
          <w:rFonts w:asciiTheme="minorHAnsi" w:hAnsiTheme="minorHAnsi"/>
          <w:snapToGrid w:val="0"/>
          <w:lang w:val="en-GB"/>
        </w:rPr>
      </w:pPr>
      <w:r w:rsidRPr="1F9D217E">
        <w:rPr>
          <w:rFonts w:asciiTheme="minorHAnsi" w:hAnsiTheme="minorHAnsi"/>
          <w:lang w:val="en-GB"/>
        </w:rPr>
        <w:t xml:space="preserve">The </w:t>
      </w:r>
      <w:r>
        <w:rPr>
          <w:rFonts w:asciiTheme="minorHAnsi" w:hAnsiTheme="minorHAnsi"/>
          <w:lang w:val="en-GB"/>
        </w:rPr>
        <w:t xml:space="preserve">PBAC </w:t>
      </w:r>
      <w:r w:rsidRPr="1F9D217E">
        <w:rPr>
          <w:rFonts w:asciiTheme="minorHAnsi" w:hAnsiTheme="minorHAnsi"/>
          <w:lang w:val="en-GB"/>
        </w:rPr>
        <w:t>noted that the financial and utilisation estimates provided for adalimumab for the new enthesitis/spondylitis related JIA listing were base</w:t>
      </w:r>
      <w:r>
        <w:rPr>
          <w:rFonts w:asciiTheme="minorHAnsi" w:hAnsiTheme="minorHAnsi"/>
          <w:lang w:val="en-GB"/>
        </w:rPr>
        <w:t>d</w:t>
      </w:r>
      <w:r w:rsidRPr="1F9D217E">
        <w:rPr>
          <w:rFonts w:asciiTheme="minorHAnsi" w:hAnsiTheme="minorHAnsi"/>
          <w:lang w:val="en-GB"/>
        </w:rPr>
        <w:t xml:space="preserve"> on a</w:t>
      </w:r>
      <w:r w:rsidRPr="003B1CBD">
        <w:rPr>
          <w:rFonts w:asciiTheme="minorHAnsi" w:hAnsiTheme="minorHAnsi"/>
        </w:rPr>
        <w:t xml:space="preserve"> national prevalence calculated using clinical stakeholder input for Victorian patient numbers</w:t>
      </w:r>
      <w:r w:rsidRPr="1F9D217E">
        <w:rPr>
          <w:rFonts w:asciiTheme="minorHAnsi" w:hAnsiTheme="minorHAnsi"/>
        </w:rPr>
        <w:t xml:space="preserve">. </w:t>
      </w:r>
      <w:r>
        <w:rPr>
          <w:rFonts w:asciiTheme="minorHAnsi" w:hAnsiTheme="minorHAnsi"/>
        </w:rPr>
        <w:t>It</w:t>
      </w:r>
      <w:r w:rsidRPr="1F9D217E">
        <w:rPr>
          <w:rFonts w:asciiTheme="minorHAnsi" w:hAnsiTheme="minorHAnsi"/>
        </w:rPr>
        <w:t xml:space="preserve"> noted sens</w:t>
      </w:r>
      <w:r>
        <w:rPr>
          <w:rFonts w:asciiTheme="minorHAnsi" w:hAnsiTheme="minorHAnsi"/>
        </w:rPr>
        <w:t>itivit</w:t>
      </w:r>
      <w:r w:rsidRPr="1F9D217E">
        <w:rPr>
          <w:rFonts w:asciiTheme="minorHAnsi" w:hAnsiTheme="minorHAnsi"/>
        </w:rPr>
        <w:t xml:space="preserve">y analysis performed using higher prevalence estimates. </w:t>
      </w:r>
      <w:r w:rsidRPr="1F9D217E">
        <w:rPr>
          <w:rFonts w:asciiTheme="minorHAnsi" w:hAnsiTheme="minorHAnsi"/>
          <w:lang w:val="en-GB"/>
        </w:rPr>
        <w:t xml:space="preserve">  PBAC considered the financial and utilisation estimates provided for the new enthesitis/spondylitis related JIA listing to be reasonable.</w:t>
      </w:r>
    </w:p>
    <w:p w14:paraId="2051C57C"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noted clinical advice stating that approximately 50% of patients with moderate to severe ulcerative colitis will require dose escalation with adalimumab. It noted that the listing for adalimumab for this indication includes both paediatric and adult patients. The PBAC considered the financial and utilisation estimates for adalimumab for this indication to be reasonable.</w:t>
      </w:r>
    </w:p>
    <w:p w14:paraId="7C11E7FB"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noted clinical advice received stating that up to 50% of patients with Crohn disease will require dose escalation with adalimumab. The PBAC also noted advice stating that 3-20% of patients have some small bowel inflammation associated with Crohn disease, and that patients with extensive small bowel disease may be currently using infliximab through the PBS. The PBAC considered the financial and utilisation estimates for adalimumab for this condition to be reasonable.</w:t>
      </w:r>
    </w:p>
    <w:p w14:paraId="55FD8264" w14:textId="77777777" w:rsidR="00852466" w:rsidRPr="00CF3543" w:rsidRDefault="00852466" w:rsidP="00852466">
      <w:pPr>
        <w:widowControl w:val="0"/>
        <w:numPr>
          <w:ilvl w:val="1"/>
          <w:numId w:val="2"/>
        </w:numPr>
        <w:spacing w:after="120"/>
        <w:rPr>
          <w:rFonts w:asciiTheme="minorHAnsi" w:hAnsiTheme="minorHAnsi"/>
          <w:snapToGrid w:val="0"/>
          <w:lang w:val="en-GB"/>
        </w:rPr>
      </w:pPr>
      <w:r w:rsidRPr="1F9D217E">
        <w:rPr>
          <w:rFonts w:asciiTheme="minorHAnsi" w:hAnsiTheme="minorHAnsi"/>
          <w:lang w:val="en-GB"/>
        </w:rPr>
        <w:t>The PBAC noted financial and utilisation estimates provided for adalimumab for the new chronic plaque psoriasis listings, and that the estimated patient population was based on the number of patients who have used ustekinumab and etanercept for this indication. The PBAC noted that, using the published price for ustekinumab and assuming 10% of patients using ustekinumab or etanercept will switch to adalimumab, there is an estimated net save to the PBS/RPBS.</w:t>
      </w:r>
    </w:p>
    <w:p w14:paraId="79801A0E" w14:textId="77777777" w:rsidR="00852466" w:rsidRPr="00BF5AEE" w:rsidRDefault="00852466" w:rsidP="00852466">
      <w:pPr>
        <w:widowControl w:val="0"/>
        <w:spacing w:after="120"/>
        <w:jc w:val="center"/>
        <w:rPr>
          <w:rFonts w:asciiTheme="minorHAnsi" w:hAnsiTheme="minorHAnsi"/>
          <w:snapToGrid w:val="0"/>
          <w:lang w:val="en-GB"/>
        </w:rPr>
      </w:pPr>
      <w:r w:rsidRPr="004E2040">
        <w:rPr>
          <w:rFonts w:asciiTheme="minorHAnsi" w:hAnsiTheme="minorHAnsi"/>
          <w:b/>
          <w:bCs/>
          <w:i/>
          <w:iCs/>
        </w:rPr>
        <w:t>Committee-In-Confidence information</w:t>
      </w:r>
    </w:p>
    <w:p w14:paraId="42748239" w14:textId="77777777" w:rsidR="00852466" w:rsidRPr="00CF3543" w:rsidRDefault="00852466" w:rsidP="00852466">
      <w:pPr>
        <w:widowControl w:val="0"/>
        <w:numPr>
          <w:ilvl w:val="1"/>
          <w:numId w:val="2"/>
        </w:numPr>
        <w:spacing w:after="120"/>
        <w:rPr>
          <w:rFonts w:asciiTheme="minorHAnsi" w:hAnsiTheme="minorHAnsi"/>
          <w:snapToGrid w:val="0"/>
          <w:lang w:val="en-GB"/>
        </w:rPr>
      </w:pPr>
      <w:r w:rsidRPr="1F9D217E">
        <w:rPr>
          <w:rFonts w:asciiTheme="minorHAnsi" w:hAnsiTheme="minorHAnsi"/>
          <w:lang w:val="en-GB"/>
        </w:rPr>
        <w:t xml:space="preserve"> </w:t>
      </w:r>
      <w:r w:rsidRPr="00A25379">
        <w:rPr>
          <w:rFonts w:asciiTheme="minorHAnsi" w:hAnsiTheme="minorHAnsi"/>
          <w:color w:val="000000"/>
          <w:shd w:val="solid" w:color="000000" w:fill="000000"/>
          <w:lang w:val="en-GB"/>
          <w14:textFill>
            <w14:solidFill>
              <w14:srgbClr w14:val="000000">
                <w14:alpha w14:val="100000"/>
              </w14:srgbClr>
            </w14:solidFill>
          </w14:textFill>
        </w:rPr>
        <w:t>|</w:t>
      </w:r>
      <w:r w:rsidRPr="00A25379">
        <w:rPr>
          <w:rFonts w:asciiTheme="minorHAnsi" w:hAnsiTheme="minorHAnsi"/>
          <w:color w:val="000000"/>
          <w:spacing w:val="-44"/>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CF3543">
        <w:rPr>
          <w:rFonts w:asciiTheme="minorHAnsi" w:hAnsiTheme="minorHAnsi"/>
          <w:color w:val="000000"/>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CF3543">
        <w:rPr>
          <w:rFonts w:asciiTheme="minorHAnsi" w:hAnsiTheme="minorHAnsi"/>
          <w:color w:val="000000"/>
          <w:w w:val="15"/>
          <w:shd w:val="solid" w:color="000000" w:fill="000000"/>
          <w:lang w:val="en-GB"/>
          <w14:textFill>
            <w14:solidFill>
              <w14:srgbClr w14:val="000000">
                <w14:alpha w14:val="100000"/>
              </w14:srgbClr>
            </w14:solidFill>
          </w14:textFill>
        </w:rPr>
        <w:t>|</w:t>
      </w:r>
    </w:p>
    <w:p w14:paraId="0AB4975B" w14:textId="77777777" w:rsidR="00852466" w:rsidRPr="008F330F" w:rsidRDefault="00852466" w:rsidP="00852466">
      <w:pPr>
        <w:spacing w:after="240"/>
        <w:jc w:val="center"/>
        <w:rPr>
          <w:rFonts w:asciiTheme="minorHAnsi" w:hAnsiTheme="minorHAnsi"/>
          <w:b/>
          <w:bCs/>
          <w:i/>
          <w:iCs/>
        </w:rPr>
      </w:pPr>
      <w:r w:rsidRPr="008F330F">
        <w:rPr>
          <w:rFonts w:asciiTheme="minorHAnsi" w:hAnsiTheme="minorHAnsi"/>
          <w:b/>
          <w:bCs/>
          <w:i/>
          <w:iCs/>
        </w:rPr>
        <w:t>End Committee-In-Confidence information</w:t>
      </w:r>
    </w:p>
    <w:p w14:paraId="4D1F3EF2" w14:textId="77777777" w:rsidR="00852466" w:rsidRDefault="00852466" w:rsidP="00852466">
      <w:pPr>
        <w:widowControl w:val="0"/>
        <w:numPr>
          <w:ilvl w:val="1"/>
          <w:numId w:val="2"/>
        </w:numPr>
        <w:spacing w:after="120"/>
        <w:rPr>
          <w:rFonts w:asciiTheme="minorHAnsi" w:hAnsiTheme="minorHAnsi"/>
          <w:snapToGrid w:val="0"/>
          <w:lang w:val="en-GB"/>
        </w:rPr>
      </w:pPr>
      <w:r w:rsidRPr="1F9D217E">
        <w:rPr>
          <w:rFonts w:asciiTheme="minorHAnsi" w:hAnsiTheme="minorHAnsi"/>
          <w:lang w:val="en-GB"/>
        </w:rPr>
        <w:t>The PBAC considered the financial and utilisation estimates for adalimumab for this indication to be reasonable.</w:t>
      </w:r>
    </w:p>
    <w:p w14:paraId="42BEAF4B" w14:textId="77777777" w:rsidR="00852466" w:rsidRDefault="00852466" w:rsidP="00852466">
      <w:pPr>
        <w:widowControl w:val="0"/>
        <w:numPr>
          <w:ilvl w:val="1"/>
          <w:numId w:val="2"/>
        </w:numPr>
        <w:spacing w:after="120"/>
        <w:rPr>
          <w:rFonts w:asciiTheme="minorHAnsi" w:hAnsiTheme="minorHAnsi"/>
          <w:lang w:val="en-GB"/>
        </w:rPr>
      </w:pPr>
      <w:r>
        <w:rPr>
          <w:rFonts w:asciiTheme="minorHAnsi" w:hAnsiTheme="minorHAnsi"/>
          <w:lang w:val="en-GB"/>
        </w:rPr>
        <w:t xml:space="preserve"> The PBAC noted the financial and utilisation estimates provided for adalimumab for the proposed revised listings for severe active JIA, using the base case and prevalence estimates (prevalence of 1 in 1,000 patients and 22% of the population treated, and prevalence of 5,000 patients and 29% of the population treated). The PBAC considered that, as this condition has a serious impact on children, the financial and utilisation estimates for adalimumab for this indication to be reasonable.</w:t>
      </w:r>
    </w:p>
    <w:p w14:paraId="2857A0DF" w14:textId="77777777" w:rsidR="00852466" w:rsidRDefault="00852466" w:rsidP="00852466">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advise that the proposed and amended listings for adalimumab would be acceptable at no higher than the existing price.</w:t>
      </w:r>
    </w:p>
    <w:p w14:paraId="44C34F92" w14:textId="77777777" w:rsidR="00852466" w:rsidRDefault="00852466" w:rsidP="00852466">
      <w:pPr>
        <w:widowControl w:val="0"/>
        <w:numPr>
          <w:ilvl w:val="1"/>
          <w:numId w:val="2"/>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w:t>
      </w:r>
      <w:r>
        <w:rPr>
          <w:rFonts w:asciiTheme="minorHAnsi" w:hAnsiTheme="minorHAnsi"/>
          <w:bCs/>
          <w:snapToGrid w:val="0"/>
          <w:lang w:val="en-GB"/>
        </w:rPr>
        <w:t>recommended the following</w:t>
      </w:r>
      <w:r w:rsidRPr="00525B39">
        <w:rPr>
          <w:rFonts w:asciiTheme="minorHAnsi" w:hAnsiTheme="minorHAnsi"/>
          <w:bCs/>
          <w:snapToGrid w:val="0"/>
          <w:lang w:val="en-GB"/>
        </w:rPr>
        <w:t xml:space="preserve"> flow-on restriction changes </w:t>
      </w:r>
      <w:r>
        <w:rPr>
          <w:rFonts w:asciiTheme="minorHAnsi" w:hAnsiTheme="minorHAnsi"/>
          <w:bCs/>
          <w:snapToGrid w:val="0"/>
          <w:lang w:val="en-GB"/>
        </w:rPr>
        <w:t>for other bDMARDs as follows:</w:t>
      </w:r>
    </w:p>
    <w:p w14:paraId="13D07599" w14:textId="77777777" w:rsidR="00852466" w:rsidRDefault="00852466" w:rsidP="00852466">
      <w:pPr>
        <w:pStyle w:val="ListParagraph"/>
        <w:ind w:hanging="360"/>
        <w:jc w:val="both"/>
        <w:rPr>
          <w:lang w:val="en-GB"/>
        </w:rPr>
      </w:pPr>
      <w:r>
        <w:rPr>
          <w:lang w:val="en-GB"/>
        </w:rPr>
        <w:t>Changes to the clinical criteria for infliximab for Crohn disease in paediatric patients to align with the revised criteria for adalimumab to facilitate access for patients who have extensive small bowel disease (for both initial and continuing treatment) (infliximab 100 mg injection, 1 vial – 5755X, 9612X, 11445J, 11448M, 11449N, 11450P).</w:t>
      </w:r>
    </w:p>
    <w:p w14:paraId="3F3C3517" w14:textId="77777777" w:rsidR="00852466" w:rsidRDefault="00852466" w:rsidP="00852466">
      <w:pPr>
        <w:pStyle w:val="ListParagraph"/>
        <w:ind w:hanging="360"/>
        <w:jc w:val="both"/>
        <w:rPr>
          <w:lang w:val="en-GB"/>
        </w:rPr>
      </w:pPr>
      <w:r>
        <w:rPr>
          <w:lang w:val="en-GB"/>
        </w:rPr>
        <w:t>Changes to the clinical criteria for other bDMARDs PBS-listed for severe active JIA to align with the revised criteria for adalimumab (reducing the required methotrexate dose) and changes to the Prescribing Instructions on criteria indicating failure to achieve an adequate response to prior treatment (for both initial and continuing treatment):</w:t>
      </w:r>
    </w:p>
    <w:p w14:paraId="03CD8A47" w14:textId="77777777" w:rsidR="00852466" w:rsidRDefault="00852466" w:rsidP="00852466">
      <w:pPr>
        <w:pStyle w:val="ListParagraph"/>
        <w:numPr>
          <w:ilvl w:val="1"/>
          <w:numId w:val="3"/>
        </w:numPr>
        <w:tabs>
          <w:tab w:val="clear" w:pos="360"/>
        </w:tabs>
        <w:ind w:left="1560"/>
        <w:jc w:val="both"/>
        <w:rPr>
          <w:lang w:val="en-GB"/>
        </w:rPr>
      </w:pPr>
      <w:r>
        <w:rPr>
          <w:lang w:val="en-GB"/>
        </w:rPr>
        <w:t>etanercept 25 mg injection [4 vials] (&amp;) inert substance diluent [4 x 1 mL syringes], 1 pack – 5734T, 6367D, 13294Q, 13295R; etanercept 50 mg/mL injection, 4 x 1 mL pen devices – 5735W, 9641K, 13319B, 13326J; etanercept 50 mg/mL injection, 4 x 1 mL syringes – 5733R, 9615C, 13308K, 13332Q</w:t>
      </w:r>
    </w:p>
    <w:p w14:paraId="7F3E6DE0" w14:textId="77777777" w:rsidR="00852466" w:rsidRDefault="00852466" w:rsidP="00852466">
      <w:pPr>
        <w:pStyle w:val="ListParagraph"/>
        <w:numPr>
          <w:ilvl w:val="1"/>
          <w:numId w:val="3"/>
        </w:numPr>
        <w:tabs>
          <w:tab w:val="clear" w:pos="360"/>
        </w:tabs>
        <w:ind w:left="1560"/>
        <w:jc w:val="both"/>
        <w:rPr>
          <w:lang w:val="en-GB"/>
        </w:rPr>
      </w:pPr>
      <w:r>
        <w:rPr>
          <w:lang w:val="en-GB"/>
        </w:rPr>
        <w:t>tocilizumab 80 mg/4 mL injection, 4 mL vial – 1419Q, 1476Q, 10068X, 10077J, 12794J, 12811G, 13304F, 13311N, 13315T, 13324G; tocilizumab 200 mg/10 mL injection – 1423X, 1481Y, 10056G, 10079L, 12795K, 12796L, 13305G, 13312P, 13329M, 13330N; tocilizumab 400 mg/20 mL injection, 20 mL vial – 10060L, 10064Q, 12802T, 12810F, 13299Y, 13323F, 13338B, 13339C, 1464C, 1482B; tocilizumab 162 mg/0.9 mL injection, 4 x 0.9 mL pen devices – 12085C, 12767Y, 11725D, 11734N, 11742B, 12083Y, 12084B, 12090H, 13306H; tocilizumab 162 mg/0.9 mL injection, 4 x 0.9 mL syringes – 12105D, 12768B, 12095N, 11748H, 11720W, 12086D, 12099T, 13301C.</w:t>
      </w:r>
    </w:p>
    <w:p w14:paraId="190A3166" w14:textId="77777777" w:rsidR="00852466" w:rsidRPr="008A416D" w:rsidRDefault="00852466" w:rsidP="00852466">
      <w:pPr>
        <w:pStyle w:val="ListParagraph"/>
        <w:numPr>
          <w:ilvl w:val="1"/>
          <w:numId w:val="3"/>
        </w:numPr>
        <w:tabs>
          <w:tab w:val="clear" w:pos="360"/>
        </w:tabs>
        <w:ind w:left="1560"/>
        <w:jc w:val="both"/>
        <w:rPr>
          <w:lang w:val="en-GB"/>
        </w:rPr>
      </w:pPr>
      <w:r w:rsidRPr="008A416D">
        <w:rPr>
          <w:lang w:val="en-GB"/>
        </w:rPr>
        <w:t>tofacitinib 5 mg tablet, 56 – 13755Y, 13757C, 13737B; tofacitinib 1 mg/mL oral liquid, 240 mL – 13770R, 13738C, 13776C.</w:t>
      </w:r>
    </w:p>
    <w:p w14:paraId="3715D5D2" w14:textId="77777777" w:rsidR="00852466" w:rsidRDefault="00852466" w:rsidP="00852466">
      <w:pPr>
        <w:pStyle w:val="ListParagraph"/>
        <w:ind w:hanging="360"/>
        <w:jc w:val="both"/>
        <w:rPr>
          <w:lang w:val="en-GB"/>
        </w:rPr>
      </w:pPr>
      <w:r>
        <w:rPr>
          <w:lang w:val="en-GB"/>
        </w:rPr>
        <w:t xml:space="preserve">Changes to the clinical criteria for other PBS-listed items for chronic plaque psoriasis, updating the number of times a patient can fail the same </w:t>
      </w:r>
      <w:proofErr w:type="spellStart"/>
      <w:r>
        <w:rPr>
          <w:lang w:val="en-GB"/>
        </w:rPr>
        <w:t>bMDARD</w:t>
      </w:r>
      <w:proofErr w:type="spellEnd"/>
      <w:r>
        <w:rPr>
          <w:lang w:val="en-GB"/>
        </w:rPr>
        <w:t xml:space="preserve"> from twice to once:</w:t>
      </w:r>
    </w:p>
    <w:p w14:paraId="5BB8A2DE" w14:textId="77777777" w:rsidR="00852466" w:rsidRDefault="00852466" w:rsidP="00852466">
      <w:pPr>
        <w:pStyle w:val="ListParagraph"/>
        <w:numPr>
          <w:ilvl w:val="1"/>
          <w:numId w:val="3"/>
        </w:numPr>
        <w:tabs>
          <w:tab w:val="clear" w:pos="360"/>
        </w:tabs>
        <w:ind w:left="1560"/>
        <w:jc w:val="both"/>
        <w:rPr>
          <w:lang w:val="en-GB"/>
        </w:rPr>
      </w:pPr>
      <w:r>
        <w:rPr>
          <w:lang w:val="en-GB"/>
        </w:rPr>
        <w:t xml:space="preserve">ustekinumab </w:t>
      </w:r>
      <w:r w:rsidRPr="00001E22">
        <w:t>45 mg/0.5 mL injection, 0.5 mL vial</w:t>
      </w:r>
      <w:r w:rsidRPr="00001E22">
        <w:rPr>
          <w:lang w:val="en-GB"/>
        </w:rPr>
        <w:t xml:space="preserve"> </w:t>
      </w:r>
      <w:r>
        <w:rPr>
          <w:lang w:val="en-GB"/>
        </w:rPr>
        <w:t xml:space="preserve">- </w:t>
      </w:r>
      <w:r w:rsidRPr="00107325">
        <w:rPr>
          <w:lang w:val="en-GB"/>
        </w:rPr>
        <w:t>12669T</w:t>
      </w:r>
    </w:p>
    <w:p w14:paraId="554D06B9" w14:textId="77777777" w:rsidR="00852466" w:rsidRDefault="00852466" w:rsidP="00852466">
      <w:pPr>
        <w:pStyle w:val="ListParagraph"/>
        <w:numPr>
          <w:ilvl w:val="1"/>
          <w:numId w:val="3"/>
        </w:numPr>
        <w:tabs>
          <w:tab w:val="clear" w:pos="360"/>
        </w:tabs>
        <w:ind w:left="1560"/>
        <w:jc w:val="both"/>
      </w:pPr>
      <w:r w:rsidRPr="00CC1BA1">
        <w:t>etanercept 25 mg injection [4 vials] (&amp;) inert substance diluent [4 x 1 mL syringes], 1 pack</w:t>
      </w:r>
      <w:r>
        <w:t xml:space="preserve"> -</w:t>
      </w:r>
      <w:r w:rsidRPr="00CC1BA1">
        <w:rPr>
          <w:rFonts w:ascii="Open Sans" w:hAnsi="Open Sans" w:cs="Open Sans"/>
          <w:color w:val="333333"/>
          <w:sz w:val="22"/>
          <w:szCs w:val="22"/>
          <w:shd w:val="clear" w:color="auto" w:fill="FFFFFF"/>
        </w:rPr>
        <w:t xml:space="preserve"> </w:t>
      </w:r>
      <w:r w:rsidRPr="00CC1BA1">
        <w:t>1954W</w:t>
      </w:r>
      <w:r>
        <w:t xml:space="preserve">; </w:t>
      </w:r>
      <w:r w:rsidRPr="00D31410">
        <w:t>etanercept 50 mg/mL injection, 4 x 1 mL pen devices</w:t>
      </w:r>
      <w:r>
        <w:t xml:space="preserve"> - </w:t>
      </w:r>
      <w:r w:rsidRPr="00215F35">
        <w:t>1964J</w:t>
      </w:r>
      <w:r>
        <w:t xml:space="preserve">; </w:t>
      </w:r>
      <w:r w:rsidRPr="00C53090">
        <w:t>etanercept 50 mg/mL injection, 4 x 1 mL syringes</w:t>
      </w:r>
      <w:r>
        <w:t xml:space="preserve"> – 1963H.</w:t>
      </w:r>
    </w:p>
    <w:p w14:paraId="0707CC84" w14:textId="77777777" w:rsidR="00852466" w:rsidRPr="00F21233" w:rsidRDefault="00852466" w:rsidP="00852466">
      <w:pPr>
        <w:pStyle w:val="3Bodytext"/>
        <w:numPr>
          <w:ilvl w:val="0"/>
          <w:numId w:val="0"/>
        </w:numPr>
        <w:ind w:left="720"/>
        <w:rPr>
          <w:b/>
          <w:lang w:val="en-GB"/>
        </w:rPr>
      </w:pPr>
      <w:r>
        <w:rPr>
          <w:lang w:val="en-GB"/>
        </w:rPr>
        <w:t>The financial implications of the recommended flow-on changes will be worked out as part of the post-PBAC process.</w:t>
      </w:r>
    </w:p>
    <w:p w14:paraId="513D873E" w14:textId="77777777" w:rsidR="00852466" w:rsidRPr="00D121C5" w:rsidRDefault="00852466" w:rsidP="00852466">
      <w:pPr>
        <w:pStyle w:val="3-BodyText"/>
        <w:numPr>
          <w:ilvl w:val="1"/>
          <w:numId w:val="2"/>
        </w:numPr>
        <w:spacing w:before="120"/>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were not met. </w:t>
      </w:r>
      <w:proofErr w:type="gramStart"/>
      <w:r w:rsidRPr="00D121C5">
        <w:rPr>
          <w:lang w:val="en-GB"/>
        </w:rPr>
        <w:t>Specifically</w:t>
      </w:r>
      <w:proofErr w:type="gramEnd"/>
      <w:r w:rsidRPr="00D121C5">
        <w:rPr>
          <w:lang w:val="en-GB"/>
        </w:rPr>
        <w:t xml:space="preserve"> the PBAC found that in the circumstances of its recommendation for </w:t>
      </w:r>
      <w:r>
        <w:rPr>
          <w:lang w:val="en-GB"/>
        </w:rPr>
        <w:t>adalimumab for paediatric conditions:</w:t>
      </w:r>
    </w:p>
    <w:p w14:paraId="407A4491" w14:textId="77777777" w:rsidR="00852466" w:rsidRDefault="00852466" w:rsidP="00852466">
      <w:pPr>
        <w:widowControl w:val="0"/>
        <w:numPr>
          <w:ilvl w:val="1"/>
          <w:numId w:val="125"/>
        </w:numPr>
        <w:spacing w:after="120"/>
        <w:ind w:left="1077" w:hanging="357"/>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or reduction of toxicity</w:t>
      </w:r>
      <w:r>
        <w:rPr>
          <w:rFonts w:asciiTheme="minorHAnsi" w:hAnsiTheme="minorHAnsi" w:cstheme="minorHAnsi"/>
          <w:lang w:val="en-GB"/>
        </w:rPr>
        <w:t xml:space="preserve">, </w:t>
      </w:r>
      <w:r w:rsidRPr="00763DFB">
        <w:rPr>
          <w:rFonts w:asciiTheme="minorHAnsi" w:hAnsiTheme="minorHAnsi" w:cstheme="minorHAnsi"/>
          <w:lang w:val="en-GB"/>
        </w:rPr>
        <w:t xml:space="preserve">over alternative therapies, </w:t>
      </w:r>
      <w:r>
        <w:rPr>
          <w:rFonts w:asciiTheme="minorHAnsi" w:hAnsiTheme="minorHAnsi" w:cstheme="minorHAnsi"/>
          <w:lang w:val="en-GB"/>
        </w:rPr>
        <w:t xml:space="preserve">due to adalimumab already being available on the PBS for paediatric patients with moderate to severe ulcerative colitis, Crohn disease and severe active JIA, and other therapies being available on the PBS for paediatric patients for chronic plaque </w:t>
      </w:r>
      <w:proofErr w:type="gramStart"/>
      <w:r>
        <w:rPr>
          <w:rFonts w:asciiTheme="minorHAnsi" w:hAnsiTheme="minorHAnsi" w:cstheme="minorHAnsi"/>
          <w:lang w:val="en-GB"/>
        </w:rPr>
        <w:t>psoriasis</w:t>
      </w:r>
      <w:r w:rsidRPr="00763DFB">
        <w:rPr>
          <w:rFonts w:asciiTheme="minorHAnsi" w:hAnsiTheme="minorHAnsi" w:cstheme="minorHAnsi"/>
          <w:lang w:val="en-GB"/>
        </w:rPr>
        <w:t>;</w:t>
      </w:r>
      <w:proofErr w:type="gramEnd"/>
    </w:p>
    <w:p w14:paraId="2DA54FDC" w14:textId="77777777" w:rsidR="00852466" w:rsidRPr="00763DFB" w:rsidRDefault="00852466" w:rsidP="00852466">
      <w:pPr>
        <w:widowControl w:val="0"/>
        <w:numPr>
          <w:ilvl w:val="1"/>
          <w:numId w:val="125"/>
        </w:numPr>
        <w:spacing w:after="120"/>
        <w:ind w:left="1077" w:hanging="357"/>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Pr>
          <w:rFonts w:asciiTheme="minorHAnsi" w:hAnsiTheme="minorHAnsi" w:cstheme="minorHAnsi"/>
          <w:lang w:val="en-GB"/>
        </w:rPr>
        <w:t xml:space="preserve">due to adalimumab and other therapies being available on the PBS for paediatric patients with these </w:t>
      </w:r>
      <w:proofErr w:type="gramStart"/>
      <w:r>
        <w:rPr>
          <w:rFonts w:asciiTheme="minorHAnsi" w:hAnsiTheme="minorHAnsi" w:cstheme="minorHAnsi"/>
          <w:lang w:val="en-GB"/>
        </w:rPr>
        <w:t>conditions;</w:t>
      </w:r>
      <w:proofErr w:type="gramEnd"/>
    </w:p>
    <w:p w14:paraId="39F574F4" w14:textId="77777777" w:rsidR="00852466" w:rsidRDefault="00852466" w:rsidP="00852466">
      <w:pPr>
        <w:widowControl w:val="0"/>
        <w:numPr>
          <w:ilvl w:val="1"/>
          <w:numId w:val="125"/>
        </w:numPr>
        <w:spacing w:after="120"/>
        <w:ind w:left="1077" w:hanging="357"/>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w:t>
      </w:r>
    </w:p>
    <w:p w14:paraId="189479CD" w14:textId="77777777" w:rsidR="00852466" w:rsidRPr="008C7C3C" w:rsidRDefault="00852466" w:rsidP="00852466">
      <w:pPr>
        <w:widowControl w:val="0"/>
        <w:numPr>
          <w:ilvl w:val="1"/>
          <w:numId w:val="2"/>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p>
    <w:p w14:paraId="13117A0D" w14:textId="77777777" w:rsidR="00852466" w:rsidRPr="00525B39" w:rsidRDefault="00852466" w:rsidP="00852466">
      <w:pPr>
        <w:keepNext/>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08410A1" w14:textId="77777777" w:rsidR="00852466" w:rsidRDefault="00852466" w:rsidP="00852466">
      <w:pPr>
        <w:rPr>
          <w:rFonts w:asciiTheme="minorHAnsi" w:hAnsiTheme="minorHAnsi"/>
          <w:bCs/>
          <w:snapToGrid w:val="0"/>
          <w:lang w:val="en-GB"/>
        </w:rPr>
      </w:pPr>
      <w:r w:rsidRPr="00525B39">
        <w:rPr>
          <w:rFonts w:asciiTheme="minorHAnsi" w:hAnsiTheme="minorHAnsi"/>
          <w:bCs/>
          <w:snapToGrid w:val="0"/>
          <w:lang w:val="en-GB"/>
        </w:rPr>
        <w:t>Recommended</w:t>
      </w:r>
    </w:p>
    <w:p w14:paraId="057EA40B" w14:textId="77777777" w:rsidR="00852466" w:rsidRPr="00907671" w:rsidRDefault="00852466" w:rsidP="00852466">
      <w:pPr>
        <w:pStyle w:val="2-SectionHeading"/>
        <w:numPr>
          <w:ilvl w:val="0"/>
          <w:numId w:val="2"/>
        </w:numPr>
      </w:pPr>
      <w:r w:rsidRPr="00907671">
        <w:t>Recommended listing</w:t>
      </w:r>
    </w:p>
    <w:p w14:paraId="6667EC45" w14:textId="77777777" w:rsidR="00852466" w:rsidRDefault="00852466" w:rsidP="00852466">
      <w:pPr>
        <w:pStyle w:val="3Bodytext"/>
        <w:spacing w:before="120"/>
        <w:jc w:val="both"/>
      </w:pPr>
      <w:r>
        <w:t>As there were no changes recommended to the clinical criteria, administrative advice or prescribing instructions (other than standard changes to prescribing instructions and administrative advice necessary for Authority Required STREAMLINED listings) from what was proposed (Section 14) for listings for moderate to severe ulcerative colitis, severe Crohn disease, severe active JIA and enthesitis/spondylitis related JIA, an abridged version of the recommended listing is presented below. The abridged version of the recommended listings includes the recommended change to Authority Required (STREAMLINED) for the restriction type for subsequent continuing treatment listings, and recommended flow on changes to other PBS listed medicines. Standard administrative advice and prescribing instructions for Authority Required STREAMLINED changes have not been reproduced.</w:t>
      </w:r>
    </w:p>
    <w:p w14:paraId="3BE00EB3" w14:textId="77777777" w:rsidR="00852466" w:rsidRPr="003057CB" w:rsidRDefault="00852466" w:rsidP="00852466">
      <w:pPr>
        <w:pStyle w:val="3-BodyText"/>
        <w:numPr>
          <w:ilvl w:val="0"/>
          <w:numId w:val="0"/>
        </w:numPr>
        <w:rPr>
          <w:b/>
        </w:rPr>
      </w:pPr>
      <w:r>
        <w:t>New or a</w:t>
      </w:r>
      <w:r w:rsidRPr="007553E8">
        <w:t>mend</w:t>
      </w:r>
      <w:r>
        <w:t>ed</w:t>
      </w:r>
      <w:r w:rsidRPr="007553E8">
        <w:t xml:space="preserve"> existing listing as follows:</w:t>
      </w:r>
    </w:p>
    <w:p w14:paraId="1DA0B7A1" w14:textId="77777777" w:rsidR="00852466" w:rsidRDefault="00852466" w:rsidP="00852466">
      <w:pPr>
        <w:pStyle w:val="4-SubsectionHeading"/>
        <w:rPr>
          <w:snapToGrid w:val="0"/>
        </w:rPr>
      </w:pPr>
      <w:r>
        <w:rPr>
          <w:snapToGrid w:val="0"/>
        </w:rPr>
        <w:t>Chronic plaque psoriasis (new listing)</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ronic plaque psoriasis (new listing)"/>
      </w:tblPr>
      <w:tblGrid>
        <w:gridCol w:w="3937"/>
        <w:gridCol w:w="876"/>
        <w:gridCol w:w="747"/>
        <w:gridCol w:w="811"/>
        <w:gridCol w:w="812"/>
        <w:gridCol w:w="1817"/>
      </w:tblGrid>
      <w:tr w:rsidR="00116AFD" w:rsidRPr="00116AFD" w14:paraId="0A917BC4" w14:textId="77777777" w:rsidTr="00116AFD">
        <w:trPr>
          <w:trHeight w:val="20"/>
        </w:trPr>
        <w:tc>
          <w:tcPr>
            <w:tcW w:w="3938" w:type="dxa"/>
            <w:vAlign w:val="center"/>
          </w:tcPr>
          <w:p w14:paraId="39B163B8"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MEDICINAL PRODUCT</w:t>
            </w:r>
          </w:p>
          <w:p w14:paraId="654B6794" w14:textId="77777777" w:rsidR="00852466" w:rsidRPr="00116AFD" w:rsidRDefault="00852466">
            <w:pPr>
              <w:keepLines/>
              <w:rPr>
                <w:rFonts w:ascii="Arial Narrow" w:hAnsi="Arial Narrow"/>
                <w:b/>
                <w:i/>
                <w:iCs/>
                <w:sz w:val="20"/>
                <w:szCs w:val="20"/>
              </w:rPr>
            </w:pPr>
            <w:r w:rsidRPr="00116AFD">
              <w:rPr>
                <w:rFonts w:ascii="Arial Narrow" w:hAnsi="Arial Narrow"/>
                <w:b/>
                <w:bCs/>
                <w:i/>
                <w:iCs/>
                <w:sz w:val="20"/>
                <w:szCs w:val="20"/>
              </w:rPr>
              <w:t>medicinal product pack</w:t>
            </w:r>
          </w:p>
        </w:tc>
        <w:tc>
          <w:tcPr>
            <w:tcW w:w="876" w:type="dxa"/>
            <w:vAlign w:val="center"/>
          </w:tcPr>
          <w:p w14:paraId="18D17B86"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PBS item code</w:t>
            </w:r>
          </w:p>
        </w:tc>
        <w:tc>
          <w:tcPr>
            <w:tcW w:w="747" w:type="dxa"/>
            <w:vAlign w:val="center"/>
          </w:tcPr>
          <w:p w14:paraId="377C8697"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packs</w:t>
            </w:r>
          </w:p>
        </w:tc>
        <w:tc>
          <w:tcPr>
            <w:tcW w:w="811" w:type="dxa"/>
            <w:vAlign w:val="center"/>
          </w:tcPr>
          <w:p w14:paraId="3F443090"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units</w:t>
            </w:r>
          </w:p>
        </w:tc>
        <w:tc>
          <w:tcPr>
            <w:tcW w:w="812" w:type="dxa"/>
            <w:vAlign w:val="center"/>
          </w:tcPr>
          <w:p w14:paraId="3607D8C2"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№.of</w:t>
            </w:r>
          </w:p>
          <w:p w14:paraId="66135926"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Rpts</w:t>
            </w:r>
          </w:p>
        </w:tc>
        <w:tc>
          <w:tcPr>
            <w:tcW w:w="1817" w:type="dxa"/>
            <w:vAlign w:val="center"/>
          </w:tcPr>
          <w:p w14:paraId="0F4FFC5F" w14:textId="77777777" w:rsidR="00852466" w:rsidRPr="00116AFD" w:rsidRDefault="00852466">
            <w:pPr>
              <w:keepLines/>
              <w:jc w:val="center"/>
              <w:rPr>
                <w:rFonts w:ascii="Arial Narrow" w:hAnsi="Arial Narrow"/>
                <w:b/>
                <w:i/>
                <w:iCs/>
                <w:sz w:val="20"/>
                <w:szCs w:val="20"/>
                <w:lang w:val="fr-FR"/>
              </w:rPr>
            </w:pPr>
            <w:r w:rsidRPr="00116AFD">
              <w:rPr>
                <w:rFonts w:ascii="Arial Narrow" w:hAnsi="Arial Narrow"/>
                <w:b/>
                <w:i/>
                <w:iCs/>
                <w:sz w:val="20"/>
                <w:szCs w:val="20"/>
              </w:rPr>
              <w:t>Available brands</w:t>
            </w:r>
          </w:p>
        </w:tc>
      </w:tr>
      <w:tr w:rsidR="00116AFD" w:rsidRPr="00116AFD" w14:paraId="328871D9" w14:textId="77777777" w:rsidTr="00116AFD">
        <w:trPr>
          <w:trHeight w:val="20"/>
        </w:trPr>
        <w:tc>
          <w:tcPr>
            <w:tcW w:w="9001" w:type="dxa"/>
            <w:gridSpan w:val="6"/>
            <w:vAlign w:val="center"/>
          </w:tcPr>
          <w:p w14:paraId="0A45CAF9"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ADALIMUMAB</w:t>
            </w:r>
          </w:p>
        </w:tc>
      </w:tr>
      <w:tr w:rsidR="00116AFD" w:rsidRPr="00116AFD" w14:paraId="7723C1BA" w14:textId="77777777" w:rsidTr="00116AFD">
        <w:trPr>
          <w:trHeight w:val="20"/>
        </w:trPr>
        <w:tc>
          <w:tcPr>
            <w:tcW w:w="3938" w:type="dxa"/>
            <w:vAlign w:val="center"/>
          </w:tcPr>
          <w:p w14:paraId="37845EEF"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20 mg/0.2 mL injection, 2 x 0.2 mL syringes </w:t>
            </w:r>
          </w:p>
        </w:tc>
        <w:tc>
          <w:tcPr>
            <w:tcW w:w="876" w:type="dxa"/>
            <w:vAlign w:val="center"/>
          </w:tcPr>
          <w:p w14:paraId="6C3ACD24"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26DCC18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7DF87390"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3F76454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4</w:t>
            </w:r>
          </w:p>
        </w:tc>
        <w:tc>
          <w:tcPr>
            <w:tcW w:w="1817" w:type="dxa"/>
            <w:vAlign w:val="center"/>
          </w:tcPr>
          <w:p w14:paraId="374BEF2F"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tc>
      </w:tr>
      <w:tr w:rsidR="00116AFD" w:rsidRPr="00116AFD" w14:paraId="2B72018B" w14:textId="77777777" w:rsidTr="00116AFD">
        <w:trPr>
          <w:trHeight w:val="20"/>
        </w:trPr>
        <w:tc>
          <w:tcPr>
            <w:tcW w:w="3938" w:type="dxa"/>
            <w:vAlign w:val="center"/>
          </w:tcPr>
          <w:p w14:paraId="31CBECBD"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pen devices</w:t>
            </w:r>
          </w:p>
        </w:tc>
        <w:tc>
          <w:tcPr>
            <w:tcW w:w="876" w:type="dxa"/>
            <w:vAlign w:val="center"/>
          </w:tcPr>
          <w:p w14:paraId="7745E559"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4F7C8D9A"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785139F6"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5F299D95"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4</w:t>
            </w:r>
          </w:p>
        </w:tc>
        <w:tc>
          <w:tcPr>
            <w:tcW w:w="1817" w:type="dxa"/>
            <w:vAlign w:val="center"/>
          </w:tcPr>
          <w:p w14:paraId="5A8F49D9" w14:textId="77777777" w:rsidR="00852466" w:rsidRPr="00116AFD" w:rsidRDefault="00852466">
            <w:pPr>
              <w:keepLines/>
              <w:rPr>
                <w:rFonts w:ascii="Arial Narrow" w:hAnsi="Arial Narrow"/>
                <w:i/>
                <w:iCs/>
                <w:sz w:val="20"/>
                <w:szCs w:val="20"/>
              </w:rPr>
            </w:pPr>
          </w:p>
          <w:p w14:paraId="4610F92D"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14340A0B" w14:textId="77777777" w:rsidR="00852466" w:rsidRPr="00116AFD" w:rsidRDefault="00852466">
            <w:pPr>
              <w:keepLines/>
              <w:rPr>
                <w:rFonts w:ascii="Arial Narrow" w:hAnsi="Arial Narrow"/>
                <w:i/>
                <w:iCs/>
                <w:sz w:val="20"/>
                <w:szCs w:val="20"/>
              </w:rPr>
            </w:pPr>
          </w:p>
        </w:tc>
      </w:tr>
      <w:tr w:rsidR="00116AFD" w:rsidRPr="00116AFD" w14:paraId="3CFE90AA" w14:textId="77777777" w:rsidTr="00116AFD">
        <w:trPr>
          <w:trHeight w:val="20"/>
        </w:trPr>
        <w:tc>
          <w:tcPr>
            <w:tcW w:w="3938" w:type="dxa"/>
            <w:vAlign w:val="center"/>
          </w:tcPr>
          <w:p w14:paraId="4FB1F827"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syringes</w:t>
            </w:r>
          </w:p>
        </w:tc>
        <w:tc>
          <w:tcPr>
            <w:tcW w:w="876" w:type="dxa"/>
            <w:vAlign w:val="center"/>
          </w:tcPr>
          <w:p w14:paraId="7989D505"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37BE0D6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1114707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582AAB5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4</w:t>
            </w:r>
          </w:p>
        </w:tc>
        <w:tc>
          <w:tcPr>
            <w:tcW w:w="1817" w:type="dxa"/>
            <w:vAlign w:val="center"/>
          </w:tcPr>
          <w:p w14:paraId="77FB1D76"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77A62C4D" w14:textId="77777777" w:rsidR="00852466" w:rsidRPr="00116AFD" w:rsidRDefault="00852466">
            <w:pPr>
              <w:keepLines/>
              <w:rPr>
                <w:rFonts w:ascii="Arial Narrow" w:hAnsi="Arial Narrow"/>
                <w:i/>
                <w:iCs/>
                <w:sz w:val="20"/>
                <w:szCs w:val="20"/>
              </w:rPr>
            </w:pPr>
          </w:p>
        </w:tc>
      </w:tr>
      <w:tr w:rsidR="00116AFD" w:rsidRPr="00116AFD" w14:paraId="6DD2E7C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right w:val="single" w:sz="4" w:space="0" w:color="auto"/>
            </w:tcBorders>
            <w:vAlign w:val="center"/>
          </w:tcPr>
          <w:p w14:paraId="0D00ABFE" w14:textId="77777777" w:rsidR="00852466" w:rsidRPr="00116AFD" w:rsidRDefault="00852466">
            <w:pPr>
              <w:rPr>
                <w:rFonts w:ascii="Arial Narrow" w:hAnsi="Arial Narrow"/>
                <w:i/>
                <w:iCs/>
                <w:sz w:val="20"/>
                <w:szCs w:val="20"/>
              </w:rPr>
            </w:pPr>
          </w:p>
        </w:tc>
      </w:tr>
      <w:tr w:rsidR="00116AFD" w:rsidRPr="00116AFD" w14:paraId="0B7E0C6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F1248C2" w14:textId="77777777" w:rsidR="00852466" w:rsidRPr="00116AFD" w:rsidRDefault="00852466">
            <w:pPr>
              <w:keepLines/>
              <w:rPr>
                <w:rFonts w:ascii="Arial Narrow" w:hAnsi="Arial Narrow"/>
                <w:i/>
                <w:iCs/>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05197511"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7DAD86CD" w14:textId="77777777" w:rsidR="00852466" w:rsidRPr="00116AFD" w:rsidRDefault="00852466">
            <w:pPr>
              <w:keepLines/>
              <w:rPr>
                <w:rFonts w:ascii="Arial Narrow" w:hAnsi="Arial Narrow"/>
                <w:b/>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48792E9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3CACB3C4" w14:textId="77777777" w:rsidR="00852466" w:rsidRPr="00116AFD" w:rsidRDefault="00852466">
            <w:pPr>
              <w:keepLines/>
              <w:rPr>
                <w:rFonts w:ascii="Arial Narrow" w:eastAsia="Calibri" w:hAnsi="Arial Narrow"/>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116AFD" w:rsidRPr="00116AFD" w14:paraId="2B353F0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BFCF5C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TREATMENT OF PATIENTS UNDER 18 YEARS WITH SEVERE CHRONIC PLAQUE PSORIASIS</w:t>
            </w:r>
          </w:p>
          <w:p w14:paraId="626E93FC" w14:textId="77777777" w:rsidR="00852466" w:rsidRPr="00116AFD" w:rsidRDefault="00852466">
            <w:pPr>
              <w:rPr>
                <w:rFonts w:ascii="Arial Narrow" w:hAnsi="Arial Narrow"/>
                <w:i/>
                <w:iCs/>
                <w:sz w:val="20"/>
                <w:szCs w:val="20"/>
              </w:rPr>
            </w:pPr>
          </w:p>
          <w:p w14:paraId="4730149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following information applies to the prescribing under the Pharmaceutical Benefits Scheme (PBS) of the biological medicines adalimumab, etanercept and ustekinumab for patients under 18 years of age with severe chronic plaque psoriasis. Therefore, where the term 'biological medicines' appears in notes and restrictions, it refers to adalimumab, etanercept and ustekinumab only.</w:t>
            </w:r>
          </w:p>
          <w:p w14:paraId="1A91FFB4" w14:textId="77777777" w:rsidR="00852466" w:rsidRPr="00116AFD" w:rsidRDefault="00852466">
            <w:pPr>
              <w:rPr>
                <w:rFonts w:ascii="Arial Narrow" w:hAnsi="Arial Narrow"/>
                <w:i/>
                <w:iCs/>
                <w:sz w:val="20"/>
                <w:szCs w:val="20"/>
              </w:rPr>
            </w:pPr>
          </w:p>
          <w:p w14:paraId="6E0B6DF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is eligible for PBS-subsidised treatment with only 1 of the above biological medicines at any 1 time.</w:t>
            </w:r>
          </w:p>
          <w:p w14:paraId="47875555" w14:textId="77777777" w:rsidR="00852466" w:rsidRPr="00116AFD" w:rsidRDefault="00852466">
            <w:pPr>
              <w:rPr>
                <w:rFonts w:ascii="Arial Narrow" w:hAnsi="Arial Narrow"/>
                <w:i/>
                <w:iCs/>
                <w:sz w:val="20"/>
                <w:szCs w:val="20"/>
              </w:rPr>
            </w:pPr>
          </w:p>
          <w:p w14:paraId="2DE1703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patient who is receiving PBS-subsidised treatment for severe chronic plaque psoriasis </w:t>
            </w:r>
            <w:proofErr w:type="gramStart"/>
            <w:r w:rsidRPr="00116AFD">
              <w:rPr>
                <w:rFonts w:ascii="Arial Narrow" w:hAnsi="Arial Narrow"/>
                <w:i/>
                <w:iCs/>
                <w:sz w:val="20"/>
                <w:szCs w:val="20"/>
              </w:rPr>
              <w:t>is able to</w:t>
            </w:r>
            <w:proofErr w:type="gramEnd"/>
            <w:r w:rsidRPr="00116AFD">
              <w:rPr>
                <w:rFonts w:ascii="Arial Narrow" w:hAnsi="Arial Narrow"/>
                <w:i/>
                <w:iCs/>
                <w:sz w:val="20"/>
                <w:szCs w:val="20"/>
              </w:rPr>
              <w:t xml:space="preserve"> commence a treatment cycle where they may trial a biological medicine without having to experience a disease flare when swapping to an alternate biological medicine within the same treatment cycle.</w:t>
            </w:r>
          </w:p>
          <w:p w14:paraId="3C9B2C73" w14:textId="77777777" w:rsidR="00852466" w:rsidRPr="00116AFD" w:rsidRDefault="00852466">
            <w:pPr>
              <w:rPr>
                <w:rFonts w:ascii="Arial Narrow" w:hAnsi="Arial Narrow"/>
                <w:i/>
                <w:iCs/>
                <w:sz w:val="20"/>
                <w:szCs w:val="20"/>
              </w:rPr>
            </w:pPr>
          </w:p>
          <w:p w14:paraId="2805074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Under these arrangements, within a treatment cycle, a patient may receive long-term treatment with a biological medicine </w:t>
            </w:r>
            <w:proofErr w:type="gramStart"/>
            <w:r w:rsidRPr="00116AFD">
              <w:rPr>
                <w:rFonts w:ascii="Arial Narrow" w:hAnsi="Arial Narrow"/>
                <w:i/>
                <w:iCs/>
                <w:sz w:val="20"/>
                <w:szCs w:val="20"/>
              </w:rPr>
              <w:t>as long as</w:t>
            </w:r>
            <w:proofErr w:type="gramEnd"/>
            <w:r w:rsidRPr="00116AFD">
              <w:rPr>
                <w:rFonts w:ascii="Arial Narrow" w:hAnsi="Arial Narrow"/>
                <w:i/>
                <w:iCs/>
                <w:sz w:val="20"/>
                <w:szCs w:val="20"/>
              </w:rPr>
              <w:t xml:space="preserve"> they sustain a response to therapy.</w:t>
            </w:r>
          </w:p>
          <w:p w14:paraId="63F4FDEA" w14:textId="77777777" w:rsidR="00852466" w:rsidRPr="00116AFD" w:rsidRDefault="00852466">
            <w:pPr>
              <w:rPr>
                <w:rFonts w:ascii="Arial Narrow" w:hAnsi="Arial Narrow"/>
                <w:i/>
                <w:iCs/>
                <w:sz w:val="20"/>
                <w:szCs w:val="20"/>
              </w:rPr>
            </w:pPr>
          </w:p>
          <w:p w14:paraId="48BDF30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Within the same treatment cycle, a patient cannot trial and fail, or cease to respond to, the same PBS-subsidised biological medicine more than once.</w:t>
            </w:r>
          </w:p>
          <w:p w14:paraId="3A20C7B4" w14:textId="77777777" w:rsidR="00852466" w:rsidRPr="00116AFD" w:rsidRDefault="00852466">
            <w:pPr>
              <w:rPr>
                <w:rFonts w:ascii="Arial Narrow" w:hAnsi="Arial Narrow"/>
                <w:i/>
                <w:iCs/>
                <w:sz w:val="20"/>
                <w:szCs w:val="20"/>
              </w:rPr>
            </w:pPr>
          </w:p>
          <w:p w14:paraId="169A29C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33413B31" w14:textId="77777777" w:rsidR="00852466" w:rsidRPr="00116AFD" w:rsidRDefault="00852466">
            <w:pPr>
              <w:rPr>
                <w:rFonts w:ascii="Arial Narrow" w:hAnsi="Arial Narrow"/>
                <w:i/>
                <w:iCs/>
                <w:sz w:val="20"/>
                <w:szCs w:val="20"/>
              </w:rPr>
            </w:pPr>
          </w:p>
          <w:p w14:paraId="68888B5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must be assessed for response to each course of treatment according to the criteria included in the relevant continuing treatment restriction.</w:t>
            </w:r>
          </w:p>
          <w:p w14:paraId="595729FA" w14:textId="77777777" w:rsidR="00852466" w:rsidRPr="00116AFD" w:rsidRDefault="00852466">
            <w:pPr>
              <w:rPr>
                <w:rFonts w:ascii="Arial Narrow" w:hAnsi="Arial Narrow"/>
                <w:i/>
                <w:iCs/>
                <w:sz w:val="20"/>
                <w:szCs w:val="20"/>
              </w:rPr>
            </w:pPr>
          </w:p>
          <w:p w14:paraId="7FF248B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Once a patient has either failed or ceased to sustain a response to treatment 3 times, they are deemed to have completed a treatment cycle and they </w:t>
            </w:r>
            <w:proofErr w:type="gramStart"/>
            <w:r w:rsidRPr="00116AFD">
              <w:rPr>
                <w:rFonts w:ascii="Arial Narrow" w:hAnsi="Arial Narrow"/>
                <w:i/>
                <w:iCs/>
                <w:sz w:val="20"/>
                <w:szCs w:val="20"/>
              </w:rPr>
              <w:t>must have,</w:t>
            </w:r>
            <w:proofErr w:type="gramEnd"/>
            <w:r w:rsidRPr="00116AFD">
              <w:rPr>
                <w:rFonts w:ascii="Arial Narrow" w:hAnsi="Arial Narrow"/>
                <w:i/>
                <w:iCs/>
                <w:sz w:val="20"/>
                <w:szCs w:val="20"/>
              </w:rPr>
              <w:t xml:space="preserve"> at a minimum, a 5-year break in PBS-subsidised biological medicine therapy before they are eligible to commence the next cycle.</w:t>
            </w:r>
          </w:p>
          <w:p w14:paraId="0CDB8539" w14:textId="77777777" w:rsidR="00852466" w:rsidRPr="00116AFD" w:rsidRDefault="00852466">
            <w:pPr>
              <w:rPr>
                <w:rFonts w:ascii="Arial Narrow" w:hAnsi="Arial Narrow"/>
                <w:i/>
                <w:iCs/>
                <w:sz w:val="20"/>
                <w:szCs w:val="20"/>
              </w:rPr>
            </w:pPr>
          </w:p>
          <w:p w14:paraId="5C9283C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duration of the break in therapy will be measured from the date the last prescription for PBS-subsidised treatment was prescribed in the most recent cycle to the date of the first application for initial treatment with a biological medicine under the new cycle.</w:t>
            </w:r>
          </w:p>
          <w:p w14:paraId="7BD6E366" w14:textId="77777777" w:rsidR="00852466" w:rsidRPr="00116AFD" w:rsidRDefault="00852466">
            <w:pPr>
              <w:rPr>
                <w:rFonts w:ascii="Arial Narrow" w:hAnsi="Arial Narrow"/>
                <w:i/>
                <w:iCs/>
                <w:sz w:val="20"/>
                <w:szCs w:val="20"/>
              </w:rPr>
            </w:pPr>
          </w:p>
          <w:p w14:paraId="7DDECC6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who has failed fewer than 3 times in a treatment cycle and who has a break in therapy of more than 5 years may commence a new treatment cycle under Initial 3 treatment restriction.</w:t>
            </w:r>
          </w:p>
          <w:p w14:paraId="675420C5" w14:textId="77777777" w:rsidR="00852466" w:rsidRPr="00116AFD" w:rsidRDefault="00852466">
            <w:pPr>
              <w:rPr>
                <w:rFonts w:ascii="Arial Narrow" w:hAnsi="Arial Narrow"/>
                <w:i/>
                <w:iCs/>
                <w:sz w:val="20"/>
                <w:szCs w:val="20"/>
              </w:rPr>
            </w:pPr>
          </w:p>
          <w:p w14:paraId="217A1CE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who has failed fewer than 3 times in a treatment cycle and who has a break in therapy of less than 5 years may commence a further course of treatment within the same treatment cycle under Initial 2 treatment restriction.</w:t>
            </w:r>
          </w:p>
          <w:p w14:paraId="64B4977F" w14:textId="77777777" w:rsidR="00852466" w:rsidRPr="00116AFD" w:rsidRDefault="00852466">
            <w:pPr>
              <w:rPr>
                <w:rFonts w:ascii="Arial Narrow" w:hAnsi="Arial Narrow"/>
                <w:i/>
                <w:iCs/>
                <w:sz w:val="20"/>
                <w:szCs w:val="20"/>
              </w:rPr>
            </w:pPr>
          </w:p>
          <w:p w14:paraId="7F24D67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There is no limit to the number of treatment cycles a patient may undertake in their lifetime.</w:t>
            </w:r>
          </w:p>
          <w:p w14:paraId="4343E886" w14:textId="77777777" w:rsidR="00852466" w:rsidRPr="00116AFD" w:rsidRDefault="00852466">
            <w:pPr>
              <w:rPr>
                <w:rFonts w:ascii="Arial Narrow" w:hAnsi="Arial Narrow"/>
                <w:i/>
                <w:iCs/>
                <w:sz w:val="20"/>
                <w:szCs w:val="20"/>
              </w:rPr>
            </w:pPr>
          </w:p>
          <w:p w14:paraId="1F3C222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There are separate restrictions for the initial and continuing treatment for psoriasis affecting the whole body, versus psoriasis affecting the face, hand and foot.</w:t>
            </w:r>
          </w:p>
          <w:p w14:paraId="60F6812A" w14:textId="77777777" w:rsidR="00852466" w:rsidRPr="00116AFD" w:rsidRDefault="00852466">
            <w:pPr>
              <w:rPr>
                <w:rFonts w:ascii="Arial Narrow" w:hAnsi="Arial Narrow"/>
                <w:i/>
                <w:iCs/>
                <w:sz w:val="20"/>
                <w:szCs w:val="20"/>
              </w:rPr>
            </w:pPr>
          </w:p>
          <w:p w14:paraId="6BC60A0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How to prescribe PBS-subsidised biological medicine treatment for severe chronic plaque psoriasis.</w:t>
            </w:r>
          </w:p>
          <w:p w14:paraId="277BFD0C" w14:textId="77777777" w:rsidR="00852466" w:rsidRPr="00116AFD" w:rsidRDefault="00852466">
            <w:pPr>
              <w:rPr>
                <w:rFonts w:ascii="Arial Narrow" w:hAnsi="Arial Narrow"/>
                <w:i/>
                <w:iCs/>
                <w:sz w:val="20"/>
                <w:szCs w:val="20"/>
              </w:rPr>
            </w:pPr>
          </w:p>
          <w:p w14:paraId="5AA77FE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a patient has never received PBS-subsidised biological medicine treatment for this condition and wishes to commence such therapy (Initial 1 - Biological medicine-naive patient); or</w:t>
            </w:r>
          </w:p>
          <w:p w14:paraId="66E30394" w14:textId="77777777" w:rsidR="00852466" w:rsidRPr="00116AFD" w:rsidRDefault="00852466">
            <w:pPr>
              <w:rPr>
                <w:rFonts w:ascii="Arial Narrow" w:hAnsi="Arial Narrow"/>
                <w:i/>
                <w:iCs/>
                <w:sz w:val="20"/>
                <w:szCs w:val="20"/>
              </w:rPr>
            </w:pPr>
          </w:p>
          <w:p w14:paraId="2E0D413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a patient wishes to recommence treatment with a biological medicine following a break in PBS-subsidised therapy of more than 5 years (Initial 3 - Recommencement of treatment after a break in biological medicine of more than 5 years); or</w:t>
            </w:r>
          </w:p>
          <w:p w14:paraId="4D8BF63B" w14:textId="77777777" w:rsidR="00852466" w:rsidRPr="00116AFD" w:rsidRDefault="00852466">
            <w:pPr>
              <w:rPr>
                <w:rFonts w:ascii="Arial Narrow" w:hAnsi="Arial Narrow"/>
                <w:i/>
                <w:iCs/>
                <w:sz w:val="20"/>
                <w:szCs w:val="20"/>
              </w:rPr>
            </w:pPr>
          </w:p>
          <w:p w14:paraId="0D721D1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a patient who has received prior PBS-subsidised biological medicine therapy for this condition (initial or continuing) and wishes to trial an alternate biological medicine or recommence with the same biological medicine within the same treatment cycle (Initial 2 - Change or Recommencement of treatment after a break in biological medicine of less than 5 years) [further details are under (4) 'Swapping therapy' below]; or</w:t>
            </w:r>
          </w:p>
          <w:p w14:paraId="6DD1AA4E" w14:textId="77777777" w:rsidR="00852466" w:rsidRPr="00116AFD" w:rsidRDefault="00852466">
            <w:pPr>
              <w:rPr>
                <w:rFonts w:ascii="Arial Narrow" w:hAnsi="Arial Narrow"/>
                <w:i/>
                <w:iCs/>
                <w:sz w:val="20"/>
                <w:szCs w:val="20"/>
              </w:rPr>
            </w:pPr>
          </w:p>
          <w:p w14:paraId="1F7F54B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(iv)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72E1DD59" w14:textId="77777777" w:rsidR="00852466" w:rsidRPr="00116AFD" w:rsidRDefault="00852466">
            <w:pPr>
              <w:rPr>
                <w:rFonts w:ascii="Arial Narrow" w:hAnsi="Arial Narrow"/>
                <w:i/>
                <w:iCs/>
                <w:sz w:val="20"/>
                <w:szCs w:val="20"/>
              </w:rPr>
            </w:pPr>
          </w:p>
          <w:p w14:paraId="5DF59C9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Etanercept only:</w:t>
            </w:r>
          </w:p>
          <w:p w14:paraId="3286017C" w14:textId="77777777" w:rsidR="00852466" w:rsidRPr="00116AFD" w:rsidRDefault="00852466">
            <w:pPr>
              <w:rPr>
                <w:rFonts w:ascii="Arial Narrow" w:hAnsi="Arial Narrow"/>
                <w:i/>
                <w:iCs/>
                <w:sz w:val="20"/>
                <w:szCs w:val="20"/>
              </w:rPr>
            </w:pPr>
          </w:p>
          <w:p w14:paraId="59F3D2B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After completing 24-weeks of treatment with PBS-subsidised etanercept, a patient is eligible for re-treatment with etanercept within 12 months (Initial 4) due to a disease flare with psoriasis affecting the whole body if:</w:t>
            </w:r>
          </w:p>
          <w:p w14:paraId="79E7295D" w14:textId="77777777" w:rsidR="00852466" w:rsidRPr="00116AFD" w:rsidRDefault="00852466">
            <w:pPr>
              <w:rPr>
                <w:rFonts w:ascii="Arial Narrow" w:hAnsi="Arial Narrow"/>
                <w:i/>
                <w:iCs/>
                <w:sz w:val="20"/>
                <w:szCs w:val="20"/>
              </w:rPr>
            </w:pPr>
          </w:p>
          <w:p w14:paraId="342ADD2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there is at least a 50% change in the patients PASI score compared to the most recent response assessment following cessation of the most recent 24 weeks of PBS-subsidised etanercept; or</w:t>
            </w:r>
          </w:p>
          <w:p w14:paraId="6B73117C" w14:textId="77777777" w:rsidR="00852466" w:rsidRPr="00116AFD" w:rsidRDefault="00852466">
            <w:pPr>
              <w:rPr>
                <w:rFonts w:ascii="Arial Narrow" w:hAnsi="Arial Narrow"/>
                <w:i/>
                <w:iCs/>
                <w:sz w:val="20"/>
                <w:szCs w:val="20"/>
              </w:rPr>
            </w:pPr>
          </w:p>
          <w:p w14:paraId="3872A69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the patient has a current PASI score greater than 15</w:t>
            </w:r>
          </w:p>
          <w:p w14:paraId="216E32CC" w14:textId="77777777" w:rsidR="00852466" w:rsidRPr="00116AFD" w:rsidRDefault="00852466">
            <w:pPr>
              <w:rPr>
                <w:rFonts w:ascii="Arial Narrow" w:hAnsi="Arial Narrow"/>
                <w:i/>
                <w:iCs/>
                <w:sz w:val="20"/>
                <w:szCs w:val="20"/>
              </w:rPr>
            </w:pPr>
          </w:p>
          <w:p w14:paraId="1B9F6F3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Etanercept only:</w:t>
            </w:r>
          </w:p>
          <w:p w14:paraId="4E7A3FCF" w14:textId="77777777" w:rsidR="00852466" w:rsidRPr="00116AFD" w:rsidRDefault="00852466">
            <w:pPr>
              <w:rPr>
                <w:rFonts w:ascii="Arial Narrow" w:hAnsi="Arial Narrow"/>
                <w:i/>
                <w:iCs/>
                <w:sz w:val="20"/>
                <w:szCs w:val="20"/>
              </w:rPr>
            </w:pPr>
          </w:p>
          <w:p w14:paraId="42EED63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After completing 24-weeks of treatment with PBS-subsidised etanercept, a patient is eligible for re-treatment with etanercept (Initial 4) due to a disease flare with psoriasis affecting the face, hand or foot if:</w:t>
            </w:r>
          </w:p>
          <w:p w14:paraId="5F9C0884" w14:textId="77777777" w:rsidR="00852466" w:rsidRPr="00116AFD" w:rsidRDefault="00852466">
            <w:pPr>
              <w:rPr>
                <w:rFonts w:ascii="Arial Narrow" w:hAnsi="Arial Narrow"/>
                <w:i/>
                <w:iCs/>
                <w:sz w:val="20"/>
                <w:szCs w:val="20"/>
              </w:rPr>
            </w:pPr>
          </w:p>
          <w:p w14:paraId="7FFF8D4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(i) all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are rated moderate to severe; or</w:t>
            </w:r>
          </w:p>
          <w:p w14:paraId="09DD1C58" w14:textId="77777777" w:rsidR="00852466" w:rsidRPr="00116AFD" w:rsidRDefault="00852466">
            <w:pPr>
              <w:rPr>
                <w:rFonts w:ascii="Arial Narrow" w:hAnsi="Arial Narrow"/>
                <w:i/>
                <w:iCs/>
                <w:sz w:val="20"/>
                <w:szCs w:val="20"/>
              </w:rPr>
            </w:pPr>
          </w:p>
          <w:p w14:paraId="02950D3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(ii) 2 of the three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are rated severe to very severe; or</w:t>
            </w:r>
          </w:p>
          <w:p w14:paraId="2B281DF8" w14:textId="77777777" w:rsidR="00852466" w:rsidRPr="00116AFD" w:rsidRDefault="00852466">
            <w:pPr>
              <w:rPr>
                <w:rFonts w:ascii="Arial Narrow" w:hAnsi="Arial Narrow"/>
                <w:i/>
                <w:iCs/>
                <w:sz w:val="20"/>
                <w:szCs w:val="20"/>
              </w:rPr>
            </w:pPr>
          </w:p>
          <w:p w14:paraId="3D126EA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the affected area of skin has increased by at least 50% compared to that at the time of the last assessment following cessation of the most recent 24 weeks of PBS-subsidised etanercept; or</w:t>
            </w:r>
          </w:p>
          <w:p w14:paraId="072C49C0" w14:textId="77777777" w:rsidR="00852466" w:rsidRPr="00116AFD" w:rsidRDefault="00852466">
            <w:pPr>
              <w:rPr>
                <w:rFonts w:ascii="Arial Narrow" w:hAnsi="Arial Narrow"/>
                <w:i/>
                <w:iCs/>
                <w:sz w:val="20"/>
                <w:szCs w:val="20"/>
              </w:rPr>
            </w:pPr>
          </w:p>
          <w:p w14:paraId="491603F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(iv) the area affected is 30% or more of the face, palm of a hand or sole of a foot,</w:t>
            </w:r>
          </w:p>
          <w:p w14:paraId="6CA41EC8" w14:textId="77777777" w:rsidR="00852466" w:rsidRPr="00116AFD" w:rsidRDefault="00852466">
            <w:pPr>
              <w:rPr>
                <w:rFonts w:ascii="Arial Narrow" w:hAnsi="Arial Narrow"/>
                <w:i/>
                <w:iCs/>
                <w:sz w:val="20"/>
                <w:szCs w:val="20"/>
              </w:rPr>
            </w:pPr>
          </w:p>
          <w:p w14:paraId="6F3DD3F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Assessment of response to initial treatment.</w:t>
            </w:r>
          </w:p>
          <w:p w14:paraId="31FAA27F" w14:textId="77777777" w:rsidR="00852466" w:rsidRPr="00116AFD" w:rsidRDefault="00852466">
            <w:pPr>
              <w:rPr>
                <w:rFonts w:ascii="Arial Narrow" w:hAnsi="Arial Narrow"/>
                <w:i/>
                <w:iCs/>
                <w:sz w:val="20"/>
                <w:szCs w:val="20"/>
              </w:rPr>
            </w:pPr>
          </w:p>
          <w:p w14:paraId="7738B94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After prescribing initial treatment with a biological medicine, a PASI assessment must be conducted after at least 12 weeks of treatment. This assessment will be used to determine eligibility for continuing treatment and must be conducted within 8 weeks of the last administered dose.</w:t>
            </w:r>
          </w:p>
          <w:p w14:paraId="5628BC26" w14:textId="77777777" w:rsidR="00852466" w:rsidRPr="00116AFD" w:rsidRDefault="00852466">
            <w:pPr>
              <w:rPr>
                <w:rFonts w:ascii="Arial Narrow" w:hAnsi="Arial Narrow"/>
                <w:i/>
                <w:iCs/>
                <w:sz w:val="20"/>
                <w:szCs w:val="20"/>
              </w:rPr>
            </w:pPr>
          </w:p>
          <w:p w14:paraId="73C6D23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PASI assessment for continuing treatment must be performed on the same affected area as assessed at baseline.</w:t>
            </w:r>
          </w:p>
          <w:p w14:paraId="2D7CAFED" w14:textId="77777777" w:rsidR="00852466" w:rsidRPr="00116AFD" w:rsidRDefault="00852466">
            <w:pPr>
              <w:rPr>
                <w:rFonts w:ascii="Arial Narrow" w:hAnsi="Arial Narrow"/>
                <w:i/>
                <w:iCs/>
                <w:sz w:val="20"/>
                <w:szCs w:val="20"/>
              </w:rPr>
            </w:pPr>
          </w:p>
          <w:p w14:paraId="2375E67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Adalimumab and Ustekinumab only:</w:t>
            </w:r>
          </w:p>
          <w:p w14:paraId="7D168AF6" w14:textId="77777777" w:rsidR="00852466" w:rsidRPr="00116AFD" w:rsidRDefault="00852466">
            <w:pPr>
              <w:rPr>
                <w:rFonts w:ascii="Arial Narrow" w:hAnsi="Arial Narrow"/>
                <w:i/>
                <w:iCs/>
                <w:sz w:val="20"/>
                <w:szCs w:val="20"/>
              </w:rPr>
            </w:pPr>
          </w:p>
          <w:p w14:paraId="64DE009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To avoid an interruption of supply for First continuing treatment, the assessment should be submitted no later than 2 weeks prior to when the next dose (under the new authority application) is due, unless the patient is currently on a treatment break.</w:t>
            </w:r>
          </w:p>
          <w:p w14:paraId="33CA93FA" w14:textId="77777777" w:rsidR="00852466" w:rsidRPr="00116AFD" w:rsidRDefault="00852466">
            <w:pPr>
              <w:rPr>
                <w:rFonts w:ascii="Arial Narrow" w:hAnsi="Arial Narrow"/>
                <w:i/>
                <w:iCs/>
                <w:sz w:val="20"/>
                <w:szCs w:val="20"/>
              </w:rPr>
            </w:pPr>
          </w:p>
          <w:p w14:paraId="7D9BAAD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(3) Continuing treatment</w:t>
            </w:r>
          </w:p>
          <w:p w14:paraId="57F6162E" w14:textId="77777777" w:rsidR="00852466" w:rsidRPr="00116AFD" w:rsidRDefault="00852466">
            <w:pPr>
              <w:rPr>
                <w:rFonts w:ascii="Arial Narrow" w:hAnsi="Arial Narrow"/>
                <w:i/>
                <w:iCs/>
                <w:sz w:val="20"/>
                <w:szCs w:val="20"/>
              </w:rPr>
            </w:pPr>
          </w:p>
          <w:p w14:paraId="16BDCA5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Etanercept only:</w:t>
            </w:r>
          </w:p>
          <w:p w14:paraId="0A08271A" w14:textId="77777777" w:rsidR="00852466" w:rsidRPr="00116AFD" w:rsidRDefault="00852466">
            <w:pPr>
              <w:rPr>
                <w:rFonts w:ascii="Arial Narrow" w:hAnsi="Arial Narrow"/>
                <w:i/>
                <w:iCs/>
                <w:sz w:val="20"/>
                <w:szCs w:val="20"/>
              </w:rPr>
            </w:pPr>
          </w:p>
          <w:p w14:paraId="75D0CC7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Following the completion of an initial 16-week treatment course with etanercept, a patient may receive a further 8 weeks of treatment (under the 'Completion of course' treatment phase) to complete a 24-week treatment course, providing they have demonstrated an adequate response to treatment to the initial supply.</w:t>
            </w:r>
          </w:p>
          <w:p w14:paraId="6640B7A9" w14:textId="77777777" w:rsidR="00852466" w:rsidRPr="00116AFD" w:rsidRDefault="00852466">
            <w:pPr>
              <w:rPr>
                <w:rFonts w:ascii="Arial Narrow" w:hAnsi="Arial Narrow"/>
                <w:i/>
                <w:iCs/>
                <w:sz w:val="20"/>
                <w:szCs w:val="20"/>
              </w:rPr>
            </w:pPr>
          </w:p>
          <w:p w14:paraId="5BD2C4B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must be assessed for response to a course of continuing therapy, and the assessment must be documented in the patient's medical records. Where a response assessment is not conducted, the patient will be deemed to have failed to respond to treatment with that biological medicine, unless the patient has experienced a serious adverse reaction of a severity resulting in the necessity for permanent withdrawal of treatment.</w:t>
            </w:r>
          </w:p>
          <w:p w14:paraId="3FD12653" w14:textId="77777777" w:rsidR="00852466" w:rsidRPr="00116AFD" w:rsidRDefault="00852466">
            <w:pPr>
              <w:rPr>
                <w:rFonts w:ascii="Arial Narrow" w:hAnsi="Arial Narrow"/>
                <w:i/>
                <w:iCs/>
                <w:sz w:val="20"/>
                <w:szCs w:val="20"/>
              </w:rPr>
            </w:pPr>
          </w:p>
          <w:p w14:paraId="55B81E6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Adalimumab and Ustekinumab only:</w:t>
            </w:r>
          </w:p>
          <w:p w14:paraId="137471D4" w14:textId="77777777" w:rsidR="00852466" w:rsidRPr="00116AFD" w:rsidRDefault="00852466">
            <w:pPr>
              <w:rPr>
                <w:rFonts w:ascii="Arial Narrow" w:hAnsi="Arial Narrow"/>
                <w:i/>
                <w:iCs/>
                <w:sz w:val="20"/>
                <w:szCs w:val="20"/>
              </w:rPr>
            </w:pPr>
          </w:p>
          <w:p w14:paraId="753F7BE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Following the completion of an initial </w:t>
            </w:r>
            <w:r w:rsidRPr="00116AFD">
              <w:rPr>
                <w:rFonts w:ascii="Arial Narrow" w:hAnsi="Arial Narrow"/>
                <w:i/>
                <w:iCs/>
                <w:strike/>
                <w:sz w:val="20"/>
                <w:szCs w:val="20"/>
              </w:rPr>
              <w:t>28-week</w:t>
            </w:r>
            <w:r w:rsidRPr="00116AFD">
              <w:rPr>
                <w:rFonts w:ascii="Arial Narrow" w:hAnsi="Arial Narrow"/>
                <w:i/>
                <w:iCs/>
                <w:sz w:val="20"/>
                <w:szCs w:val="20"/>
              </w:rPr>
              <w:t xml:space="preserve"> treatment course with a specific biological medicine, a patient may qualify to receive up to 24 weeks per continuing treatment course under the First continuing with that drug provided they demonstrate an adequate response to treatment. The patient remains eligible to receive continuing treatment in courses of up to 24 weeks under the Subsequent continuing treatment restriction with that drug provided they continue to sustain the response. It is recommended that a patient be reviewed 4 weeks prior to when their next dose (under a new authority application) is due to ensure uninterrupted supply, but no later than 8 weeks after the date of the last administered dose.</w:t>
            </w:r>
          </w:p>
          <w:p w14:paraId="1F811500" w14:textId="77777777" w:rsidR="00852466" w:rsidRPr="00116AFD" w:rsidRDefault="00852466">
            <w:pPr>
              <w:rPr>
                <w:rFonts w:ascii="Arial Narrow" w:hAnsi="Arial Narrow"/>
                <w:i/>
                <w:iCs/>
                <w:sz w:val="20"/>
                <w:szCs w:val="20"/>
              </w:rPr>
            </w:pPr>
          </w:p>
          <w:p w14:paraId="360F70F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096CECDA" w14:textId="77777777" w:rsidR="00852466" w:rsidRPr="00116AFD" w:rsidRDefault="00852466">
            <w:pPr>
              <w:rPr>
                <w:rFonts w:ascii="Arial Narrow" w:hAnsi="Arial Narrow"/>
                <w:i/>
                <w:iCs/>
                <w:sz w:val="20"/>
                <w:szCs w:val="20"/>
              </w:rPr>
            </w:pPr>
          </w:p>
          <w:p w14:paraId="32C7211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(4) Swapping therapy.</w:t>
            </w:r>
          </w:p>
          <w:p w14:paraId="1C4E3F09" w14:textId="77777777" w:rsidR="00852466" w:rsidRPr="00116AFD" w:rsidRDefault="00852466">
            <w:pPr>
              <w:rPr>
                <w:rFonts w:ascii="Arial Narrow" w:hAnsi="Arial Narrow"/>
                <w:i/>
                <w:iCs/>
                <w:sz w:val="20"/>
                <w:szCs w:val="20"/>
              </w:rPr>
            </w:pPr>
          </w:p>
          <w:p w14:paraId="00D50C8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Once initial treatment with the first PBS-subsidised biological medicine is prescribed, a patient may swap to an alternate biological medicine without having to requalify with respect to the prior non-biological therapy requirements. If the patient has had a break in therapy of more than 5 years, the indices of disease severity need to be met, but a re-trial of non-biological therapy is not required.</w:t>
            </w:r>
          </w:p>
          <w:p w14:paraId="084E1267" w14:textId="77777777" w:rsidR="00852466" w:rsidRPr="00116AFD" w:rsidRDefault="00852466">
            <w:pPr>
              <w:rPr>
                <w:rFonts w:ascii="Arial Narrow" w:hAnsi="Arial Narrow"/>
                <w:i/>
                <w:iCs/>
                <w:sz w:val="20"/>
                <w:szCs w:val="20"/>
              </w:rPr>
            </w:pPr>
          </w:p>
          <w:p w14:paraId="3624A2D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patient who </w:t>
            </w:r>
            <w:proofErr w:type="gramStart"/>
            <w:r w:rsidRPr="00116AFD">
              <w:rPr>
                <w:rFonts w:ascii="Arial Narrow" w:hAnsi="Arial Narrow"/>
                <w:i/>
                <w:iCs/>
                <w:sz w:val="20"/>
                <w:szCs w:val="20"/>
              </w:rPr>
              <w:t>is not able to</w:t>
            </w:r>
            <w:proofErr w:type="gramEnd"/>
            <w:r w:rsidRPr="00116AFD">
              <w:rPr>
                <w:rFonts w:ascii="Arial Narrow" w:hAnsi="Arial Narrow"/>
                <w:i/>
                <w:iCs/>
                <w:sz w:val="20"/>
                <w:szCs w:val="20"/>
              </w:rPr>
              <w:t xml:space="preserve">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36887BB2" w14:textId="77777777" w:rsidR="00852466" w:rsidRPr="00116AFD" w:rsidRDefault="00852466">
            <w:pPr>
              <w:rPr>
                <w:rFonts w:ascii="Arial Narrow" w:hAnsi="Arial Narrow"/>
                <w:i/>
                <w:iCs/>
                <w:sz w:val="20"/>
                <w:szCs w:val="20"/>
              </w:rPr>
            </w:pPr>
          </w:p>
          <w:p w14:paraId="2CFE2C7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that biological medicine more than once within the same treatment cycle or have failed to respond to biological medicines, as an aggregate, on 3 occasions within the same treatment cycle.</w:t>
            </w:r>
          </w:p>
          <w:p w14:paraId="2DFB972F" w14:textId="77777777" w:rsidR="00852466" w:rsidRPr="00116AFD" w:rsidRDefault="00852466">
            <w:pPr>
              <w:rPr>
                <w:rFonts w:ascii="Arial Narrow" w:hAnsi="Arial Narrow"/>
                <w:i/>
                <w:iCs/>
                <w:sz w:val="20"/>
                <w:szCs w:val="20"/>
              </w:rPr>
            </w:pPr>
          </w:p>
          <w:p w14:paraId="27E3BF6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To ensure patients receive the maximum treatment opportunities allowed under these arrangements, it is important that they are assessed for response to every course of treatment.</w:t>
            </w:r>
          </w:p>
          <w:p w14:paraId="67322695" w14:textId="77777777" w:rsidR="00852466" w:rsidRPr="00116AFD" w:rsidRDefault="00852466">
            <w:pPr>
              <w:rPr>
                <w:rFonts w:ascii="Arial Narrow" w:hAnsi="Arial Narrow"/>
                <w:i/>
                <w:iCs/>
                <w:sz w:val="20"/>
                <w:szCs w:val="20"/>
              </w:rPr>
            </w:pPr>
          </w:p>
          <w:p w14:paraId="09FF185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(5) Baseline measurements to determine response.</w:t>
            </w:r>
          </w:p>
          <w:p w14:paraId="1A5699C1" w14:textId="77777777" w:rsidR="00852466" w:rsidRPr="00116AFD" w:rsidRDefault="00852466">
            <w:pPr>
              <w:rPr>
                <w:rFonts w:ascii="Arial Narrow" w:hAnsi="Arial Narrow"/>
                <w:i/>
                <w:iCs/>
                <w:sz w:val="20"/>
                <w:szCs w:val="20"/>
              </w:rPr>
            </w:pPr>
          </w:p>
          <w:p w14:paraId="07553F2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response to treatment must be demonstrated based on the baseline PASI assessment provided with the first authority application for a biological medicine. However, prescribers may provide new baseline PASI assessments any time that an initial or change or recommencement treatment application is provided within a treatment cycle and this revised baseline PASI score will be used to assess the patient's response to the PBS-subsidised treatment. Where a patient is changing from treatment with etanercept to adalimumab or ustekinumab the prescriber must provide a baseline PASI measurement, as well as a PASI score demonstrating a response to treatment.</w:t>
            </w:r>
          </w:p>
          <w:p w14:paraId="6C64A44A" w14:textId="77777777" w:rsidR="00852466" w:rsidRPr="00116AFD" w:rsidRDefault="00852466">
            <w:pPr>
              <w:rPr>
                <w:rFonts w:ascii="Arial Narrow" w:hAnsi="Arial Narrow"/>
                <w:i/>
                <w:iCs/>
                <w:sz w:val="20"/>
                <w:szCs w:val="20"/>
              </w:rPr>
            </w:pPr>
          </w:p>
          <w:p w14:paraId="6BFFA50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To ensure consistency in determining response, the same body area assessed at the baseline PASI assessment must be assessed for demonstration of response to treatment for the purposes of all continuing treatments.</w:t>
            </w:r>
          </w:p>
          <w:p w14:paraId="496A674A" w14:textId="77777777" w:rsidR="00852466" w:rsidRPr="00116AFD" w:rsidRDefault="00852466">
            <w:pPr>
              <w:rPr>
                <w:rFonts w:ascii="Arial Narrow" w:hAnsi="Arial Narrow"/>
                <w:i/>
                <w:iCs/>
                <w:sz w:val="20"/>
                <w:szCs w:val="20"/>
              </w:rPr>
            </w:pPr>
          </w:p>
          <w:p w14:paraId="12095DD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(6A) Recommencement of treatment after a break of less than 5 years in PBS-subsidised therapy (all drugs except etanercept).</w:t>
            </w:r>
          </w:p>
          <w:p w14:paraId="0C611643" w14:textId="77777777" w:rsidR="00852466" w:rsidRPr="00116AFD" w:rsidRDefault="00852466">
            <w:pPr>
              <w:rPr>
                <w:rFonts w:ascii="Arial Narrow" w:hAnsi="Arial Narrow"/>
                <w:i/>
                <w:iCs/>
                <w:sz w:val="20"/>
                <w:szCs w:val="20"/>
              </w:rPr>
            </w:pPr>
          </w:p>
          <w:p w14:paraId="039FBB1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who wishes to resume treatment following a break in PBS-subsidised therapy of less than 5 years must resume under the 'Initial 2' treatment phase. The most recent PASI assessment demonstrating disease flare must be no more than 4 weeks old at the time of application.</w:t>
            </w:r>
          </w:p>
          <w:p w14:paraId="21D853E5" w14:textId="77777777" w:rsidR="00852466" w:rsidRPr="00116AFD" w:rsidRDefault="00852466">
            <w:pPr>
              <w:rPr>
                <w:rFonts w:ascii="Arial Narrow" w:hAnsi="Arial Narrow"/>
                <w:i/>
                <w:iCs/>
                <w:sz w:val="20"/>
                <w:szCs w:val="20"/>
              </w:rPr>
            </w:pPr>
          </w:p>
          <w:p w14:paraId="03172E1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(6B) Re-treatment (etanercept only)</w:t>
            </w:r>
          </w:p>
          <w:p w14:paraId="2B4F0CA8" w14:textId="77777777" w:rsidR="00852466" w:rsidRPr="00116AFD" w:rsidRDefault="00852466">
            <w:pPr>
              <w:rPr>
                <w:rFonts w:ascii="Arial Narrow" w:hAnsi="Arial Narrow"/>
                <w:i/>
                <w:iCs/>
                <w:sz w:val="20"/>
                <w:szCs w:val="20"/>
              </w:rPr>
            </w:pPr>
          </w:p>
          <w:p w14:paraId="12A551A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may be re-treated, in certain circumstances, with etanercept after completing a 24-week treatment course under the 'Initial 4' treatment phase.</w:t>
            </w:r>
          </w:p>
          <w:p w14:paraId="6B39CB6E" w14:textId="77777777" w:rsidR="00852466" w:rsidRPr="00116AFD" w:rsidRDefault="00852466">
            <w:pPr>
              <w:rPr>
                <w:rFonts w:ascii="Arial Narrow" w:hAnsi="Arial Narrow"/>
                <w:i/>
                <w:iCs/>
                <w:sz w:val="20"/>
                <w:szCs w:val="20"/>
              </w:rPr>
            </w:pPr>
          </w:p>
          <w:p w14:paraId="233E266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(7) Recommencement of treatment after a 5-year break in PBS-subsidised therapy.</w:t>
            </w:r>
          </w:p>
          <w:p w14:paraId="22544FE8" w14:textId="77777777" w:rsidR="00852466" w:rsidRPr="00116AFD" w:rsidRDefault="00852466">
            <w:pPr>
              <w:rPr>
                <w:rFonts w:ascii="Arial Narrow" w:hAnsi="Arial Narrow"/>
                <w:i/>
                <w:iCs/>
                <w:sz w:val="20"/>
                <w:szCs w:val="20"/>
              </w:rPr>
            </w:pPr>
          </w:p>
          <w:p w14:paraId="178A2EE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patient who wishes to undertake a new treatment cycle following a break in PBS-subsidised biological therapy of at least 5 years, must qualify under an 'Initial 3' treatment phase.</w:t>
            </w:r>
          </w:p>
        </w:tc>
      </w:tr>
      <w:tr w:rsidR="00116AFD" w:rsidRPr="00116AFD" w14:paraId="4892DC8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34C0192E" w14:textId="77777777" w:rsidR="00852466" w:rsidRPr="00116AFD" w:rsidRDefault="00852466">
            <w:pPr>
              <w:rPr>
                <w:rFonts w:ascii="Arial Narrow" w:hAnsi="Arial Narrow"/>
                <w:i/>
                <w:iCs/>
                <w:sz w:val="20"/>
                <w:szCs w:val="20"/>
              </w:rPr>
            </w:pPr>
          </w:p>
        </w:tc>
      </w:tr>
      <w:tr w:rsidR="00116AFD" w:rsidRPr="00116AFD" w14:paraId="7F80627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5238A6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number of repeats may be authorised.</w:t>
            </w:r>
          </w:p>
        </w:tc>
      </w:tr>
      <w:tr w:rsidR="00116AFD" w:rsidRPr="00116AFD" w14:paraId="7ED5B41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B4E1DA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quantity or number of units may be authorised.</w:t>
            </w:r>
          </w:p>
        </w:tc>
      </w:tr>
      <w:tr w:rsidR="00116AFD" w:rsidRPr="00116AFD" w14:paraId="040A338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76AB763" w14:textId="77777777" w:rsidR="00852466" w:rsidRPr="00116AFD" w:rsidRDefault="00852466">
            <w:pPr>
              <w:rPr>
                <w:rFonts w:ascii="Arial Narrow" w:hAnsi="Arial Narrow"/>
                <w:i/>
                <w:iCs/>
                <w:sz w:val="20"/>
                <w:szCs w:val="20"/>
              </w:rPr>
            </w:pPr>
          </w:p>
        </w:tc>
      </w:tr>
      <w:tr w:rsidR="00116AFD" w:rsidRPr="00116AFD" w14:paraId="425CA60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666638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p>
          <w:p w14:paraId="710439E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Any queries concerning the arrangements to prescribe may be directed to Services Australia on 1800 700 270 (hours of operation 8 a.m. to 5 p.m. Monday to Friday).</w:t>
            </w:r>
          </w:p>
          <w:p w14:paraId="4A2F5925" w14:textId="77777777" w:rsidR="00852466" w:rsidRPr="00116AFD" w:rsidRDefault="00852466">
            <w:pPr>
              <w:rPr>
                <w:rFonts w:ascii="Arial Narrow" w:hAnsi="Arial Narrow"/>
                <w:i/>
                <w:iCs/>
                <w:sz w:val="20"/>
                <w:szCs w:val="20"/>
              </w:rPr>
            </w:pPr>
          </w:p>
          <w:p w14:paraId="157BB9A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468F2EDD" w14:textId="77777777" w:rsidR="00852466" w:rsidRPr="00116AFD" w:rsidRDefault="00852466">
            <w:pPr>
              <w:rPr>
                <w:rFonts w:ascii="Arial Narrow" w:hAnsi="Arial Narrow"/>
                <w:i/>
                <w:iCs/>
                <w:sz w:val="20"/>
                <w:szCs w:val="20"/>
              </w:rPr>
            </w:pPr>
          </w:p>
          <w:p w14:paraId="7E05A84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3A159D63" w14:textId="77777777" w:rsidR="00852466" w:rsidRPr="00116AFD" w:rsidRDefault="00852466">
            <w:pPr>
              <w:rPr>
                <w:rFonts w:ascii="Arial Narrow" w:hAnsi="Arial Narrow"/>
                <w:i/>
                <w:iCs/>
                <w:sz w:val="20"/>
                <w:szCs w:val="20"/>
              </w:rPr>
            </w:pPr>
          </w:p>
          <w:p w14:paraId="6A43A08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Or mailed to:</w:t>
            </w:r>
          </w:p>
          <w:p w14:paraId="3F72326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Services Australia</w:t>
            </w:r>
          </w:p>
          <w:p w14:paraId="1B04B80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Complex Drugs</w:t>
            </w:r>
          </w:p>
          <w:p w14:paraId="1F1545E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Reply Paid 9826</w:t>
            </w:r>
          </w:p>
          <w:p w14:paraId="0E287D54"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HOBART TAS 7001</w:t>
            </w:r>
          </w:p>
        </w:tc>
      </w:tr>
      <w:tr w:rsidR="00116AFD" w:rsidRPr="00116AFD" w14:paraId="5CAF0D38"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775A4251" w14:textId="77777777" w:rsidR="00852466" w:rsidRPr="00116AFD" w:rsidRDefault="00852466">
            <w:pPr>
              <w:keepLines/>
              <w:rPr>
                <w:rFonts w:ascii="Arial Narrow" w:hAnsi="Arial Narrow"/>
                <w:i/>
                <w:iCs/>
                <w:sz w:val="20"/>
                <w:szCs w:val="20"/>
              </w:rPr>
            </w:pPr>
            <w:r w:rsidRPr="00116AFD">
              <w:rPr>
                <w:rFonts w:ascii="Arial Narrow" w:hAnsi="Arial Narrow"/>
                <w:b/>
                <w:bCs/>
                <w:i/>
                <w:iCs/>
                <w:sz w:val="20"/>
                <w:szCs w:val="20"/>
              </w:rPr>
              <w:t>Indication:</w:t>
            </w:r>
            <w:r w:rsidRPr="00116AFD">
              <w:rPr>
                <w:rFonts w:ascii="Arial Narrow" w:hAnsi="Arial Narrow"/>
                <w:i/>
                <w:iCs/>
                <w:sz w:val="20"/>
                <w:szCs w:val="20"/>
              </w:rPr>
              <w:t xml:space="preserve"> Severe chronic plaque psoriasis </w:t>
            </w:r>
          </w:p>
        </w:tc>
      </w:tr>
      <w:tr w:rsidR="00116AFD" w:rsidRPr="00116AFD" w14:paraId="4E15173A"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429AF77C"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Initial treatment (Whole body) - biological medicine-naive patient</w:t>
            </w:r>
          </w:p>
        </w:tc>
      </w:tr>
      <w:tr w:rsidR="00116AFD" w:rsidRPr="00116AFD" w14:paraId="313F085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A28FB5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66E45B2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A2F628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Must be treated by a dermatologist </w:t>
            </w:r>
          </w:p>
        </w:tc>
      </w:tr>
      <w:tr w:rsidR="00116AFD" w:rsidRPr="00116AFD" w14:paraId="6DACA8F4" w14:textId="77777777" w:rsidTr="00116AFD">
        <w:tblPrEx>
          <w:tblCellMar>
            <w:top w:w="15" w:type="dxa"/>
            <w:bottom w:w="15" w:type="dxa"/>
          </w:tblCellMar>
        </w:tblPrEx>
        <w:trPr>
          <w:trHeight w:val="20"/>
        </w:trPr>
        <w:tc>
          <w:tcPr>
            <w:tcW w:w="9001" w:type="dxa"/>
            <w:gridSpan w:val="6"/>
            <w:vAlign w:val="center"/>
            <w:hideMark/>
          </w:tcPr>
          <w:p w14:paraId="61895C74"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116AFD" w:rsidRPr="00116AFD" w14:paraId="3F41209A" w14:textId="77777777" w:rsidTr="00116AFD">
        <w:tblPrEx>
          <w:tblCellMar>
            <w:top w:w="15" w:type="dxa"/>
            <w:bottom w:w="15" w:type="dxa"/>
          </w:tblCellMar>
        </w:tblPrEx>
        <w:trPr>
          <w:trHeight w:val="20"/>
        </w:trPr>
        <w:tc>
          <w:tcPr>
            <w:tcW w:w="9001" w:type="dxa"/>
            <w:gridSpan w:val="6"/>
            <w:vAlign w:val="center"/>
            <w:hideMark/>
          </w:tcPr>
          <w:p w14:paraId="13DA782D"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Patient must have severe chronic plaque psoriasis where lesions have been present for at least 6 months from the time of initial diagnosis</w:t>
            </w:r>
          </w:p>
        </w:tc>
      </w:tr>
      <w:tr w:rsidR="00116AFD" w:rsidRPr="00116AFD" w14:paraId="6B30C94D" w14:textId="77777777" w:rsidTr="00116AFD">
        <w:tblPrEx>
          <w:tblCellMar>
            <w:top w:w="15" w:type="dxa"/>
            <w:bottom w:w="15" w:type="dxa"/>
          </w:tblCellMar>
        </w:tblPrEx>
        <w:trPr>
          <w:trHeight w:val="20"/>
        </w:trPr>
        <w:tc>
          <w:tcPr>
            <w:tcW w:w="9001" w:type="dxa"/>
            <w:gridSpan w:val="6"/>
            <w:vAlign w:val="center"/>
            <w:hideMark/>
          </w:tcPr>
          <w:p w14:paraId="408C8E02"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AND</w:t>
            </w:r>
          </w:p>
        </w:tc>
      </w:tr>
      <w:tr w:rsidR="00116AFD" w:rsidRPr="00116AFD" w14:paraId="3A40F92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49A7825D"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Clinical criteria:</w:t>
            </w:r>
          </w:p>
        </w:tc>
      </w:tr>
      <w:tr w:rsidR="00116AFD" w:rsidRPr="00116AFD" w14:paraId="186B9CCF"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69A274E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received PBS-subsidised treatment with a biological medicine for this condition</w:t>
            </w:r>
          </w:p>
        </w:tc>
      </w:tr>
      <w:tr w:rsidR="00116AFD" w:rsidRPr="00116AFD" w14:paraId="7BE7DCA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36B715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AND </w:t>
            </w:r>
          </w:p>
        </w:tc>
      </w:tr>
      <w:tr w:rsidR="00116AFD" w:rsidRPr="00116AFD" w14:paraId="41E82D31"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909394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279D6ED2"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31A921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2D621A73" w14:textId="77777777" w:rsidR="00852466" w:rsidRPr="00116AFD" w:rsidRDefault="00852466">
            <w:pPr>
              <w:rPr>
                <w:rFonts w:ascii="Arial Narrow" w:hAnsi="Arial Narrow"/>
                <w:i/>
                <w:iCs/>
                <w:sz w:val="20"/>
                <w:szCs w:val="20"/>
              </w:rPr>
            </w:pPr>
          </w:p>
        </w:tc>
      </w:tr>
      <w:tr w:rsidR="00116AFD" w:rsidRPr="00116AFD" w14:paraId="70ED3C6A"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DB12BE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in combination with methotrexate,</w:t>
            </w:r>
          </w:p>
        </w:tc>
      </w:tr>
      <w:tr w:rsidR="00116AFD" w:rsidRPr="00116AFD" w14:paraId="4ECE4FC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58339B01"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116AFD" w:rsidRPr="00116AFD" w14:paraId="14496FD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BD84E8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0E279F1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053E93C"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w:t>
            </w:r>
          </w:p>
        </w:tc>
      </w:tr>
      <w:tr w:rsidR="00116AFD" w:rsidRPr="00116AFD" w14:paraId="6CFD058F"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10F8F6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2899A28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1CB200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70EAEB3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8FC44D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receive more than 17 weeks of treatment under this restriction</w:t>
            </w:r>
          </w:p>
        </w:tc>
      </w:tr>
      <w:tr w:rsidR="00116AFD" w:rsidRPr="00116AFD" w14:paraId="7EA199EF"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hideMark/>
          </w:tcPr>
          <w:p w14:paraId="7F4E6C67"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Population criteria:</w:t>
            </w:r>
          </w:p>
        </w:tc>
      </w:tr>
      <w:tr w:rsidR="00116AFD" w:rsidRPr="00116AFD" w14:paraId="1C32F177" w14:textId="77777777" w:rsidTr="00116AFD">
        <w:tblPrEx>
          <w:tblCellMar>
            <w:top w:w="15" w:type="dxa"/>
            <w:bottom w:w="15" w:type="dxa"/>
          </w:tblCellMar>
        </w:tblPrEx>
        <w:trPr>
          <w:trHeight w:val="20"/>
        </w:trPr>
        <w:tc>
          <w:tcPr>
            <w:tcW w:w="9001" w:type="dxa"/>
            <w:gridSpan w:val="6"/>
            <w:vAlign w:val="center"/>
            <w:hideMark/>
          </w:tcPr>
          <w:p w14:paraId="189B6308"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 xml:space="preserve">Patient must be under 18 years of age </w:t>
            </w:r>
          </w:p>
        </w:tc>
      </w:tr>
      <w:tr w:rsidR="00116AFD" w:rsidRPr="00116AFD" w14:paraId="1A8EF09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966279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b/>
            </w:r>
          </w:p>
          <w:p w14:paraId="0F0A938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23CA14D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treatment with any of the above-mentioned drugs was contraindicated according to the relevant TGA-approved Product Information, or where phototherapy was contraindicated, details must be provided at the time of application.</w:t>
            </w:r>
          </w:p>
        </w:tc>
      </w:tr>
      <w:tr w:rsidR="00116AFD" w:rsidRPr="00116AFD" w14:paraId="53D69BE9" w14:textId="77777777" w:rsidTr="00116AFD">
        <w:tblPrEx>
          <w:tblCellMar>
            <w:top w:w="15" w:type="dxa"/>
            <w:bottom w:w="15" w:type="dxa"/>
          </w:tblCellMar>
        </w:tblPrEx>
        <w:trPr>
          <w:trHeight w:val="20"/>
        </w:trPr>
        <w:tc>
          <w:tcPr>
            <w:tcW w:w="9001" w:type="dxa"/>
            <w:gridSpan w:val="6"/>
            <w:vAlign w:val="center"/>
            <w:hideMark/>
          </w:tcPr>
          <w:p w14:paraId="78B0EBA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364D703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intolerance to phototherapy, methotrexate and/or acitretin developed during the relevant period of use, which was of a severity to necessitate permanent treatment withdrawal, details of the degree of this toxicity must be provided at the time of application</w:t>
            </w:r>
          </w:p>
        </w:tc>
      </w:tr>
      <w:tr w:rsidR="00116AFD" w:rsidRPr="00116AFD" w14:paraId="42E19BF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B2820B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7D7D16D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Details of the accepted toxicities including severity can be found on the Services Australia website.</w:t>
            </w:r>
          </w:p>
        </w:tc>
      </w:tr>
      <w:tr w:rsidR="00116AFD" w:rsidRPr="00116AFD" w14:paraId="08818AB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428D0D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0CE14D0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3A540B5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(1) a completed authority prescription form; and</w:t>
            </w:r>
          </w:p>
          <w:p w14:paraId="4543B24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 completed authority application form relevant to the indication and treatment phase (the latest version is located on the website specified in the Administrative Advice).</w:t>
            </w:r>
          </w:p>
          <w:p w14:paraId="511AB43E" w14:textId="77777777" w:rsidR="00852466" w:rsidRPr="00116AFD" w:rsidRDefault="00852466">
            <w:pPr>
              <w:rPr>
                <w:rFonts w:ascii="Arial Narrow" w:hAnsi="Arial Narrow"/>
                <w:b/>
                <w:bCs/>
                <w:i/>
                <w:iCs/>
                <w:sz w:val="20"/>
                <w:szCs w:val="20"/>
              </w:rPr>
            </w:pPr>
          </w:p>
        </w:tc>
      </w:tr>
      <w:tr w:rsidR="00116AFD" w:rsidRPr="00116AFD" w14:paraId="70797EB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CB2457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0E1F1982" w14:textId="77777777" w:rsidR="00852466" w:rsidRPr="00116AFD" w:rsidRDefault="00852466">
            <w:pPr>
              <w:rPr>
                <w:rFonts w:ascii="Arial Narrow" w:hAnsi="Arial Narrow"/>
                <w:b/>
                <w:bCs/>
                <w:i/>
                <w:iCs/>
                <w:sz w:val="20"/>
                <w:szCs w:val="20"/>
              </w:rPr>
            </w:pPr>
          </w:p>
          <w:p w14:paraId="5A2243B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following indicates failure to achieve an adequate response to prior phototherapy/methotrexate/acitretin therapy:</w:t>
            </w:r>
          </w:p>
          <w:p w14:paraId="6F8C220F" w14:textId="77777777" w:rsidR="00852466" w:rsidRPr="00116AFD" w:rsidRDefault="00852466">
            <w:pPr>
              <w:rPr>
                <w:rFonts w:ascii="Arial Narrow" w:hAnsi="Arial Narrow"/>
                <w:i/>
                <w:iCs/>
                <w:sz w:val="20"/>
                <w:szCs w:val="20"/>
              </w:rPr>
            </w:pPr>
          </w:p>
          <w:p w14:paraId="6E03993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A Psoriasis Area and Severity Index (PASI) score of greater than 15, as assessed, preferably when the patient was on treatment, but no longer than 4 weeks following cessation of the last pre-requisite therapy.</w:t>
            </w:r>
          </w:p>
          <w:p w14:paraId="1B192E31" w14:textId="77777777" w:rsidR="00852466" w:rsidRPr="00116AFD" w:rsidRDefault="00852466">
            <w:pPr>
              <w:rPr>
                <w:rFonts w:ascii="Arial Narrow" w:hAnsi="Arial Narrow"/>
                <w:i/>
                <w:iCs/>
                <w:sz w:val="20"/>
                <w:szCs w:val="20"/>
              </w:rPr>
            </w:pPr>
          </w:p>
          <w:p w14:paraId="300DE09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PASI assessment must have been completed for each pre-requisite treatment trialled, preferably when the patient was on treatment, but no longer than 4 weeks following cessation of that pre-requisite treatment. Provide in this authority application, and document in the patient's medical records, each of:</w:t>
            </w:r>
          </w:p>
          <w:p w14:paraId="1F6E1C69" w14:textId="77777777" w:rsidR="00852466" w:rsidRPr="00116AFD" w:rsidRDefault="00852466">
            <w:pPr>
              <w:rPr>
                <w:rFonts w:ascii="Arial Narrow" w:hAnsi="Arial Narrow"/>
                <w:i/>
                <w:iCs/>
                <w:sz w:val="20"/>
                <w:szCs w:val="20"/>
              </w:rPr>
            </w:pPr>
          </w:p>
          <w:p w14:paraId="5E449EE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the name of each prior therapy trialled that meets the above requirements - state at least 2;</w:t>
            </w:r>
          </w:p>
          <w:p w14:paraId="09916EBF" w14:textId="77777777" w:rsidR="00852466" w:rsidRPr="00116AFD" w:rsidRDefault="00852466">
            <w:pPr>
              <w:rPr>
                <w:rFonts w:ascii="Arial Narrow" w:hAnsi="Arial Narrow"/>
                <w:i/>
                <w:iCs/>
                <w:sz w:val="20"/>
                <w:szCs w:val="20"/>
              </w:rPr>
            </w:pPr>
          </w:p>
          <w:p w14:paraId="2B5252E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the date of commencement and cessation of each prior therapy trialled, as well as the dosage (for drug therapies);</w:t>
            </w:r>
          </w:p>
          <w:p w14:paraId="104346A1" w14:textId="77777777" w:rsidR="00852466" w:rsidRPr="00116AFD" w:rsidRDefault="00852466">
            <w:pPr>
              <w:rPr>
                <w:rFonts w:ascii="Arial Narrow" w:hAnsi="Arial Narrow"/>
                <w:i/>
                <w:iCs/>
                <w:sz w:val="20"/>
                <w:szCs w:val="20"/>
              </w:rPr>
            </w:pPr>
          </w:p>
          <w:p w14:paraId="7FF958B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the PASI score that followed each prior therapy trialled;</w:t>
            </w:r>
          </w:p>
          <w:p w14:paraId="1BCE4B17" w14:textId="77777777" w:rsidR="00852466" w:rsidRPr="00116AFD" w:rsidRDefault="00852466">
            <w:pPr>
              <w:rPr>
                <w:rFonts w:ascii="Arial Narrow" w:hAnsi="Arial Narrow"/>
                <w:i/>
                <w:iCs/>
                <w:sz w:val="20"/>
                <w:szCs w:val="20"/>
              </w:rPr>
            </w:pPr>
          </w:p>
          <w:p w14:paraId="542371B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(iv) the date the PASI scores were determined.</w:t>
            </w:r>
          </w:p>
          <w:p w14:paraId="6ECE7ACE" w14:textId="77777777" w:rsidR="00852466" w:rsidRPr="00116AFD" w:rsidRDefault="00852466">
            <w:pPr>
              <w:rPr>
                <w:rFonts w:ascii="Arial Narrow" w:hAnsi="Arial Narrow"/>
                <w:i/>
                <w:iCs/>
                <w:sz w:val="20"/>
                <w:szCs w:val="20"/>
              </w:rPr>
            </w:pPr>
          </w:p>
          <w:p w14:paraId="024A1E4F"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Provide a baseline PASI score to be referenced in any future authority applications that continue treatment. This PASI score may be any of: (i) a current PASI score, (ii) a PASI score present prior to, or, after a pre-requisite non-biological medicine.</w:t>
            </w:r>
          </w:p>
        </w:tc>
      </w:tr>
      <w:tr w:rsidR="00116AFD" w:rsidRPr="00116AFD" w14:paraId="70EE2F12"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FFEE6EE" w14:textId="77777777" w:rsidR="00852466" w:rsidRPr="00116AFD" w:rsidRDefault="00852466">
            <w:pPr>
              <w:rPr>
                <w:rFonts w:ascii="Arial Narrow" w:hAnsi="Arial Narrow"/>
                <w:i/>
                <w:iCs/>
                <w:sz w:val="20"/>
                <w:szCs w:val="20"/>
              </w:rPr>
            </w:pPr>
          </w:p>
        </w:tc>
      </w:tr>
      <w:tr w:rsidR="00116AFD" w:rsidRPr="00116AFD" w14:paraId="56587A4A"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C90B40E"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2706E23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B5856CE"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7166078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E215FD3"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116AFD" w:rsidRPr="00116AFD" w14:paraId="1CDDA14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23CAD9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116AFD" w:rsidRPr="00116AFD" w14:paraId="54F70EBC"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D80E5A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Initial 2 treatment (Whole body) - Change of treatment, </w:t>
            </w:r>
            <w:proofErr w:type="gramStart"/>
            <w:r w:rsidRPr="00116AFD">
              <w:rPr>
                <w:rFonts w:ascii="Arial Narrow" w:hAnsi="Arial Narrow"/>
                <w:i/>
                <w:iCs/>
                <w:sz w:val="20"/>
                <w:szCs w:val="20"/>
              </w:rPr>
              <w:t>or,</w:t>
            </w:r>
            <w:proofErr w:type="gramEnd"/>
            <w:r w:rsidRPr="00116AFD">
              <w:rPr>
                <w:rFonts w:ascii="Arial Narrow" w:hAnsi="Arial Narrow"/>
                <w:i/>
                <w:iCs/>
                <w:sz w:val="20"/>
                <w:szCs w:val="20"/>
              </w:rPr>
              <w:t xml:space="preserve"> recommencement of treatment after a break in biological medicine of less than 5 years</w:t>
            </w:r>
          </w:p>
        </w:tc>
      </w:tr>
      <w:tr w:rsidR="00116AFD" w:rsidRPr="00116AFD" w14:paraId="1D94B7BC"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4FD1ED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18AE679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D595F6A"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 xml:space="preserve">Must be treated by a dermatologist </w:t>
            </w:r>
          </w:p>
        </w:tc>
      </w:tr>
      <w:tr w:rsidR="00116AFD" w:rsidRPr="00116AFD" w14:paraId="2D841E0A"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5C8A58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391C5A4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0813D6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146B412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FBF22F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32AC3B49" w14:textId="77777777" w:rsidR="00852466" w:rsidRPr="00116AFD" w:rsidRDefault="00852466">
            <w:pPr>
              <w:rPr>
                <w:rFonts w:ascii="Arial Narrow" w:hAnsi="Arial Narrow"/>
                <w:b/>
                <w:bCs/>
                <w:i/>
                <w:iCs/>
                <w:sz w:val="20"/>
                <w:szCs w:val="20"/>
              </w:rPr>
            </w:pPr>
          </w:p>
        </w:tc>
      </w:tr>
      <w:tr w:rsidR="00116AFD" w:rsidRPr="00116AFD" w14:paraId="6B9C86BC"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1AF42A4"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The treatment must be in combination with methotrexate,</w:t>
            </w:r>
          </w:p>
        </w:tc>
      </w:tr>
      <w:tr w:rsidR="00116AFD" w:rsidRPr="00116AFD" w14:paraId="1ACC8522"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EE9CF8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57B60C42"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331C174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0AEC3CB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E01176A"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received prior PBS-subsidised treatment with a biological medicine for this condition in this treatment cycle.</w:t>
            </w:r>
          </w:p>
        </w:tc>
      </w:tr>
      <w:tr w:rsidR="00116AFD" w:rsidRPr="00116AFD" w14:paraId="521CBDEF"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3E2E29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6A349AE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33AF614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1755B2D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F27077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already failed, or ceased to respond to, PBS-subsidised treatment with this drug for this condition during the current treatment cycle</w:t>
            </w:r>
          </w:p>
        </w:tc>
      </w:tr>
      <w:tr w:rsidR="00116AFD" w:rsidRPr="00116AFD" w14:paraId="7862921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DBA1FCB"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116AFD" w:rsidRPr="00116AFD" w14:paraId="24E110D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88BC3B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338E4CC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94FC03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already failed, or ceased to respond to, PBS-subsidised treatment 3 times for this condition within this treatment cycle</w:t>
            </w:r>
          </w:p>
        </w:tc>
      </w:tr>
      <w:tr w:rsidR="00116AFD" w:rsidRPr="00116AFD" w14:paraId="1392BA1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5247B1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46FDFDE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EF98F5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7447CD01"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901C74E"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not receive more than 17 weeks of treatment under this restriction</w:t>
            </w:r>
          </w:p>
        </w:tc>
      </w:tr>
      <w:tr w:rsidR="00116AFD" w:rsidRPr="00116AFD" w14:paraId="2435103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1909F1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Population criteria:</w:t>
            </w:r>
          </w:p>
        </w:tc>
      </w:tr>
      <w:tr w:rsidR="00116AFD" w:rsidRPr="00116AFD" w14:paraId="05A9359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2BB474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be under 18 years of age</w:t>
            </w:r>
          </w:p>
        </w:tc>
      </w:tr>
      <w:tr w:rsidR="00116AFD" w:rsidRPr="00116AFD" w14:paraId="526113D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77A6B3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3E6FEE6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6719468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(1) a completed authority prescription form; and</w:t>
            </w:r>
          </w:p>
          <w:p w14:paraId="4FB448F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116AFD" w:rsidRPr="00116AFD" w14:paraId="5DFB72D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142D13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2B61B22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the patient is changing from treatment with etanercept a baseline PASI measurement must be provided with this authority application.</w:t>
            </w:r>
          </w:p>
        </w:tc>
      </w:tr>
      <w:tr w:rsidR="00116AFD" w:rsidRPr="00116AFD" w14:paraId="55200E3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2711CD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Prescribing Instructions:</w:t>
            </w:r>
          </w:p>
          <w:p w14:paraId="186D08B4" w14:textId="77777777" w:rsidR="00852466" w:rsidRPr="00116AFD" w:rsidRDefault="00852466">
            <w:pPr>
              <w:rPr>
                <w:rFonts w:ascii="Arial Narrow" w:hAnsi="Arial Narrow"/>
                <w:i/>
                <w:iCs/>
                <w:sz w:val="20"/>
                <w:szCs w:val="20"/>
              </w:rPr>
            </w:pPr>
          </w:p>
          <w:p w14:paraId="29F3A0A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Response to preceding supply:</w:t>
            </w:r>
          </w:p>
          <w:p w14:paraId="0266260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adequate response to treatment is defined as:</w:t>
            </w:r>
          </w:p>
          <w:p w14:paraId="23CD460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Psoriasis Area and Severity Index (PASI) </w:t>
            </w:r>
            <w:proofErr w:type="gramStart"/>
            <w:r w:rsidRPr="00116AFD">
              <w:rPr>
                <w:rFonts w:ascii="Arial Narrow" w:hAnsi="Arial Narrow"/>
                <w:i/>
                <w:iCs/>
                <w:sz w:val="20"/>
                <w:szCs w:val="20"/>
              </w:rPr>
              <w:t>score</w:t>
            </w:r>
            <w:proofErr w:type="gramEnd"/>
            <w:r w:rsidRPr="00116AFD">
              <w:rPr>
                <w:rFonts w:ascii="Arial Narrow" w:hAnsi="Arial Narrow"/>
                <w:i/>
                <w:iCs/>
                <w:sz w:val="20"/>
                <w:szCs w:val="20"/>
              </w:rPr>
              <w:t xml:space="preserve"> which is reduced by 75% or more, or is sustained at this level, when compared with the baseline value for this treatment cycle.</w:t>
            </w:r>
          </w:p>
          <w:p w14:paraId="1503C3C7" w14:textId="77777777" w:rsidR="00852466" w:rsidRPr="00116AFD" w:rsidRDefault="00852466">
            <w:pPr>
              <w:rPr>
                <w:rFonts w:ascii="Arial Narrow" w:hAnsi="Arial Narrow"/>
                <w:i/>
                <w:iCs/>
                <w:sz w:val="20"/>
                <w:szCs w:val="20"/>
              </w:rPr>
            </w:pPr>
          </w:p>
          <w:p w14:paraId="4C7A55E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Change in therapy:</w:t>
            </w:r>
          </w:p>
          <w:p w14:paraId="0C3D4F2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If the patient is changing therapy, in relation to the biological medicine that the patient is changing from, state whether the patient is changing therapy because:</w:t>
            </w:r>
          </w:p>
          <w:p w14:paraId="2711C69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there is an absence of an adequate response to that treatment; or</w:t>
            </w:r>
          </w:p>
          <w:p w14:paraId="6FFD20C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there was an intolerance to that treatment; or</w:t>
            </w:r>
          </w:p>
          <w:p w14:paraId="5CDFE89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there was an adequate response, but a change in treatment has been made for reasons other than the 2 mentioned above</w:t>
            </w:r>
          </w:p>
          <w:p w14:paraId="14EA7812" w14:textId="77777777" w:rsidR="00852466" w:rsidRPr="00116AFD" w:rsidRDefault="00852466">
            <w:pPr>
              <w:rPr>
                <w:rFonts w:ascii="Arial Narrow" w:hAnsi="Arial Narrow"/>
                <w:i/>
                <w:iCs/>
                <w:sz w:val="20"/>
                <w:szCs w:val="20"/>
              </w:rPr>
            </w:pPr>
          </w:p>
          <w:p w14:paraId="020CF92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Recommencing therapy:</w:t>
            </w:r>
          </w:p>
          <w:p w14:paraId="46BED98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If the patient is recommencing therapy, in relation to the last administered dose, state whether there was:</w:t>
            </w:r>
          </w:p>
          <w:p w14:paraId="22AC0F2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an absence of an adequate response; or</w:t>
            </w:r>
          </w:p>
          <w:p w14:paraId="3DCD0B8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an intolerance to that treatment; or</w:t>
            </w:r>
          </w:p>
          <w:p w14:paraId="7E3F154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an adequate response, but a break in therapy was necessary for reasons other than the 2 mentioned above.</w:t>
            </w:r>
          </w:p>
        </w:tc>
      </w:tr>
      <w:tr w:rsidR="00116AFD" w:rsidRPr="00116AFD" w14:paraId="3588412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9CE7AD8"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Prescribing Instructions:</w:t>
            </w:r>
          </w:p>
          <w:p w14:paraId="114B9E0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assessment of response to treatment and the reason for changing therapy must be provided in this application and documented in the patient's medical records.</w:t>
            </w:r>
          </w:p>
          <w:p w14:paraId="1CF9C85C" w14:textId="77777777" w:rsidR="00852466" w:rsidRPr="00116AFD" w:rsidRDefault="00852466">
            <w:pPr>
              <w:rPr>
                <w:rFonts w:ascii="Arial Narrow" w:hAnsi="Arial Narrow"/>
                <w:i/>
                <w:iCs/>
                <w:sz w:val="20"/>
                <w:szCs w:val="20"/>
              </w:rPr>
            </w:pPr>
          </w:p>
        </w:tc>
      </w:tr>
      <w:tr w:rsidR="00116AFD" w:rsidRPr="00116AFD" w14:paraId="4C43443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7380C78" w14:textId="77777777" w:rsidR="00852466" w:rsidRPr="00116AFD" w:rsidRDefault="00852466">
            <w:pPr>
              <w:rPr>
                <w:rFonts w:ascii="Arial Narrow" w:hAnsi="Arial Narrow"/>
                <w:i/>
                <w:iCs/>
                <w:sz w:val="20"/>
                <w:szCs w:val="20"/>
              </w:rPr>
            </w:pPr>
          </w:p>
        </w:tc>
      </w:tr>
      <w:tr w:rsidR="00116AFD" w:rsidRPr="00116AFD" w14:paraId="7DF0229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B9DC089"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39267D0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06B8DAB"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74D6E83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496B628"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116AFD" w:rsidRPr="00116AFD" w14:paraId="0864F335"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39724A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116AFD" w:rsidRPr="00116AFD" w14:paraId="6DDDF44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3D2ED1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Initial 3  (Whole body, or, face/hand/foot) - Recommencement of treatment after a break in biological medicine of more than 5 years</w:t>
            </w:r>
          </w:p>
        </w:tc>
      </w:tr>
      <w:tr w:rsidR="00116AFD" w:rsidRPr="00116AFD" w14:paraId="1BF491F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6F123B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26518334"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09103F5"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 xml:space="preserve">Must be treated by a dermatologist </w:t>
            </w:r>
          </w:p>
        </w:tc>
      </w:tr>
      <w:tr w:rsidR="00116AFD" w:rsidRPr="00116AFD" w14:paraId="028388F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0233A6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414ADA9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B290FA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7E32FD1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FB141B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received PBS-subsidised treatment with a biological medicine for this condition for at least 5 years, if they have previously received PBS-subsidised treatment with a biological medicine for this condition and wish to commence a new treatment cycle</w:t>
            </w:r>
          </w:p>
        </w:tc>
      </w:tr>
      <w:tr w:rsidR="00116AFD" w:rsidRPr="00116AFD" w14:paraId="606BBC9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524660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3E4A03AC"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02ECBB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7C012AA9"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387BAF4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condition must be affecting the whole body - all subsequent authority applications to this application will be made under treatment phases that feature the words “whole body”; or</w:t>
            </w:r>
          </w:p>
        </w:tc>
      </w:tr>
      <w:tr w:rsidR="00116AFD" w:rsidRPr="00116AFD" w14:paraId="345422A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3CE81B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condition must be limited to the face/hand/foot - all subsequent authority applications to this application will be made under treatment phases that feature the words “;face, hand, foot”</w:t>
            </w:r>
          </w:p>
        </w:tc>
      </w:tr>
      <w:tr w:rsidR="00116AFD" w:rsidRPr="00116AFD" w14:paraId="49BE7DA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AC319B9"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116AFD" w:rsidRPr="00116AFD" w14:paraId="4BDD3C2E"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BE6AF3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0A7C29A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15A911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a current Psoriasis Area and Severity Index (PASI) score of greater than 15; or</w:t>
            </w:r>
          </w:p>
        </w:tc>
      </w:tr>
      <w:tr w:rsidR="00116AFD" w:rsidRPr="00116AFD" w14:paraId="0656658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8566B1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The condition must be classified as severe due to a plaque or plaques on the face, palm of a hand or sole of a foot where: (i) at least 2 of the 3 Psoriasis Area and Severity Index (PASI) symptom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for erythema, thickness and scaling are rated as severe or very severe; or (ii) the skin area affected is 30% or more of the face, palm of a hand or sole of a foot</w:t>
            </w:r>
          </w:p>
        </w:tc>
      </w:tr>
      <w:tr w:rsidR="00116AFD" w:rsidRPr="00116AFD" w14:paraId="4EBE708D"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3B80941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000A1D8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7AF0B98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7D4069EA"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F1B816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tc>
      </w:tr>
      <w:tr w:rsidR="00116AFD" w:rsidRPr="00116AFD" w14:paraId="5B19FC80"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B2C3C8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in combination with methotrexate</w:t>
            </w:r>
          </w:p>
        </w:tc>
      </w:tr>
      <w:tr w:rsidR="00116AFD" w:rsidRPr="00116AFD" w14:paraId="7237359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EF899F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23FC9882"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B0F45F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Population criteria:</w:t>
            </w:r>
          </w:p>
        </w:tc>
      </w:tr>
      <w:tr w:rsidR="00116AFD" w:rsidRPr="00116AFD" w14:paraId="6684C787"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C73836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be under 18 years of age</w:t>
            </w:r>
          </w:p>
        </w:tc>
      </w:tr>
      <w:tr w:rsidR="00116AFD" w:rsidRPr="00116AFD" w14:paraId="6232DAC6"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EE7805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receive more than 17 weeks of treatment under this restriction</w:t>
            </w:r>
          </w:p>
        </w:tc>
      </w:tr>
      <w:tr w:rsidR="00116AFD" w:rsidRPr="00116AFD" w14:paraId="3619CAF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53FFC9F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16F452D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most recent PASI assessment must be no more than 4 weeks old at the time of application and must be documented in the patient's medical records.</w:t>
            </w:r>
          </w:p>
        </w:tc>
      </w:tr>
      <w:tr w:rsidR="00116AFD" w:rsidRPr="00116AFD" w14:paraId="57012FE1"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68CDBB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34D6083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120544A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(1) a completed authority prescription form; and</w:t>
            </w:r>
          </w:p>
          <w:p w14:paraId="6F27700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bl>
    <w:p w14:paraId="6396B044" w14:textId="77777777" w:rsidR="00852466" w:rsidRDefault="00852466" w:rsidP="00852466">
      <w:pPr>
        <w:rPr>
          <w:color w:val="00B0F0"/>
        </w:rPr>
      </w:pPr>
    </w:p>
    <w:p w14:paraId="26F4FF44" w14:textId="77777777" w:rsidR="00852466" w:rsidRDefault="00852466" w:rsidP="00852466">
      <w:pPr>
        <w:rPr>
          <w:color w:val="00B0F0"/>
        </w:rPr>
      </w:pPr>
    </w:p>
    <w:tbl>
      <w:tblPr>
        <w:tblW w:w="50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ronic plaque psoriasis (new listing)"/>
      </w:tblPr>
      <w:tblGrid>
        <w:gridCol w:w="3986"/>
        <w:gridCol w:w="887"/>
        <w:gridCol w:w="756"/>
        <w:gridCol w:w="821"/>
        <w:gridCol w:w="822"/>
        <w:gridCol w:w="1859"/>
        <w:gridCol w:w="6"/>
      </w:tblGrid>
      <w:tr w:rsidR="00116AFD" w:rsidRPr="00116AFD" w14:paraId="1ACF8480" w14:textId="77777777">
        <w:trPr>
          <w:gridAfter w:val="1"/>
          <w:wAfter w:w="6" w:type="dxa"/>
          <w:cantSplit/>
          <w:trHeight w:val="20"/>
        </w:trPr>
        <w:tc>
          <w:tcPr>
            <w:tcW w:w="3986" w:type="dxa"/>
            <w:vAlign w:val="center"/>
          </w:tcPr>
          <w:p w14:paraId="1FF19006"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MEDICINAL PRODUCT</w:t>
            </w:r>
          </w:p>
          <w:p w14:paraId="112EF220" w14:textId="77777777" w:rsidR="00852466" w:rsidRPr="00116AFD" w:rsidRDefault="00852466">
            <w:pPr>
              <w:keepLines/>
              <w:rPr>
                <w:rFonts w:ascii="Arial Narrow" w:hAnsi="Arial Narrow"/>
                <w:b/>
                <w:i/>
                <w:iCs/>
                <w:sz w:val="20"/>
                <w:szCs w:val="20"/>
              </w:rPr>
            </w:pPr>
            <w:r w:rsidRPr="00116AFD">
              <w:rPr>
                <w:rFonts w:ascii="Arial Narrow" w:hAnsi="Arial Narrow"/>
                <w:b/>
                <w:bCs/>
                <w:i/>
                <w:iCs/>
                <w:sz w:val="20"/>
                <w:szCs w:val="20"/>
              </w:rPr>
              <w:t>medicinal product pack</w:t>
            </w:r>
          </w:p>
        </w:tc>
        <w:tc>
          <w:tcPr>
            <w:tcW w:w="887" w:type="dxa"/>
            <w:vAlign w:val="center"/>
          </w:tcPr>
          <w:p w14:paraId="510B7517"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PBS item code</w:t>
            </w:r>
          </w:p>
        </w:tc>
        <w:tc>
          <w:tcPr>
            <w:tcW w:w="756" w:type="dxa"/>
            <w:vAlign w:val="center"/>
          </w:tcPr>
          <w:p w14:paraId="3F97C76D"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packs</w:t>
            </w:r>
          </w:p>
        </w:tc>
        <w:tc>
          <w:tcPr>
            <w:tcW w:w="821" w:type="dxa"/>
            <w:vAlign w:val="center"/>
          </w:tcPr>
          <w:p w14:paraId="3CCA72CB"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units</w:t>
            </w:r>
          </w:p>
        </w:tc>
        <w:tc>
          <w:tcPr>
            <w:tcW w:w="822" w:type="dxa"/>
            <w:vAlign w:val="center"/>
          </w:tcPr>
          <w:p w14:paraId="3DA2B98D"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№.of</w:t>
            </w:r>
          </w:p>
          <w:p w14:paraId="26B52DF7"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Rpts</w:t>
            </w:r>
          </w:p>
        </w:tc>
        <w:tc>
          <w:tcPr>
            <w:tcW w:w="1859" w:type="dxa"/>
            <w:vAlign w:val="center"/>
          </w:tcPr>
          <w:p w14:paraId="0FB12B1C" w14:textId="77777777" w:rsidR="00852466" w:rsidRPr="00116AFD" w:rsidRDefault="00852466">
            <w:pPr>
              <w:keepLines/>
              <w:jc w:val="center"/>
              <w:rPr>
                <w:rFonts w:ascii="Arial Narrow" w:hAnsi="Arial Narrow"/>
                <w:b/>
                <w:i/>
                <w:iCs/>
                <w:sz w:val="20"/>
                <w:szCs w:val="20"/>
                <w:lang w:val="fr-FR"/>
              </w:rPr>
            </w:pPr>
            <w:r w:rsidRPr="00116AFD">
              <w:rPr>
                <w:rFonts w:ascii="Arial Narrow" w:hAnsi="Arial Narrow"/>
                <w:b/>
                <w:i/>
                <w:iCs/>
                <w:sz w:val="20"/>
                <w:szCs w:val="20"/>
              </w:rPr>
              <w:t>Available brands</w:t>
            </w:r>
          </w:p>
        </w:tc>
      </w:tr>
      <w:tr w:rsidR="00116AFD" w:rsidRPr="00116AFD" w14:paraId="70FF6D6D" w14:textId="77777777">
        <w:trPr>
          <w:gridAfter w:val="1"/>
          <w:wAfter w:w="6" w:type="dxa"/>
          <w:cantSplit/>
          <w:trHeight w:val="20"/>
        </w:trPr>
        <w:tc>
          <w:tcPr>
            <w:tcW w:w="9131" w:type="dxa"/>
            <w:gridSpan w:val="6"/>
            <w:vAlign w:val="center"/>
          </w:tcPr>
          <w:p w14:paraId="261AE63D"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ADALIMUMAB</w:t>
            </w:r>
          </w:p>
        </w:tc>
      </w:tr>
      <w:tr w:rsidR="00116AFD" w:rsidRPr="00116AFD" w14:paraId="7189F6D0" w14:textId="77777777">
        <w:trPr>
          <w:gridAfter w:val="1"/>
          <w:wAfter w:w="6" w:type="dxa"/>
          <w:cantSplit/>
          <w:trHeight w:val="20"/>
        </w:trPr>
        <w:tc>
          <w:tcPr>
            <w:tcW w:w="3986" w:type="dxa"/>
            <w:vAlign w:val="center"/>
          </w:tcPr>
          <w:p w14:paraId="1215E271"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20 mg/0.2 mL injection, 2 x 0.2 mL syringes </w:t>
            </w:r>
          </w:p>
        </w:tc>
        <w:tc>
          <w:tcPr>
            <w:tcW w:w="887" w:type="dxa"/>
            <w:vAlign w:val="center"/>
          </w:tcPr>
          <w:p w14:paraId="6C9CB5A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56" w:type="dxa"/>
            <w:vAlign w:val="center"/>
          </w:tcPr>
          <w:p w14:paraId="52F0E49D"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21" w:type="dxa"/>
            <w:vAlign w:val="center"/>
          </w:tcPr>
          <w:p w14:paraId="7E7F301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22" w:type="dxa"/>
            <w:vAlign w:val="center"/>
          </w:tcPr>
          <w:p w14:paraId="70644F52"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0</w:t>
            </w:r>
          </w:p>
        </w:tc>
        <w:tc>
          <w:tcPr>
            <w:tcW w:w="1859" w:type="dxa"/>
            <w:vAlign w:val="center"/>
          </w:tcPr>
          <w:p w14:paraId="5343F7E5"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tc>
      </w:tr>
      <w:tr w:rsidR="00116AFD" w:rsidRPr="00116AFD" w14:paraId="278D5701" w14:textId="77777777">
        <w:trPr>
          <w:gridAfter w:val="1"/>
          <w:wAfter w:w="6" w:type="dxa"/>
          <w:cantSplit/>
          <w:trHeight w:val="20"/>
        </w:trPr>
        <w:tc>
          <w:tcPr>
            <w:tcW w:w="3986" w:type="dxa"/>
            <w:vAlign w:val="center"/>
          </w:tcPr>
          <w:p w14:paraId="54CE759C"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pen devices</w:t>
            </w:r>
          </w:p>
        </w:tc>
        <w:tc>
          <w:tcPr>
            <w:tcW w:w="887" w:type="dxa"/>
            <w:vAlign w:val="center"/>
          </w:tcPr>
          <w:p w14:paraId="0F82B8D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56" w:type="dxa"/>
            <w:vAlign w:val="center"/>
          </w:tcPr>
          <w:p w14:paraId="24F8E6EB"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21" w:type="dxa"/>
            <w:vAlign w:val="center"/>
          </w:tcPr>
          <w:p w14:paraId="7BBF99A9"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22" w:type="dxa"/>
            <w:vAlign w:val="center"/>
          </w:tcPr>
          <w:p w14:paraId="0076F5DD"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0</w:t>
            </w:r>
          </w:p>
        </w:tc>
        <w:tc>
          <w:tcPr>
            <w:tcW w:w="1859" w:type="dxa"/>
            <w:vAlign w:val="center"/>
          </w:tcPr>
          <w:p w14:paraId="6EC2D05C" w14:textId="77777777" w:rsidR="00852466" w:rsidRPr="00116AFD" w:rsidRDefault="00852466">
            <w:pPr>
              <w:keepLines/>
              <w:rPr>
                <w:rFonts w:ascii="Arial Narrow" w:hAnsi="Arial Narrow"/>
                <w:i/>
                <w:iCs/>
                <w:sz w:val="20"/>
                <w:szCs w:val="20"/>
              </w:rPr>
            </w:pPr>
          </w:p>
          <w:p w14:paraId="42C058A7"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6815CE04" w14:textId="77777777" w:rsidR="00852466" w:rsidRPr="00116AFD" w:rsidRDefault="00852466">
            <w:pPr>
              <w:keepLines/>
              <w:rPr>
                <w:rFonts w:ascii="Arial Narrow" w:hAnsi="Arial Narrow"/>
                <w:i/>
                <w:iCs/>
                <w:sz w:val="20"/>
                <w:szCs w:val="20"/>
              </w:rPr>
            </w:pPr>
          </w:p>
        </w:tc>
      </w:tr>
      <w:tr w:rsidR="00116AFD" w:rsidRPr="00116AFD" w14:paraId="7E386997" w14:textId="77777777">
        <w:trPr>
          <w:gridAfter w:val="1"/>
          <w:wAfter w:w="6" w:type="dxa"/>
          <w:cantSplit/>
          <w:trHeight w:val="20"/>
        </w:trPr>
        <w:tc>
          <w:tcPr>
            <w:tcW w:w="3986" w:type="dxa"/>
            <w:vAlign w:val="center"/>
          </w:tcPr>
          <w:p w14:paraId="744F9C40"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syringes</w:t>
            </w:r>
          </w:p>
        </w:tc>
        <w:tc>
          <w:tcPr>
            <w:tcW w:w="887" w:type="dxa"/>
            <w:vAlign w:val="center"/>
          </w:tcPr>
          <w:p w14:paraId="2D2A29C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56" w:type="dxa"/>
            <w:vAlign w:val="center"/>
          </w:tcPr>
          <w:p w14:paraId="4590972C"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21" w:type="dxa"/>
            <w:vAlign w:val="center"/>
          </w:tcPr>
          <w:p w14:paraId="57044674"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22" w:type="dxa"/>
            <w:vAlign w:val="center"/>
          </w:tcPr>
          <w:p w14:paraId="5A0FB75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0</w:t>
            </w:r>
          </w:p>
        </w:tc>
        <w:tc>
          <w:tcPr>
            <w:tcW w:w="1859" w:type="dxa"/>
            <w:vAlign w:val="center"/>
          </w:tcPr>
          <w:p w14:paraId="27F87CD6"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02D9F27D" w14:textId="77777777" w:rsidR="00852466" w:rsidRPr="00116AFD" w:rsidRDefault="00852466">
            <w:pPr>
              <w:keepLines/>
              <w:rPr>
                <w:rFonts w:ascii="Arial Narrow" w:hAnsi="Arial Narrow"/>
                <w:i/>
                <w:iCs/>
                <w:sz w:val="20"/>
                <w:szCs w:val="20"/>
              </w:rPr>
            </w:pPr>
          </w:p>
        </w:tc>
      </w:tr>
      <w:tr w:rsidR="00116AFD" w:rsidRPr="00116AFD" w14:paraId="596542B9" w14:textId="77777777">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5537D14C"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3284CCBE" w14:textId="77777777">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1CBDA58D"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0370CF25" w14:textId="77777777">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2BAF698B"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Authority Required (telephone/online)</w:t>
            </w:r>
          </w:p>
        </w:tc>
      </w:tr>
      <w:tr w:rsidR="00116AFD" w:rsidRPr="00116AFD" w14:paraId="1133CF86" w14:textId="77777777">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19C7632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116AFD" w:rsidRPr="00116AFD" w14:paraId="07095540" w14:textId="77777777">
        <w:tblPrEx>
          <w:tblCellMar>
            <w:top w:w="15" w:type="dxa"/>
            <w:bottom w:w="15" w:type="dxa"/>
          </w:tblCellMar>
          <w:tblLook w:val="04A0" w:firstRow="1" w:lastRow="0" w:firstColumn="1" w:lastColumn="0" w:noHBand="0" w:noVBand="1"/>
        </w:tblPrEx>
        <w:trPr>
          <w:cantSplit/>
          <w:trHeight w:val="377"/>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BAD00E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Treatment Phase: </w:t>
            </w:r>
            <w:r w:rsidRPr="00116AFD">
              <w:rPr>
                <w:rFonts w:ascii="Arial Narrow" w:hAnsi="Arial Narrow"/>
                <w:i/>
                <w:iCs/>
                <w:sz w:val="20"/>
                <w:szCs w:val="20"/>
              </w:rPr>
              <w:t xml:space="preserve">Balance of supply - Initial 1, 2 or 3 treatment (Whole body, </w:t>
            </w:r>
            <w:proofErr w:type="gramStart"/>
            <w:r w:rsidRPr="00116AFD">
              <w:rPr>
                <w:rFonts w:ascii="Arial Narrow" w:hAnsi="Arial Narrow"/>
                <w:i/>
                <w:iCs/>
                <w:sz w:val="20"/>
                <w:szCs w:val="20"/>
              </w:rPr>
              <w:t>or,</w:t>
            </w:r>
            <w:proofErr w:type="gramEnd"/>
            <w:r w:rsidRPr="00116AFD">
              <w:rPr>
                <w:rFonts w:ascii="Arial Narrow" w:hAnsi="Arial Narrow"/>
                <w:i/>
                <w:iCs/>
                <w:sz w:val="20"/>
                <w:szCs w:val="20"/>
              </w:rPr>
              <w:t xml:space="preserve"> face/hand/foot</w:t>
            </w:r>
          </w:p>
        </w:tc>
      </w:tr>
      <w:tr w:rsidR="00116AFD" w:rsidRPr="00116AFD" w14:paraId="14B182FF"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C1820D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[overarching admin note not reproduced]</w:t>
            </w:r>
          </w:p>
        </w:tc>
      </w:tr>
      <w:tr w:rsidR="00116AFD" w:rsidRPr="00116AFD" w14:paraId="58E3F8D5"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8FB39C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No increase in the maximum number of repeats may be authorised.</w:t>
            </w:r>
          </w:p>
        </w:tc>
      </w:tr>
      <w:tr w:rsidR="00116AFD" w:rsidRPr="00116AFD" w14:paraId="405C02A3"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CCDDB1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73D58803"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24DE00E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Must be treated by a dermatologist </w:t>
            </w:r>
          </w:p>
        </w:tc>
      </w:tr>
      <w:tr w:rsidR="00116AFD" w:rsidRPr="00116AFD" w14:paraId="7F47908A"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61CFE31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2AA71B32"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780FE4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748AC6BA"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67CB125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be undergoing currently PBS-subsidised treatment with this biological medicine</w:t>
            </w:r>
          </w:p>
        </w:tc>
      </w:tr>
      <w:tr w:rsidR="00116AFD" w:rsidRPr="00116AFD" w14:paraId="372A4EBB"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AF6BFD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48C814A5"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6D1B3B8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51E0F7F3"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ECCCCFE"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The treatment must be as systemic monotherapy; or</w:t>
            </w:r>
          </w:p>
        </w:tc>
      </w:tr>
      <w:tr w:rsidR="00116AFD" w:rsidRPr="00116AFD" w14:paraId="77AC954E"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E9510A6"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The treatment must be in combination with methotrexate</w:t>
            </w:r>
          </w:p>
        </w:tc>
      </w:tr>
      <w:tr w:rsidR="00116AFD" w:rsidRPr="00116AFD" w14:paraId="27E0F6B6"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2E8CBD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58C9BDC6"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C65646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76DB241C"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4E824698"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not receive more than 17 weeks of treatment under this restriction, but has received insufficient therapy to complete 17 weeks treatment under any of the initial treatment phases (regardless of affected body area): (i) initial 1, (ii) initial 2, (iii) initial 3.</w:t>
            </w:r>
          </w:p>
        </w:tc>
      </w:tr>
      <w:tr w:rsidR="00116AFD" w:rsidRPr="00116AFD" w14:paraId="746CAE00"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50053FC8"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116AFD" w:rsidRPr="00116AFD" w14:paraId="526D73AC"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85C27BF"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116AFD" w:rsidRPr="00116AFD" w14:paraId="07334744"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4BFB6A8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provide no more than the balance of  17 weeks treatment available under any of the initial treatment phases</w:t>
            </w:r>
          </w:p>
        </w:tc>
      </w:tr>
      <w:tr w:rsidR="00116AFD" w:rsidRPr="00116AFD" w14:paraId="4B92CDD2" w14:textId="77777777">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5541BD57"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w:t>
            </w:r>
          </w:p>
          <w:p w14:paraId="560990F0" w14:textId="77777777" w:rsidR="00852466" w:rsidRPr="00116AFD" w:rsidRDefault="00852466">
            <w:pPr>
              <w:rPr>
                <w:rFonts w:ascii="Arial Narrow" w:hAnsi="Arial Narrow"/>
                <w:i/>
                <w:iCs/>
                <w:sz w:val="20"/>
                <w:szCs w:val="20"/>
              </w:rPr>
            </w:pPr>
          </w:p>
          <w:p w14:paraId="480A3B5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59EED5FE" w14:textId="77777777" w:rsidR="00852466" w:rsidRDefault="00852466" w:rsidP="00852466">
      <w:pPr>
        <w:rPr>
          <w:color w:val="00B0F0"/>
        </w:rPr>
      </w:pPr>
    </w:p>
    <w:p w14:paraId="3A944FE9" w14:textId="77777777" w:rsidR="00852466" w:rsidRDefault="00852466" w:rsidP="00852466">
      <w:pPr>
        <w:rPr>
          <w:color w:val="00B0F0"/>
        </w:rPr>
      </w:pPr>
    </w:p>
    <w:p w14:paraId="66CA60EE" w14:textId="77777777" w:rsidR="00852466" w:rsidRDefault="00852466" w:rsidP="00852466">
      <w:pPr>
        <w:rPr>
          <w:color w:val="00B0F0"/>
        </w:rPr>
      </w:pPr>
    </w:p>
    <w:tbl>
      <w:tblPr>
        <w:tblW w:w="50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Chronic plaque psoriasis (new listing)"/>
      </w:tblPr>
      <w:tblGrid>
        <w:gridCol w:w="9131"/>
        <w:gridCol w:w="6"/>
      </w:tblGrid>
      <w:tr w:rsidR="00852466" w:rsidRPr="009D76BF" w14:paraId="6DBC6824" w14:textId="77777777">
        <w:trPr>
          <w:cantSplit/>
          <w:trHeight w:val="20"/>
        </w:trPr>
        <w:tc>
          <w:tcPr>
            <w:tcW w:w="9137" w:type="dxa"/>
            <w:gridSpan w:val="2"/>
            <w:vAlign w:val="center"/>
            <w:hideMark/>
          </w:tcPr>
          <w:p w14:paraId="7CF568A4" w14:textId="77777777" w:rsidR="00852466" w:rsidRPr="00116AFD" w:rsidRDefault="00852466">
            <w:pPr>
              <w:keepLines/>
              <w:rPr>
                <w:rFonts w:ascii="Arial Narrow" w:hAnsi="Arial Narrow"/>
                <w:i/>
                <w:iCs/>
                <w:sz w:val="20"/>
                <w:szCs w:val="20"/>
              </w:rPr>
            </w:pPr>
            <w:r w:rsidRPr="00116AFD">
              <w:rPr>
                <w:rFonts w:ascii="Arial Narrow" w:hAnsi="Arial Narrow"/>
                <w:b/>
                <w:bCs/>
                <w:i/>
                <w:iCs/>
                <w:sz w:val="20"/>
                <w:szCs w:val="20"/>
              </w:rPr>
              <w:t>Indication:</w:t>
            </w:r>
            <w:r w:rsidRPr="00116AFD">
              <w:rPr>
                <w:rFonts w:ascii="Arial Narrow" w:hAnsi="Arial Narrow"/>
                <w:i/>
                <w:iCs/>
                <w:sz w:val="20"/>
                <w:szCs w:val="20"/>
              </w:rPr>
              <w:t xml:space="preserve"> Severe chronic plaque psoriasis </w:t>
            </w:r>
          </w:p>
        </w:tc>
      </w:tr>
      <w:tr w:rsidR="00852466" w:rsidRPr="009D76BF" w14:paraId="041584F2" w14:textId="77777777">
        <w:trPr>
          <w:cantSplit/>
          <w:trHeight w:val="20"/>
        </w:trPr>
        <w:tc>
          <w:tcPr>
            <w:tcW w:w="9137" w:type="dxa"/>
            <w:gridSpan w:val="2"/>
            <w:vAlign w:val="center"/>
            <w:hideMark/>
          </w:tcPr>
          <w:p w14:paraId="6FF423FD"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Initial 1 treatment (face, hand, foot ) - biological medicine-naive patient</w:t>
            </w:r>
          </w:p>
        </w:tc>
      </w:tr>
      <w:tr w:rsidR="00852466" w:rsidRPr="009D76BF" w14:paraId="50FCCEA0" w14:textId="77777777">
        <w:trPr>
          <w:cantSplit/>
          <w:trHeight w:val="20"/>
        </w:trPr>
        <w:tc>
          <w:tcPr>
            <w:tcW w:w="9137" w:type="dxa"/>
            <w:gridSpan w:val="2"/>
            <w:vAlign w:val="center"/>
          </w:tcPr>
          <w:p w14:paraId="4899D7E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852466" w:rsidRPr="009D76BF" w14:paraId="5AFF7FD5" w14:textId="77777777">
        <w:trPr>
          <w:cantSplit/>
          <w:trHeight w:val="20"/>
        </w:trPr>
        <w:tc>
          <w:tcPr>
            <w:tcW w:w="9137" w:type="dxa"/>
            <w:gridSpan w:val="2"/>
            <w:vAlign w:val="center"/>
          </w:tcPr>
          <w:p w14:paraId="0D8FA6D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Must be treated by a dermatologist </w:t>
            </w:r>
          </w:p>
        </w:tc>
      </w:tr>
      <w:tr w:rsidR="00852466" w:rsidRPr="009D76BF" w14:paraId="76D45CE8" w14:textId="77777777">
        <w:trPr>
          <w:cantSplit/>
          <w:trHeight w:val="20"/>
        </w:trPr>
        <w:tc>
          <w:tcPr>
            <w:tcW w:w="9137" w:type="dxa"/>
            <w:gridSpan w:val="2"/>
            <w:vAlign w:val="center"/>
            <w:hideMark/>
          </w:tcPr>
          <w:p w14:paraId="16D7FB67"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852466" w:rsidRPr="009D76BF" w14:paraId="4848B8AD" w14:textId="77777777">
        <w:trPr>
          <w:cantSplit/>
          <w:trHeight w:val="20"/>
        </w:trPr>
        <w:tc>
          <w:tcPr>
            <w:tcW w:w="9137" w:type="dxa"/>
            <w:gridSpan w:val="2"/>
            <w:vAlign w:val="center"/>
            <w:hideMark/>
          </w:tcPr>
          <w:p w14:paraId="4BFD1CDA"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Patient must have the plaque or plaques of the face, or palm of hand or sole of foot present for at least 6 months from the time of initial diagnosis</w:t>
            </w:r>
          </w:p>
        </w:tc>
      </w:tr>
      <w:tr w:rsidR="00852466" w:rsidRPr="009D76BF" w14:paraId="746062C9" w14:textId="77777777">
        <w:trPr>
          <w:cantSplit/>
          <w:trHeight w:val="20"/>
        </w:trPr>
        <w:tc>
          <w:tcPr>
            <w:tcW w:w="9137" w:type="dxa"/>
            <w:gridSpan w:val="2"/>
            <w:vAlign w:val="center"/>
            <w:hideMark/>
          </w:tcPr>
          <w:p w14:paraId="28E1AAC0"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AND</w:t>
            </w:r>
          </w:p>
        </w:tc>
      </w:tr>
      <w:tr w:rsidR="00852466" w:rsidRPr="009D76BF" w14:paraId="049D45D6" w14:textId="77777777">
        <w:trPr>
          <w:cantSplit/>
          <w:trHeight w:val="20"/>
        </w:trPr>
        <w:tc>
          <w:tcPr>
            <w:tcW w:w="9137" w:type="dxa"/>
            <w:gridSpan w:val="2"/>
            <w:vAlign w:val="center"/>
            <w:hideMark/>
          </w:tcPr>
          <w:p w14:paraId="30BAAD76"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Clinical criteria:</w:t>
            </w:r>
          </w:p>
        </w:tc>
      </w:tr>
      <w:tr w:rsidR="00852466" w:rsidRPr="009D76BF" w14:paraId="574205A9" w14:textId="77777777">
        <w:trPr>
          <w:cantSplit/>
          <w:trHeight w:val="20"/>
        </w:trPr>
        <w:tc>
          <w:tcPr>
            <w:tcW w:w="9137" w:type="dxa"/>
            <w:gridSpan w:val="2"/>
            <w:vAlign w:val="center"/>
            <w:hideMark/>
          </w:tcPr>
          <w:p w14:paraId="208CDE8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received PBS-subsidised treatment with a biological medicine for this condition</w:t>
            </w:r>
          </w:p>
        </w:tc>
      </w:tr>
      <w:tr w:rsidR="00852466" w:rsidRPr="009D76BF" w14:paraId="1E87F134" w14:textId="77777777">
        <w:trPr>
          <w:cantSplit/>
          <w:trHeight w:val="20"/>
        </w:trPr>
        <w:tc>
          <w:tcPr>
            <w:tcW w:w="9137" w:type="dxa"/>
            <w:gridSpan w:val="2"/>
            <w:vAlign w:val="center"/>
          </w:tcPr>
          <w:p w14:paraId="1AE000B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AND </w:t>
            </w:r>
          </w:p>
        </w:tc>
      </w:tr>
      <w:tr w:rsidR="00852466" w:rsidRPr="009D76BF" w14:paraId="23766977" w14:textId="77777777">
        <w:trPr>
          <w:cantSplit/>
          <w:trHeight w:val="20"/>
        </w:trPr>
        <w:tc>
          <w:tcPr>
            <w:tcW w:w="9137" w:type="dxa"/>
            <w:gridSpan w:val="2"/>
            <w:vAlign w:val="center"/>
          </w:tcPr>
          <w:p w14:paraId="603D1C6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76BF" w14:paraId="0D1C6135" w14:textId="77777777">
        <w:trPr>
          <w:cantSplit/>
          <w:trHeight w:val="20"/>
        </w:trPr>
        <w:tc>
          <w:tcPr>
            <w:tcW w:w="9137" w:type="dxa"/>
            <w:gridSpan w:val="2"/>
            <w:vAlign w:val="center"/>
          </w:tcPr>
          <w:p w14:paraId="10B8C4D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1B650277" w14:textId="77777777" w:rsidR="00852466" w:rsidRPr="00116AFD" w:rsidRDefault="00852466">
            <w:pPr>
              <w:rPr>
                <w:rFonts w:ascii="Arial Narrow" w:hAnsi="Arial Narrow"/>
                <w:i/>
                <w:iCs/>
                <w:sz w:val="20"/>
                <w:szCs w:val="20"/>
              </w:rPr>
            </w:pPr>
          </w:p>
        </w:tc>
      </w:tr>
      <w:tr w:rsidR="00852466" w:rsidRPr="009D76BF" w14:paraId="1E41E77D" w14:textId="77777777">
        <w:trPr>
          <w:cantSplit/>
          <w:trHeight w:val="20"/>
        </w:trPr>
        <w:tc>
          <w:tcPr>
            <w:tcW w:w="9137" w:type="dxa"/>
            <w:gridSpan w:val="2"/>
            <w:vAlign w:val="center"/>
          </w:tcPr>
          <w:p w14:paraId="14C9D6C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in combination with methotrexate,</w:t>
            </w:r>
          </w:p>
        </w:tc>
      </w:tr>
      <w:tr w:rsidR="00852466" w:rsidRPr="009D76BF" w14:paraId="6613FEA6" w14:textId="77777777">
        <w:trPr>
          <w:cantSplit/>
          <w:trHeight w:val="20"/>
        </w:trPr>
        <w:tc>
          <w:tcPr>
            <w:tcW w:w="9137" w:type="dxa"/>
            <w:gridSpan w:val="2"/>
            <w:vAlign w:val="center"/>
            <w:hideMark/>
          </w:tcPr>
          <w:p w14:paraId="615A73A9"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852466" w:rsidRPr="009D76BF" w14:paraId="7BCF1AC8" w14:textId="77777777">
        <w:trPr>
          <w:cantSplit/>
          <w:trHeight w:val="20"/>
        </w:trPr>
        <w:tc>
          <w:tcPr>
            <w:tcW w:w="9137" w:type="dxa"/>
            <w:gridSpan w:val="2"/>
            <w:vAlign w:val="center"/>
          </w:tcPr>
          <w:p w14:paraId="281D017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76BF" w14:paraId="5CB7C80C" w14:textId="77777777">
        <w:trPr>
          <w:cantSplit/>
          <w:trHeight w:val="20"/>
        </w:trPr>
        <w:tc>
          <w:tcPr>
            <w:tcW w:w="9137" w:type="dxa"/>
            <w:gridSpan w:val="2"/>
            <w:vAlign w:val="center"/>
          </w:tcPr>
          <w:p w14:paraId="53436CF5"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w:t>
            </w:r>
          </w:p>
        </w:tc>
      </w:tr>
      <w:tr w:rsidR="00852466" w:rsidRPr="009D76BF" w14:paraId="4FED6177" w14:textId="77777777">
        <w:trPr>
          <w:cantSplit/>
          <w:trHeight w:val="20"/>
        </w:trPr>
        <w:tc>
          <w:tcPr>
            <w:tcW w:w="9137" w:type="dxa"/>
            <w:gridSpan w:val="2"/>
            <w:vAlign w:val="center"/>
          </w:tcPr>
          <w:p w14:paraId="1182546C"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76BF" w14:paraId="64979B6D" w14:textId="77777777">
        <w:trPr>
          <w:cantSplit/>
          <w:trHeight w:val="20"/>
        </w:trPr>
        <w:tc>
          <w:tcPr>
            <w:tcW w:w="9137" w:type="dxa"/>
            <w:gridSpan w:val="2"/>
            <w:vAlign w:val="center"/>
          </w:tcPr>
          <w:p w14:paraId="60C0EED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76BF" w14:paraId="573D7F74" w14:textId="77777777">
        <w:trPr>
          <w:cantSplit/>
          <w:trHeight w:val="20"/>
        </w:trPr>
        <w:tc>
          <w:tcPr>
            <w:tcW w:w="9137" w:type="dxa"/>
            <w:gridSpan w:val="2"/>
            <w:vAlign w:val="center"/>
          </w:tcPr>
          <w:p w14:paraId="27327EF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receive more than 17 weeks of treatment under this restriction</w:t>
            </w:r>
          </w:p>
        </w:tc>
      </w:tr>
      <w:tr w:rsidR="00852466" w:rsidRPr="009D76BF" w14:paraId="1A576536" w14:textId="77777777">
        <w:trPr>
          <w:cantSplit/>
          <w:trHeight w:val="20"/>
        </w:trPr>
        <w:tc>
          <w:tcPr>
            <w:tcW w:w="9137" w:type="dxa"/>
            <w:gridSpan w:val="2"/>
            <w:vAlign w:val="center"/>
            <w:hideMark/>
          </w:tcPr>
          <w:p w14:paraId="6D4F680B"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Population criteria:</w:t>
            </w:r>
          </w:p>
        </w:tc>
      </w:tr>
      <w:tr w:rsidR="00852466" w:rsidRPr="009D76BF" w14:paraId="16E3F6E9" w14:textId="77777777">
        <w:trPr>
          <w:cantSplit/>
          <w:trHeight w:val="20"/>
        </w:trPr>
        <w:tc>
          <w:tcPr>
            <w:tcW w:w="9137" w:type="dxa"/>
            <w:gridSpan w:val="2"/>
            <w:vAlign w:val="center"/>
            <w:hideMark/>
          </w:tcPr>
          <w:p w14:paraId="25D27BCC"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 xml:space="preserve">Patient must be under 18 years of age </w:t>
            </w:r>
          </w:p>
        </w:tc>
      </w:tr>
      <w:tr w:rsidR="00852466" w:rsidRPr="0048139E" w14:paraId="43116B99" w14:textId="77777777">
        <w:trPr>
          <w:cantSplit/>
          <w:trHeight w:val="20"/>
        </w:trPr>
        <w:tc>
          <w:tcPr>
            <w:tcW w:w="9137" w:type="dxa"/>
            <w:gridSpan w:val="2"/>
            <w:vAlign w:val="center"/>
          </w:tcPr>
          <w:p w14:paraId="42840C2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b/>
            </w:r>
          </w:p>
          <w:p w14:paraId="5ED3274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6595E8D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treatment with any of the above-mentioned drugs was contraindicated according to the relevant TGA-approved Product Information, or where phototherapy was contraindicated, details must be provided at the time of application.</w:t>
            </w:r>
          </w:p>
        </w:tc>
      </w:tr>
      <w:tr w:rsidR="00852466" w:rsidRPr="009D76BF" w14:paraId="7B037853" w14:textId="77777777">
        <w:trPr>
          <w:cantSplit/>
          <w:trHeight w:val="20"/>
        </w:trPr>
        <w:tc>
          <w:tcPr>
            <w:tcW w:w="9137" w:type="dxa"/>
            <w:gridSpan w:val="2"/>
            <w:vAlign w:val="center"/>
            <w:hideMark/>
          </w:tcPr>
          <w:p w14:paraId="0E59A5F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20410FA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intolerance to phototherapy, methotrexate and/or acitretin developed during the relevant period of use, which was of a severity to necessitate permanent treatment withdrawal, details of the degree of this toxicity must be provided at the time of application</w:t>
            </w:r>
          </w:p>
        </w:tc>
      </w:tr>
      <w:tr w:rsidR="00852466" w:rsidRPr="00AF0E76" w14:paraId="539A854A" w14:textId="77777777">
        <w:trPr>
          <w:cantSplit/>
          <w:trHeight w:val="20"/>
        </w:trPr>
        <w:tc>
          <w:tcPr>
            <w:tcW w:w="9137" w:type="dxa"/>
            <w:gridSpan w:val="2"/>
            <w:vAlign w:val="center"/>
          </w:tcPr>
          <w:p w14:paraId="4F2BFA7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653594C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Details of the accepted toxicities including severity can be found on the Services Australia website.</w:t>
            </w:r>
          </w:p>
        </w:tc>
      </w:tr>
      <w:tr w:rsidR="00852466" w:rsidRPr="009D76BF" w14:paraId="35AF80CB" w14:textId="77777777">
        <w:trPr>
          <w:cantSplit/>
          <w:trHeight w:val="20"/>
        </w:trPr>
        <w:tc>
          <w:tcPr>
            <w:tcW w:w="9137" w:type="dxa"/>
            <w:gridSpan w:val="2"/>
            <w:vAlign w:val="center"/>
          </w:tcPr>
          <w:p w14:paraId="69F85BA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77E0BB2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0377DA4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(1) a completed authority prescription form; and</w:t>
            </w:r>
          </w:p>
          <w:p w14:paraId="27FE727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 completed authority application form relevant to the indication and treatment phase (the latest version is located on the website specified in the Administrative Advice).</w:t>
            </w:r>
          </w:p>
          <w:p w14:paraId="67795B46" w14:textId="77777777" w:rsidR="00852466" w:rsidRPr="00116AFD" w:rsidRDefault="00852466">
            <w:pPr>
              <w:rPr>
                <w:rFonts w:ascii="Arial Narrow" w:hAnsi="Arial Narrow"/>
                <w:b/>
                <w:bCs/>
                <w:i/>
                <w:iCs/>
                <w:sz w:val="20"/>
                <w:szCs w:val="20"/>
              </w:rPr>
            </w:pPr>
          </w:p>
        </w:tc>
      </w:tr>
      <w:tr w:rsidR="00852466" w:rsidRPr="009D76BF" w14:paraId="465E9A98" w14:textId="77777777">
        <w:trPr>
          <w:cantSplit/>
          <w:trHeight w:val="20"/>
        </w:trPr>
        <w:tc>
          <w:tcPr>
            <w:tcW w:w="9137" w:type="dxa"/>
            <w:gridSpan w:val="2"/>
            <w:vAlign w:val="center"/>
          </w:tcPr>
          <w:p w14:paraId="28ECC8F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1EE63759" w14:textId="77777777" w:rsidR="00852466" w:rsidRPr="00116AFD" w:rsidRDefault="00852466">
            <w:pPr>
              <w:rPr>
                <w:rFonts w:ascii="Arial Narrow" w:hAnsi="Arial Narrow"/>
                <w:b/>
                <w:bCs/>
                <w:i/>
                <w:iCs/>
                <w:sz w:val="20"/>
                <w:szCs w:val="20"/>
              </w:rPr>
            </w:pPr>
          </w:p>
          <w:p w14:paraId="00E60AB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following indicates failure to achieve an adequate response to prior phototherapy/methotrexate/acitretin therapy:</w:t>
            </w:r>
          </w:p>
          <w:p w14:paraId="143660A8" w14:textId="77777777" w:rsidR="00852466" w:rsidRPr="00116AFD" w:rsidRDefault="00852466">
            <w:pPr>
              <w:rPr>
                <w:rFonts w:ascii="Arial Narrow" w:hAnsi="Arial Narrow"/>
                <w:i/>
                <w:iCs/>
                <w:sz w:val="20"/>
                <w:szCs w:val="20"/>
              </w:rPr>
            </w:pPr>
          </w:p>
          <w:p w14:paraId="0526D3C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at least 2 of the 3 Psoriasis Area and Severity Index (PASI) symptom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for erythema, thickness and scaling being rated as severe or very severe, as assessed, preferably whilst still on treatment, but no longer than 1 month following cessation of the last pre-requisite therapy; or</w:t>
            </w:r>
          </w:p>
          <w:p w14:paraId="3D96D72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(b) the skin area affected is 30% or more of the face, palm of a hand or sole of a foot, as assessed, preferably whilst still on treatment, but no longer than 1 month following cessation of the last pre-requisite therapy</w:t>
            </w:r>
          </w:p>
          <w:p w14:paraId="5EC936FE" w14:textId="77777777" w:rsidR="00852466" w:rsidRPr="00116AFD" w:rsidRDefault="00852466">
            <w:pPr>
              <w:rPr>
                <w:rFonts w:ascii="Arial Narrow" w:hAnsi="Arial Narrow"/>
                <w:i/>
                <w:iCs/>
                <w:sz w:val="20"/>
                <w:szCs w:val="20"/>
              </w:rPr>
            </w:pPr>
          </w:p>
          <w:p w14:paraId="684F906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Provide in this authority application, and document in the patient's medical records, each of:</w:t>
            </w:r>
          </w:p>
          <w:p w14:paraId="4F64A3D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the name of each prior therapy trialled that meets the above requirements - state at least 2;</w:t>
            </w:r>
          </w:p>
          <w:p w14:paraId="62EEBE8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the date of commencement and cessation of each prior therapy trialled, as well as the dosage (for drug therapies);</w:t>
            </w:r>
          </w:p>
          <w:p w14:paraId="7C0F52A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whether failure type (a) or (b) as described above occurred for each prior therapy trialled;</w:t>
            </w:r>
          </w:p>
          <w:p w14:paraId="72E37B5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(iv) the dates that response assessments were determined.</w:t>
            </w:r>
          </w:p>
          <w:p w14:paraId="1BFF469F" w14:textId="77777777" w:rsidR="00852466" w:rsidRPr="00116AFD" w:rsidRDefault="00852466">
            <w:pPr>
              <w:rPr>
                <w:rFonts w:ascii="Arial Narrow" w:hAnsi="Arial Narrow"/>
                <w:i/>
                <w:iCs/>
                <w:sz w:val="20"/>
                <w:szCs w:val="20"/>
              </w:rPr>
            </w:pPr>
          </w:p>
          <w:p w14:paraId="2B44F40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Provide in this authority application at least one of the following to act as a baseline measurement and be referenced in any future authority applications that continue treatment:</w:t>
            </w:r>
          </w:p>
          <w:p w14:paraId="0F52F8E8" w14:textId="77777777" w:rsidR="00852466" w:rsidRPr="00116AFD" w:rsidRDefault="00852466">
            <w:pPr>
              <w:rPr>
                <w:rFonts w:ascii="Arial Narrow" w:hAnsi="Arial Narrow"/>
                <w:i/>
                <w:iCs/>
                <w:sz w:val="20"/>
                <w:szCs w:val="20"/>
              </w:rPr>
            </w:pPr>
          </w:p>
          <w:p w14:paraId="7D23848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(v) for each of erythema, thickness and scaling, which of these are rated as severe or very severe (at least 2 must be rated as severe/very severe);</w:t>
            </w:r>
          </w:p>
          <w:p w14:paraId="569FAA8C"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(vi) the percentage area of skin (combined area of face, hands and feet) affected by this condition (must be at least 30%) prior to treatment with biological medicine.</w:t>
            </w:r>
          </w:p>
        </w:tc>
      </w:tr>
      <w:tr w:rsidR="00116AFD" w:rsidRPr="00116AFD" w14:paraId="60CB4FA3" w14:textId="77777777">
        <w:trPr>
          <w:gridAfter w:val="1"/>
          <w:wAfter w:w="6" w:type="dxa"/>
          <w:cantSplit/>
          <w:trHeight w:val="20"/>
        </w:trPr>
        <w:tc>
          <w:tcPr>
            <w:tcW w:w="9131" w:type="dxa"/>
            <w:vAlign w:val="center"/>
          </w:tcPr>
          <w:p w14:paraId="365D9BFA" w14:textId="77777777" w:rsidR="00852466" w:rsidRPr="00116AFD" w:rsidRDefault="00852466">
            <w:pPr>
              <w:rPr>
                <w:rFonts w:ascii="Arial Narrow" w:hAnsi="Arial Narrow"/>
                <w:bCs/>
                <w:i/>
                <w:iCs/>
                <w:sz w:val="20"/>
                <w:szCs w:val="20"/>
              </w:rPr>
            </w:pPr>
          </w:p>
          <w:p w14:paraId="403588BB" w14:textId="77777777" w:rsidR="00852466" w:rsidRPr="00116AFD" w:rsidRDefault="00852466">
            <w:pPr>
              <w:rPr>
                <w:rFonts w:ascii="Arial Narrow" w:hAnsi="Arial Narrow"/>
                <w:bCs/>
                <w:i/>
                <w:iCs/>
                <w:sz w:val="20"/>
                <w:szCs w:val="20"/>
              </w:rPr>
            </w:pPr>
          </w:p>
        </w:tc>
      </w:tr>
      <w:tr w:rsidR="00852466" w:rsidRPr="009D76BF" w14:paraId="0F0883DC" w14:textId="77777777">
        <w:trPr>
          <w:cantSplit/>
          <w:trHeight w:val="20"/>
        </w:trPr>
        <w:tc>
          <w:tcPr>
            <w:tcW w:w="9137" w:type="dxa"/>
            <w:gridSpan w:val="2"/>
            <w:vAlign w:val="center"/>
          </w:tcPr>
          <w:p w14:paraId="72BB1B05"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852466" w:rsidRPr="009D76BF" w14:paraId="13E8A6D6" w14:textId="77777777">
        <w:trPr>
          <w:cantSplit/>
          <w:trHeight w:val="20"/>
        </w:trPr>
        <w:tc>
          <w:tcPr>
            <w:tcW w:w="9137" w:type="dxa"/>
            <w:gridSpan w:val="2"/>
            <w:vAlign w:val="center"/>
          </w:tcPr>
          <w:p w14:paraId="54B737E8"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852466" w:rsidRPr="009D76BF" w14:paraId="5DF75B34" w14:textId="77777777">
        <w:trPr>
          <w:cantSplit/>
          <w:trHeight w:val="20"/>
        </w:trPr>
        <w:tc>
          <w:tcPr>
            <w:tcW w:w="9137" w:type="dxa"/>
            <w:gridSpan w:val="2"/>
            <w:vAlign w:val="center"/>
          </w:tcPr>
          <w:p w14:paraId="5F551444"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852466" w:rsidRPr="009D76BF" w14:paraId="4F2EBE88" w14:textId="77777777">
        <w:trPr>
          <w:cantSplit/>
          <w:trHeight w:val="20"/>
        </w:trPr>
        <w:tc>
          <w:tcPr>
            <w:tcW w:w="9137" w:type="dxa"/>
            <w:gridSpan w:val="2"/>
            <w:vAlign w:val="center"/>
          </w:tcPr>
          <w:p w14:paraId="7572C64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852466" w:rsidRPr="009D76BF" w14:paraId="56E94847" w14:textId="77777777">
        <w:trPr>
          <w:cantSplit/>
          <w:trHeight w:val="20"/>
        </w:trPr>
        <w:tc>
          <w:tcPr>
            <w:tcW w:w="9137" w:type="dxa"/>
            <w:gridSpan w:val="2"/>
            <w:vAlign w:val="center"/>
          </w:tcPr>
          <w:p w14:paraId="4F504EB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Initial 2 treatment (face, hand, foot) - Change of treatment, </w:t>
            </w:r>
            <w:proofErr w:type="gramStart"/>
            <w:r w:rsidRPr="00116AFD">
              <w:rPr>
                <w:rFonts w:ascii="Arial Narrow" w:hAnsi="Arial Narrow"/>
                <w:i/>
                <w:iCs/>
                <w:sz w:val="20"/>
                <w:szCs w:val="20"/>
              </w:rPr>
              <w:t>or,</w:t>
            </w:r>
            <w:proofErr w:type="gramEnd"/>
            <w:r w:rsidRPr="00116AFD">
              <w:rPr>
                <w:rFonts w:ascii="Arial Narrow" w:hAnsi="Arial Narrow"/>
                <w:i/>
                <w:iCs/>
                <w:sz w:val="20"/>
                <w:szCs w:val="20"/>
              </w:rPr>
              <w:t xml:space="preserve"> recommencement of treatment after a break in biological medicine of less than 5 years</w:t>
            </w:r>
          </w:p>
        </w:tc>
      </w:tr>
      <w:tr w:rsidR="00852466" w:rsidRPr="009D76BF" w14:paraId="224D1E55" w14:textId="77777777">
        <w:trPr>
          <w:cantSplit/>
          <w:trHeight w:val="20"/>
        </w:trPr>
        <w:tc>
          <w:tcPr>
            <w:tcW w:w="9137" w:type="dxa"/>
            <w:gridSpan w:val="2"/>
            <w:vAlign w:val="center"/>
          </w:tcPr>
          <w:p w14:paraId="4E86BEA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852466" w:rsidRPr="009D76BF" w14:paraId="7A4BAB7C" w14:textId="77777777">
        <w:trPr>
          <w:cantSplit/>
          <w:trHeight w:val="20"/>
        </w:trPr>
        <w:tc>
          <w:tcPr>
            <w:tcW w:w="9137" w:type="dxa"/>
            <w:gridSpan w:val="2"/>
            <w:vAlign w:val="center"/>
          </w:tcPr>
          <w:p w14:paraId="03915A8E"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 xml:space="preserve">Must be treated by a dermatologist </w:t>
            </w:r>
          </w:p>
        </w:tc>
      </w:tr>
      <w:tr w:rsidR="00852466" w:rsidRPr="009D76BF" w14:paraId="1D2D8ECF" w14:textId="77777777">
        <w:trPr>
          <w:cantSplit/>
          <w:trHeight w:val="20"/>
        </w:trPr>
        <w:tc>
          <w:tcPr>
            <w:tcW w:w="9137" w:type="dxa"/>
            <w:gridSpan w:val="2"/>
            <w:vAlign w:val="center"/>
          </w:tcPr>
          <w:p w14:paraId="43FEB333"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76BF" w14:paraId="77D2C7E6" w14:textId="77777777">
        <w:trPr>
          <w:cantSplit/>
          <w:trHeight w:val="20"/>
        </w:trPr>
        <w:tc>
          <w:tcPr>
            <w:tcW w:w="9137" w:type="dxa"/>
            <w:gridSpan w:val="2"/>
            <w:vAlign w:val="center"/>
          </w:tcPr>
          <w:p w14:paraId="77CC6886"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76BF" w14:paraId="62F3AD13" w14:textId="77777777">
        <w:trPr>
          <w:cantSplit/>
          <w:trHeight w:val="20"/>
        </w:trPr>
        <w:tc>
          <w:tcPr>
            <w:tcW w:w="9137" w:type="dxa"/>
            <w:gridSpan w:val="2"/>
            <w:vAlign w:val="center"/>
          </w:tcPr>
          <w:p w14:paraId="6C4BC00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3113E2E1" w14:textId="77777777" w:rsidR="00852466" w:rsidRPr="00116AFD" w:rsidRDefault="00852466">
            <w:pPr>
              <w:rPr>
                <w:rFonts w:ascii="Arial Narrow" w:hAnsi="Arial Narrow"/>
                <w:b/>
                <w:bCs/>
                <w:i/>
                <w:iCs/>
                <w:sz w:val="20"/>
                <w:szCs w:val="20"/>
              </w:rPr>
            </w:pPr>
          </w:p>
        </w:tc>
      </w:tr>
      <w:tr w:rsidR="00852466" w:rsidRPr="009D76BF" w14:paraId="71BECDE3" w14:textId="77777777">
        <w:trPr>
          <w:cantSplit/>
          <w:trHeight w:val="20"/>
        </w:trPr>
        <w:tc>
          <w:tcPr>
            <w:tcW w:w="9137" w:type="dxa"/>
            <w:gridSpan w:val="2"/>
            <w:vAlign w:val="center"/>
          </w:tcPr>
          <w:p w14:paraId="39439BDA"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The treatment must be in combination with methotrexate,</w:t>
            </w:r>
          </w:p>
        </w:tc>
      </w:tr>
      <w:tr w:rsidR="00852466" w:rsidRPr="009D76BF" w14:paraId="145CC1E9" w14:textId="77777777">
        <w:trPr>
          <w:cantSplit/>
          <w:trHeight w:val="20"/>
        </w:trPr>
        <w:tc>
          <w:tcPr>
            <w:tcW w:w="9137" w:type="dxa"/>
            <w:gridSpan w:val="2"/>
            <w:vAlign w:val="center"/>
          </w:tcPr>
          <w:p w14:paraId="3FED798C"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852466" w:rsidRPr="009D76BF" w14:paraId="028A0CCB" w14:textId="77777777">
        <w:trPr>
          <w:cantSplit/>
          <w:trHeight w:val="20"/>
        </w:trPr>
        <w:tc>
          <w:tcPr>
            <w:tcW w:w="9137" w:type="dxa"/>
            <w:gridSpan w:val="2"/>
            <w:vAlign w:val="center"/>
          </w:tcPr>
          <w:p w14:paraId="4587B726"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received prior PBS-subsidised treatment with a biological medicine for this condition in this treatment cycle.</w:t>
            </w:r>
          </w:p>
        </w:tc>
      </w:tr>
      <w:tr w:rsidR="00852466" w:rsidRPr="009D76BF" w14:paraId="3BC48076" w14:textId="77777777">
        <w:trPr>
          <w:cantSplit/>
          <w:trHeight w:val="20"/>
        </w:trPr>
        <w:tc>
          <w:tcPr>
            <w:tcW w:w="9137" w:type="dxa"/>
            <w:gridSpan w:val="2"/>
            <w:vAlign w:val="center"/>
          </w:tcPr>
          <w:p w14:paraId="05196F03"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76BF" w14:paraId="7DC736F2" w14:textId="77777777">
        <w:trPr>
          <w:cantSplit/>
          <w:trHeight w:val="20"/>
        </w:trPr>
        <w:tc>
          <w:tcPr>
            <w:tcW w:w="9137" w:type="dxa"/>
            <w:gridSpan w:val="2"/>
            <w:vAlign w:val="center"/>
          </w:tcPr>
          <w:p w14:paraId="7C810C71"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852466" w:rsidRPr="009D76BF" w14:paraId="67D2879D" w14:textId="77777777">
        <w:trPr>
          <w:cantSplit/>
          <w:trHeight w:val="20"/>
        </w:trPr>
        <w:tc>
          <w:tcPr>
            <w:tcW w:w="9137" w:type="dxa"/>
            <w:gridSpan w:val="2"/>
            <w:vAlign w:val="center"/>
          </w:tcPr>
          <w:p w14:paraId="5E93D15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already failed, or ceased to respond to, PBS-subsidised treatment with this drug for this condition during the current treatment cycle</w:t>
            </w:r>
          </w:p>
        </w:tc>
      </w:tr>
      <w:tr w:rsidR="00852466" w:rsidRPr="009D76BF" w14:paraId="09F252A9" w14:textId="77777777">
        <w:trPr>
          <w:cantSplit/>
          <w:trHeight w:val="20"/>
        </w:trPr>
        <w:tc>
          <w:tcPr>
            <w:tcW w:w="9137" w:type="dxa"/>
            <w:gridSpan w:val="2"/>
            <w:vAlign w:val="center"/>
          </w:tcPr>
          <w:p w14:paraId="12A974CB"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852466" w:rsidRPr="009D76BF" w14:paraId="01DC9F1C" w14:textId="77777777">
        <w:trPr>
          <w:cantSplit/>
          <w:trHeight w:val="20"/>
        </w:trPr>
        <w:tc>
          <w:tcPr>
            <w:tcW w:w="9137" w:type="dxa"/>
            <w:gridSpan w:val="2"/>
            <w:vAlign w:val="center"/>
          </w:tcPr>
          <w:p w14:paraId="3059D8B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340BA8" w14:paraId="69366D3F" w14:textId="77777777">
        <w:trPr>
          <w:cantSplit/>
          <w:trHeight w:val="20"/>
        </w:trPr>
        <w:tc>
          <w:tcPr>
            <w:tcW w:w="9137" w:type="dxa"/>
            <w:gridSpan w:val="2"/>
            <w:vAlign w:val="center"/>
          </w:tcPr>
          <w:p w14:paraId="07D09D7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have already failed, or ceased to respond to, PBS-subsidised treatment 3 times for this condition within this treatment cycle</w:t>
            </w:r>
          </w:p>
        </w:tc>
      </w:tr>
      <w:tr w:rsidR="00852466" w:rsidRPr="009D76BF" w14:paraId="61DBA4EA" w14:textId="77777777">
        <w:trPr>
          <w:cantSplit/>
          <w:trHeight w:val="20"/>
        </w:trPr>
        <w:tc>
          <w:tcPr>
            <w:tcW w:w="9137" w:type="dxa"/>
            <w:gridSpan w:val="2"/>
            <w:vAlign w:val="center"/>
          </w:tcPr>
          <w:p w14:paraId="6809FA7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76BF" w14:paraId="73714A23" w14:textId="77777777">
        <w:trPr>
          <w:cantSplit/>
          <w:trHeight w:val="20"/>
        </w:trPr>
        <w:tc>
          <w:tcPr>
            <w:tcW w:w="9137" w:type="dxa"/>
            <w:gridSpan w:val="2"/>
            <w:vAlign w:val="center"/>
          </w:tcPr>
          <w:p w14:paraId="4252897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76BF" w14:paraId="2212BAB5" w14:textId="77777777">
        <w:trPr>
          <w:cantSplit/>
          <w:trHeight w:val="20"/>
        </w:trPr>
        <w:tc>
          <w:tcPr>
            <w:tcW w:w="9137" w:type="dxa"/>
            <w:gridSpan w:val="2"/>
            <w:vAlign w:val="center"/>
          </w:tcPr>
          <w:p w14:paraId="5C3616BA"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not receive more than 17 weeks of treatment under this restriction</w:t>
            </w:r>
          </w:p>
        </w:tc>
      </w:tr>
      <w:tr w:rsidR="00852466" w:rsidRPr="009D76BF" w14:paraId="40604681" w14:textId="77777777">
        <w:trPr>
          <w:cantSplit/>
          <w:trHeight w:val="20"/>
        </w:trPr>
        <w:tc>
          <w:tcPr>
            <w:tcW w:w="9137" w:type="dxa"/>
            <w:gridSpan w:val="2"/>
            <w:vAlign w:val="center"/>
          </w:tcPr>
          <w:p w14:paraId="4391832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Population criteria:</w:t>
            </w:r>
          </w:p>
        </w:tc>
      </w:tr>
      <w:tr w:rsidR="00852466" w:rsidRPr="00340BA8" w14:paraId="16AC4EA9" w14:textId="77777777">
        <w:trPr>
          <w:cantSplit/>
          <w:trHeight w:val="20"/>
        </w:trPr>
        <w:tc>
          <w:tcPr>
            <w:tcW w:w="9137" w:type="dxa"/>
            <w:gridSpan w:val="2"/>
            <w:vAlign w:val="center"/>
          </w:tcPr>
          <w:p w14:paraId="487DA19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be under 18 years of age</w:t>
            </w:r>
          </w:p>
        </w:tc>
      </w:tr>
      <w:tr w:rsidR="00852466" w:rsidRPr="009D76BF" w14:paraId="5778C9C1" w14:textId="77777777">
        <w:trPr>
          <w:cantSplit/>
          <w:trHeight w:val="20"/>
        </w:trPr>
        <w:tc>
          <w:tcPr>
            <w:tcW w:w="9137" w:type="dxa"/>
            <w:gridSpan w:val="2"/>
            <w:vAlign w:val="center"/>
          </w:tcPr>
          <w:p w14:paraId="6B525D1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51CA484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584458B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(1) a completed authority prescription form; and</w:t>
            </w:r>
          </w:p>
          <w:p w14:paraId="510C146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852466" w:rsidRPr="009D76BF" w14:paraId="626FE65F" w14:textId="77777777">
        <w:trPr>
          <w:cantSplit/>
          <w:trHeight w:val="20"/>
        </w:trPr>
        <w:tc>
          <w:tcPr>
            <w:tcW w:w="9137" w:type="dxa"/>
            <w:gridSpan w:val="2"/>
            <w:vAlign w:val="center"/>
          </w:tcPr>
          <w:p w14:paraId="4FE0CC6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7E0D61D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the patient is changing from treatment with etanercept a baseline PASI measurement must be provided with this authority application.</w:t>
            </w:r>
          </w:p>
        </w:tc>
      </w:tr>
      <w:tr w:rsidR="00852466" w:rsidRPr="009D76BF" w14:paraId="26EEEDD0" w14:textId="77777777">
        <w:trPr>
          <w:cantSplit/>
          <w:trHeight w:val="20"/>
        </w:trPr>
        <w:tc>
          <w:tcPr>
            <w:tcW w:w="9137" w:type="dxa"/>
            <w:gridSpan w:val="2"/>
            <w:vAlign w:val="center"/>
          </w:tcPr>
          <w:p w14:paraId="79E5C63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Prescribing Instructions:</w:t>
            </w:r>
          </w:p>
          <w:p w14:paraId="7EF227E9" w14:textId="77777777" w:rsidR="00852466" w:rsidRPr="00116AFD" w:rsidRDefault="00852466">
            <w:pPr>
              <w:rPr>
                <w:rFonts w:ascii="Arial Narrow" w:hAnsi="Arial Narrow"/>
                <w:i/>
                <w:iCs/>
                <w:sz w:val="20"/>
                <w:szCs w:val="20"/>
              </w:rPr>
            </w:pPr>
          </w:p>
          <w:p w14:paraId="2AF2004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Response to preceding supply:</w:t>
            </w:r>
          </w:p>
          <w:p w14:paraId="21011CD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adequate response to treatment is defined as:</w:t>
            </w:r>
          </w:p>
          <w:p w14:paraId="42BBA89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Psoriasis Area and Severity Index (PASI) </w:t>
            </w:r>
            <w:proofErr w:type="gramStart"/>
            <w:r w:rsidRPr="00116AFD">
              <w:rPr>
                <w:rFonts w:ascii="Arial Narrow" w:hAnsi="Arial Narrow"/>
                <w:i/>
                <w:iCs/>
                <w:sz w:val="20"/>
                <w:szCs w:val="20"/>
              </w:rPr>
              <w:t>score</w:t>
            </w:r>
            <w:proofErr w:type="gramEnd"/>
            <w:r w:rsidRPr="00116AFD">
              <w:rPr>
                <w:rFonts w:ascii="Arial Narrow" w:hAnsi="Arial Narrow"/>
                <w:i/>
                <w:iCs/>
                <w:sz w:val="20"/>
                <w:szCs w:val="20"/>
              </w:rPr>
              <w:t xml:space="preserve"> which is reduced by 75% or more, or is sustained at this level, when compared with the baseline value for this treatment cycle.</w:t>
            </w:r>
          </w:p>
          <w:p w14:paraId="34406055" w14:textId="77777777" w:rsidR="00852466" w:rsidRPr="00116AFD" w:rsidRDefault="00852466">
            <w:pPr>
              <w:rPr>
                <w:rFonts w:ascii="Arial Narrow" w:hAnsi="Arial Narrow"/>
                <w:i/>
                <w:iCs/>
                <w:sz w:val="20"/>
                <w:szCs w:val="20"/>
              </w:rPr>
            </w:pPr>
          </w:p>
          <w:p w14:paraId="24BC79C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Change in therapy:</w:t>
            </w:r>
          </w:p>
          <w:p w14:paraId="6D991D3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If the patient is changing therapy, in relation to the biological medicine that the patient is changing from, state whether the patient is changing therapy because:</w:t>
            </w:r>
          </w:p>
          <w:p w14:paraId="260290D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there is an absence of an adequate response to that treatment; or</w:t>
            </w:r>
          </w:p>
          <w:p w14:paraId="4B7C25A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there was an intolerance to that treatment; or</w:t>
            </w:r>
          </w:p>
          <w:p w14:paraId="74BD80C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there was an adequate response, but a change in treatment has been made for reasons other than the 2 mentioned above</w:t>
            </w:r>
          </w:p>
          <w:p w14:paraId="2502884C" w14:textId="77777777" w:rsidR="00852466" w:rsidRPr="00116AFD" w:rsidRDefault="00852466">
            <w:pPr>
              <w:rPr>
                <w:rFonts w:ascii="Arial Narrow" w:hAnsi="Arial Narrow"/>
                <w:i/>
                <w:iCs/>
                <w:sz w:val="20"/>
                <w:szCs w:val="20"/>
              </w:rPr>
            </w:pPr>
          </w:p>
          <w:p w14:paraId="6D33870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Recommencing therapy:</w:t>
            </w:r>
          </w:p>
          <w:p w14:paraId="6CCFF2F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If the patient is recommencing therapy, in relation to the last administered dose, state whether there was:</w:t>
            </w:r>
          </w:p>
          <w:p w14:paraId="00A86B9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 an absence of an adequate response; or</w:t>
            </w:r>
          </w:p>
          <w:p w14:paraId="58331C9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an intolerance to that treatment; or</w:t>
            </w:r>
          </w:p>
          <w:p w14:paraId="3BDCF6A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(iii) an adequate response, but a break in therapy was necessary for reasons other than the 2 mentioned above.</w:t>
            </w:r>
          </w:p>
        </w:tc>
      </w:tr>
      <w:tr w:rsidR="00852466" w:rsidRPr="006F6C77" w14:paraId="0A62946D" w14:textId="77777777">
        <w:trPr>
          <w:cantSplit/>
          <w:trHeight w:val="20"/>
        </w:trPr>
        <w:tc>
          <w:tcPr>
            <w:tcW w:w="9137" w:type="dxa"/>
            <w:gridSpan w:val="2"/>
            <w:vAlign w:val="center"/>
          </w:tcPr>
          <w:p w14:paraId="3725FE2F"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Prescribing Instructions:</w:t>
            </w:r>
          </w:p>
          <w:p w14:paraId="47951EB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assessment of response to treatment and the reason for changing therapy must be provided in this application and documented in the patient's medical records.</w:t>
            </w:r>
          </w:p>
          <w:p w14:paraId="3EC799C3" w14:textId="77777777" w:rsidR="00852466" w:rsidRPr="00116AFD" w:rsidRDefault="00852466">
            <w:pPr>
              <w:rPr>
                <w:rFonts w:ascii="Arial Narrow" w:hAnsi="Arial Narrow"/>
                <w:i/>
                <w:iCs/>
                <w:sz w:val="20"/>
                <w:szCs w:val="20"/>
              </w:rPr>
            </w:pPr>
          </w:p>
        </w:tc>
      </w:tr>
    </w:tbl>
    <w:p w14:paraId="02E4D120" w14:textId="77777777" w:rsidR="00852466" w:rsidRPr="009D32BD" w:rsidRDefault="00852466" w:rsidP="00852466">
      <w:pPr>
        <w:rPr>
          <w:color w:val="00B0F0"/>
        </w:rPr>
      </w:pPr>
    </w:p>
    <w:p w14:paraId="1F375C98" w14:textId="77777777" w:rsidR="00852466" w:rsidRPr="009D32BD" w:rsidRDefault="00852466" w:rsidP="00852466">
      <w:pPr>
        <w:rPr>
          <w:color w:val="00B0F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ronic plaque psoriasis (new listing)"/>
      </w:tblPr>
      <w:tblGrid>
        <w:gridCol w:w="3939"/>
        <w:gridCol w:w="876"/>
        <w:gridCol w:w="747"/>
        <w:gridCol w:w="811"/>
        <w:gridCol w:w="812"/>
        <w:gridCol w:w="1837"/>
        <w:gridCol w:w="7"/>
      </w:tblGrid>
      <w:tr w:rsidR="00116AFD" w:rsidRPr="00116AFD" w14:paraId="4A54003F" w14:textId="77777777" w:rsidTr="00116AFD">
        <w:trPr>
          <w:gridAfter w:val="1"/>
          <w:wAfter w:w="7" w:type="dxa"/>
          <w:trHeight w:val="20"/>
        </w:trPr>
        <w:tc>
          <w:tcPr>
            <w:tcW w:w="3939" w:type="dxa"/>
            <w:vAlign w:val="center"/>
          </w:tcPr>
          <w:p w14:paraId="29E7EDE4"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MEDICINAL PRODUCT</w:t>
            </w:r>
          </w:p>
          <w:p w14:paraId="419E16ED" w14:textId="77777777" w:rsidR="00852466" w:rsidRPr="00116AFD" w:rsidRDefault="00852466">
            <w:pPr>
              <w:keepLines/>
              <w:rPr>
                <w:rFonts w:ascii="Arial Narrow" w:hAnsi="Arial Narrow"/>
                <w:b/>
                <w:i/>
                <w:iCs/>
                <w:sz w:val="20"/>
                <w:szCs w:val="20"/>
              </w:rPr>
            </w:pPr>
            <w:r w:rsidRPr="00116AFD">
              <w:rPr>
                <w:rFonts w:ascii="Arial Narrow" w:hAnsi="Arial Narrow"/>
                <w:b/>
                <w:bCs/>
                <w:i/>
                <w:iCs/>
                <w:sz w:val="20"/>
                <w:szCs w:val="20"/>
              </w:rPr>
              <w:t>medicinal product pack</w:t>
            </w:r>
          </w:p>
        </w:tc>
        <w:tc>
          <w:tcPr>
            <w:tcW w:w="876" w:type="dxa"/>
            <w:vAlign w:val="center"/>
          </w:tcPr>
          <w:p w14:paraId="68E2466E"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PBS item code</w:t>
            </w:r>
          </w:p>
        </w:tc>
        <w:tc>
          <w:tcPr>
            <w:tcW w:w="747" w:type="dxa"/>
            <w:vAlign w:val="center"/>
          </w:tcPr>
          <w:p w14:paraId="4BB4DCFA"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packs</w:t>
            </w:r>
          </w:p>
        </w:tc>
        <w:tc>
          <w:tcPr>
            <w:tcW w:w="811" w:type="dxa"/>
            <w:vAlign w:val="center"/>
          </w:tcPr>
          <w:p w14:paraId="748E35B0"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units</w:t>
            </w:r>
          </w:p>
        </w:tc>
        <w:tc>
          <w:tcPr>
            <w:tcW w:w="812" w:type="dxa"/>
            <w:vAlign w:val="center"/>
          </w:tcPr>
          <w:p w14:paraId="0EAE9D19"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№.of</w:t>
            </w:r>
          </w:p>
          <w:p w14:paraId="5BCD7ACF"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Rpts</w:t>
            </w:r>
          </w:p>
        </w:tc>
        <w:tc>
          <w:tcPr>
            <w:tcW w:w="1837" w:type="dxa"/>
            <w:vAlign w:val="center"/>
          </w:tcPr>
          <w:p w14:paraId="74ED2FE9" w14:textId="77777777" w:rsidR="00852466" w:rsidRPr="00116AFD" w:rsidRDefault="00852466">
            <w:pPr>
              <w:keepLines/>
              <w:rPr>
                <w:rFonts w:ascii="Arial Narrow" w:hAnsi="Arial Narrow"/>
                <w:b/>
                <w:i/>
                <w:iCs/>
                <w:sz w:val="20"/>
                <w:szCs w:val="20"/>
                <w:lang w:val="fr-FR"/>
              </w:rPr>
            </w:pPr>
            <w:r w:rsidRPr="00116AFD">
              <w:rPr>
                <w:rFonts w:ascii="Arial Narrow" w:hAnsi="Arial Narrow"/>
                <w:b/>
                <w:i/>
                <w:iCs/>
                <w:sz w:val="20"/>
                <w:szCs w:val="20"/>
              </w:rPr>
              <w:t>Available brands</w:t>
            </w:r>
          </w:p>
        </w:tc>
      </w:tr>
      <w:tr w:rsidR="00116AFD" w:rsidRPr="00116AFD" w14:paraId="1EE72DA1" w14:textId="77777777" w:rsidTr="00116AFD">
        <w:trPr>
          <w:gridAfter w:val="1"/>
          <w:wAfter w:w="7" w:type="dxa"/>
          <w:trHeight w:val="20"/>
        </w:trPr>
        <w:tc>
          <w:tcPr>
            <w:tcW w:w="9022" w:type="dxa"/>
            <w:gridSpan w:val="6"/>
            <w:vAlign w:val="center"/>
          </w:tcPr>
          <w:p w14:paraId="139A3B72"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ADALIMUMAB</w:t>
            </w:r>
          </w:p>
        </w:tc>
      </w:tr>
      <w:tr w:rsidR="00116AFD" w:rsidRPr="00116AFD" w14:paraId="0B0FE4DA" w14:textId="77777777" w:rsidTr="00116AFD">
        <w:trPr>
          <w:gridAfter w:val="1"/>
          <w:wAfter w:w="7" w:type="dxa"/>
          <w:trHeight w:val="20"/>
        </w:trPr>
        <w:tc>
          <w:tcPr>
            <w:tcW w:w="3939" w:type="dxa"/>
            <w:vAlign w:val="center"/>
          </w:tcPr>
          <w:p w14:paraId="25CE2938"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20 mg/0.2 mL injection, 2 x 0.2 mL syringes </w:t>
            </w:r>
          </w:p>
        </w:tc>
        <w:tc>
          <w:tcPr>
            <w:tcW w:w="876" w:type="dxa"/>
            <w:vAlign w:val="center"/>
          </w:tcPr>
          <w:p w14:paraId="711017DE"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11708747"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25026A5D"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68B734C5"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837" w:type="dxa"/>
            <w:vAlign w:val="center"/>
          </w:tcPr>
          <w:p w14:paraId="5770523D"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tc>
      </w:tr>
      <w:tr w:rsidR="00116AFD" w:rsidRPr="00116AFD" w14:paraId="5E80144A" w14:textId="77777777" w:rsidTr="00116AFD">
        <w:trPr>
          <w:gridAfter w:val="1"/>
          <w:wAfter w:w="7" w:type="dxa"/>
          <w:trHeight w:val="20"/>
        </w:trPr>
        <w:tc>
          <w:tcPr>
            <w:tcW w:w="3939" w:type="dxa"/>
            <w:vAlign w:val="center"/>
          </w:tcPr>
          <w:p w14:paraId="7BCB27E1"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pen devices</w:t>
            </w:r>
          </w:p>
        </w:tc>
        <w:tc>
          <w:tcPr>
            <w:tcW w:w="876" w:type="dxa"/>
            <w:vAlign w:val="center"/>
          </w:tcPr>
          <w:p w14:paraId="3BC5D4C8"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2F80C1D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79983B80"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602F8FC4"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837" w:type="dxa"/>
            <w:vAlign w:val="center"/>
          </w:tcPr>
          <w:p w14:paraId="1BAB2C32"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10CB336A" w14:textId="77777777" w:rsidR="00852466" w:rsidRPr="00116AFD" w:rsidRDefault="00852466">
            <w:pPr>
              <w:keepLines/>
              <w:rPr>
                <w:rFonts w:ascii="Arial Narrow" w:hAnsi="Arial Narrow"/>
                <w:i/>
                <w:iCs/>
                <w:sz w:val="20"/>
                <w:szCs w:val="20"/>
              </w:rPr>
            </w:pPr>
          </w:p>
        </w:tc>
      </w:tr>
      <w:tr w:rsidR="00116AFD" w:rsidRPr="00116AFD" w14:paraId="4AFBC144" w14:textId="77777777" w:rsidTr="00116AFD">
        <w:trPr>
          <w:gridAfter w:val="1"/>
          <w:wAfter w:w="7" w:type="dxa"/>
          <w:trHeight w:val="20"/>
        </w:trPr>
        <w:tc>
          <w:tcPr>
            <w:tcW w:w="3939" w:type="dxa"/>
            <w:vAlign w:val="center"/>
          </w:tcPr>
          <w:p w14:paraId="72975038"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syringes</w:t>
            </w:r>
          </w:p>
        </w:tc>
        <w:tc>
          <w:tcPr>
            <w:tcW w:w="876" w:type="dxa"/>
            <w:vAlign w:val="center"/>
          </w:tcPr>
          <w:p w14:paraId="31ED5F6B"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47" w:type="dxa"/>
            <w:vAlign w:val="center"/>
          </w:tcPr>
          <w:p w14:paraId="7A725513"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11" w:type="dxa"/>
            <w:vAlign w:val="center"/>
          </w:tcPr>
          <w:p w14:paraId="0F36A58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12" w:type="dxa"/>
            <w:vAlign w:val="center"/>
          </w:tcPr>
          <w:p w14:paraId="3E77F30C"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837" w:type="dxa"/>
            <w:vAlign w:val="center"/>
          </w:tcPr>
          <w:p w14:paraId="1AB3DB25"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00EACE5F" w14:textId="77777777" w:rsidR="00852466" w:rsidRPr="00116AFD" w:rsidRDefault="00852466">
            <w:pPr>
              <w:keepLines/>
              <w:rPr>
                <w:rFonts w:ascii="Arial Narrow" w:hAnsi="Arial Narrow"/>
                <w:i/>
                <w:iCs/>
                <w:sz w:val="20"/>
                <w:szCs w:val="20"/>
              </w:rPr>
            </w:pPr>
          </w:p>
        </w:tc>
      </w:tr>
      <w:tr w:rsidR="00116AFD" w:rsidRPr="00116AFD" w14:paraId="3D3CD0FB"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373234BB" w14:textId="77777777" w:rsidR="00852466" w:rsidRPr="00116AFD" w:rsidRDefault="00852466">
            <w:pPr>
              <w:rPr>
                <w:rFonts w:ascii="Arial Narrow" w:hAnsi="Arial Narrow"/>
                <w:i/>
                <w:iCs/>
                <w:sz w:val="20"/>
                <w:szCs w:val="20"/>
              </w:rPr>
            </w:pPr>
          </w:p>
          <w:p w14:paraId="1C1DC5E0" w14:textId="77777777" w:rsidR="00852466" w:rsidRPr="00116AFD" w:rsidRDefault="00852466">
            <w:pPr>
              <w:rPr>
                <w:rFonts w:ascii="Arial Narrow" w:hAnsi="Arial Narrow"/>
                <w:i/>
                <w:iCs/>
                <w:sz w:val="20"/>
                <w:szCs w:val="20"/>
              </w:rPr>
            </w:pPr>
          </w:p>
        </w:tc>
      </w:tr>
      <w:tr w:rsidR="00852466" w:rsidRPr="009D32BD" w14:paraId="243F8426"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12A0646" w14:textId="77777777" w:rsidR="00852466" w:rsidRPr="00116AFD" w:rsidRDefault="00852466">
            <w:pPr>
              <w:keepLines/>
              <w:rPr>
                <w:rFonts w:ascii="Arial Narrow" w:hAnsi="Arial Narrow"/>
                <w:i/>
                <w:iCs/>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852466" w:rsidRPr="009D32BD" w14:paraId="0272ECB2"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3BD5BAE" w14:textId="77777777" w:rsidR="00852466" w:rsidRPr="00116AFD" w:rsidRDefault="00852466">
            <w:pPr>
              <w:keepLines/>
              <w:rPr>
                <w:rFonts w:ascii="Arial Narrow" w:hAnsi="Arial Narrow"/>
                <w:b/>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852466" w:rsidRPr="009D32BD" w14:paraId="26824080"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DEF0AE9" w14:textId="77777777" w:rsidR="00852466" w:rsidRPr="00116AFD" w:rsidRDefault="00852466">
            <w:pPr>
              <w:keepLines/>
              <w:rPr>
                <w:rFonts w:ascii="Arial Narrow" w:eastAsia="Calibri" w:hAnsi="Arial Narrow"/>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852466" w:rsidRPr="009D32BD" w14:paraId="586351F6"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DF12D4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[overarching admin note not reproduced for conciseness]</w:t>
            </w:r>
          </w:p>
        </w:tc>
      </w:tr>
      <w:tr w:rsidR="00852466" w:rsidRPr="009D32BD" w14:paraId="098263FA"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54C41B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number of repeats may be authorised.</w:t>
            </w:r>
          </w:p>
        </w:tc>
      </w:tr>
      <w:tr w:rsidR="00852466" w:rsidRPr="009D32BD" w14:paraId="0415C88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A42146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quantity or number of units may be authorised.</w:t>
            </w:r>
          </w:p>
        </w:tc>
      </w:tr>
      <w:tr w:rsidR="00852466" w:rsidRPr="009D32BD" w14:paraId="57F07FE9"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2BAA85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p>
          <w:p w14:paraId="5DD95F3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Any queries concerning the arrangements to prescribe may be directed to Services Australia on 1800 700 270 (hours of operation 8 a.m. to 5 p.m. Monday to Friday).</w:t>
            </w:r>
          </w:p>
          <w:p w14:paraId="77265E46" w14:textId="77777777" w:rsidR="00852466" w:rsidRPr="00116AFD" w:rsidRDefault="00852466">
            <w:pPr>
              <w:rPr>
                <w:rFonts w:ascii="Arial Narrow" w:hAnsi="Arial Narrow"/>
                <w:i/>
                <w:iCs/>
                <w:sz w:val="20"/>
                <w:szCs w:val="20"/>
              </w:rPr>
            </w:pPr>
          </w:p>
          <w:p w14:paraId="15FBA47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71E0EE3F" w14:textId="77777777" w:rsidR="00852466" w:rsidRPr="00116AFD" w:rsidRDefault="00852466">
            <w:pPr>
              <w:rPr>
                <w:rFonts w:ascii="Arial Narrow" w:hAnsi="Arial Narrow"/>
                <w:i/>
                <w:iCs/>
                <w:sz w:val="20"/>
                <w:szCs w:val="20"/>
              </w:rPr>
            </w:pPr>
          </w:p>
          <w:p w14:paraId="5D20ED9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534843ED" w14:textId="77777777" w:rsidR="00852466" w:rsidRPr="00116AFD" w:rsidRDefault="00852466">
            <w:pPr>
              <w:rPr>
                <w:rFonts w:ascii="Arial Narrow" w:hAnsi="Arial Narrow"/>
                <w:i/>
                <w:iCs/>
                <w:sz w:val="20"/>
                <w:szCs w:val="20"/>
              </w:rPr>
            </w:pPr>
          </w:p>
          <w:p w14:paraId="1662B52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Or mailed to:</w:t>
            </w:r>
          </w:p>
          <w:p w14:paraId="63CCCC78"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Services Australia</w:t>
            </w:r>
          </w:p>
          <w:p w14:paraId="42CD0AF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Complex Drugs</w:t>
            </w:r>
          </w:p>
          <w:p w14:paraId="4F2B34E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Reply Paid 9826</w:t>
            </w:r>
          </w:p>
          <w:p w14:paraId="47991CBE"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HOBART TAS 7001</w:t>
            </w:r>
          </w:p>
        </w:tc>
      </w:tr>
      <w:tr w:rsidR="00852466" w:rsidRPr="009D32BD" w14:paraId="6F0E1BDC" w14:textId="77777777" w:rsidTr="00116AFD">
        <w:tblPrEx>
          <w:tblCellMar>
            <w:top w:w="15" w:type="dxa"/>
            <w:bottom w:w="15" w:type="dxa"/>
          </w:tblCellMar>
        </w:tblPrEx>
        <w:trPr>
          <w:trHeight w:val="20"/>
        </w:trPr>
        <w:tc>
          <w:tcPr>
            <w:tcW w:w="9029" w:type="dxa"/>
            <w:gridSpan w:val="7"/>
            <w:vAlign w:val="center"/>
            <w:hideMark/>
          </w:tcPr>
          <w:p w14:paraId="4067F426" w14:textId="77777777" w:rsidR="00852466" w:rsidRPr="00116AFD" w:rsidRDefault="00852466">
            <w:pPr>
              <w:keepLines/>
              <w:rPr>
                <w:rFonts w:ascii="Arial Narrow" w:hAnsi="Arial Narrow"/>
                <w:i/>
                <w:iCs/>
                <w:sz w:val="20"/>
                <w:szCs w:val="20"/>
              </w:rPr>
            </w:pPr>
            <w:r w:rsidRPr="00116AFD">
              <w:rPr>
                <w:rFonts w:ascii="Arial Narrow" w:hAnsi="Arial Narrow"/>
                <w:b/>
                <w:bCs/>
                <w:i/>
                <w:iCs/>
                <w:sz w:val="20"/>
                <w:szCs w:val="20"/>
              </w:rPr>
              <w:t>Indication:</w:t>
            </w:r>
            <w:r w:rsidRPr="00116AFD">
              <w:rPr>
                <w:rFonts w:ascii="Arial Narrow" w:hAnsi="Arial Narrow"/>
                <w:i/>
                <w:iCs/>
                <w:sz w:val="20"/>
                <w:szCs w:val="20"/>
              </w:rPr>
              <w:t xml:space="preserve"> Severe chronic plaque psoriasis </w:t>
            </w:r>
          </w:p>
        </w:tc>
      </w:tr>
      <w:tr w:rsidR="00852466" w:rsidRPr="009D32BD" w14:paraId="0DA29371" w14:textId="77777777" w:rsidTr="00116AFD">
        <w:tblPrEx>
          <w:tblCellMar>
            <w:top w:w="15" w:type="dxa"/>
            <w:bottom w:w="15" w:type="dxa"/>
          </w:tblCellMar>
        </w:tblPrEx>
        <w:trPr>
          <w:trHeight w:val="20"/>
        </w:trPr>
        <w:tc>
          <w:tcPr>
            <w:tcW w:w="9029" w:type="dxa"/>
            <w:gridSpan w:val="7"/>
            <w:vAlign w:val="center"/>
            <w:hideMark/>
          </w:tcPr>
          <w:p w14:paraId="0B4FC0C2"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First continuing treatment, Whole body</w:t>
            </w:r>
          </w:p>
        </w:tc>
      </w:tr>
      <w:tr w:rsidR="00852466" w:rsidRPr="009D32BD" w14:paraId="45E351C5"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0FF1C0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852466" w:rsidRPr="009D32BD" w14:paraId="67804551"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CC4DDD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Must be treated by a dermatologist </w:t>
            </w:r>
          </w:p>
        </w:tc>
      </w:tr>
      <w:tr w:rsidR="00852466" w:rsidRPr="009D32BD" w14:paraId="1FE378E1"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EF0330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32BD" w14:paraId="616C767C" w14:textId="77777777" w:rsidTr="00116AFD">
        <w:tblPrEx>
          <w:tblCellMar>
            <w:top w:w="15" w:type="dxa"/>
            <w:bottom w:w="15" w:type="dxa"/>
          </w:tblCellMar>
        </w:tblPrEx>
        <w:trPr>
          <w:trHeight w:val="20"/>
        </w:trPr>
        <w:tc>
          <w:tcPr>
            <w:tcW w:w="9029" w:type="dxa"/>
            <w:gridSpan w:val="7"/>
            <w:vAlign w:val="center"/>
            <w:hideMark/>
          </w:tcPr>
          <w:p w14:paraId="74A10C94"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852466" w:rsidRPr="009D32BD" w14:paraId="3E704CE4" w14:textId="77777777" w:rsidTr="00116AFD">
        <w:tblPrEx>
          <w:tblCellMar>
            <w:top w:w="15" w:type="dxa"/>
            <w:bottom w:w="15" w:type="dxa"/>
          </w:tblCellMar>
        </w:tblPrEx>
        <w:trPr>
          <w:trHeight w:val="20"/>
        </w:trPr>
        <w:tc>
          <w:tcPr>
            <w:tcW w:w="9029" w:type="dxa"/>
            <w:gridSpan w:val="7"/>
            <w:vAlign w:val="center"/>
            <w:hideMark/>
          </w:tcPr>
          <w:p w14:paraId="190A6278"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Patient must have received this drug as their most recent course of PBS-subsidised treatment for this condition</w:t>
            </w:r>
          </w:p>
        </w:tc>
      </w:tr>
      <w:tr w:rsidR="00852466" w:rsidRPr="009D32BD" w14:paraId="18654E6F" w14:textId="77777777" w:rsidTr="00116AFD">
        <w:tblPrEx>
          <w:tblCellMar>
            <w:top w:w="15" w:type="dxa"/>
            <w:bottom w:w="15" w:type="dxa"/>
          </w:tblCellMar>
        </w:tblPrEx>
        <w:trPr>
          <w:trHeight w:val="20"/>
        </w:trPr>
        <w:tc>
          <w:tcPr>
            <w:tcW w:w="9029" w:type="dxa"/>
            <w:gridSpan w:val="7"/>
            <w:vAlign w:val="center"/>
            <w:hideMark/>
          </w:tcPr>
          <w:p w14:paraId="7542A29D"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AND</w:t>
            </w:r>
          </w:p>
        </w:tc>
      </w:tr>
      <w:tr w:rsidR="00852466" w:rsidRPr="009D32BD" w14:paraId="74B11C36"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17EB34C" w14:textId="77777777" w:rsidR="00852466" w:rsidRPr="00116AFD" w:rsidRDefault="00852466">
            <w:pPr>
              <w:jc w:val="left"/>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32BD" w14:paraId="008FB8EB"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99426E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53A51E7E" w14:textId="77777777" w:rsidR="00852466" w:rsidRPr="00116AFD" w:rsidRDefault="00852466">
            <w:pPr>
              <w:jc w:val="left"/>
              <w:rPr>
                <w:rFonts w:ascii="Arial Narrow" w:hAnsi="Arial Narrow"/>
                <w:b/>
                <w:bCs/>
                <w:i/>
                <w:iCs/>
                <w:sz w:val="20"/>
                <w:szCs w:val="20"/>
              </w:rPr>
            </w:pPr>
          </w:p>
        </w:tc>
      </w:tr>
      <w:tr w:rsidR="00852466" w:rsidRPr="009D32BD" w14:paraId="6D98FE2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4B5CD7D" w14:textId="77777777" w:rsidR="00852466" w:rsidRPr="00116AFD" w:rsidRDefault="00852466">
            <w:pPr>
              <w:jc w:val="left"/>
              <w:rPr>
                <w:rFonts w:ascii="Arial Narrow" w:hAnsi="Arial Narrow"/>
                <w:b/>
                <w:bCs/>
                <w:i/>
                <w:iCs/>
                <w:sz w:val="20"/>
                <w:szCs w:val="20"/>
              </w:rPr>
            </w:pPr>
            <w:r w:rsidRPr="00116AFD">
              <w:rPr>
                <w:rFonts w:ascii="Arial Narrow" w:hAnsi="Arial Narrow"/>
                <w:i/>
                <w:iCs/>
                <w:sz w:val="20"/>
                <w:szCs w:val="20"/>
              </w:rPr>
              <w:t>The treatment must be in combination with methotrexate,</w:t>
            </w:r>
          </w:p>
        </w:tc>
      </w:tr>
      <w:tr w:rsidR="00852466" w:rsidRPr="009D32BD" w14:paraId="28DC4AE5"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15A863B" w14:textId="77777777" w:rsidR="00852466" w:rsidRPr="00116AFD" w:rsidRDefault="00852466">
            <w:pPr>
              <w:jc w:val="left"/>
              <w:rPr>
                <w:rFonts w:ascii="Arial Narrow" w:hAnsi="Arial Narrow"/>
                <w:b/>
                <w:bCs/>
                <w:i/>
                <w:iCs/>
                <w:sz w:val="20"/>
                <w:szCs w:val="20"/>
              </w:rPr>
            </w:pPr>
            <w:r w:rsidRPr="00116AFD">
              <w:rPr>
                <w:rFonts w:ascii="Arial Narrow" w:hAnsi="Arial Narrow"/>
                <w:b/>
                <w:bCs/>
                <w:i/>
                <w:iCs/>
                <w:sz w:val="20"/>
                <w:szCs w:val="20"/>
              </w:rPr>
              <w:t>AND</w:t>
            </w:r>
          </w:p>
        </w:tc>
      </w:tr>
      <w:tr w:rsidR="00852466" w:rsidRPr="009D32BD" w14:paraId="659B869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2631F548"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Clinical criteria:</w:t>
            </w:r>
          </w:p>
        </w:tc>
      </w:tr>
      <w:tr w:rsidR="00852466" w:rsidRPr="009D32BD" w14:paraId="376E6C7B"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hideMark/>
          </w:tcPr>
          <w:p w14:paraId="1A8690D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demonstrated an adequate response to treatment with this drug</w:t>
            </w:r>
          </w:p>
        </w:tc>
      </w:tr>
      <w:tr w:rsidR="00852466" w:rsidRPr="009D32BD" w14:paraId="38130C12"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2447A4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32BD" w14:paraId="47A79670"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DC2DD1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852466" w:rsidRPr="009D32BD" w14:paraId="42773EE1"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343288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been assessed for response to treatment after at least 12 weeks treatment with the preceding supply of this biological medicine</w:t>
            </w:r>
          </w:p>
        </w:tc>
      </w:tr>
      <w:tr w:rsidR="00852466" w:rsidRPr="009D32BD" w14:paraId="5C10F2EF"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3B4042C"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AND </w:t>
            </w:r>
          </w:p>
        </w:tc>
      </w:tr>
      <w:tr w:rsidR="00852466" w:rsidRPr="009D32BD" w14:paraId="125AE92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144AAD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32BD" w14:paraId="1103AEF1"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4AF37F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receive more than 24 weeks of treatment under this restriction</w:t>
            </w:r>
          </w:p>
        </w:tc>
      </w:tr>
      <w:tr w:rsidR="00852466" w:rsidRPr="009D32BD" w14:paraId="4790C697" w14:textId="77777777" w:rsidTr="00116AFD">
        <w:tblPrEx>
          <w:tblCellMar>
            <w:top w:w="15" w:type="dxa"/>
            <w:bottom w:w="15" w:type="dxa"/>
          </w:tblCellMar>
        </w:tblPrEx>
        <w:trPr>
          <w:trHeight w:val="20"/>
        </w:trPr>
        <w:tc>
          <w:tcPr>
            <w:tcW w:w="9029" w:type="dxa"/>
            <w:gridSpan w:val="7"/>
            <w:vAlign w:val="center"/>
            <w:hideMark/>
          </w:tcPr>
          <w:p w14:paraId="555B18B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22CFCAB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adequate response to treatment is defined as:</w:t>
            </w:r>
          </w:p>
          <w:p w14:paraId="189FDA9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Psoriasis Area and Severity Index (PASI) </w:t>
            </w:r>
            <w:proofErr w:type="gramStart"/>
            <w:r w:rsidRPr="00116AFD">
              <w:rPr>
                <w:rFonts w:ascii="Arial Narrow" w:hAnsi="Arial Narrow"/>
                <w:i/>
                <w:iCs/>
                <w:sz w:val="20"/>
                <w:szCs w:val="20"/>
              </w:rPr>
              <w:t>score</w:t>
            </w:r>
            <w:proofErr w:type="gramEnd"/>
            <w:r w:rsidRPr="00116AFD">
              <w:rPr>
                <w:rFonts w:ascii="Arial Narrow" w:hAnsi="Arial Narrow"/>
                <w:i/>
                <w:iCs/>
                <w:sz w:val="20"/>
                <w:szCs w:val="20"/>
              </w:rPr>
              <w:t xml:space="preserve"> which is reduced by 75% or more, or is sustained at this level, when compared with the baseline value for this treatment cycle. </w:t>
            </w:r>
          </w:p>
        </w:tc>
      </w:tr>
      <w:tr w:rsidR="00852466" w:rsidRPr="009D32BD" w14:paraId="29308C62"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81F678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07D2486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9D32BD" w14:paraId="0660A1C0"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68653D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2A4AF01E"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17EA6B4B"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details of the proposed prescription(s); and</w:t>
            </w:r>
          </w:p>
          <w:p w14:paraId="1722DF2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p w14:paraId="2FD7E33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most recent PASI assessment must be no more than 1 month old at the time of application.</w:t>
            </w:r>
          </w:p>
          <w:p w14:paraId="08356F9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Approval will be based on the PASI assessment of response to the most recent course of treatment with this drug.</w:t>
            </w:r>
          </w:p>
          <w:p w14:paraId="05075BF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PASI assessment for continuing treatment must be performed on the same affected area assessed at baseline.</w:t>
            </w:r>
          </w:p>
        </w:tc>
      </w:tr>
      <w:tr w:rsidR="00116AFD" w:rsidRPr="00116AFD" w14:paraId="620274BD"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vAlign w:val="center"/>
          </w:tcPr>
          <w:p w14:paraId="4429F600" w14:textId="77777777" w:rsidR="00852466" w:rsidRPr="00116AFD" w:rsidRDefault="00852466">
            <w:pPr>
              <w:rPr>
                <w:rFonts w:ascii="Arial Narrow" w:hAnsi="Arial Narrow"/>
                <w:bCs/>
                <w:i/>
                <w:iCs/>
                <w:sz w:val="20"/>
                <w:szCs w:val="20"/>
              </w:rPr>
            </w:pPr>
          </w:p>
          <w:p w14:paraId="18CF4122" w14:textId="77777777" w:rsidR="00852466" w:rsidRPr="00116AFD" w:rsidRDefault="00852466">
            <w:pPr>
              <w:rPr>
                <w:rFonts w:ascii="Arial Narrow" w:hAnsi="Arial Narrow"/>
                <w:bCs/>
                <w:i/>
                <w:iCs/>
                <w:sz w:val="20"/>
                <w:szCs w:val="20"/>
              </w:rPr>
            </w:pPr>
          </w:p>
        </w:tc>
      </w:tr>
      <w:tr w:rsidR="00116AFD" w:rsidRPr="00116AFD" w14:paraId="690523F1"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vAlign w:val="center"/>
          </w:tcPr>
          <w:p w14:paraId="13456A21" w14:textId="77777777" w:rsidR="00852466" w:rsidRPr="00116AFD" w:rsidRDefault="00852466">
            <w:pPr>
              <w:rPr>
                <w:rFonts w:ascii="Arial Narrow" w:hAnsi="Arial Narrow"/>
                <w:i/>
                <w:iCs/>
                <w:sz w:val="20"/>
                <w:szCs w:val="20"/>
              </w:rPr>
            </w:pPr>
          </w:p>
        </w:tc>
      </w:tr>
      <w:tr w:rsidR="00852466" w:rsidRPr="009D32BD" w14:paraId="1EDEF37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540B7FC"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852466" w:rsidRPr="009D32BD" w14:paraId="0B42DD8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A2E3F64"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852466" w:rsidRPr="009D32BD" w14:paraId="59684B9B"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F389992"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(in writing only via post/HPOS upload) </w:t>
            </w:r>
          </w:p>
        </w:tc>
      </w:tr>
      <w:tr w:rsidR="00852466" w:rsidRPr="009D32BD" w14:paraId="7BE5CDC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12963C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852466" w:rsidRPr="009D32BD" w14:paraId="2171186F"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A13B77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First continuing treatment (Face, hand, foot)</w:t>
            </w:r>
          </w:p>
        </w:tc>
      </w:tr>
      <w:tr w:rsidR="00852466" w:rsidRPr="009D32BD" w14:paraId="7A76464D"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AC31E83"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852466" w:rsidRPr="009D32BD" w14:paraId="4A3585D2"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673F973"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 xml:space="preserve">Must be treated by a dermatologist </w:t>
            </w:r>
          </w:p>
        </w:tc>
      </w:tr>
      <w:tr w:rsidR="00852466" w:rsidRPr="009D32BD" w14:paraId="117C8FEE"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25BA95A"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32BD" w14:paraId="0B5A4B15"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2AA53B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received this drug as their most recent course of PBS-subsidised treatment for this condition</w:t>
            </w:r>
          </w:p>
        </w:tc>
      </w:tr>
      <w:tr w:rsidR="00852466" w:rsidRPr="009D32BD" w14:paraId="510AA3F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1FF0FB7"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AND</w:t>
            </w:r>
          </w:p>
        </w:tc>
      </w:tr>
      <w:tr w:rsidR="00852466" w:rsidRPr="009D32BD" w14:paraId="7BDBB56A"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0411552"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852466" w:rsidRPr="009D32BD" w14:paraId="7248217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6CBA06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as systemic monotherapy; OR</w:t>
            </w:r>
          </w:p>
          <w:p w14:paraId="3CD5D48E" w14:textId="77777777" w:rsidR="00852466" w:rsidRPr="00116AFD" w:rsidRDefault="00852466">
            <w:pPr>
              <w:rPr>
                <w:rFonts w:ascii="Arial Narrow" w:hAnsi="Arial Narrow"/>
                <w:i/>
                <w:iCs/>
                <w:sz w:val="20"/>
                <w:szCs w:val="20"/>
              </w:rPr>
            </w:pPr>
          </w:p>
        </w:tc>
      </w:tr>
      <w:tr w:rsidR="00852466" w:rsidRPr="009D32BD" w14:paraId="0CDA7C54"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4383F1F"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treatment must be in combination with methotrexate,</w:t>
            </w:r>
          </w:p>
        </w:tc>
      </w:tr>
      <w:tr w:rsidR="00852466" w:rsidRPr="009D32BD" w14:paraId="1F638B06"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4E063DB"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32BD" w14:paraId="4C3D4F1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8D91D13"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852466" w:rsidRPr="009D32BD" w14:paraId="52BC72D8"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70F5854"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demonstrated an adequate response to treatment with this drug</w:t>
            </w:r>
          </w:p>
        </w:tc>
      </w:tr>
      <w:tr w:rsidR="00852466" w:rsidRPr="009D32BD" w14:paraId="56349404"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28EAAA0"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AND</w:t>
            </w:r>
          </w:p>
        </w:tc>
      </w:tr>
      <w:tr w:rsidR="00852466" w:rsidRPr="009D32BD" w14:paraId="5AF7E5A6"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A1F39C4"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Clinical criteria:</w:t>
            </w:r>
          </w:p>
        </w:tc>
      </w:tr>
      <w:tr w:rsidR="00852466" w:rsidRPr="009D32BD" w14:paraId="5FA33EC1"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331FC2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been assessed for response to treatment after at least 12 weeks treatment with the preceding supply of this biological medicine</w:t>
            </w:r>
          </w:p>
        </w:tc>
      </w:tr>
      <w:tr w:rsidR="00852466" w:rsidRPr="009D32BD" w14:paraId="0E08B93A"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4AB632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852466" w:rsidRPr="009D32BD" w14:paraId="1961763A"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FB68D8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852466" w:rsidRPr="009D32BD" w14:paraId="0B6B3AA3"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B014970"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not receive more than 24 weeks of treatment under this restriction</w:t>
            </w:r>
          </w:p>
        </w:tc>
      </w:tr>
      <w:tr w:rsidR="00852466" w:rsidRPr="009D32BD" w14:paraId="6335564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BB536B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6201BAF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adequate response to treatment is defined as the plaque or plaques assessed prior to biological treatment showing:</w:t>
            </w:r>
          </w:p>
          <w:p w14:paraId="776F5CF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(i) a reduction in the Psoriasis Area and Severity Index (PASI) symptom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for all 3 of erythema, thickness and scaling, to slight or better, or sustained at this level, as compared to the baseline values; or</w:t>
            </w:r>
          </w:p>
          <w:p w14:paraId="064D6C0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(ii) a reduction by 75% or more in the skin area affected, or sustained at this level, as compared to the baseline value for this treatment cycle.</w:t>
            </w:r>
          </w:p>
        </w:tc>
      </w:tr>
      <w:tr w:rsidR="00852466" w:rsidRPr="009D32BD" w14:paraId="67D90F2D"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03BBB8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5E9727A7"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52466" w:rsidRPr="009D32BD" w14:paraId="473AAD4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0D282591"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5835D49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authority application must be made in writing and must include:</w:t>
            </w:r>
          </w:p>
          <w:p w14:paraId="24295F14"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 details of the proposed prescription(s); and</w:t>
            </w:r>
          </w:p>
          <w:p w14:paraId="62313AE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15ADE2C6"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most recent PASI assessment must be no more than 1 month old at the time of application.</w:t>
            </w:r>
          </w:p>
          <w:p w14:paraId="4AE18F82"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Approval will be based on the PASI assessment of response to the most recent course of treatment with this drug.</w:t>
            </w:r>
          </w:p>
          <w:p w14:paraId="4A4B564D"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PASI assessment for continuing treatment must be performed on the same affected area assessed at baseline.</w:t>
            </w:r>
          </w:p>
        </w:tc>
      </w:tr>
    </w:tbl>
    <w:p w14:paraId="31164673" w14:textId="77777777" w:rsidR="00852466" w:rsidRDefault="00852466" w:rsidP="00852466"/>
    <w:p w14:paraId="3E997275" w14:textId="77777777" w:rsidR="00852466" w:rsidRDefault="00852466" w:rsidP="00852466"/>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Chronic plaque psoriasis (new listing)"/>
      </w:tblPr>
      <w:tblGrid>
        <w:gridCol w:w="426"/>
        <w:gridCol w:w="1275"/>
        <w:gridCol w:w="2384"/>
        <w:gridCol w:w="909"/>
        <w:gridCol w:w="775"/>
        <w:gridCol w:w="841"/>
        <w:gridCol w:w="842"/>
        <w:gridCol w:w="1620"/>
      </w:tblGrid>
      <w:tr w:rsidR="00116AFD" w:rsidRPr="00116AFD" w14:paraId="766DD0F7" w14:textId="77777777">
        <w:trPr>
          <w:trHeight w:val="20"/>
        </w:trPr>
        <w:tc>
          <w:tcPr>
            <w:tcW w:w="9073" w:type="dxa"/>
            <w:gridSpan w:val="8"/>
            <w:tcBorders>
              <w:top w:val="single" w:sz="4" w:space="0" w:color="auto"/>
              <w:left w:val="single" w:sz="4" w:space="0" w:color="auto"/>
              <w:bottom w:val="single" w:sz="4" w:space="0" w:color="auto"/>
              <w:right w:val="single" w:sz="4" w:space="0" w:color="auto"/>
            </w:tcBorders>
            <w:vAlign w:val="center"/>
          </w:tcPr>
          <w:p w14:paraId="1FC8D3B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ADALIMUMAB</w:t>
            </w:r>
          </w:p>
        </w:tc>
      </w:tr>
      <w:tr w:rsidR="00116AFD" w:rsidRPr="00116AFD" w14:paraId="2CEC9A3B" w14:textId="77777777">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6DF67F40"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20 mg/0.2 mL injection, 2 x 0.2 mL syringes </w:t>
            </w:r>
          </w:p>
        </w:tc>
        <w:tc>
          <w:tcPr>
            <w:tcW w:w="909" w:type="dxa"/>
            <w:vAlign w:val="center"/>
          </w:tcPr>
          <w:p w14:paraId="247CAD44"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75" w:type="dxa"/>
            <w:vAlign w:val="center"/>
          </w:tcPr>
          <w:p w14:paraId="5E0FDCA6"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41" w:type="dxa"/>
            <w:vAlign w:val="center"/>
          </w:tcPr>
          <w:p w14:paraId="2190A911"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42" w:type="dxa"/>
            <w:vAlign w:val="center"/>
          </w:tcPr>
          <w:p w14:paraId="45B2C612"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620" w:type="dxa"/>
            <w:vAlign w:val="center"/>
          </w:tcPr>
          <w:p w14:paraId="766572A8"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tc>
      </w:tr>
      <w:tr w:rsidR="00116AFD" w:rsidRPr="00116AFD" w14:paraId="3FE015FF" w14:textId="77777777">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0BE5A560"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pen devices</w:t>
            </w:r>
          </w:p>
        </w:tc>
        <w:tc>
          <w:tcPr>
            <w:tcW w:w="909" w:type="dxa"/>
            <w:vAlign w:val="center"/>
          </w:tcPr>
          <w:p w14:paraId="0406027C"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75" w:type="dxa"/>
            <w:vAlign w:val="center"/>
          </w:tcPr>
          <w:p w14:paraId="759A01C5"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41" w:type="dxa"/>
            <w:vAlign w:val="center"/>
          </w:tcPr>
          <w:p w14:paraId="3042E1A5"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42" w:type="dxa"/>
            <w:vAlign w:val="center"/>
          </w:tcPr>
          <w:p w14:paraId="10D7532E"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620" w:type="dxa"/>
            <w:vAlign w:val="center"/>
          </w:tcPr>
          <w:p w14:paraId="2F9ED631"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7B8BDE67" w14:textId="77777777" w:rsidR="00852466" w:rsidRPr="00116AFD" w:rsidRDefault="00852466">
            <w:pPr>
              <w:keepLines/>
              <w:rPr>
                <w:rFonts w:ascii="Arial Narrow" w:hAnsi="Arial Narrow"/>
                <w:i/>
                <w:iCs/>
                <w:sz w:val="20"/>
                <w:szCs w:val="20"/>
              </w:rPr>
            </w:pPr>
          </w:p>
        </w:tc>
      </w:tr>
      <w:tr w:rsidR="00116AFD" w:rsidRPr="00116AFD" w14:paraId="59946C4D" w14:textId="77777777">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12B8A5CA" w14:textId="77777777" w:rsidR="00852466" w:rsidRPr="00116AFD" w:rsidRDefault="00852466">
            <w:pPr>
              <w:keepLines/>
              <w:jc w:val="left"/>
              <w:rPr>
                <w:rFonts w:ascii="Arial Narrow" w:hAnsi="Arial Narrow"/>
                <w:i/>
                <w:iCs/>
                <w:sz w:val="20"/>
                <w:szCs w:val="20"/>
              </w:rPr>
            </w:pPr>
            <w:r w:rsidRPr="00116AFD">
              <w:rPr>
                <w:rFonts w:ascii="Arial Narrow" w:hAnsi="Arial Narrow"/>
                <w:i/>
                <w:iCs/>
                <w:sz w:val="20"/>
                <w:szCs w:val="20"/>
              </w:rPr>
              <w:t>adalimumab 40 mg/0.4 mL injection, 2 x 0.4 mL syringes</w:t>
            </w:r>
          </w:p>
        </w:tc>
        <w:tc>
          <w:tcPr>
            <w:tcW w:w="909" w:type="dxa"/>
            <w:vAlign w:val="center"/>
          </w:tcPr>
          <w:p w14:paraId="50BCFB2B"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775" w:type="dxa"/>
            <w:vAlign w:val="center"/>
          </w:tcPr>
          <w:p w14:paraId="7CFC70B7"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1</w:t>
            </w:r>
          </w:p>
        </w:tc>
        <w:tc>
          <w:tcPr>
            <w:tcW w:w="841" w:type="dxa"/>
            <w:vAlign w:val="center"/>
          </w:tcPr>
          <w:p w14:paraId="7B7D2359"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2</w:t>
            </w:r>
          </w:p>
        </w:tc>
        <w:tc>
          <w:tcPr>
            <w:tcW w:w="842" w:type="dxa"/>
            <w:vAlign w:val="center"/>
          </w:tcPr>
          <w:p w14:paraId="0AC20BBD"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620" w:type="dxa"/>
            <w:vAlign w:val="center"/>
          </w:tcPr>
          <w:p w14:paraId="5149159F"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p w14:paraId="7BCF44EF" w14:textId="77777777" w:rsidR="00852466" w:rsidRPr="00116AFD" w:rsidRDefault="00852466">
            <w:pPr>
              <w:keepLines/>
              <w:rPr>
                <w:rFonts w:ascii="Arial Narrow" w:hAnsi="Arial Narrow"/>
                <w:i/>
                <w:iCs/>
                <w:sz w:val="20"/>
                <w:szCs w:val="20"/>
              </w:rPr>
            </w:pPr>
          </w:p>
        </w:tc>
      </w:tr>
      <w:tr w:rsidR="00116AFD" w:rsidRPr="00116AFD" w14:paraId="44AD53B7" w14:textId="77777777">
        <w:trPr>
          <w:trHeight w:val="20"/>
        </w:trPr>
        <w:tc>
          <w:tcPr>
            <w:tcW w:w="9073" w:type="dxa"/>
            <w:gridSpan w:val="8"/>
            <w:tcBorders>
              <w:top w:val="single" w:sz="4" w:space="0" w:color="auto"/>
              <w:left w:val="single" w:sz="4" w:space="0" w:color="auto"/>
              <w:right w:val="single" w:sz="4" w:space="0" w:color="auto"/>
            </w:tcBorders>
            <w:vAlign w:val="center"/>
          </w:tcPr>
          <w:p w14:paraId="2E0B99F8" w14:textId="77777777" w:rsidR="00852466" w:rsidRPr="00116AFD" w:rsidRDefault="00852466">
            <w:pPr>
              <w:rPr>
                <w:rFonts w:ascii="Arial Narrow" w:hAnsi="Arial Narrow"/>
                <w:i/>
                <w:iCs/>
                <w:sz w:val="20"/>
                <w:szCs w:val="20"/>
              </w:rPr>
            </w:pPr>
          </w:p>
          <w:p w14:paraId="0E1E8A53" w14:textId="77777777" w:rsidR="00852466" w:rsidRPr="00116AFD" w:rsidRDefault="00852466">
            <w:pPr>
              <w:rPr>
                <w:rFonts w:ascii="Arial Narrow" w:hAnsi="Arial Narrow"/>
                <w:i/>
                <w:iCs/>
                <w:sz w:val="20"/>
                <w:szCs w:val="20"/>
              </w:rPr>
            </w:pPr>
          </w:p>
        </w:tc>
      </w:tr>
      <w:tr w:rsidR="00116AFD" w:rsidRPr="00116AFD" w14:paraId="638C1782" w14:textId="77777777">
        <w:trPr>
          <w:trHeight w:val="20"/>
        </w:trPr>
        <w:tc>
          <w:tcPr>
            <w:tcW w:w="427" w:type="dxa"/>
            <w:vMerge w:val="restart"/>
            <w:tcBorders>
              <w:left w:val="single" w:sz="4" w:space="0" w:color="auto"/>
              <w:right w:val="single" w:sz="4" w:space="0" w:color="auto"/>
            </w:tcBorders>
            <w:textDirection w:val="btLr"/>
          </w:tcPr>
          <w:p w14:paraId="48716AD9" w14:textId="77777777" w:rsidR="00852466" w:rsidRPr="00116AFD" w:rsidRDefault="00852466">
            <w:pPr>
              <w:ind w:left="113" w:right="113"/>
              <w:jc w:val="center"/>
              <w:rPr>
                <w:rFonts w:ascii="Arial Narrow" w:hAnsi="Arial Narrow"/>
                <w:i/>
                <w:iCs/>
                <w:sz w:val="20"/>
                <w:szCs w:val="20"/>
              </w:rPr>
            </w:pPr>
            <w:r w:rsidRPr="00116AFD">
              <w:rPr>
                <w:rFonts w:ascii="Arial Narrow" w:hAnsi="Arial Narrow"/>
                <w:i/>
                <w:iCs/>
                <w:sz w:val="20"/>
                <w:szCs w:val="20"/>
              </w:rPr>
              <w:t>Prescribing rule</w:t>
            </w:r>
          </w:p>
        </w:tc>
        <w:tc>
          <w:tcPr>
            <w:tcW w:w="1275" w:type="dxa"/>
            <w:vAlign w:val="center"/>
          </w:tcPr>
          <w:p w14:paraId="421CD8BB" w14:textId="77777777" w:rsidR="00852466" w:rsidRPr="00116AFD" w:rsidRDefault="00852466">
            <w:pPr>
              <w:jc w:val="center"/>
              <w:rPr>
                <w:rFonts w:ascii="Arial Narrow" w:hAnsi="Arial Narrow"/>
                <w:i/>
                <w:iCs/>
                <w:sz w:val="20"/>
                <w:szCs w:val="20"/>
              </w:rPr>
            </w:pPr>
            <w:r w:rsidRPr="00116AFD">
              <w:rPr>
                <w:rFonts w:ascii="Arial Narrow" w:hAnsi="Arial Narrow"/>
                <w:i/>
                <w:iCs/>
                <w:sz w:val="20"/>
                <w:szCs w:val="20"/>
              </w:rPr>
              <w:t>Amended 31185</w:t>
            </w:r>
          </w:p>
        </w:tc>
        <w:tc>
          <w:tcPr>
            <w:tcW w:w="7371" w:type="dxa"/>
            <w:gridSpan w:val="6"/>
            <w:vAlign w:val="center"/>
          </w:tcPr>
          <w:p w14:paraId="67B345D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[overarching admin note not reproduced for conciseness]</w:t>
            </w:r>
          </w:p>
        </w:tc>
      </w:tr>
      <w:tr w:rsidR="00116AFD" w:rsidRPr="00116AFD" w14:paraId="69F528AB" w14:textId="77777777">
        <w:trPr>
          <w:trHeight w:val="20"/>
        </w:trPr>
        <w:tc>
          <w:tcPr>
            <w:tcW w:w="427" w:type="dxa"/>
            <w:vMerge/>
            <w:tcBorders>
              <w:left w:val="single" w:sz="4" w:space="0" w:color="auto"/>
              <w:right w:val="single" w:sz="4" w:space="0" w:color="auto"/>
            </w:tcBorders>
          </w:tcPr>
          <w:p w14:paraId="106EC978" w14:textId="77777777" w:rsidR="00852466" w:rsidRPr="00116AFD" w:rsidRDefault="00852466">
            <w:pPr>
              <w:rPr>
                <w:rFonts w:ascii="Arial Narrow" w:hAnsi="Arial Narrow"/>
                <w:i/>
                <w:iCs/>
                <w:sz w:val="20"/>
                <w:szCs w:val="20"/>
              </w:rPr>
            </w:pPr>
          </w:p>
        </w:tc>
        <w:tc>
          <w:tcPr>
            <w:tcW w:w="1275" w:type="dxa"/>
            <w:vAlign w:val="center"/>
          </w:tcPr>
          <w:p w14:paraId="0533C203" w14:textId="77777777" w:rsidR="00852466" w:rsidRPr="00116AFD" w:rsidRDefault="00852466">
            <w:pPr>
              <w:jc w:val="center"/>
              <w:rPr>
                <w:rFonts w:ascii="Arial Narrow" w:hAnsi="Arial Narrow"/>
                <w:i/>
                <w:iCs/>
                <w:sz w:val="20"/>
                <w:szCs w:val="20"/>
              </w:rPr>
            </w:pPr>
            <w:r w:rsidRPr="00116AFD">
              <w:rPr>
                <w:rFonts w:ascii="Arial Narrow" w:hAnsi="Arial Narrow"/>
                <w:i/>
                <w:iCs/>
                <w:sz w:val="20"/>
                <w:szCs w:val="20"/>
              </w:rPr>
              <w:t>7607</w:t>
            </w:r>
          </w:p>
        </w:tc>
        <w:tc>
          <w:tcPr>
            <w:tcW w:w="7371" w:type="dxa"/>
            <w:gridSpan w:val="6"/>
            <w:vAlign w:val="center"/>
          </w:tcPr>
          <w:p w14:paraId="2DA6902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number of repeats may be authorised.</w:t>
            </w:r>
          </w:p>
        </w:tc>
      </w:tr>
      <w:tr w:rsidR="00116AFD" w:rsidRPr="00116AFD" w14:paraId="029EBA9B" w14:textId="77777777">
        <w:trPr>
          <w:trHeight w:val="20"/>
        </w:trPr>
        <w:tc>
          <w:tcPr>
            <w:tcW w:w="427" w:type="dxa"/>
            <w:vMerge/>
            <w:tcBorders>
              <w:left w:val="single" w:sz="4" w:space="0" w:color="auto"/>
              <w:right w:val="single" w:sz="4" w:space="0" w:color="auto"/>
            </w:tcBorders>
          </w:tcPr>
          <w:p w14:paraId="7D2615AA" w14:textId="77777777" w:rsidR="00852466" w:rsidRPr="00116AFD" w:rsidRDefault="00852466">
            <w:pPr>
              <w:rPr>
                <w:rFonts w:ascii="Arial Narrow" w:hAnsi="Arial Narrow"/>
                <w:i/>
                <w:iCs/>
                <w:sz w:val="20"/>
                <w:szCs w:val="20"/>
              </w:rPr>
            </w:pPr>
          </w:p>
        </w:tc>
        <w:tc>
          <w:tcPr>
            <w:tcW w:w="1275" w:type="dxa"/>
            <w:vAlign w:val="center"/>
          </w:tcPr>
          <w:p w14:paraId="391A0A07" w14:textId="77777777" w:rsidR="00852466" w:rsidRPr="00116AFD" w:rsidRDefault="00852466">
            <w:pPr>
              <w:jc w:val="center"/>
              <w:rPr>
                <w:rFonts w:ascii="Arial Narrow" w:hAnsi="Arial Narrow"/>
                <w:i/>
                <w:iCs/>
                <w:sz w:val="20"/>
                <w:szCs w:val="20"/>
              </w:rPr>
            </w:pPr>
            <w:r w:rsidRPr="00116AFD">
              <w:rPr>
                <w:rFonts w:ascii="Arial Narrow" w:hAnsi="Arial Narrow"/>
                <w:i/>
                <w:iCs/>
                <w:sz w:val="20"/>
                <w:szCs w:val="20"/>
              </w:rPr>
              <w:t>7606</w:t>
            </w:r>
          </w:p>
        </w:tc>
        <w:tc>
          <w:tcPr>
            <w:tcW w:w="7371" w:type="dxa"/>
            <w:gridSpan w:val="6"/>
            <w:vAlign w:val="center"/>
          </w:tcPr>
          <w:p w14:paraId="36FF7E5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r w:rsidRPr="00116AFD">
              <w:rPr>
                <w:rFonts w:ascii="Arial Narrow" w:hAnsi="Arial Narrow"/>
                <w:i/>
                <w:iCs/>
                <w:sz w:val="20"/>
                <w:szCs w:val="20"/>
              </w:rPr>
              <w:t xml:space="preserve"> No increase in the maximum quantity or number of units may be authorised.</w:t>
            </w:r>
          </w:p>
        </w:tc>
      </w:tr>
      <w:tr w:rsidR="00116AFD" w:rsidRPr="00116AFD" w14:paraId="1A263782" w14:textId="77777777">
        <w:trPr>
          <w:trHeight w:val="20"/>
        </w:trPr>
        <w:tc>
          <w:tcPr>
            <w:tcW w:w="427" w:type="dxa"/>
            <w:vMerge/>
            <w:tcBorders>
              <w:left w:val="single" w:sz="4" w:space="0" w:color="auto"/>
              <w:right w:val="single" w:sz="4" w:space="0" w:color="auto"/>
            </w:tcBorders>
          </w:tcPr>
          <w:p w14:paraId="1E698E79" w14:textId="77777777" w:rsidR="00852466" w:rsidRPr="00116AFD" w:rsidRDefault="00852466">
            <w:pPr>
              <w:rPr>
                <w:rFonts w:ascii="Arial Narrow" w:hAnsi="Arial Narrow"/>
                <w:i/>
                <w:iCs/>
                <w:sz w:val="20"/>
                <w:szCs w:val="20"/>
              </w:rPr>
            </w:pPr>
          </w:p>
        </w:tc>
        <w:tc>
          <w:tcPr>
            <w:tcW w:w="1275" w:type="dxa"/>
            <w:vAlign w:val="center"/>
          </w:tcPr>
          <w:p w14:paraId="528B7A58" w14:textId="77777777" w:rsidR="00852466" w:rsidRPr="00116AFD" w:rsidRDefault="00852466">
            <w:pPr>
              <w:jc w:val="center"/>
              <w:textAlignment w:val="baseline"/>
              <w:rPr>
                <w:rFonts w:ascii="Arial Narrow" w:hAnsi="Arial Narrow" w:cs="Open Sans"/>
                <w:i/>
                <w:iCs/>
                <w:sz w:val="20"/>
                <w:szCs w:val="20"/>
              </w:rPr>
            </w:pPr>
            <w:r w:rsidRPr="00116AFD">
              <w:rPr>
                <w:rFonts w:ascii="Arial Narrow" w:hAnsi="Arial Narrow" w:cs="Open Sans"/>
                <w:i/>
                <w:iCs/>
                <w:sz w:val="20"/>
                <w:szCs w:val="20"/>
              </w:rPr>
              <w:t>28496</w:t>
            </w:r>
          </w:p>
          <w:p w14:paraId="4BE17043" w14:textId="77777777" w:rsidR="00852466" w:rsidRPr="00116AFD" w:rsidRDefault="00852466">
            <w:pPr>
              <w:jc w:val="center"/>
              <w:rPr>
                <w:rFonts w:ascii="Arial Narrow" w:hAnsi="Arial Narrow"/>
                <w:i/>
                <w:iCs/>
                <w:sz w:val="20"/>
                <w:szCs w:val="20"/>
              </w:rPr>
            </w:pPr>
            <w:r w:rsidRPr="00116AFD">
              <w:rPr>
                <w:rFonts w:ascii="Open Sans" w:hAnsi="Open Sans" w:cs="Open Sans"/>
                <w:i/>
                <w:iCs/>
                <w:noProof/>
                <w:sz w:val="22"/>
                <w:szCs w:val="22"/>
              </w:rPr>
              <w:drawing>
                <wp:inline distT="0" distB="0" distL="0" distR="0" wp14:anchorId="1BA0D026" wp14:editId="035DEFE4">
                  <wp:extent cx="381000" cy="190500"/>
                  <wp:effectExtent l="0" t="0" r="0" b="0"/>
                  <wp:docPr id="1892632555" name="Picture 1892632555" descr="DHS Complex Assessmen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3" descr="DHS Complex Assessment Requi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7371" w:type="dxa"/>
            <w:gridSpan w:val="6"/>
            <w:vAlign w:val="center"/>
          </w:tcPr>
          <w:p w14:paraId="229CA291"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Administrative Advice:</w:t>
            </w:r>
          </w:p>
          <w:p w14:paraId="6E15618D" w14:textId="77777777" w:rsidR="00852466" w:rsidRPr="00116AFD" w:rsidRDefault="00852466">
            <w:pPr>
              <w:rPr>
                <w:rFonts w:ascii="Arial Narrow" w:hAnsi="Arial Narrow"/>
                <w:b/>
                <w:bCs/>
                <w:i/>
                <w:iCs/>
                <w:sz w:val="20"/>
                <w:szCs w:val="20"/>
              </w:rPr>
            </w:pPr>
          </w:p>
          <w:p w14:paraId="454C4600"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Any queries concerning the arrangements to prescribe may be directed to Services Australia on 1800 700 270 (hours of operation 8 a.m. to 5 p.m. Monday to Friday).</w:t>
            </w:r>
          </w:p>
        </w:tc>
      </w:tr>
      <w:tr w:rsidR="00116AFD" w:rsidRPr="00116AFD" w14:paraId="3C454E99" w14:textId="77777777">
        <w:trPr>
          <w:trHeight w:val="20"/>
        </w:trPr>
        <w:tc>
          <w:tcPr>
            <w:tcW w:w="9073" w:type="dxa"/>
            <w:gridSpan w:val="8"/>
            <w:tcBorders>
              <w:top w:val="single" w:sz="4" w:space="0" w:color="auto"/>
              <w:left w:val="single" w:sz="4" w:space="0" w:color="auto"/>
              <w:right w:val="single" w:sz="4" w:space="0" w:color="auto"/>
            </w:tcBorders>
            <w:vAlign w:val="center"/>
          </w:tcPr>
          <w:p w14:paraId="472C30F8" w14:textId="77777777" w:rsidR="00852466" w:rsidRPr="00116AFD" w:rsidRDefault="00852466">
            <w:pPr>
              <w:rPr>
                <w:rFonts w:ascii="Arial Narrow" w:hAnsi="Arial Narrow"/>
                <w:i/>
                <w:iCs/>
                <w:sz w:val="20"/>
                <w:szCs w:val="20"/>
              </w:rPr>
            </w:pPr>
          </w:p>
          <w:p w14:paraId="055F8386" w14:textId="77777777" w:rsidR="00852466" w:rsidRPr="00116AFD" w:rsidRDefault="00852466">
            <w:pPr>
              <w:rPr>
                <w:rFonts w:ascii="Arial Narrow" w:hAnsi="Arial Narrow"/>
                <w:i/>
                <w:iCs/>
                <w:sz w:val="20"/>
                <w:szCs w:val="20"/>
              </w:rPr>
            </w:pPr>
          </w:p>
        </w:tc>
      </w:tr>
      <w:tr w:rsidR="00116AFD" w:rsidRPr="00116AFD" w14:paraId="739B6171" w14:textId="77777777">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49E50FC9" w14:textId="77777777" w:rsidR="00852466" w:rsidRPr="00116AFD" w:rsidRDefault="00852466">
            <w:pPr>
              <w:keepLines/>
              <w:rPr>
                <w:rFonts w:ascii="Arial Narrow" w:hAnsi="Arial Narrow"/>
                <w:i/>
                <w:iCs/>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3E6629E2" w14:textId="77777777">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2AF61A92" w14:textId="77777777" w:rsidR="00852466" w:rsidRPr="00116AFD" w:rsidRDefault="00852466">
            <w:pPr>
              <w:keepLines/>
              <w:rPr>
                <w:rFonts w:ascii="Arial Narrow" w:hAnsi="Arial Narrow"/>
                <w:b/>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690E5AE8" w14:textId="77777777">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70618A95" w14:textId="77777777" w:rsidR="00852466" w:rsidRPr="00116AFD" w:rsidRDefault="00852466">
            <w:pPr>
              <w:keepLines/>
              <w:rPr>
                <w:rFonts w:ascii="Arial Narrow" w:eastAsia="Calibri" w:hAnsi="Arial Narrow"/>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Authority Required (STREAMLINED)</w:t>
            </w:r>
          </w:p>
        </w:tc>
      </w:tr>
      <w:tr w:rsidR="00116AFD" w:rsidRPr="00116AFD" w14:paraId="494EB280" w14:textId="77777777">
        <w:trPr>
          <w:cantSplit/>
          <w:trHeight w:val="20"/>
        </w:trPr>
        <w:tc>
          <w:tcPr>
            <w:tcW w:w="9072" w:type="dxa"/>
            <w:gridSpan w:val="8"/>
            <w:vAlign w:val="center"/>
            <w:hideMark/>
          </w:tcPr>
          <w:p w14:paraId="66C25BF5" w14:textId="77777777" w:rsidR="00852466" w:rsidRPr="00116AFD" w:rsidRDefault="00852466">
            <w:pPr>
              <w:keepLines/>
              <w:rPr>
                <w:rFonts w:ascii="Arial Narrow" w:hAnsi="Arial Narrow"/>
                <w:i/>
                <w:iCs/>
                <w:sz w:val="20"/>
                <w:szCs w:val="20"/>
              </w:rPr>
            </w:pPr>
            <w:r w:rsidRPr="00116AFD">
              <w:rPr>
                <w:rFonts w:ascii="Arial Narrow" w:hAnsi="Arial Narrow"/>
                <w:b/>
                <w:bCs/>
                <w:i/>
                <w:iCs/>
                <w:sz w:val="20"/>
                <w:szCs w:val="20"/>
              </w:rPr>
              <w:t>Indication:</w:t>
            </w:r>
            <w:r w:rsidRPr="00116AFD">
              <w:rPr>
                <w:rFonts w:ascii="Arial Narrow" w:hAnsi="Arial Narrow"/>
                <w:i/>
                <w:iCs/>
                <w:sz w:val="20"/>
                <w:szCs w:val="20"/>
              </w:rPr>
              <w:t xml:space="preserve"> Severe chronic plaque psoriasis </w:t>
            </w:r>
          </w:p>
        </w:tc>
      </w:tr>
      <w:tr w:rsidR="00116AFD" w:rsidRPr="00116AFD" w14:paraId="2D37843F" w14:textId="77777777">
        <w:trPr>
          <w:cantSplit/>
          <w:trHeight w:val="20"/>
        </w:trPr>
        <w:tc>
          <w:tcPr>
            <w:tcW w:w="9072" w:type="dxa"/>
            <w:gridSpan w:val="8"/>
            <w:vAlign w:val="center"/>
            <w:hideMark/>
          </w:tcPr>
          <w:p w14:paraId="6B22B2F0"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Subsequent continuing treatment (Whole body)</w:t>
            </w:r>
          </w:p>
        </w:tc>
      </w:tr>
      <w:tr w:rsidR="00116AFD" w:rsidRPr="00116AFD" w14:paraId="354BF0AA" w14:textId="77777777">
        <w:trPr>
          <w:cantSplit/>
          <w:trHeight w:val="20"/>
        </w:trPr>
        <w:tc>
          <w:tcPr>
            <w:tcW w:w="9072" w:type="dxa"/>
            <w:gridSpan w:val="8"/>
            <w:vAlign w:val="center"/>
          </w:tcPr>
          <w:p w14:paraId="45D91D7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1F5FAB35" w14:textId="77777777">
        <w:trPr>
          <w:cantSplit/>
          <w:trHeight w:val="20"/>
        </w:trPr>
        <w:tc>
          <w:tcPr>
            <w:tcW w:w="9072" w:type="dxa"/>
            <w:gridSpan w:val="8"/>
            <w:vAlign w:val="center"/>
          </w:tcPr>
          <w:p w14:paraId="3D5C777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Must be treated by a dermatologist </w:t>
            </w:r>
          </w:p>
        </w:tc>
      </w:tr>
      <w:tr w:rsidR="00116AFD" w:rsidRPr="00116AFD" w14:paraId="5C9B94BD" w14:textId="77777777">
        <w:trPr>
          <w:cantSplit/>
          <w:trHeight w:val="20"/>
        </w:trPr>
        <w:tc>
          <w:tcPr>
            <w:tcW w:w="9072" w:type="dxa"/>
            <w:gridSpan w:val="8"/>
            <w:vAlign w:val="center"/>
            <w:hideMark/>
          </w:tcPr>
          <w:p w14:paraId="3437D2B7"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 xml:space="preserve">Clinical criteria: </w:t>
            </w:r>
          </w:p>
        </w:tc>
      </w:tr>
      <w:tr w:rsidR="00116AFD" w:rsidRPr="00116AFD" w14:paraId="16EDCECF" w14:textId="77777777">
        <w:trPr>
          <w:cantSplit/>
          <w:trHeight w:val="20"/>
        </w:trPr>
        <w:tc>
          <w:tcPr>
            <w:tcW w:w="9072" w:type="dxa"/>
            <w:gridSpan w:val="8"/>
            <w:vAlign w:val="center"/>
            <w:hideMark/>
          </w:tcPr>
          <w:p w14:paraId="57A603D4"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Patient must have previously received PBS-subsidised treatment with this drug for this condition under the First continuing treatment restriction</w:t>
            </w:r>
          </w:p>
        </w:tc>
      </w:tr>
      <w:tr w:rsidR="00116AFD" w:rsidRPr="00116AFD" w14:paraId="3CB7C26A" w14:textId="77777777">
        <w:trPr>
          <w:cantSplit/>
          <w:trHeight w:val="20"/>
        </w:trPr>
        <w:tc>
          <w:tcPr>
            <w:tcW w:w="9072" w:type="dxa"/>
            <w:gridSpan w:val="8"/>
            <w:vAlign w:val="center"/>
            <w:hideMark/>
          </w:tcPr>
          <w:p w14:paraId="3C23992A"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AND</w:t>
            </w:r>
          </w:p>
        </w:tc>
      </w:tr>
      <w:tr w:rsidR="00116AFD" w:rsidRPr="00116AFD" w14:paraId="4CA9095E" w14:textId="77777777">
        <w:trPr>
          <w:cantSplit/>
          <w:trHeight w:val="20"/>
        </w:trPr>
        <w:tc>
          <w:tcPr>
            <w:tcW w:w="9072" w:type="dxa"/>
            <w:gridSpan w:val="8"/>
            <w:vAlign w:val="center"/>
            <w:hideMark/>
          </w:tcPr>
          <w:p w14:paraId="70AA3465"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Clinical criteria:</w:t>
            </w:r>
          </w:p>
        </w:tc>
      </w:tr>
      <w:tr w:rsidR="00116AFD" w:rsidRPr="00116AFD" w14:paraId="2590AE12" w14:textId="77777777">
        <w:trPr>
          <w:cantSplit/>
          <w:trHeight w:val="20"/>
        </w:trPr>
        <w:tc>
          <w:tcPr>
            <w:tcW w:w="9072" w:type="dxa"/>
            <w:gridSpan w:val="8"/>
            <w:vAlign w:val="center"/>
            <w:hideMark/>
          </w:tcPr>
          <w:p w14:paraId="0BD92C9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demonstrated an adequate response to treatment with this drug</w:t>
            </w:r>
          </w:p>
        </w:tc>
      </w:tr>
      <w:tr w:rsidR="00116AFD" w:rsidRPr="00116AFD" w14:paraId="59F4D5D5" w14:textId="77777777">
        <w:trPr>
          <w:cantSplit/>
          <w:trHeight w:val="20"/>
        </w:trPr>
        <w:tc>
          <w:tcPr>
            <w:tcW w:w="9072" w:type="dxa"/>
            <w:gridSpan w:val="8"/>
            <w:vAlign w:val="center"/>
          </w:tcPr>
          <w:p w14:paraId="3A729CC4"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6C9489B4" w14:textId="77777777">
        <w:trPr>
          <w:cantSplit/>
          <w:trHeight w:val="20"/>
        </w:trPr>
        <w:tc>
          <w:tcPr>
            <w:tcW w:w="9072" w:type="dxa"/>
            <w:gridSpan w:val="8"/>
            <w:vAlign w:val="center"/>
          </w:tcPr>
          <w:p w14:paraId="20BC22EC"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06BFF1DA" w14:textId="77777777">
        <w:trPr>
          <w:cantSplit/>
          <w:trHeight w:val="20"/>
        </w:trPr>
        <w:tc>
          <w:tcPr>
            <w:tcW w:w="9072" w:type="dxa"/>
            <w:gridSpan w:val="8"/>
            <w:vAlign w:val="center"/>
          </w:tcPr>
          <w:p w14:paraId="1973B3A8"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been assessed for response to treatment after at least 12 weeks treatment with the preceding supply of this biological medicine</w:t>
            </w:r>
          </w:p>
        </w:tc>
      </w:tr>
      <w:tr w:rsidR="00116AFD" w:rsidRPr="00116AFD" w14:paraId="065F60DC" w14:textId="77777777">
        <w:trPr>
          <w:cantSplit/>
          <w:trHeight w:val="20"/>
        </w:trPr>
        <w:tc>
          <w:tcPr>
            <w:tcW w:w="9072" w:type="dxa"/>
            <w:gridSpan w:val="8"/>
            <w:vAlign w:val="center"/>
          </w:tcPr>
          <w:p w14:paraId="0CADE60E"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AND </w:t>
            </w:r>
          </w:p>
        </w:tc>
      </w:tr>
      <w:tr w:rsidR="00116AFD" w:rsidRPr="00116AFD" w14:paraId="4D19B6C0" w14:textId="77777777">
        <w:trPr>
          <w:cantSplit/>
          <w:trHeight w:val="20"/>
        </w:trPr>
        <w:tc>
          <w:tcPr>
            <w:tcW w:w="9072" w:type="dxa"/>
            <w:gridSpan w:val="8"/>
            <w:vAlign w:val="center"/>
          </w:tcPr>
          <w:p w14:paraId="14138D20"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7863D941" w14:textId="77777777">
        <w:trPr>
          <w:cantSplit/>
          <w:trHeight w:val="20"/>
        </w:trPr>
        <w:tc>
          <w:tcPr>
            <w:tcW w:w="9072" w:type="dxa"/>
            <w:gridSpan w:val="8"/>
            <w:vAlign w:val="center"/>
          </w:tcPr>
          <w:p w14:paraId="6E84D171"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not receive more than 24 weeks of treatment under this restriction</w:t>
            </w:r>
          </w:p>
        </w:tc>
      </w:tr>
      <w:tr w:rsidR="00116AFD" w:rsidRPr="00116AFD" w14:paraId="408A5A3F" w14:textId="77777777">
        <w:trPr>
          <w:cantSplit/>
          <w:trHeight w:val="20"/>
        </w:trPr>
        <w:tc>
          <w:tcPr>
            <w:tcW w:w="9072" w:type="dxa"/>
            <w:gridSpan w:val="8"/>
            <w:vAlign w:val="center"/>
            <w:hideMark/>
          </w:tcPr>
          <w:p w14:paraId="2992808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7459CD3A"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An adequate response to treatment is defined as:</w:t>
            </w:r>
          </w:p>
          <w:p w14:paraId="3423128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 xml:space="preserve">A Psoriasis Area and Severity Index (PASI) </w:t>
            </w:r>
            <w:proofErr w:type="gramStart"/>
            <w:r w:rsidRPr="00116AFD">
              <w:rPr>
                <w:rFonts w:ascii="Arial Narrow" w:hAnsi="Arial Narrow"/>
                <w:i/>
                <w:iCs/>
                <w:sz w:val="20"/>
                <w:szCs w:val="20"/>
              </w:rPr>
              <w:t>score</w:t>
            </w:r>
            <w:proofErr w:type="gramEnd"/>
            <w:r w:rsidRPr="00116AFD">
              <w:rPr>
                <w:rFonts w:ascii="Arial Narrow" w:hAnsi="Arial Narrow"/>
                <w:i/>
                <w:iCs/>
                <w:sz w:val="20"/>
                <w:szCs w:val="20"/>
              </w:rPr>
              <w:t xml:space="preserve"> which is reduced by 75% or more, or is sustained at this level, when compared with the baseline value for this treatment cycle. </w:t>
            </w:r>
          </w:p>
        </w:tc>
      </w:tr>
      <w:tr w:rsidR="00116AFD" w:rsidRPr="00116AFD" w14:paraId="5D2A5534" w14:textId="77777777">
        <w:trPr>
          <w:cantSplit/>
          <w:trHeight w:val="20"/>
        </w:trPr>
        <w:tc>
          <w:tcPr>
            <w:tcW w:w="9072" w:type="dxa"/>
            <w:gridSpan w:val="8"/>
            <w:vAlign w:val="center"/>
          </w:tcPr>
          <w:p w14:paraId="16B50C3D"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Prescribing Instructions:</w:t>
            </w:r>
          </w:p>
          <w:p w14:paraId="3AA3427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assessment of response to treatment must be documented in the patient's medical records.</w:t>
            </w:r>
          </w:p>
          <w:p w14:paraId="2439EC48" w14:textId="77777777" w:rsidR="00852466" w:rsidRPr="00116AFD" w:rsidRDefault="00852466">
            <w:pPr>
              <w:rPr>
                <w:rFonts w:ascii="Arial Narrow" w:hAnsi="Arial Narrow"/>
                <w:i/>
                <w:iCs/>
                <w:sz w:val="20"/>
                <w:szCs w:val="20"/>
              </w:rPr>
            </w:pPr>
          </w:p>
        </w:tc>
      </w:tr>
      <w:tr w:rsidR="00116AFD" w:rsidRPr="00116AFD" w14:paraId="7B403661" w14:textId="77777777">
        <w:trPr>
          <w:cantSplit/>
          <w:trHeight w:val="20"/>
        </w:trPr>
        <w:tc>
          <w:tcPr>
            <w:tcW w:w="9072" w:type="dxa"/>
            <w:gridSpan w:val="8"/>
            <w:vAlign w:val="center"/>
          </w:tcPr>
          <w:p w14:paraId="3C139DE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w:t>
            </w:r>
          </w:p>
          <w:p w14:paraId="579E9ED5"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PASI assessment for continuing treatment must be performed on the same affected area assessed at baseline.</w:t>
            </w:r>
          </w:p>
        </w:tc>
      </w:tr>
      <w:tr w:rsidR="00116AFD" w:rsidRPr="00116AFD" w14:paraId="0AC761C8" w14:textId="77777777">
        <w:trPr>
          <w:cantSplit/>
          <w:trHeight w:val="20"/>
        </w:trPr>
        <w:tc>
          <w:tcPr>
            <w:tcW w:w="9073" w:type="dxa"/>
            <w:gridSpan w:val="8"/>
            <w:vAlign w:val="center"/>
          </w:tcPr>
          <w:p w14:paraId="697321BE" w14:textId="77777777" w:rsidR="00852466" w:rsidRPr="00116AFD" w:rsidRDefault="00852466">
            <w:pPr>
              <w:rPr>
                <w:rFonts w:ascii="Arial Narrow" w:hAnsi="Arial Narrow"/>
                <w:bCs/>
                <w:i/>
                <w:iCs/>
                <w:sz w:val="20"/>
                <w:szCs w:val="20"/>
              </w:rPr>
            </w:pPr>
          </w:p>
          <w:p w14:paraId="00E275A1" w14:textId="77777777" w:rsidR="00852466" w:rsidRPr="00116AFD" w:rsidRDefault="00852466">
            <w:pPr>
              <w:rPr>
                <w:rFonts w:ascii="Arial Narrow" w:hAnsi="Arial Narrow"/>
                <w:bCs/>
                <w:i/>
                <w:iCs/>
                <w:sz w:val="20"/>
                <w:szCs w:val="20"/>
              </w:rPr>
            </w:pPr>
          </w:p>
        </w:tc>
      </w:tr>
      <w:tr w:rsidR="00116AFD" w:rsidRPr="00116AFD" w14:paraId="5662649C" w14:textId="77777777">
        <w:trPr>
          <w:cantSplit/>
          <w:trHeight w:val="20"/>
        </w:trPr>
        <w:tc>
          <w:tcPr>
            <w:tcW w:w="9072" w:type="dxa"/>
            <w:gridSpan w:val="8"/>
            <w:vAlign w:val="center"/>
          </w:tcPr>
          <w:p w14:paraId="1DFEE34B" w14:textId="77777777" w:rsidR="00852466" w:rsidRPr="00116AFD" w:rsidRDefault="00852466">
            <w:pPr>
              <w:rPr>
                <w:rFonts w:ascii="Arial Narrow" w:hAnsi="Arial Narrow"/>
                <w:b/>
                <w:bCs/>
                <w:i/>
                <w:iCs/>
                <w:strike/>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 General Schedule (Code GE) </w:t>
            </w:r>
          </w:p>
        </w:tc>
      </w:tr>
      <w:tr w:rsidR="00116AFD" w:rsidRPr="00116AFD" w14:paraId="6F4867B3" w14:textId="77777777">
        <w:trPr>
          <w:cantSplit/>
          <w:trHeight w:val="20"/>
        </w:trPr>
        <w:tc>
          <w:tcPr>
            <w:tcW w:w="9072" w:type="dxa"/>
            <w:gridSpan w:val="8"/>
            <w:vAlign w:val="center"/>
          </w:tcPr>
          <w:p w14:paraId="17BAAB40"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0E16B6F1" w14:textId="77777777">
        <w:trPr>
          <w:cantSplit/>
          <w:trHeight w:val="20"/>
        </w:trPr>
        <w:tc>
          <w:tcPr>
            <w:tcW w:w="9072" w:type="dxa"/>
            <w:gridSpan w:val="8"/>
            <w:vAlign w:val="center"/>
          </w:tcPr>
          <w:p w14:paraId="47BF39BC" w14:textId="77777777" w:rsidR="00852466" w:rsidRPr="00116AFD" w:rsidRDefault="00852466">
            <w:pPr>
              <w:rPr>
                <w:rFonts w:ascii="Arial Narrow" w:hAnsi="Arial Narrow"/>
                <w:b/>
                <w:bCs/>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Authority Required (STREAMLINED) </w:t>
            </w:r>
          </w:p>
        </w:tc>
      </w:tr>
      <w:tr w:rsidR="00116AFD" w:rsidRPr="00116AFD" w14:paraId="5C8C287A" w14:textId="77777777">
        <w:trPr>
          <w:cantSplit/>
          <w:trHeight w:val="20"/>
        </w:trPr>
        <w:tc>
          <w:tcPr>
            <w:tcW w:w="9072" w:type="dxa"/>
            <w:gridSpan w:val="8"/>
            <w:vAlign w:val="center"/>
          </w:tcPr>
          <w:p w14:paraId="187506A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Indication: </w:t>
            </w:r>
            <w:r w:rsidRPr="00116AFD">
              <w:rPr>
                <w:rFonts w:ascii="Arial Narrow" w:hAnsi="Arial Narrow"/>
                <w:i/>
                <w:iCs/>
                <w:sz w:val="20"/>
                <w:szCs w:val="20"/>
              </w:rPr>
              <w:t>Severe chronic plaque psoriasis</w:t>
            </w:r>
          </w:p>
        </w:tc>
      </w:tr>
      <w:tr w:rsidR="00116AFD" w:rsidRPr="00116AFD" w14:paraId="10DF0E9D" w14:textId="77777777">
        <w:trPr>
          <w:cantSplit/>
          <w:trHeight w:val="20"/>
        </w:trPr>
        <w:tc>
          <w:tcPr>
            <w:tcW w:w="9072" w:type="dxa"/>
            <w:gridSpan w:val="8"/>
            <w:vAlign w:val="center"/>
          </w:tcPr>
          <w:p w14:paraId="07F9AFEF"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Subsequent continuing treatment (Face, hand, foot)</w:t>
            </w:r>
          </w:p>
        </w:tc>
      </w:tr>
      <w:tr w:rsidR="00116AFD" w:rsidRPr="00116AFD" w14:paraId="34BCB604" w14:textId="77777777">
        <w:trPr>
          <w:cantSplit/>
          <w:trHeight w:val="20"/>
        </w:trPr>
        <w:tc>
          <w:tcPr>
            <w:tcW w:w="9072" w:type="dxa"/>
            <w:gridSpan w:val="8"/>
            <w:vAlign w:val="center"/>
          </w:tcPr>
          <w:p w14:paraId="584045A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Treatment criteria:</w:t>
            </w:r>
          </w:p>
        </w:tc>
      </w:tr>
      <w:tr w:rsidR="00116AFD" w:rsidRPr="00116AFD" w14:paraId="7014B8C1" w14:textId="77777777">
        <w:trPr>
          <w:cantSplit/>
          <w:trHeight w:val="20"/>
        </w:trPr>
        <w:tc>
          <w:tcPr>
            <w:tcW w:w="9072" w:type="dxa"/>
            <w:gridSpan w:val="8"/>
            <w:vAlign w:val="center"/>
          </w:tcPr>
          <w:p w14:paraId="469F8095"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 xml:space="preserve">Must be treated by a dermatologist </w:t>
            </w:r>
          </w:p>
        </w:tc>
      </w:tr>
      <w:tr w:rsidR="00116AFD" w:rsidRPr="00116AFD" w14:paraId="4624CCFF" w14:textId="77777777">
        <w:trPr>
          <w:cantSplit/>
          <w:trHeight w:val="20"/>
        </w:trPr>
        <w:tc>
          <w:tcPr>
            <w:tcW w:w="9072" w:type="dxa"/>
            <w:gridSpan w:val="8"/>
            <w:vAlign w:val="center"/>
          </w:tcPr>
          <w:p w14:paraId="6600C224"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053B1716" w14:textId="77777777">
        <w:trPr>
          <w:cantSplit/>
          <w:trHeight w:val="20"/>
        </w:trPr>
        <w:tc>
          <w:tcPr>
            <w:tcW w:w="9072" w:type="dxa"/>
            <w:gridSpan w:val="8"/>
            <w:vAlign w:val="center"/>
          </w:tcPr>
          <w:p w14:paraId="0CD93E63"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Patient must have previously received PBS-subsidised treatment with this drug for this condition under the First continuing treatment restriction</w:t>
            </w:r>
          </w:p>
        </w:tc>
      </w:tr>
      <w:tr w:rsidR="00116AFD" w:rsidRPr="00116AFD" w14:paraId="35F74A72" w14:textId="77777777">
        <w:trPr>
          <w:cantSplit/>
          <w:trHeight w:val="20"/>
        </w:trPr>
        <w:tc>
          <w:tcPr>
            <w:tcW w:w="9072" w:type="dxa"/>
            <w:gridSpan w:val="8"/>
            <w:vAlign w:val="center"/>
          </w:tcPr>
          <w:p w14:paraId="46F16688"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0B783098" w14:textId="77777777">
        <w:trPr>
          <w:cantSplit/>
          <w:trHeight w:val="20"/>
        </w:trPr>
        <w:tc>
          <w:tcPr>
            <w:tcW w:w="9072" w:type="dxa"/>
            <w:gridSpan w:val="8"/>
            <w:vAlign w:val="center"/>
          </w:tcPr>
          <w:p w14:paraId="6AEFC57D"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471FC9E8" w14:textId="77777777">
        <w:trPr>
          <w:cantSplit/>
          <w:trHeight w:val="55"/>
        </w:trPr>
        <w:tc>
          <w:tcPr>
            <w:tcW w:w="9072" w:type="dxa"/>
            <w:gridSpan w:val="8"/>
            <w:vAlign w:val="center"/>
          </w:tcPr>
          <w:p w14:paraId="1CECE527"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demonstrated an adequate response to treatment with this drug</w:t>
            </w:r>
          </w:p>
        </w:tc>
      </w:tr>
      <w:tr w:rsidR="00116AFD" w:rsidRPr="00116AFD" w14:paraId="52CFB212" w14:textId="77777777">
        <w:trPr>
          <w:cantSplit/>
          <w:trHeight w:val="20"/>
        </w:trPr>
        <w:tc>
          <w:tcPr>
            <w:tcW w:w="9072" w:type="dxa"/>
            <w:gridSpan w:val="8"/>
            <w:vAlign w:val="center"/>
          </w:tcPr>
          <w:p w14:paraId="2991A0B9"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6A789CB7" w14:textId="77777777">
        <w:trPr>
          <w:cantSplit/>
          <w:trHeight w:val="20"/>
        </w:trPr>
        <w:tc>
          <w:tcPr>
            <w:tcW w:w="9072" w:type="dxa"/>
            <w:gridSpan w:val="8"/>
            <w:vAlign w:val="center"/>
          </w:tcPr>
          <w:p w14:paraId="04EF46B7"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Clinical criteria:</w:t>
            </w:r>
          </w:p>
        </w:tc>
      </w:tr>
      <w:tr w:rsidR="00116AFD" w:rsidRPr="00116AFD" w14:paraId="7E445FB2" w14:textId="77777777">
        <w:trPr>
          <w:cantSplit/>
          <w:trHeight w:val="20"/>
        </w:trPr>
        <w:tc>
          <w:tcPr>
            <w:tcW w:w="9072" w:type="dxa"/>
            <w:gridSpan w:val="8"/>
            <w:vAlign w:val="center"/>
          </w:tcPr>
          <w:p w14:paraId="30210833"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have been assessed for response to treatment after at least 12 weeks treatment with the preceding supply of this biological medicine</w:t>
            </w:r>
          </w:p>
        </w:tc>
      </w:tr>
      <w:tr w:rsidR="00116AFD" w:rsidRPr="00116AFD" w14:paraId="58C3827C" w14:textId="77777777">
        <w:trPr>
          <w:cantSplit/>
          <w:trHeight w:val="20"/>
        </w:trPr>
        <w:tc>
          <w:tcPr>
            <w:tcW w:w="9072" w:type="dxa"/>
            <w:gridSpan w:val="8"/>
            <w:vAlign w:val="center"/>
          </w:tcPr>
          <w:p w14:paraId="20182155"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AND</w:t>
            </w:r>
          </w:p>
        </w:tc>
      </w:tr>
      <w:tr w:rsidR="00116AFD" w:rsidRPr="00116AFD" w14:paraId="26773D7E" w14:textId="77777777">
        <w:trPr>
          <w:cantSplit/>
          <w:trHeight w:val="20"/>
        </w:trPr>
        <w:tc>
          <w:tcPr>
            <w:tcW w:w="9072" w:type="dxa"/>
            <w:gridSpan w:val="8"/>
            <w:vAlign w:val="center"/>
          </w:tcPr>
          <w:p w14:paraId="5F71A942"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 xml:space="preserve">Clinical criteria: </w:t>
            </w:r>
          </w:p>
        </w:tc>
      </w:tr>
      <w:tr w:rsidR="00116AFD" w:rsidRPr="00116AFD" w14:paraId="66ED710C" w14:textId="77777777">
        <w:trPr>
          <w:cantSplit/>
          <w:trHeight w:val="20"/>
        </w:trPr>
        <w:tc>
          <w:tcPr>
            <w:tcW w:w="9072" w:type="dxa"/>
            <w:gridSpan w:val="8"/>
            <w:vAlign w:val="center"/>
          </w:tcPr>
          <w:p w14:paraId="477ECF8F" w14:textId="77777777" w:rsidR="00852466" w:rsidRPr="00116AFD" w:rsidRDefault="00852466">
            <w:pPr>
              <w:rPr>
                <w:rFonts w:ascii="Arial Narrow" w:hAnsi="Arial Narrow"/>
                <w:b/>
                <w:bCs/>
                <w:i/>
                <w:iCs/>
                <w:sz w:val="20"/>
                <w:szCs w:val="20"/>
              </w:rPr>
            </w:pPr>
            <w:r w:rsidRPr="00116AFD">
              <w:rPr>
                <w:rFonts w:ascii="Arial Narrow" w:hAnsi="Arial Narrow"/>
                <w:i/>
                <w:iCs/>
                <w:sz w:val="20"/>
                <w:szCs w:val="20"/>
              </w:rPr>
              <w:t>Patient must not receive more than 24 weeks of treatment per subsequent continuing treatment course authorised under this restriction</w:t>
            </w:r>
          </w:p>
        </w:tc>
      </w:tr>
      <w:tr w:rsidR="00116AFD" w:rsidRPr="00116AFD" w14:paraId="08C1002E" w14:textId="77777777">
        <w:trPr>
          <w:cantSplit/>
          <w:trHeight w:val="20"/>
        </w:trPr>
        <w:tc>
          <w:tcPr>
            <w:tcW w:w="9072" w:type="dxa"/>
            <w:gridSpan w:val="8"/>
            <w:vAlign w:val="center"/>
          </w:tcPr>
          <w:p w14:paraId="3E16B9DE" w14:textId="77777777" w:rsidR="00852466" w:rsidRPr="00116AFD" w:rsidRDefault="00852466">
            <w:pPr>
              <w:jc w:val="left"/>
              <w:rPr>
                <w:rFonts w:ascii="Arial Narrow" w:hAnsi="Arial Narrow"/>
                <w:i/>
                <w:iCs/>
                <w:sz w:val="20"/>
                <w:szCs w:val="20"/>
              </w:rPr>
            </w:pPr>
            <w:r w:rsidRPr="00116AFD">
              <w:rPr>
                <w:rFonts w:ascii="Arial Narrow" w:hAnsi="Arial Narrow"/>
                <w:b/>
                <w:bCs/>
                <w:i/>
                <w:iCs/>
                <w:sz w:val="20"/>
                <w:szCs w:val="20"/>
              </w:rPr>
              <w:t>Prescribing Instructions:</w:t>
            </w:r>
          </w:p>
          <w:p w14:paraId="08E551B1"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An adequate response to treatment is defined as the plaque or plaques assessed prior to biological treatment showing:</w:t>
            </w:r>
          </w:p>
          <w:p w14:paraId="607BB72F"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 xml:space="preserve">(i) a reduction in the Psoriasis Area and Severity Index (PASI) symptom </w:t>
            </w:r>
            <w:proofErr w:type="spellStart"/>
            <w:r w:rsidRPr="00116AFD">
              <w:rPr>
                <w:rFonts w:ascii="Arial Narrow" w:hAnsi="Arial Narrow"/>
                <w:i/>
                <w:iCs/>
                <w:sz w:val="20"/>
                <w:szCs w:val="20"/>
              </w:rPr>
              <w:t>subscores</w:t>
            </w:r>
            <w:proofErr w:type="spellEnd"/>
            <w:r w:rsidRPr="00116AFD">
              <w:rPr>
                <w:rFonts w:ascii="Arial Narrow" w:hAnsi="Arial Narrow"/>
                <w:i/>
                <w:iCs/>
                <w:sz w:val="20"/>
                <w:szCs w:val="20"/>
              </w:rPr>
              <w:t xml:space="preserve"> for all 3 of erythema, thickness and scaling, to slight or better, or sustained at this level, as compared to the baseline values; or</w:t>
            </w:r>
          </w:p>
          <w:p w14:paraId="052F75A5" w14:textId="77777777" w:rsidR="00852466" w:rsidRPr="00116AFD" w:rsidRDefault="00852466">
            <w:pPr>
              <w:jc w:val="left"/>
              <w:rPr>
                <w:rFonts w:ascii="Arial Narrow" w:hAnsi="Arial Narrow"/>
                <w:i/>
                <w:iCs/>
                <w:sz w:val="20"/>
                <w:szCs w:val="20"/>
              </w:rPr>
            </w:pPr>
            <w:r w:rsidRPr="00116AFD">
              <w:rPr>
                <w:rFonts w:ascii="Arial Narrow" w:hAnsi="Arial Narrow"/>
                <w:i/>
                <w:iCs/>
                <w:sz w:val="20"/>
                <w:szCs w:val="20"/>
              </w:rPr>
              <w:t>(ii) a reduction by 75% or more in the skin area affected, or sustained at this level, as compared to the baseline value.</w:t>
            </w:r>
          </w:p>
        </w:tc>
      </w:tr>
      <w:tr w:rsidR="00116AFD" w:rsidRPr="00116AFD" w14:paraId="500CBBE5" w14:textId="77777777">
        <w:trPr>
          <w:cantSplit/>
          <w:trHeight w:val="20"/>
        </w:trPr>
        <w:tc>
          <w:tcPr>
            <w:tcW w:w="9072" w:type="dxa"/>
            <w:gridSpan w:val="8"/>
            <w:vAlign w:val="center"/>
          </w:tcPr>
          <w:p w14:paraId="6F3091E4" w14:textId="77777777" w:rsidR="00852466" w:rsidRPr="00116AFD" w:rsidRDefault="00852466">
            <w:pPr>
              <w:rPr>
                <w:rFonts w:ascii="Arial Narrow" w:hAnsi="Arial Narrow"/>
                <w:b/>
                <w:bCs/>
                <w:i/>
                <w:iCs/>
                <w:sz w:val="20"/>
                <w:szCs w:val="20"/>
              </w:rPr>
            </w:pPr>
            <w:r w:rsidRPr="00116AFD">
              <w:rPr>
                <w:rFonts w:ascii="Arial Narrow" w:hAnsi="Arial Narrow"/>
                <w:b/>
                <w:bCs/>
                <w:i/>
                <w:iCs/>
                <w:sz w:val="20"/>
                <w:szCs w:val="20"/>
              </w:rPr>
              <w:t>Prescribing Instructions:</w:t>
            </w:r>
          </w:p>
          <w:p w14:paraId="3559C5F9"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PASI assessment for continuing treatment must be performed on the same affected area as assessed at baseline.</w:t>
            </w:r>
          </w:p>
        </w:tc>
      </w:tr>
      <w:tr w:rsidR="00116AFD" w:rsidRPr="00116AFD" w14:paraId="62C6C5B4" w14:textId="77777777">
        <w:trPr>
          <w:cantSplit/>
          <w:trHeight w:val="20"/>
        </w:trPr>
        <w:tc>
          <w:tcPr>
            <w:tcW w:w="9072" w:type="dxa"/>
            <w:gridSpan w:val="8"/>
            <w:vAlign w:val="center"/>
          </w:tcPr>
          <w:p w14:paraId="13912340" w14:textId="77777777" w:rsidR="00852466" w:rsidRPr="00116AFD" w:rsidRDefault="00852466">
            <w:pPr>
              <w:rPr>
                <w:rFonts w:ascii="Arial Narrow" w:hAnsi="Arial Narrow"/>
                <w:i/>
                <w:iCs/>
                <w:sz w:val="20"/>
                <w:szCs w:val="20"/>
              </w:rPr>
            </w:pPr>
            <w:r w:rsidRPr="00116AFD">
              <w:rPr>
                <w:rFonts w:ascii="Arial Narrow" w:hAnsi="Arial Narrow"/>
                <w:b/>
                <w:bCs/>
                <w:i/>
                <w:iCs/>
                <w:sz w:val="20"/>
                <w:szCs w:val="20"/>
              </w:rPr>
              <w:t>Prescribing Instructions:</w:t>
            </w:r>
          </w:p>
          <w:p w14:paraId="420206AC" w14:textId="77777777" w:rsidR="00852466" w:rsidRPr="00116AFD" w:rsidRDefault="00852466">
            <w:pPr>
              <w:rPr>
                <w:rFonts w:ascii="Arial Narrow" w:hAnsi="Arial Narrow"/>
                <w:i/>
                <w:iCs/>
                <w:sz w:val="20"/>
                <w:szCs w:val="20"/>
              </w:rPr>
            </w:pPr>
            <w:r w:rsidRPr="00116AFD">
              <w:rPr>
                <w:rFonts w:ascii="Arial Narrow" w:hAnsi="Arial Narrow"/>
                <w:i/>
                <w:iCs/>
                <w:sz w:val="20"/>
                <w:szCs w:val="20"/>
              </w:rPr>
              <w:t>The assessment of response to treatment must be documented in the patient's medical records.</w:t>
            </w:r>
          </w:p>
        </w:tc>
      </w:tr>
    </w:tbl>
    <w:p w14:paraId="7E9B86B1" w14:textId="77777777" w:rsidR="00852466" w:rsidRDefault="00852466" w:rsidP="00852466">
      <w:pPr>
        <w:pStyle w:val="3-BodyText"/>
        <w:numPr>
          <w:ilvl w:val="1"/>
          <w:numId w:val="2"/>
        </w:numPr>
        <w:spacing w:before="120"/>
        <w:rPr>
          <w:lang w:eastAsia="en-US"/>
        </w:rPr>
      </w:pPr>
      <w:r>
        <w:rPr>
          <w:lang w:eastAsia="en-US"/>
        </w:rPr>
        <w:t xml:space="preserve">Flow-on changes to etanercept and ustekinumab to amend the failure of the same </w:t>
      </w:r>
      <w:proofErr w:type="spellStart"/>
      <w:r>
        <w:rPr>
          <w:lang w:eastAsia="en-US"/>
        </w:rPr>
        <w:t>bDMARD</w:t>
      </w:r>
      <w:proofErr w:type="spellEnd"/>
      <w:r>
        <w:rPr>
          <w:lang w:eastAsia="en-US"/>
        </w:rPr>
        <w:t xml:space="preserve"> within the same treatment cycle from twice to once.</w:t>
      </w:r>
    </w:p>
    <w:p w14:paraId="2F8B419E" w14:textId="77777777" w:rsidR="00852466" w:rsidRDefault="00852466" w:rsidP="00852466">
      <w:pPr>
        <w:pStyle w:val="4-SubsectionHeading"/>
      </w:pPr>
      <w:r>
        <w:t>Moderate to severe ulcerative colitis (change to existing listing)</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oderate to severe ulcerative colitis (change to existing listing)"/>
      </w:tblPr>
      <w:tblGrid>
        <w:gridCol w:w="3939"/>
        <w:gridCol w:w="876"/>
        <w:gridCol w:w="747"/>
        <w:gridCol w:w="811"/>
        <w:gridCol w:w="812"/>
        <w:gridCol w:w="1837"/>
        <w:gridCol w:w="7"/>
      </w:tblGrid>
      <w:tr w:rsidR="00852466" w:rsidRPr="00144D2D" w14:paraId="150C401C" w14:textId="77777777" w:rsidTr="00116AFD">
        <w:trPr>
          <w:gridAfter w:val="1"/>
          <w:wAfter w:w="7" w:type="dxa"/>
          <w:trHeight w:val="20"/>
        </w:trPr>
        <w:tc>
          <w:tcPr>
            <w:tcW w:w="3940" w:type="dxa"/>
            <w:vAlign w:val="center"/>
          </w:tcPr>
          <w:p w14:paraId="0C61140E"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MEDICINAL PRODUCT</w:t>
            </w:r>
          </w:p>
          <w:p w14:paraId="034B25C5"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medicinal product pack</w:t>
            </w:r>
          </w:p>
        </w:tc>
        <w:tc>
          <w:tcPr>
            <w:tcW w:w="876" w:type="dxa"/>
            <w:vAlign w:val="center"/>
          </w:tcPr>
          <w:p w14:paraId="74F4B162"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6A45ECFE"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17A1CEE0"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358A31DB"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11A7672B"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5E2D9078"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46BD251A" w14:textId="77777777" w:rsidTr="00116AFD">
        <w:trPr>
          <w:gridAfter w:val="1"/>
          <w:wAfter w:w="7" w:type="dxa"/>
          <w:trHeight w:val="20"/>
        </w:trPr>
        <w:tc>
          <w:tcPr>
            <w:tcW w:w="9023" w:type="dxa"/>
            <w:gridSpan w:val="6"/>
            <w:vAlign w:val="center"/>
          </w:tcPr>
          <w:p w14:paraId="120436F6"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w:t>
            </w:r>
          </w:p>
        </w:tc>
      </w:tr>
      <w:tr w:rsidR="00852466" w:rsidRPr="00144D2D" w14:paraId="1C76C88E" w14:textId="77777777" w:rsidTr="00116AFD">
        <w:trPr>
          <w:gridAfter w:val="1"/>
          <w:wAfter w:w="7" w:type="dxa"/>
          <w:trHeight w:val="20"/>
        </w:trPr>
        <w:tc>
          <w:tcPr>
            <w:tcW w:w="3940" w:type="dxa"/>
            <w:vAlign w:val="center"/>
          </w:tcPr>
          <w:p w14:paraId="614536F4"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375A06A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13BF2B7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27F3171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33C8F92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00A8743"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6EF3DD1E" w14:textId="77777777" w:rsidR="00852466" w:rsidRPr="00144D2D" w:rsidRDefault="00852466">
            <w:pPr>
              <w:keepLines/>
              <w:rPr>
                <w:rFonts w:ascii="Arial Narrow" w:hAnsi="Arial Narrow"/>
                <w:sz w:val="20"/>
                <w:szCs w:val="20"/>
              </w:rPr>
            </w:pPr>
          </w:p>
        </w:tc>
      </w:tr>
      <w:tr w:rsidR="00852466" w:rsidRPr="00144D2D" w14:paraId="21DB9C7D" w14:textId="77777777" w:rsidTr="00116AFD">
        <w:trPr>
          <w:gridAfter w:val="1"/>
          <w:wAfter w:w="7" w:type="dxa"/>
          <w:trHeight w:val="20"/>
        </w:trPr>
        <w:tc>
          <w:tcPr>
            <w:tcW w:w="3940" w:type="dxa"/>
            <w:vAlign w:val="center"/>
          </w:tcPr>
          <w:p w14:paraId="13F89E6B"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43E2368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5851BF3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3217E5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46F8B5E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4E66769E"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4BE16B3B" w14:textId="77777777" w:rsidR="00852466" w:rsidRPr="00144D2D" w:rsidRDefault="00852466">
            <w:pPr>
              <w:keepLines/>
              <w:rPr>
                <w:rFonts w:ascii="Arial Narrow" w:hAnsi="Arial Narrow"/>
                <w:sz w:val="20"/>
                <w:szCs w:val="20"/>
              </w:rPr>
            </w:pPr>
          </w:p>
        </w:tc>
      </w:tr>
      <w:tr w:rsidR="00852466" w:rsidRPr="00144D2D" w14:paraId="167898F4" w14:textId="77777777" w:rsidTr="00116AFD">
        <w:trPr>
          <w:gridAfter w:val="1"/>
          <w:wAfter w:w="7" w:type="dxa"/>
          <w:trHeight w:val="20"/>
        </w:trPr>
        <w:tc>
          <w:tcPr>
            <w:tcW w:w="3940" w:type="dxa"/>
            <w:vAlign w:val="center"/>
          </w:tcPr>
          <w:p w14:paraId="010F2A07"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3DCBEE0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5376CE0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FCA6E7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63FC53C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6226A187"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7F0FA6A2" w14:textId="77777777" w:rsidR="00852466" w:rsidRPr="00144D2D" w:rsidRDefault="00852466">
            <w:pPr>
              <w:keepLines/>
              <w:rPr>
                <w:rFonts w:ascii="Arial Narrow" w:hAnsi="Arial Narrow"/>
                <w:sz w:val="20"/>
                <w:szCs w:val="20"/>
              </w:rPr>
            </w:pPr>
          </w:p>
        </w:tc>
      </w:tr>
      <w:tr w:rsidR="00852466" w:rsidRPr="00144D2D" w14:paraId="0F70ACA4" w14:textId="77777777" w:rsidTr="00116AFD">
        <w:trPr>
          <w:gridAfter w:val="1"/>
          <w:wAfter w:w="7" w:type="dxa"/>
          <w:trHeight w:val="20"/>
        </w:trPr>
        <w:tc>
          <w:tcPr>
            <w:tcW w:w="3940" w:type="dxa"/>
            <w:vAlign w:val="center"/>
          </w:tcPr>
          <w:p w14:paraId="2B90851C"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80 mg/0.8 mL injection, 0.8 mL pen device</w:t>
            </w:r>
          </w:p>
        </w:tc>
        <w:tc>
          <w:tcPr>
            <w:tcW w:w="876" w:type="dxa"/>
            <w:vAlign w:val="center"/>
          </w:tcPr>
          <w:p w14:paraId="624F4D0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12374G</w:t>
            </w:r>
          </w:p>
        </w:tc>
        <w:tc>
          <w:tcPr>
            <w:tcW w:w="747" w:type="dxa"/>
            <w:vAlign w:val="center"/>
          </w:tcPr>
          <w:p w14:paraId="174BC95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5176B084"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515EA978"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3798418D"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671799B5" w14:textId="77777777" w:rsidR="00852466" w:rsidRPr="00144D2D" w:rsidRDefault="00852466">
            <w:pPr>
              <w:keepLines/>
              <w:rPr>
                <w:rFonts w:ascii="Arial Narrow" w:hAnsi="Arial Narrow"/>
                <w:sz w:val="20"/>
                <w:szCs w:val="20"/>
              </w:rPr>
            </w:pPr>
          </w:p>
        </w:tc>
      </w:tr>
      <w:tr w:rsidR="00852466" w:rsidRPr="00144D2D" w14:paraId="514D2CC2" w14:textId="77777777" w:rsidTr="00116AFD">
        <w:trPr>
          <w:gridAfter w:val="1"/>
          <w:wAfter w:w="7" w:type="dxa"/>
          <w:trHeight w:val="20"/>
        </w:trPr>
        <w:tc>
          <w:tcPr>
            <w:tcW w:w="3940" w:type="dxa"/>
            <w:vAlign w:val="center"/>
          </w:tcPr>
          <w:p w14:paraId="709BDB07"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80 mg/0.8 mL injection, 0.8 mL syringe</w:t>
            </w:r>
          </w:p>
        </w:tc>
        <w:tc>
          <w:tcPr>
            <w:tcW w:w="876" w:type="dxa"/>
            <w:vAlign w:val="center"/>
          </w:tcPr>
          <w:p w14:paraId="262E986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12339K</w:t>
            </w:r>
          </w:p>
        </w:tc>
        <w:tc>
          <w:tcPr>
            <w:tcW w:w="747" w:type="dxa"/>
            <w:vAlign w:val="center"/>
          </w:tcPr>
          <w:p w14:paraId="6498660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458EFB8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195338F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28BE136F"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1EFC54C8" w14:textId="77777777" w:rsidR="00852466" w:rsidRPr="00144D2D" w:rsidRDefault="00852466">
            <w:pPr>
              <w:keepLines/>
              <w:rPr>
                <w:rFonts w:ascii="Arial Narrow" w:hAnsi="Arial Narrow"/>
                <w:sz w:val="20"/>
                <w:szCs w:val="20"/>
              </w:rPr>
            </w:pPr>
          </w:p>
        </w:tc>
      </w:tr>
      <w:tr w:rsidR="00852466" w:rsidRPr="00144D2D" w14:paraId="285E38A8" w14:textId="77777777" w:rsidTr="00116AFD">
        <w:trPr>
          <w:gridAfter w:val="1"/>
          <w:wAfter w:w="7" w:type="dxa"/>
          <w:trHeight w:val="20"/>
        </w:trPr>
        <w:tc>
          <w:tcPr>
            <w:tcW w:w="3940" w:type="dxa"/>
            <w:vAlign w:val="center"/>
          </w:tcPr>
          <w:p w14:paraId="18BAFFD9"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58F5D47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69E5A32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29B06CDA"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04CB9B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4A7C949D"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24B613E3"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top w:val="single" w:sz="4" w:space="0" w:color="auto"/>
              <w:left w:val="single" w:sz="4" w:space="0" w:color="auto"/>
              <w:right w:val="single" w:sz="4" w:space="0" w:color="auto"/>
            </w:tcBorders>
            <w:vAlign w:val="center"/>
          </w:tcPr>
          <w:p w14:paraId="41B054E8" w14:textId="77777777" w:rsidR="00852466" w:rsidRPr="00144D2D" w:rsidRDefault="00852466">
            <w:pPr>
              <w:rPr>
                <w:rFonts w:ascii="Arial Narrow" w:hAnsi="Arial Narrow"/>
                <w:sz w:val="20"/>
                <w:szCs w:val="20"/>
              </w:rPr>
            </w:pPr>
          </w:p>
        </w:tc>
      </w:tr>
      <w:tr w:rsidR="00852466" w:rsidRPr="00144D2D" w14:paraId="57E4A2FD"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825A981"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30C3AAC5"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94D97C0"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555BFFDF"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D7B1185"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0933B7A6"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573DEB6"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CE2DA1E"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0191261"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1 (new patient)</w:t>
            </w:r>
          </w:p>
        </w:tc>
      </w:tr>
      <w:tr w:rsidR="00852466" w:rsidRPr="00144D2D" w14:paraId="375DCF51"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left w:val="single" w:sz="4" w:space="0" w:color="auto"/>
              <w:right w:val="single" w:sz="4" w:space="0" w:color="auto"/>
            </w:tcBorders>
            <w:vAlign w:val="center"/>
          </w:tcPr>
          <w:p w14:paraId="25D6AAA9" w14:textId="77777777" w:rsidR="00852466" w:rsidRPr="00144D2D" w:rsidRDefault="00852466">
            <w:pPr>
              <w:keepLines/>
              <w:rPr>
                <w:rFonts w:ascii="Arial Narrow" w:hAnsi="Arial Narrow"/>
                <w:b/>
                <w:bCs/>
                <w:sz w:val="20"/>
                <w:szCs w:val="20"/>
              </w:rPr>
            </w:pPr>
          </w:p>
        </w:tc>
      </w:tr>
      <w:tr w:rsidR="00852466" w:rsidRPr="00144D2D" w14:paraId="50CC798F" w14:textId="77777777" w:rsidTr="00116AFD">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24E71990" w14:textId="77777777" w:rsidR="00852466" w:rsidRPr="00144D2D" w:rsidRDefault="00852466">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3D1F5F7E"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4F605165"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3004634F"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779F2968"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67415327" w14:textId="77777777" w:rsidTr="00116AFD">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33629029"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3BA9208"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01FEC56"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2 (change or recommencement of treatment after a break in biological medicine of less than 5 years)</w:t>
            </w:r>
          </w:p>
        </w:tc>
      </w:tr>
      <w:tr w:rsidR="00852466" w:rsidRPr="00144D2D" w14:paraId="0FE4DD08"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left w:val="single" w:sz="4" w:space="0" w:color="auto"/>
              <w:right w:val="single" w:sz="4" w:space="0" w:color="auto"/>
            </w:tcBorders>
            <w:vAlign w:val="center"/>
          </w:tcPr>
          <w:p w14:paraId="5781213C" w14:textId="77777777" w:rsidR="00852466" w:rsidRPr="00144D2D" w:rsidRDefault="00852466">
            <w:pPr>
              <w:keepLines/>
              <w:rPr>
                <w:rFonts w:ascii="Arial Narrow" w:hAnsi="Arial Narrow"/>
                <w:b/>
                <w:bCs/>
                <w:sz w:val="20"/>
                <w:szCs w:val="20"/>
              </w:rPr>
            </w:pPr>
          </w:p>
        </w:tc>
      </w:tr>
      <w:tr w:rsidR="00852466" w:rsidRPr="00144D2D" w14:paraId="54E72B9C" w14:textId="77777777" w:rsidTr="00116AFD">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A003467" w14:textId="77777777" w:rsidR="00852466" w:rsidRPr="00144D2D" w:rsidRDefault="00852466">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3FF1B61A"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4380D17E"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5BB34D76"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36E3C96E"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852466" w:rsidRPr="00144D2D" w14:paraId="52AD904B" w14:textId="77777777" w:rsidTr="00116AFD">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08AF932B"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03942B62" w14:textId="77777777" w:rsidTr="00116AFD">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67856582"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3 (recommencement of treatment after a break in biological medicine of more than 5 years)</w:t>
            </w:r>
          </w:p>
        </w:tc>
      </w:tr>
    </w:tbl>
    <w:p w14:paraId="66510B71" w14:textId="77777777" w:rsidR="00852466" w:rsidRDefault="00852466" w:rsidP="00852466">
      <w:pPr>
        <w:rPr>
          <w:lang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oderate to severe ulcerative colitis (change to existing listing)"/>
      </w:tblPr>
      <w:tblGrid>
        <w:gridCol w:w="3939"/>
        <w:gridCol w:w="876"/>
        <w:gridCol w:w="747"/>
        <w:gridCol w:w="811"/>
        <w:gridCol w:w="812"/>
        <w:gridCol w:w="1837"/>
        <w:gridCol w:w="7"/>
      </w:tblGrid>
      <w:tr w:rsidR="00852466" w:rsidRPr="00144D2D" w14:paraId="35A3E3A6" w14:textId="77777777">
        <w:trPr>
          <w:gridAfter w:val="1"/>
          <w:wAfter w:w="7" w:type="dxa"/>
          <w:cantSplit/>
          <w:trHeight w:val="20"/>
        </w:trPr>
        <w:tc>
          <w:tcPr>
            <w:tcW w:w="3939" w:type="dxa"/>
            <w:vAlign w:val="center"/>
          </w:tcPr>
          <w:p w14:paraId="4E30DAC5" w14:textId="77777777" w:rsidR="00852466" w:rsidRPr="00373291" w:rsidRDefault="00852466">
            <w:pPr>
              <w:keepLines/>
              <w:rPr>
                <w:rFonts w:ascii="Arial Narrow" w:hAnsi="Arial Narrow"/>
                <w:b/>
                <w:bCs/>
                <w:sz w:val="20"/>
                <w:szCs w:val="20"/>
              </w:rPr>
            </w:pPr>
            <w:r w:rsidRPr="00373291">
              <w:rPr>
                <w:rFonts w:ascii="Arial Narrow" w:hAnsi="Arial Narrow"/>
                <w:b/>
                <w:bCs/>
                <w:sz w:val="20"/>
                <w:szCs w:val="20"/>
              </w:rPr>
              <w:t>MEDICINAL PRODUCT</w:t>
            </w:r>
          </w:p>
          <w:p w14:paraId="4345A6E9" w14:textId="77777777" w:rsidR="00852466" w:rsidRPr="00144D2D" w:rsidRDefault="00852466">
            <w:pPr>
              <w:keepLines/>
              <w:rPr>
                <w:rFonts w:ascii="Arial Narrow" w:hAnsi="Arial Narrow"/>
                <w:b/>
                <w:sz w:val="20"/>
                <w:szCs w:val="20"/>
              </w:rPr>
            </w:pPr>
            <w:r w:rsidRPr="00373291">
              <w:rPr>
                <w:rFonts w:ascii="Arial Narrow" w:hAnsi="Arial Narrow"/>
                <w:b/>
                <w:bCs/>
                <w:sz w:val="20"/>
                <w:szCs w:val="20"/>
              </w:rPr>
              <w:t>medicinal product pack</w:t>
            </w:r>
          </w:p>
        </w:tc>
        <w:tc>
          <w:tcPr>
            <w:tcW w:w="876" w:type="dxa"/>
            <w:vAlign w:val="center"/>
          </w:tcPr>
          <w:p w14:paraId="62210F56"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29563627"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6B683CD3"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18F24F82"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22E0F496"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2B13E779"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0B8FFFA4" w14:textId="77777777">
        <w:trPr>
          <w:gridAfter w:val="1"/>
          <w:wAfter w:w="7" w:type="dxa"/>
          <w:cantSplit/>
          <w:trHeight w:val="20"/>
        </w:trPr>
        <w:tc>
          <w:tcPr>
            <w:tcW w:w="9022" w:type="dxa"/>
            <w:gridSpan w:val="6"/>
            <w:vAlign w:val="center"/>
          </w:tcPr>
          <w:p w14:paraId="6B613736"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w:t>
            </w:r>
          </w:p>
        </w:tc>
      </w:tr>
      <w:tr w:rsidR="00852466" w:rsidRPr="00144D2D" w14:paraId="2AB3AB2D" w14:textId="77777777">
        <w:trPr>
          <w:gridAfter w:val="1"/>
          <w:wAfter w:w="7" w:type="dxa"/>
          <w:cantSplit/>
          <w:trHeight w:val="20"/>
        </w:trPr>
        <w:tc>
          <w:tcPr>
            <w:tcW w:w="3939" w:type="dxa"/>
            <w:vAlign w:val="center"/>
          </w:tcPr>
          <w:p w14:paraId="2E4EF525"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261F599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1BBDDFB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5E3B1BE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1CA988BE"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2EEF9A1F"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38F85A79" w14:textId="77777777" w:rsidR="00852466" w:rsidRPr="00144D2D" w:rsidRDefault="00852466">
            <w:pPr>
              <w:keepLines/>
              <w:rPr>
                <w:rFonts w:ascii="Arial Narrow" w:hAnsi="Arial Narrow"/>
                <w:sz w:val="20"/>
                <w:szCs w:val="20"/>
              </w:rPr>
            </w:pPr>
          </w:p>
        </w:tc>
      </w:tr>
      <w:tr w:rsidR="00852466" w:rsidRPr="00144D2D" w14:paraId="2EE7C6CC" w14:textId="77777777">
        <w:trPr>
          <w:gridAfter w:val="1"/>
          <w:wAfter w:w="7" w:type="dxa"/>
          <w:cantSplit/>
          <w:trHeight w:val="20"/>
        </w:trPr>
        <w:tc>
          <w:tcPr>
            <w:tcW w:w="3939" w:type="dxa"/>
            <w:vAlign w:val="center"/>
          </w:tcPr>
          <w:p w14:paraId="49BAA14F"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17CB23E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12412G</w:t>
            </w:r>
          </w:p>
        </w:tc>
        <w:tc>
          <w:tcPr>
            <w:tcW w:w="747" w:type="dxa"/>
            <w:vAlign w:val="center"/>
          </w:tcPr>
          <w:p w14:paraId="672C097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1F74D45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002852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5BBA7BC3"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1C2ABED6" w14:textId="77777777" w:rsidR="00852466" w:rsidRPr="00144D2D" w:rsidRDefault="00852466">
            <w:pPr>
              <w:keepLines/>
              <w:rPr>
                <w:rFonts w:ascii="Arial Narrow" w:hAnsi="Arial Narrow"/>
                <w:sz w:val="20"/>
                <w:szCs w:val="20"/>
              </w:rPr>
            </w:pPr>
          </w:p>
        </w:tc>
      </w:tr>
      <w:tr w:rsidR="00852466" w:rsidRPr="00144D2D" w14:paraId="5257DCA5" w14:textId="77777777">
        <w:trPr>
          <w:gridAfter w:val="1"/>
          <w:wAfter w:w="7" w:type="dxa"/>
          <w:cantSplit/>
          <w:trHeight w:val="20"/>
        </w:trPr>
        <w:tc>
          <w:tcPr>
            <w:tcW w:w="3939" w:type="dxa"/>
            <w:vAlign w:val="center"/>
          </w:tcPr>
          <w:p w14:paraId="0CC25CA6"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17690C4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340977B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6A431CA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2BAECC5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6BE31799"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020D468A" w14:textId="77777777" w:rsidR="00852466" w:rsidRPr="00144D2D" w:rsidRDefault="00852466">
            <w:pPr>
              <w:keepLines/>
              <w:rPr>
                <w:rFonts w:ascii="Arial Narrow" w:hAnsi="Arial Narrow"/>
                <w:sz w:val="20"/>
                <w:szCs w:val="20"/>
              </w:rPr>
            </w:pPr>
          </w:p>
        </w:tc>
      </w:tr>
      <w:tr w:rsidR="00852466" w:rsidRPr="00144D2D" w14:paraId="08B85585" w14:textId="77777777">
        <w:trPr>
          <w:gridAfter w:val="1"/>
          <w:wAfter w:w="7" w:type="dxa"/>
          <w:cantSplit/>
          <w:trHeight w:val="20"/>
        </w:trPr>
        <w:tc>
          <w:tcPr>
            <w:tcW w:w="3939" w:type="dxa"/>
            <w:vAlign w:val="center"/>
          </w:tcPr>
          <w:p w14:paraId="0FB88ED9"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364CCA56"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3AFB253A"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4FCFEFB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772B6065"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561DEFA3"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557F1E40" w14:textId="77777777" w:rsidR="00852466" w:rsidRPr="00144D2D" w:rsidRDefault="00852466">
            <w:pPr>
              <w:keepLines/>
              <w:rPr>
                <w:rFonts w:ascii="Arial Narrow" w:hAnsi="Arial Narrow"/>
                <w:sz w:val="20"/>
                <w:szCs w:val="20"/>
              </w:rPr>
            </w:pPr>
          </w:p>
        </w:tc>
      </w:tr>
      <w:tr w:rsidR="00852466" w:rsidRPr="00144D2D" w14:paraId="06291BC8" w14:textId="77777777">
        <w:trPr>
          <w:gridAfter w:val="1"/>
          <w:wAfter w:w="7" w:type="dxa"/>
          <w:cantSplit/>
          <w:trHeight w:val="20"/>
        </w:trPr>
        <w:tc>
          <w:tcPr>
            <w:tcW w:w="3939" w:type="dxa"/>
            <w:vAlign w:val="center"/>
          </w:tcPr>
          <w:p w14:paraId="22B581BF"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283F393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1C8352CB"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50BFEB9"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837FC43"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46D57653"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24580D21"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21B8206" w14:textId="77777777" w:rsidR="00852466" w:rsidRPr="00144D2D" w:rsidRDefault="00852466">
            <w:pPr>
              <w:rPr>
                <w:rFonts w:ascii="Arial Narrow" w:hAnsi="Arial Narrow"/>
                <w:b/>
                <w:bCs/>
                <w:sz w:val="20"/>
                <w:szCs w:val="20"/>
              </w:rPr>
            </w:pPr>
          </w:p>
        </w:tc>
      </w:tr>
      <w:tr w:rsidR="00852466" w:rsidRPr="00144D2D" w14:paraId="4D61C5A9"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0FC62A9"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0DAE9748"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AE8BD2F"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3E9F6FEF" w14:textId="77777777">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DEE6B83" w14:textId="77777777" w:rsidR="00852466" w:rsidRPr="00144D2D" w:rsidRDefault="00852466">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65BE399A" w14:textId="77777777">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595FAAC"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277977D0" w14:textId="77777777">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DB4ADB9"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1 (new patient) or Initial 2 (change or recommencement of treatment after a break in biological medicine of less than 5 years) or Initial 3 (recommencement of treatment after a break in biological medicine of more than 5 years) - balance of supply</w:t>
            </w:r>
          </w:p>
        </w:tc>
      </w:tr>
    </w:tbl>
    <w:p w14:paraId="79F625B9" w14:textId="77777777" w:rsidR="00852466" w:rsidRDefault="00852466" w:rsidP="00852466">
      <w:pPr>
        <w:rPr>
          <w:lang w:eastAsia="en-US"/>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oderate to severe ulcerative colitis (change to existing listing)"/>
      </w:tblPr>
      <w:tblGrid>
        <w:gridCol w:w="3938"/>
        <w:gridCol w:w="882"/>
        <w:gridCol w:w="741"/>
        <w:gridCol w:w="811"/>
        <w:gridCol w:w="812"/>
        <w:gridCol w:w="1816"/>
      </w:tblGrid>
      <w:tr w:rsidR="00852466" w:rsidRPr="00144D2D" w14:paraId="33135E76" w14:textId="77777777" w:rsidTr="00116AFD">
        <w:trPr>
          <w:trHeight w:val="20"/>
        </w:trPr>
        <w:tc>
          <w:tcPr>
            <w:tcW w:w="3939" w:type="dxa"/>
            <w:vAlign w:val="center"/>
          </w:tcPr>
          <w:p w14:paraId="73122F21"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MEDICINAL PRODUCT</w:t>
            </w:r>
          </w:p>
          <w:p w14:paraId="1BA6E7D2"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medicinal product pack</w:t>
            </w:r>
          </w:p>
        </w:tc>
        <w:tc>
          <w:tcPr>
            <w:tcW w:w="882" w:type="dxa"/>
            <w:vAlign w:val="center"/>
          </w:tcPr>
          <w:p w14:paraId="6D182D3E"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PBS item code</w:t>
            </w:r>
          </w:p>
        </w:tc>
        <w:tc>
          <w:tcPr>
            <w:tcW w:w="741" w:type="dxa"/>
            <w:vAlign w:val="center"/>
          </w:tcPr>
          <w:p w14:paraId="538C8814"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514D381D"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1A6E8A01"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№.of</w:t>
            </w:r>
          </w:p>
          <w:p w14:paraId="1DB0F732" w14:textId="77777777" w:rsidR="00852466" w:rsidRPr="00144D2D" w:rsidRDefault="00852466">
            <w:pPr>
              <w:keepLines/>
              <w:jc w:val="center"/>
              <w:rPr>
                <w:rFonts w:ascii="Arial Narrow" w:hAnsi="Arial Narrow"/>
                <w:b/>
                <w:sz w:val="20"/>
                <w:szCs w:val="20"/>
              </w:rPr>
            </w:pPr>
            <w:r w:rsidRPr="00144D2D">
              <w:rPr>
                <w:rFonts w:ascii="Arial Narrow" w:hAnsi="Arial Narrow"/>
                <w:b/>
                <w:sz w:val="20"/>
                <w:szCs w:val="20"/>
              </w:rPr>
              <w:t>Rpts</w:t>
            </w:r>
          </w:p>
        </w:tc>
        <w:tc>
          <w:tcPr>
            <w:tcW w:w="1816" w:type="dxa"/>
            <w:vAlign w:val="center"/>
          </w:tcPr>
          <w:p w14:paraId="290800CC" w14:textId="77777777" w:rsidR="00852466" w:rsidRPr="00144D2D" w:rsidRDefault="00852466">
            <w:pPr>
              <w:keepLines/>
              <w:rPr>
                <w:rFonts w:ascii="Arial Narrow" w:hAnsi="Arial Narrow"/>
                <w:b/>
                <w:sz w:val="20"/>
                <w:szCs w:val="20"/>
                <w:lang w:val="fr-FR"/>
              </w:rPr>
            </w:pPr>
            <w:r w:rsidRPr="00144D2D">
              <w:rPr>
                <w:rFonts w:ascii="Arial Narrow" w:hAnsi="Arial Narrow"/>
                <w:b/>
                <w:sz w:val="20"/>
                <w:szCs w:val="20"/>
              </w:rPr>
              <w:t>Available brands</w:t>
            </w:r>
          </w:p>
        </w:tc>
      </w:tr>
      <w:tr w:rsidR="00852466" w:rsidRPr="00144D2D" w14:paraId="0691415A" w14:textId="77777777" w:rsidTr="00116AFD">
        <w:trPr>
          <w:trHeight w:val="20"/>
        </w:trPr>
        <w:tc>
          <w:tcPr>
            <w:tcW w:w="9001" w:type="dxa"/>
            <w:gridSpan w:val="6"/>
            <w:vAlign w:val="center"/>
          </w:tcPr>
          <w:p w14:paraId="091BB23B" w14:textId="77777777" w:rsidR="00852466" w:rsidRPr="00144D2D" w:rsidRDefault="00852466">
            <w:pPr>
              <w:keepLines/>
              <w:rPr>
                <w:rFonts w:ascii="Arial Narrow" w:hAnsi="Arial Narrow"/>
                <w:sz w:val="20"/>
                <w:szCs w:val="20"/>
              </w:rPr>
            </w:pPr>
            <w:r w:rsidRPr="00144D2D">
              <w:rPr>
                <w:rFonts w:ascii="Arial Narrow" w:hAnsi="Arial Narrow"/>
                <w:sz w:val="20"/>
                <w:szCs w:val="20"/>
              </w:rPr>
              <w:t>ADALIMUMAB</w:t>
            </w:r>
          </w:p>
        </w:tc>
      </w:tr>
      <w:tr w:rsidR="00852466" w:rsidRPr="00144D2D" w14:paraId="24D78CC2" w14:textId="77777777" w:rsidTr="00116AFD">
        <w:trPr>
          <w:trHeight w:val="20"/>
        </w:trPr>
        <w:tc>
          <w:tcPr>
            <w:tcW w:w="3939" w:type="dxa"/>
            <w:vAlign w:val="center"/>
          </w:tcPr>
          <w:p w14:paraId="0D84CADA"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82" w:type="dxa"/>
            <w:vAlign w:val="center"/>
          </w:tcPr>
          <w:p w14:paraId="3A66C6AA"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12337H</w:t>
            </w:r>
          </w:p>
        </w:tc>
        <w:tc>
          <w:tcPr>
            <w:tcW w:w="741" w:type="dxa"/>
            <w:vAlign w:val="center"/>
          </w:tcPr>
          <w:p w14:paraId="13E04DD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1F15E72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26526F2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43801CA4"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tc>
      </w:tr>
      <w:tr w:rsidR="00852466" w:rsidRPr="00144D2D" w14:paraId="273D1EA6" w14:textId="77777777" w:rsidTr="00116AFD">
        <w:trPr>
          <w:trHeight w:val="20"/>
        </w:trPr>
        <w:tc>
          <w:tcPr>
            <w:tcW w:w="3939" w:type="dxa"/>
            <w:vAlign w:val="center"/>
          </w:tcPr>
          <w:p w14:paraId="7C3FA565"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82" w:type="dxa"/>
            <w:vAlign w:val="center"/>
          </w:tcPr>
          <w:p w14:paraId="30B9195D"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12358K</w:t>
            </w:r>
          </w:p>
        </w:tc>
        <w:tc>
          <w:tcPr>
            <w:tcW w:w="741" w:type="dxa"/>
            <w:vAlign w:val="center"/>
          </w:tcPr>
          <w:p w14:paraId="480EE06C"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DC46EB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3D765DF"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296C19AB"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33218020" w14:textId="77777777" w:rsidR="00852466" w:rsidRPr="00144D2D" w:rsidRDefault="00852466">
            <w:pPr>
              <w:keepLines/>
              <w:rPr>
                <w:rFonts w:ascii="Arial Narrow" w:hAnsi="Arial Narrow"/>
                <w:sz w:val="20"/>
                <w:szCs w:val="20"/>
              </w:rPr>
            </w:pPr>
          </w:p>
        </w:tc>
      </w:tr>
      <w:tr w:rsidR="00852466" w:rsidRPr="00144D2D" w14:paraId="7887FC5D" w14:textId="77777777" w:rsidTr="00116AFD">
        <w:trPr>
          <w:trHeight w:val="20"/>
        </w:trPr>
        <w:tc>
          <w:tcPr>
            <w:tcW w:w="3939" w:type="dxa"/>
            <w:vAlign w:val="center"/>
          </w:tcPr>
          <w:p w14:paraId="6ECD83AB" w14:textId="77777777" w:rsidR="00852466" w:rsidRPr="00144D2D" w:rsidRDefault="00852466">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82" w:type="dxa"/>
            <w:vAlign w:val="center"/>
          </w:tcPr>
          <w:p w14:paraId="5D412E41"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12391E</w:t>
            </w:r>
          </w:p>
        </w:tc>
        <w:tc>
          <w:tcPr>
            <w:tcW w:w="741" w:type="dxa"/>
            <w:vAlign w:val="center"/>
          </w:tcPr>
          <w:p w14:paraId="28986CA0"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A8BF702"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6901377" w14:textId="77777777" w:rsidR="00852466" w:rsidRPr="00144D2D" w:rsidRDefault="00852466">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4047B34B" w14:textId="77777777" w:rsidR="00852466" w:rsidRPr="00144D2D" w:rsidRDefault="00852466">
            <w:pPr>
              <w:keepLines/>
              <w:rPr>
                <w:rFonts w:ascii="Arial Narrow" w:hAnsi="Arial Narrow"/>
                <w:sz w:val="20"/>
                <w:szCs w:val="20"/>
              </w:rPr>
            </w:pPr>
            <w:r w:rsidRPr="00144D2D">
              <w:rPr>
                <w:rFonts w:ascii="Arial Narrow" w:hAnsi="Arial Narrow"/>
                <w:sz w:val="20"/>
                <w:szCs w:val="20"/>
              </w:rPr>
              <w:t>Humira</w:t>
            </w:r>
          </w:p>
          <w:p w14:paraId="19B60FC7" w14:textId="77777777" w:rsidR="00852466" w:rsidRPr="00144D2D" w:rsidRDefault="00852466">
            <w:pPr>
              <w:keepLines/>
              <w:rPr>
                <w:rFonts w:ascii="Arial Narrow" w:hAnsi="Arial Narrow"/>
                <w:sz w:val="20"/>
                <w:szCs w:val="20"/>
              </w:rPr>
            </w:pPr>
          </w:p>
        </w:tc>
      </w:tr>
      <w:tr w:rsidR="00852466" w:rsidRPr="00144D2D" w14:paraId="7C6F2B73"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right w:val="single" w:sz="4" w:space="0" w:color="auto"/>
            </w:tcBorders>
            <w:vAlign w:val="center"/>
          </w:tcPr>
          <w:p w14:paraId="13E96909" w14:textId="77777777" w:rsidR="00852466" w:rsidRPr="00144D2D" w:rsidRDefault="00852466">
            <w:pPr>
              <w:rPr>
                <w:rFonts w:ascii="Arial Narrow" w:hAnsi="Arial Narrow"/>
                <w:sz w:val="20"/>
                <w:szCs w:val="20"/>
              </w:rPr>
            </w:pPr>
          </w:p>
        </w:tc>
      </w:tr>
      <w:tr w:rsidR="00852466" w:rsidRPr="00144D2D" w14:paraId="4A42E02C"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FE2C8EC" w14:textId="77777777" w:rsidR="00852466" w:rsidRPr="00144D2D" w:rsidRDefault="00852466">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2345ED6B" w14:textId="77777777" w:rsidTr="00116A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029EDB0B"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61C7CCAA" w14:textId="77777777" w:rsidTr="00116AFD">
        <w:tblPrEx>
          <w:tblCellMar>
            <w:top w:w="15" w:type="dxa"/>
            <w:bottom w:w="15" w:type="dxa"/>
          </w:tblCellMar>
        </w:tblPrEx>
        <w:trPr>
          <w:trHeight w:val="214"/>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CB1F318" w14:textId="77777777" w:rsidR="00852466" w:rsidRPr="00144D2D" w:rsidRDefault="00852466">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24784B46" w14:textId="77777777" w:rsidTr="00116AFD">
        <w:tblPrEx>
          <w:tblCellMar>
            <w:top w:w="15" w:type="dxa"/>
            <w:bottom w:w="15" w:type="dxa"/>
          </w:tblCellMar>
        </w:tblPrEx>
        <w:trPr>
          <w:trHeight w:val="234"/>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90373A5"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4BA1DC8A" w14:textId="77777777" w:rsidTr="00116AFD">
        <w:tblPrEx>
          <w:tblCellMar>
            <w:top w:w="15" w:type="dxa"/>
            <w:bottom w:w="15" w:type="dxa"/>
          </w:tblCellMar>
        </w:tblPrEx>
        <w:trPr>
          <w:trHeight w:val="25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35EC7719"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First continuing treatment</w:t>
            </w:r>
          </w:p>
        </w:tc>
      </w:tr>
      <w:tr w:rsidR="00852466" w:rsidRPr="00144D2D" w14:paraId="74B2C686"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left w:val="single" w:sz="4" w:space="0" w:color="auto"/>
              <w:right w:val="single" w:sz="4" w:space="0" w:color="auto"/>
            </w:tcBorders>
            <w:vAlign w:val="center"/>
          </w:tcPr>
          <w:p w14:paraId="1B966789" w14:textId="77777777" w:rsidR="00852466" w:rsidRDefault="00852466">
            <w:pPr>
              <w:keepLines/>
              <w:rPr>
                <w:rFonts w:ascii="Arial Narrow" w:hAnsi="Arial Narrow"/>
                <w:b/>
                <w:bCs/>
                <w:sz w:val="20"/>
                <w:szCs w:val="20"/>
              </w:rPr>
            </w:pPr>
          </w:p>
          <w:p w14:paraId="740EBE98" w14:textId="77777777" w:rsidR="00852466" w:rsidRPr="00144D2D" w:rsidRDefault="00852466">
            <w:pPr>
              <w:keepLines/>
              <w:rPr>
                <w:rFonts w:ascii="Arial Narrow" w:hAnsi="Arial Narrow"/>
                <w:b/>
                <w:bCs/>
                <w:sz w:val="20"/>
                <w:szCs w:val="20"/>
              </w:rPr>
            </w:pPr>
          </w:p>
        </w:tc>
      </w:tr>
      <w:tr w:rsidR="00852466" w:rsidRPr="00144D2D" w14:paraId="362964AD"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097705E2" w14:textId="77777777" w:rsidR="00852466" w:rsidRPr="00144D2D" w:rsidRDefault="00852466">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6A39CC03"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6D0815D0"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34E1C3BB"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46548E3E"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852466" w:rsidRPr="00144D2D" w14:paraId="366B3D3A" w14:textId="77777777" w:rsidTr="00116AFD">
        <w:tblPrEx>
          <w:tblCellMar>
            <w:top w:w="15" w:type="dxa"/>
            <w:bottom w:w="15" w:type="dxa"/>
          </w:tblCellMar>
        </w:tblPrEx>
        <w:trPr>
          <w:trHeight w:val="250"/>
        </w:trPr>
        <w:tc>
          <w:tcPr>
            <w:tcW w:w="9001" w:type="dxa"/>
            <w:gridSpan w:val="6"/>
            <w:tcBorders>
              <w:top w:val="single" w:sz="4" w:space="0" w:color="auto"/>
              <w:left w:val="single" w:sz="4" w:space="0" w:color="auto"/>
              <w:right w:val="single" w:sz="4" w:space="0" w:color="auto"/>
            </w:tcBorders>
            <w:vAlign w:val="center"/>
          </w:tcPr>
          <w:p w14:paraId="541EA34A"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0D4208C0" w14:textId="77777777" w:rsidTr="00116AFD">
        <w:tblPrEx>
          <w:tblCellMar>
            <w:top w:w="15" w:type="dxa"/>
            <w:bottom w:w="15" w:type="dxa"/>
          </w:tblCellMar>
        </w:tblPrEx>
        <w:trPr>
          <w:trHeight w:val="25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B18B0C3"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Continuing treatment - balance of supply</w:t>
            </w:r>
          </w:p>
        </w:tc>
      </w:tr>
      <w:tr w:rsidR="00852466" w:rsidRPr="00144D2D" w14:paraId="131E996D"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left w:val="single" w:sz="4" w:space="0" w:color="auto"/>
              <w:right w:val="single" w:sz="4" w:space="0" w:color="auto"/>
            </w:tcBorders>
            <w:vAlign w:val="center"/>
          </w:tcPr>
          <w:p w14:paraId="39567468" w14:textId="77777777" w:rsidR="00852466" w:rsidRDefault="00852466">
            <w:pPr>
              <w:keepLines/>
              <w:rPr>
                <w:rFonts w:ascii="Arial Narrow" w:hAnsi="Arial Narrow"/>
                <w:b/>
                <w:bCs/>
                <w:sz w:val="20"/>
                <w:szCs w:val="20"/>
              </w:rPr>
            </w:pPr>
          </w:p>
          <w:p w14:paraId="44BC9EA3" w14:textId="77777777" w:rsidR="00852466" w:rsidRPr="00144D2D" w:rsidRDefault="00852466">
            <w:pPr>
              <w:keepLines/>
              <w:rPr>
                <w:rFonts w:ascii="Arial Narrow" w:hAnsi="Arial Narrow"/>
                <w:b/>
                <w:bCs/>
                <w:sz w:val="20"/>
                <w:szCs w:val="20"/>
              </w:rPr>
            </w:pPr>
          </w:p>
        </w:tc>
      </w:tr>
      <w:tr w:rsidR="00852466" w:rsidRPr="00144D2D" w14:paraId="060F6384"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17F0A5A5" w14:textId="77777777" w:rsidR="00852466" w:rsidRPr="00144D2D" w:rsidRDefault="00852466">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852466" w:rsidRPr="00144D2D" w14:paraId="4423CE73"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176977C0" w14:textId="77777777" w:rsidR="00852466" w:rsidRPr="00144D2D" w:rsidRDefault="00852466">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852466" w:rsidRPr="00144D2D" w14:paraId="0F76A626"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2CB3F97B" w14:textId="77777777" w:rsidR="00852466" w:rsidRPr="00BC1096" w:rsidRDefault="00852466">
            <w:pPr>
              <w:keepLines/>
              <w:rPr>
                <w:rFonts w:ascii="Arial Narrow" w:hAnsi="Arial Narrow"/>
                <w:b/>
                <w:i/>
                <w:iCs/>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w:t>
            </w:r>
            <w:r w:rsidRPr="00BC1096">
              <w:rPr>
                <w:rFonts w:ascii="Arial Narrow" w:eastAsia="Calibri" w:hAnsi="Arial Narrow"/>
                <w:strike/>
                <w:sz w:val="20"/>
                <w:szCs w:val="20"/>
              </w:rPr>
              <w:t>(telephone/online PBS Authorities system)</w:t>
            </w:r>
            <w:r>
              <w:rPr>
                <w:rFonts w:ascii="Arial Narrow" w:eastAsia="Calibri" w:hAnsi="Arial Narrow"/>
                <w:sz w:val="20"/>
                <w:szCs w:val="20"/>
              </w:rPr>
              <w:t xml:space="preserve"> </w:t>
            </w:r>
            <w:r>
              <w:rPr>
                <w:rFonts w:ascii="Arial Narrow" w:eastAsia="Calibri" w:hAnsi="Arial Narrow"/>
                <w:i/>
                <w:iCs/>
                <w:sz w:val="20"/>
                <w:szCs w:val="20"/>
              </w:rPr>
              <w:t>(STREAMLINED)</w:t>
            </w:r>
          </w:p>
        </w:tc>
      </w:tr>
      <w:tr w:rsidR="00852466" w:rsidRPr="00144D2D" w14:paraId="43243B33" w14:textId="77777777" w:rsidTr="00116AFD">
        <w:tblPrEx>
          <w:tblCellMar>
            <w:top w:w="15" w:type="dxa"/>
            <w:bottom w:w="15" w:type="dxa"/>
          </w:tblCellMar>
        </w:tblPrEx>
        <w:trPr>
          <w:trHeight w:val="250"/>
        </w:trPr>
        <w:tc>
          <w:tcPr>
            <w:tcW w:w="9001" w:type="dxa"/>
            <w:gridSpan w:val="6"/>
            <w:tcBorders>
              <w:top w:val="single" w:sz="4" w:space="0" w:color="auto"/>
              <w:left w:val="single" w:sz="4" w:space="0" w:color="auto"/>
              <w:right w:val="single" w:sz="4" w:space="0" w:color="auto"/>
            </w:tcBorders>
            <w:vAlign w:val="center"/>
          </w:tcPr>
          <w:p w14:paraId="55D0B7B3" w14:textId="77777777" w:rsidR="00852466" w:rsidRPr="00144D2D" w:rsidRDefault="00852466">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852466" w:rsidRPr="00144D2D" w14:paraId="763F77F7" w14:textId="77777777" w:rsidTr="00116A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5FFFDFF4" w14:textId="77777777" w:rsidR="00852466" w:rsidRPr="00144D2D" w:rsidRDefault="00852466">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Subsequent continuing treatment</w:t>
            </w:r>
          </w:p>
        </w:tc>
      </w:tr>
    </w:tbl>
    <w:p w14:paraId="7BEA473F" w14:textId="77777777" w:rsidR="00852466" w:rsidRDefault="00852466" w:rsidP="00852466">
      <w:pPr>
        <w:pStyle w:val="3-BodyText"/>
        <w:numPr>
          <w:ilvl w:val="1"/>
          <w:numId w:val="2"/>
        </w:numPr>
        <w:spacing w:before="120"/>
        <w:rPr>
          <w:lang w:eastAsia="en-US"/>
        </w:rPr>
      </w:pPr>
      <w:r>
        <w:rPr>
          <w:lang w:eastAsia="en-US"/>
        </w:rPr>
        <w:t xml:space="preserve">Flow-on changes to  remove the no increases in quantity to </w:t>
      </w:r>
      <w:r>
        <w:rPr>
          <w:rFonts w:cstheme="minorHAnsi"/>
          <w:lang w:eastAsia="en-US"/>
        </w:rPr>
        <w:t xml:space="preserve">allow dosing escalation for </w:t>
      </w:r>
      <w:r>
        <w:rPr>
          <w:lang w:eastAsia="en-US"/>
        </w:rPr>
        <w:t>all adalimumab biosimilars  currently listed on the PBS .</w:t>
      </w:r>
    </w:p>
    <w:p w14:paraId="65BC3A4A" w14:textId="77777777" w:rsidR="00852466" w:rsidRDefault="00852466" w:rsidP="00852466">
      <w:pPr>
        <w:pStyle w:val="4-SubsectionHeading"/>
      </w:pPr>
      <w:r>
        <w:t>Severe Crohn disease (change to existing listing)</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rohn disease (change to existing listing)"/>
      </w:tblPr>
      <w:tblGrid>
        <w:gridCol w:w="3938"/>
        <w:gridCol w:w="811"/>
        <w:gridCol w:w="812"/>
        <w:gridCol w:w="812"/>
        <w:gridCol w:w="812"/>
        <w:gridCol w:w="1831"/>
        <w:gridCol w:w="7"/>
      </w:tblGrid>
      <w:tr w:rsidR="00852466" w:rsidRPr="003C5A76" w14:paraId="51E1F77D" w14:textId="77777777" w:rsidTr="00116AFD">
        <w:trPr>
          <w:gridAfter w:val="1"/>
          <w:wAfter w:w="7" w:type="dxa"/>
          <w:trHeight w:val="20"/>
        </w:trPr>
        <w:tc>
          <w:tcPr>
            <w:tcW w:w="3939" w:type="dxa"/>
            <w:vAlign w:val="center"/>
          </w:tcPr>
          <w:p w14:paraId="01151336"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MEDICINAL PRODUCT</w:t>
            </w:r>
          </w:p>
          <w:p w14:paraId="208EA86E"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medicinal product pack</w:t>
            </w:r>
          </w:p>
        </w:tc>
        <w:tc>
          <w:tcPr>
            <w:tcW w:w="811" w:type="dxa"/>
            <w:vAlign w:val="center"/>
          </w:tcPr>
          <w:p w14:paraId="1BE04514"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PBS item code</w:t>
            </w:r>
          </w:p>
        </w:tc>
        <w:tc>
          <w:tcPr>
            <w:tcW w:w="812" w:type="dxa"/>
            <w:vAlign w:val="center"/>
          </w:tcPr>
          <w:p w14:paraId="05C6C954"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packs</w:t>
            </w:r>
          </w:p>
        </w:tc>
        <w:tc>
          <w:tcPr>
            <w:tcW w:w="812" w:type="dxa"/>
            <w:vAlign w:val="center"/>
          </w:tcPr>
          <w:p w14:paraId="36264810"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75A753E8"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№.of</w:t>
            </w:r>
          </w:p>
          <w:p w14:paraId="2F4AD562"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64E8CBDE" w14:textId="77777777" w:rsidR="00852466" w:rsidRPr="003C5A76" w:rsidRDefault="00852466">
            <w:pPr>
              <w:keepLines/>
              <w:rPr>
                <w:rFonts w:ascii="Arial Narrow" w:hAnsi="Arial Narrow"/>
                <w:b/>
                <w:sz w:val="20"/>
                <w:szCs w:val="20"/>
                <w:lang w:val="fr-FR"/>
              </w:rPr>
            </w:pPr>
            <w:r w:rsidRPr="003C5A76">
              <w:rPr>
                <w:rFonts w:ascii="Arial Narrow" w:hAnsi="Arial Narrow"/>
                <w:b/>
                <w:sz w:val="20"/>
                <w:szCs w:val="20"/>
              </w:rPr>
              <w:t>Available brands</w:t>
            </w:r>
          </w:p>
        </w:tc>
      </w:tr>
      <w:tr w:rsidR="00852466" w:rsidRPr="003C5A76" w14:paraId="0B654515" w14:textId="77777777" w:rsidTr="00116AFD">
        <w:trPr>
          <w:gridAfter w:val="1"/>
          <w:wAfter w:w="7" w:type="dxa"/>
          <w:trHeight w:val="20"/>
        </w:trPr>
        <w:tc>
          <w:tcPr>
            <w:tcW w:w="9017" w:type="dxa"/>
            <w:gridSpan w:val="6"/>
            <w:vAlign w:val="center"/>
          </w:tcPr>
          <w:p w14:paraId="64E04934"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w:t>
            </w:r>
          </w:p>
        </w:tc>
      </w:tr>
      <w:tr w:rsidR="00852466" w:rsidRPr="003C5A76" w14:paraId="488995C6" w14:textId="77777777" w:rsidTr="00116AFD">
        <w:trPr>
          <w:gridAfter w:val="1"/>
          <w:wAfter w:w="7" w:type="dxa"/>
          <w:trHeight w:val="20"/>
        </w:trPr>
        <w:tc>
          <w:tcPr>
            <w:tcW w:w="3939" w:type="dxa"/>
            <w:vAlign w:val="center"/>
          </w:tcPr>
          <w:p w14:paraId="4717ED67"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11" w:type="dxa"/>
            <w:vAlign w:val="center"/>
          </w:tcPr>
          <w:p w14:paraId="7BFB59C9"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12407B</w:t>
            </w:r>
          </w:p>
        </w:tc>
        <w:tc>
          <w:tcPr>
            <w:tcW w:w="812" w:type="dxa"/>
            <w:vAlign w:val="center"/>
          </w:tcPr>
          <w:p w14:paraId="74B07E42"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31E8AF20"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46932FEC"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3</w:t>
            </w:r>
          </w:p>
        </w:tc>
        <w:tc>
          <w:tcPr>
            <w:tcW w:w="1831" w:type="dxa"/>
            <w:vAlign w:val="center"/>
          </w:tcPr>
          <w:p w14:paraId="17A24DA6"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tc>
      </w:tr>
      <w:tr w:rsidR="00852466" w:rsidRPr="003C5A76" w14:paraId="306BA5D1" w14:textId="77777777" w:rsidTr="00116AFD">
        <w:trPr>
          <w:gridAfter w:val="1"/>
          <w:wAfter w:w="7" w:type="dxa"/>
          <w:trHeight w:val="20"/>
        </w:trPr>
        <w:tc>
          <w:tcPr>
            <w:tcW w:w="3939" w:type="dxa"/>
            <w:vAlign w:val="center"/>
          </w:tcPr>
          <w:p w14:paraId="614396CF"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78FD60C8"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12373F</w:t>
            </w:r>
          </w:p>
        </w:tc>
        <w:tc>
          <w:tcPr>
            <w:tcW w:w="812" w:type="dxa"/>
            <w:vAlign w:val="center"/>
          </w:tcPr>
          <w:p w14:paraId="2B76D3D7"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08A9AA4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6FF586EE"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1831" w:type="dxa"/>
            <w:vAlign w:val="center"/>
          </w:tcPr>
          <w:p w14:paraId="39465A50"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5B0380A8" w14:textId="77777777" w:rsidR="00852466" w:rsidRPr="003C5A76" w:rsidRDefault="00852466">
            <w:pPr>
              <w:keepLines/>
              <w:rPr>
                <w:rFonts w:ascii="Arial Narrow" w:hAnsi="Arial Narrow"/>
                <w:sz w:val="20"/>
                <w:szCs w:val="20"/>
              </w:rPr>
            </w:pPr>
          </w:p>
        </w:tc>
      </w:tr>
      <w:tr w:rsidR="00852466" w:rsidRPr="003C5A76" w14:paraId="4DDC792C" w14:textId="77777777" w:rsidTr="00116AFD">
        <w:trPr>
          <w:gridAfter w:val="1"/>
          <w:wAfter w:w="7" w:type="dxa"/>
          <w:trHeight w:val="20"/>
        </w:trPr>
        <w:tc>
          <w:tcPr>
            <w:tcW w:w="3939" w:type="dxa"/>
            <w:vAlign w:val="center"/>
          </w:tcPr>
          <w:p w14:paraId="2CC51546"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1FCDE9CF"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12338J</w:t>
            </w:r>
          </w:p>
        </w:tc>
        <w:tc>
          <w:tcPr>
            <w:tcW w:w="812" w:type="dxa"/>
            <w:vAlign w:val="center"/>
          </w:tcPr>
          <w:p w14:paraId="398F79B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503C9727"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3F7F85D0"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1831" w:type="dxa"/>
            <w:vAlign w:val="center"/>
          </w:tcPr>
          <w:p w14:paraId="1A3D63D1"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402B07F1" w14:textId="77777777" w:rsidR="00852466" w:rsidRPr="003C5A76" w:rsidRDefault="00852466">
            <w:pPr>
              <w:keepLines/>
              <w:rPr>
                <w:rFonts w:ascii="Arial Narrow" w:hAnsi="Arial Narrow"/>
                <w:sz w:val="20"/>
                <w:szCs w:val="20"/>
              </w:rPr>
            </w:pPr>
          </w:p>
        </w:tc>
      </w:tr>
      <w:tr w:rsidR="00852466" w:rsidRPr="003C5A76" w14:paraId="2FDEBC2F" w14:textId="77777777" w:rsidTr="00116AFD">
        <w:trPr>
          <w:gridAfter w:val="1"/>
          <w:wAfter w:w="7" w:type="dxa"/>
          <w:trHeight w:val="20"/>
        </w:trPr>
        <w:tc>
          <w:tcPr>
            <w:tcW w:w="3939" w:type="dxa"/>
            <w:vAlign w:val="center"/>
          </w:tcPr>
          <w:p w14:paraId="1E2177E9"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0501E0D8"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12432H</w:t>
            </w:r>
          </w:p>
        </w:tc>
        <w:tc>
          <w:tcPr>
            <w:tcW w:w="812" w:type="dxa"/>
            <w:vAlign w:val="center"/>
          </w:tcPr>
          <w:p w14:paraId="341B5E9D"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190983F4"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1D17F618"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3B48B103"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6EBBA611" w14:textId="77777777" w:rsidR="00852466" w:rsidRPr="003C5A76" w:rsidRDefault="00852466">
            <w:pPr>
              <w:keepNext/>
              <w:jc w:val="left"/>
              <w:rPr>
                <w:rFonts w:ascii="Arial Narrow" w:hAnsi="Arial Narrow"/>
                <w:sz w:val="20"/>
                <w:szCs w:val="20"/>
              </w:rPr>
            </w:pPr>
          </w:p>
        </w:tc>
      </w:tr>
      <w:tr w:rsidR="00852466" w:rsidRPr="003C5A76" w14:paraId="61F4F2A5" w14:textId="77777777" w:rsidTr="00116AFD">
        <w:trPr>
          <w:gridAfter w:val="1"/>
          <w:wAfter w:w="7" w:type="dxa"/>
          <w:trHeight w:val="20"/>
        </w:trPr>
        <w:tc>
          <w:tcPr>
            <w:tcW w:w="3939" w:type="dxa"/>
            <w:vAlign w:val="center"/>
          </w:tcPr>
          <w:p w14:paraId="0EE62108"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2D8DEE19"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12455M</w:t>
            </w:r>
          </w:p>
        </w:tc>
        <w:tc>
          <w:tcPr>
            <w:tcW w:w="812" w:type="dxa"/>
            <w:vAlign w:val="center"/>
          </w:tcPr>
          <w:p w14:paraId="38F405C8"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048E9530"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6CFE0982"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68BFAD78"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1C6ECE81" w14:textId="77777777" w:rsidR="00852466" w:rsidRPr="003C5A76" w:rsidRDefault="00852466">
            <w:pPr>
              <w:keepNext/>
              <w:jc w:val="left"/>
              <w:rPr>
                <w:rFonts w:ascii="Arial Narrow" w:hAnsi="Arial Narrow"/>
                <w:sz w:val="20"/>
                <w:szCs w:val="20"/>
              </w:rPr>
            </w:pPr>
          </w:p>
        </w:tc>
      </w:tr>
      <w:tr w:rsidR="00852466" w:rsidRPr="003C5A76" w14:paraId="443A445A" w14:textId="77777777" w:rsidTr="00116AFD">
        <w:trPr>
          <w:gridAfter w:val="1"/>
          <w:wAfter w:w="7" w:type="dxa"/>
          <w:trHeight w:val="20"/>
        </w:trPr>
        <w:tc>
          <w:tcPr>
            <w:tcW w:w="3939" w:type="dxa"/>
            <w:vAlign w:val="center"/>
          </w:tcPr>
          <w:p w14:paraId="0D0D7E3C"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80 mg/0.8 mL injection, 0.8 mL pen device</w:t>
            </w:r>
          </w:p>
        </w:tc>
        <w:tc>
          <w:tcPr>
            <w:tcW w:w="811" w:type="dxa"/>
            <w:vAlign w:val="center"/>
          </w:tcPr>
          <w:p w14:paraId="59B0728D"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12426B</w:t>
            </w:r>
          </w:p>
        </w:tc>
        <w:tc>
          <w:tcPr>
            <w:tcW w:w="812" w:type="dxa"/>
            <w:vAlign w:val="center"/>
          </w:tcPr>
          <w:p w14:paraId="6127723F"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4156D1B9"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3AB88332"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538DD899"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03BB51B5" w14:textId="77777777" w:rsidR="00852466" w:rsidRPr="003C5A76" w:rsidRDefault="00852466">
            <w:pPr>
              <w:keepNext/>
              <w:jc w:val="left"/>
              <w:rPr>
                <w:rFonts w:ascii="Arial Narrow" w:hAnsi="Arial Narrow"/>
                <w:sz w:val="20"/>
                <w:szCs w:val="20"/>
              </w:rPr>
            </w:pPr>
          </w:p>
        </w:tc>
      </w:tr>
      <w:tr w:rsidR="00852466" w:rsidRPr="003C5A76" w14:paraId="3257507D" w14:textId="77777777" w:rsidTr="00116AFD">
        <w:trPr>
          <w:gridAfter w:val="1"/>
          <w:wAfter w:w="7" w:type="dxa"/>
          <w:trHeight w:val="20"/>
        </w:trPr>
        <w:tc>
          <w:tcPr>
            <w:tcW w:w="3939" w:type="dxa"/>
            <w:vAlign w:val="center"/>
          </w:tcPr>
          <w:p w14:paraId="0A5D01FF" w14:textId="77777777" w:rsidR="00852466" w:rsidRPr="003C5A76" w:rsidRDefault="00852466">
            <w:pPr>
              <w:keepNext/>
              <w:tabs>
                <w:tab w:val="left" w:pos="1077"/>
              </w:tabs>
              <w:rPr>
                <w:rFonts w:ascii="Arial Narrow" w:hAnsi="Arial Narrow"/>
                <w:sz w:val="20"/>
                <w:szCs w:val="20"/>
              </w:rPr>
            </w:pPr>
            <w:r w:rsidRPr="003C5A76">
              <w:rPr>
                <w:rFonts w:ascii="Arial Narrow" w:hAnsi="Arial Narrow"/>
                <w:sz w:val="20"/>
                <w:szCs w:val="20"/>
              </w:rPr>
              <w:t>adalimumab 80 mg/0.8 mL injection, 0.8 mL syringe</w:t>
            </w:r>
          </w:p>
        </w:tc>
        <w:tc>
          <w:tcPr>
            <w:tcW w:w="811" w:type="dxa"/>
            <w:vAlign w:val="center"/>
          </w:tcPr>
          <w:p w14:paraId="2D224A30"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12409D</w:t>
            </w:r>
          </w:p>
        </w:tc>
        <w:tc>
          <w:tcPr>
            <w:tcW w:w="812" w:type="dxa"/>
            <w:vAlign w:val="center"/>
          </w:tcPr>
          <w:p w14:paraId="1784CFE8"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5D28C129"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F871F7A" w14:textId="77777777" w:rsidR="00852466" w:rsidRPr="003C5A76" w:rsidRDefault="00852466">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7DCF8680" w14:textId="77777777" w:rsidR="00852466" w:rsidRPr="003C5A76" w:rsidRDefault="00852466">
            <w:pPr>
              <w:keepNext/>
              <w:jc w:val="left"/>
              <w:rPr>
                <w:rFonts w:ascii="Arial Narrow" w:hAnsi="Arial Narrow"/>
                <w:sz w:val="20"/>
                <w:szCs w:val="20"/>
              </w:rPr>
            </w:pPr>
            <w:r w:rsidRPr="003C5A76">
              <w:rPr>
                <w:rFonts w:ascii="Arial Narrow" w:hAnsi="Arial Narrow"/>
                <w:sz w:val="20"/>
                <w:szCs w:val="20"/>
              </w:rPr>
              <w:t>Humira</w:t>
            </w:r>
          </w:p>
          <w:p w14:paraId="1D67CE05" w14:textId="77777777" w:rsidR="00852466" w:rsidRPr="003C5A76" w:rsidRDefault="00852466">
            <w:pPr>
              <w:keepNext/>
              <w:jc w:val="left"/>
              <w:rPr>
                <w:rFonts w:ascii="Arial Narrow" w:hAnsi="Arial Narrow"/>
                <w:sz w:val="20"/>
                <w:szCs w:val="20"/>
              </w:rPr>
            </w:pPr>
          </w:p>
        </w:tc>
      </w:tr>
      <w:tr w:rsidR="00852466" w:rsidRPr="003C5A76" w14:paraId="4DD62D44"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AB78780" w14:textId="77777777" w:rsidR="00852466" w:rsidRPr="003C5A76" w:rsidRDefault="00852466">
            <w:pPr>
              <w:rPr>
                <w:rFonts w:ascii="Arial Narrow" w:hAnsi="Arial Narrow"/>
                <w:sz w:val="20"/>
                <w:szCs w:val="20"/>
              </w:rPr>
            </w:pPr>
          </w:p>
        </w:tc>
      </w:tr>
      <w:tr w:rsidR="00852466" w:rsidRPr="003C5A76" w14:paraId="2B45155A"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C935588" w14:textId="77777777" w:rsidR="00852466" w:rsidRPr="003C5A76" w:rsidRDefault="00852466">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01A52F67"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450FA76"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6FB0512F"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9182E2D" w14:textId="77777777" w:rsidR="00852466" w:rsidRPr="003C5A76" w:rsidRDefault="00852466">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3383B87A"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A275F66"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0CBD7390"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F48F3CA"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1 (new patient)</w:t>
            </w:r>
          </w:p>
        </w:tc>
      </w:tr>
      <w:tr w:rsidR="00852466" w:rsidRPr="003C5A76" w14:paraId="45C786CE"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left w:val="single" w:sz="4" w:space="0" w:color="auto"/>
              <w:right w:val="single" w:sz="4" w:space="0" w:color="auto"/>
            </w:tcBorders>
          </w:tcPr>
          <w:p w14:paraId="5B07135C" w14:textId="77777777" w:rsidR="00852466" w:rsidRDefault="00852466">
            <w:pPr>
              <w:keepLines/>
              <w:rPr>
                <w:rFonts w:ascii="Arial Narrow" w:hAnsi="Arial Narrow"/>
                <w:b/>
                <w:sz w:val="20"/>
                <w:szCs w:val="20"/>
              </w:rPr>
            </w:pPr>
          </w:p>
          <w:p w14:paraId="397E852B" w14:textId="77777777" w:rsidR="00852466" w:rsidRPr="003C5A76" w:rsidRDefault="00852466">
            <w:pPr>
              <w:keepLines/>
              <w:rPr>
                <w:rFonts w:ascii="Arial Narrow" w:hAnsi="Arial Narrow"/>
                <w:b/>
                <w:sz w:val="20"/>
                <w:szCs w:val="20"/>
              </w:rPr>
            </w:pPr>
          </w:p>
        </w:tc>
      </w:tr>
      <w:tr w:rsidR="00852466" w:rsidRPr="003C5A76" w14:paraId="0A9DF920"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28B71EB"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466B6365"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96AEF4E"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0A524322"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0D0EE4A"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6ABE4F0F"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0E63650"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741EFE75"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1EBF4E7"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2 (change or recommencement of treatment after a break in biological medicine of less than 5 years)</w:t>
            </w:r>
          </w:p>
        </w:tc>
      </w:tr>
      <w:tr w:rsidR="00852466" w:rsidRPr="003C5A76" w14:paraId="57D2B6FA"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left w:val="single" w:sz="4" w:space="0" w:color="auto"/>
              <w:right w:val="single" w:sz="4" w:space="0" w:color="auto"/>
            </w:tcBorders>
            <w:vAlign w:val="center"/>
          </w:tcPr>
          <w:p w14:paraId="6414C5B7" w14:textId="77777777" w:rsidR="00852466" w:rsidRDefault="00852466">
            <w:pPr>
              <w:keepLines/>
              <w:rPr>
                <w:rFonts w:ascii="Arial Narrow" w:hAnsi="Arial Narrow"/>
                <w:b/>
                <w:bCs/>
                <w:sz w:val="20"/>
                <w:szCs w:val="20"/>
              </w:rPr>
            </w:pPr>
          </w:p>
          <w:p w14:paraId="0BF1D706" w14:textId="77777777" w:rsidR="00852466" w:rsidRPr="003C5A76" w:rsidRDefault="00852466">
            <w:pPr>
              <w:keepLines/>
              <w:rPr>
                <w:rFonts w:ascii="Arial Narrow" w:hAnsi="Arial Narrow"/>
                <w:b/>
                <w:bCs/>
                <w:sz w:val="20"/>
                <w:szCs w:val="20"/>
              </w:rPr>
            </w:pPr>
          </w:p>
        </w:tc>
      </w:tr>
      <w:tr w:rsidR="00852466" w:rsidRPr="003C5A76" w14:paraId="45833F64"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9C27EB2" w14:textId="77777777" w:rsidR="00852466" w:rsidRPr="003C5A76" w:rsidRDefault="00852466">
            <w:pPr>
              <w:keepLines/>
              <w:rPr>
                <w:rFonts w:ascii="Arial Narrow" w:hAnsi="Arial Narrow"/>
                <w:b/>
                <w:bCs/>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1083784C"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723B92B"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14FA7171"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EAAAEA3"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0BA3F5D1"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6DEC7CD"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7E82A2EE"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C1A0D72"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3 (recommencement of treatment after a break in biological medicine of more than 5 years)</w:t>
            </w:r>
          </w:p>
        </w:tc>
      </w:tr>
    </w:tbl>
    <w:p w14:paraId="74B18077" w14:textId="77777777" w:rsidR="00852466" w:rsidRDefault="00852466" w:rsidP="00852466">
      <w:pPr>
        <w:rPr>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rohn disease (change to existing listing)"/>
      </w:tblPr>
      <w:tblGrid>
        <w:gridCol w:w="3939"/>
        <w:gridCol w:w="876"/>
        <w:gridCol w:w="747"/>
        <w:gridCol w:w="811"/>
        <w:gridCol w:w="812"/>
        <w:gridCol w:w="1831"/>
        <w:gridCol w:w="7"/>
      </w:tblGrid>
      <w:tr w:rsidR="00852466" w:rsidRPr="003C5A76" w14:paraId="27B6E3C9" w14:textId="77777777" w:rsidTr="00116AFD">
        <w:trPr>
          <w:gridAfter w:val="1"/>
          <w:wAfter w:w="7" w:type="dxa"/>
          <w:trHeight w:val="20"/>
        </w:trPr>
        <w:tc>
          <w:tcPr>
            <w:tcW w:w="3940" w:type="dxa"/>
            <w:vAlign w:val="center"/>
          </w:tcPr>
          <w:p w14:paraId="589A46BF" w14:textId="77777777" w:rsidR="00852466" w:rsidRPr="003C5A76" w:rsidRDefault="00852466">
            <w:pPr>
              <w:keepLines/>
              <w:rPr>
                <w:rFonts w:ascii="Arial Narrow" w:hAnsi="Arial Narrow"/>
                <w:b/>
                <w:bCs/>
                <w:sz w:val="20"/>
                <w:szCs w:val="20"/>
              </w:rPr>
            </w:pPr>
            <w:r w:rsidRPr="003C5A76">
              <w:rPr>
                <w:rFonts w:ascii="Arial Narrow" w:hAnsi="Arial Narrow"/>
                <w:b/>
                <w:bCs/>
                <w:sz w:val="20"/>
                <w:szCs w:val="20"/>
              </w:rPr>
              <w:t>MEDICINAL PRODUCT</w:t>
            </w:r>
          </w:p>
          <w:p w14:paraId="3198EE6C"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medicinal product pack</w:t>
            </w:r>
          </w:p>
        </w:tc>
        <w:tc>
          <w:tcPr>
            <w:tcW w:w="876" w:type="dxa"/>
            <w:vAlign w:val="center"/>
          </w:tcPr>
          <w:p w14:paraId="52FF6153"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PBS item code</w:t>
            </w:r>
          </w:p>
        </w:tc>
        <w:tc>
          <w:tcPr>
            <w:tcW w:w="747" w:type="dxa"/>
            <w:vAlign w:val="center"/>
          </w:tcPr>
          <w:p w14:paraId="2A45A0EB"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packs</w:t>
            </w:r>
          </w:p>
        </w:tc>
        <w:tc>
          <w:tcPr>
            <w:tcW w:w="811" w:type="dxa"/>
            <w:vAlign w:val="center"/>
          </w:tcPr>
          <w:p w14:paraId="4C3B2333"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13C22E7A"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№.of</w:t>
            </w:r>
          </w:p>
          <w:p w14:paraId="1B7DB4B9" w14:textId="77777777" w:rsidR="00852466" w:rsidRPr="003C5A76" w:rsidRDefault="00852466">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408ACBBD" w14:textId="77777777" w:rsidR="00852466" w:rsidRPr="003C5A76" w:rsidRDefault="00852466">
            <w:pPr>
              <w:keepLines/>
              <w:rPr>
                <w:rFonts w:ascii="Arial Narrow" w:hAnsi="Arial Narrow"/>
                <w:b/>
                <w:sz w:val="20"/>
                <w:szCs w:val="20"/>
                <w:lang w:val="fr-FR"/>
              </w:rPr>
            </w:pPr>
            <w:r w:rsidRPr="003C5A76">
              <w:rPr>
                <w:rFonts w:ascii="Arial Narrow" w:hAnsi="Arial Narrow"/>
                <w:b/>
                <w:sz w:val="20"/>
                <w:szCs w:val="20"/>
              </w:rPr>
              <w:t>Available brands</w:t>
            </w:r>
          </w:p>
        </w:tc>
      </w:tr>
      <w:tr w:rsidR="00852466" w:rsidRPr="003C5A76" w14:paraId="667C59A2" w14:textId="77777777" w:rsidTr="00116AFD">
        <w:trPr>
          <w:gridAfter w:val="1"/>
          <w:wAfter w:w="7" w:type="dxa"/>
          <w:trHeight w:val="20"/>
        </w:trPr>
        <w:tc>
          <w:tcPr>
            <w:tcW w:w="9017" w:type="dxa"/>
            <w:gridSpan w:val="6"/>
            <w:vAlign w:val="center"/>
          </w:tcPr>
          <w:p w14:paraId="2E4D4C7E"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w:t>
            </w:r>
          </w:p>
        </w:tc>
      </w:tr>
      <w:tr w:rsidR="00852466" w:rsidRPr="003C5A76" w14:paraId="7F541B97" w14:textId="77777777" w:rsidTr="00116AFD">
        <w:trPr>
          <w:gridAfter w:val="1"/>
          <w:wAfter w:w="7" w:type="dxa"/>
          <w:trHeight w:val="20"/>
        </w:trPr>
        <w:tc>
          <w:tcPr>
            <w:tcW w:w="3940" w:type="dxa"/>
            <w:vAlign w:val="center"/>
          </w:tcPr>
          <w:p w14:paraId="4B879037"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76" w:type="dxa"/>
            <w:vAlign w:val="center"/>
          </w:tcPr>
          <w:p w14:paraId="2AB46B31"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12423W</w:t>
            </w:r>
          </w:p>
        </w:tc>
        <w:tc>
          <w:tcPr>
            <w:tcW w:w="747" w:type="dxa"/>
            <w:vAlign w:val="center"/>
          </w:tcPr>
          <w:p w14:paraId="66810F24"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002EB7D7"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1B4F6BD4"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50E86AC0"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tc>
      </w:tr>
      <w:tr w:rsidR="00852466" w:rsidRPr="003C5A76" w14:paraId="5B2DAB9C" w14:textId="77777777" w:rsidTr="00116AFD">
        <w:trPr>
          <w:gridAfter w:val="1"/>
          <w:wAfter w:w="7" w:type="dxa"/>
          <w:trHeight w:val="20"/>
        </w:trPr>
        <w:tc>
          <w:tcPr>
            <w:tcW w:w="3940" w:type="dxa"/>
            <w:vAlign w:val="center"/>
          </w:tcPr>
          <w:p w14:paraId="58B379DF"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76" w:type="dxa"/>
            <w:vAlign w:val="center"/>
          </w:tcPr>
          <w:p w14:paraId="7857505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12411F</w:t>
            </w:r>
          </w:p>
        </w:tc>
        <w:tc>
          <w:tcPr>
            <w:tcW w:w="747" w:type="dxa"/>
            <w:vAlign w:val="center"/>
          </w:tcPr>
          <w:p w14:paraId="48B18B12"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5E310263"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1935696F"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311A7628"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5F33A429" w14:textId="77777777" w:rsidR="00852466" w:rsidRPr="003C5A76" w:rsidRDefault="00852466">
            <w:pPr>
              <w:keepLines/>
              <w:rPr>
                <w:rFonts w:ascii="Arial Narrow" w:hAnsi="Arial Narrow"/>
                <w:sz w:val="20"/>
                <w:szCs w:val="20"/>
              </w:rPr>
            </w:pPr>
          </w:p>
        </w:tc>
      </w:tr>
      <w:tr w:rsidR="00852466" w:rsidRPr="003C5A76" w14:paraId="0C3AF7D3" w14:textId="77777777" w:rsidTr="00116AFD">
        <w:trPr>
          <w:gridAfter w:val="1"/>
          <w:wAfter w:w="7" w:type="dxa"/>
          <w:trHeight w:val="20"/>
        </w:trPr>
        <w:tc>
          <w:tcPr>
            <w:tcW w:w="3940" w:type="dxa"/>
            <w:vAlign w:val="center"/>
          </w:tcPr>
          <w:p w14:paraId="021D5D09" w14:textId="77777777" w:rsidR="00852466" w:rsidRPr="003C5A76" w:rsidRDefault="00852466">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76" w:type="dxa"/>
            <w:vAlign w:val="center"/>
          </w:tcPr>
          <w:p w14:paraId="3B86E22F"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12379M</w:t>
            </w:r>
          </w:p>
        </w:tc>
        <w:tc>
          <w:tcPr>
            <w:tcW w:w="747" w:type="dxa"/>
            <w:vAlign w:val="center"/>
          </w:tcPr>
          <w:p w14:paraId="409FFC98"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54AA23B1"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1E281A4A" w14:textId="77777777" w:rsidR="00852466" w:rsidRPr="003C5A76" w:rsidRDefault="00852466">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03854C53" w14:textId="77777777" w:rsidR="00852466" w:rsidRPr="003C5A76" w:rsidRDefault="00852466">
            <w:pPr>
              <w:keepLines/>
              <w:rPr>
                <w:rFonts w:ascii="Arial Narrow" w:hAnsi="Arial Narrow"/>
                <w:sz w:val="20"/>
                <w:szCs w:val="20"/>
              </w:rPr>
            </w:pPr>
            <w:r w:rsidRPr="003C5A76">
              <w:rPr>
                <w:rFonts w:ascii="Arial Narrow" w:hAnsi="Arial Narrow"/>
                <w:sz w:val="20"/>
                <w:szCs w:val="20"/>
              </w:rPr>
              <w:t>Humira</w:t>
            </w:r>
          </w:p>
          <w:p w14:paraId="2BCDAB8D" w14:textId="77777777" w:rsidR="00852466" w:rsidRPr="003C5A76" w:rsidRDefault="00852466">
            <w:pPr>
              <w:keepLines/>
              <w:rPr>
                <w:rFonts w:ascii="Arial Narrow" w:hAnsi="Arial Narrow"/>
                <w:sz w:val="20"/>
                <w:szCs w:val="20"/>
              </w:rPr>
            </w:pPr>
          </w:p>
        </w:tc>
      </w:tr>
      <w:tr w:rsidR="00852466" w:rsidRPr="003C5A76" w14:paraId="78B6CB66"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4D420496" w14:textId="77777777" w:rsidR="00852466" w:rsidRPr="003C5A76" w:rsidRDefault="00852466">
            <w:pPr>
              <w:rPr>
                <w:rFonts w:ascii="Arial Narrow" w:hAnsi="Arial Narrow"/>
                <w:sz w:val="20"/>
                <w:szCs w:val="20"/>
              </w:rPr>
            </w:pPr>
          </w:p>
        </w:tc>
      </w:tr>
      <w:tr w:rsidR="00852466" w:rsidRPr="003C5A76" w14:paraId="58F08E34"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7A61140" w14:textId="77777777" w:rsidR="00852466" w:rsidRPr="003C5A76" w:rsidRDefault="00852466">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852466" w:rsidRPr="003C5A76" w14:paraId="6350F71C"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F8C4572" w14:textId="77777777" w:rsidR="00852466" w:rsidRPr="003C5A76" w:rsidRDefault="00852466">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852466" w:rsidRPr="003C5A76" w14:paraId="058E4641"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424DF10" w14:textId="77777777" w:rsidR="00852466" w:rsidRPr="003C5A76" w:rsidRDefault="00852466">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852466" w:rsidRPr="003C5A76" w14:paraId="648907BF"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E29CC22"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852466" w:rsidRPr="003C5A76" w14:paraId="74D24BBF"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7FB0A97" w14:textId="77777777" w:rsidR="00852466" w:rsidRPr="003C5A76" w:rsidRDefault="00852466">
            <w:pPr>
              <w:keepLines/>
              <w:rPr>
                <w:rFonts w:ascii="Arial Narrow" w:hAnsi="Arial Narrow"/>
                <w:b/>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Balance of supply for paediatric patient</w:t>
            </w:r>
          </w:p>
        </w:tc>
      </w:tr>
    </w:tbl>
    <w:p w14:paraId="42B0D932" w14:textId="77777777" w:rsidR="00852466" w:rsidRDefault="00852466" w:rsidP="00852466">
      <w:pPr>
        <w:rPr>
          <w:lang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rohn disease (change to existing listing)"/>
      </w:tblPr>
      <w:tblGrid>
        <w:gridCol w:w="3937"/>
        <w:gridCol w:w="573"/>
        <w:gridCol w:w="238"/>
        <w:gridCol w:w="812"/>
        <w:gridCol w:w="811"/>
        <w:gridCol w:w="812"/>
        <w:gridCol w:w="1839"/>
        <w:gridCol w:w="7"/>
      </w:tblGrid>
      <w:tr w:rsidR="00116AFD" w:rsidRPr="00116AFD" w14:paraId="65ED0FF9" w14:textId="77777777" w:rsidTr="00116AFD">
        <w:trPr>
          <w:gridAfter w:val="1"/>
          <w:wAfter w:w="7" w:type="dxa"/>
          <w:trHeight w:val="20"/>
        </w:trPr>
        <w:tc>
          <w:tcPr>
            <w:tcW w:w="3938" w:type="dxa"/>
            <w:vAlign w:val="center"/>
          </w:tcPr>
          <w:p w14:paraId="158921EB" w14:textId="77777777" w:rsidR="00852466" w:rsidRPr="00116AFD" w:rsidRDefault="00852466">
            <w:pPr>
              <w:keepLines/>
              <w:rPr>
                <w:rFonts w:ascii="Arial Narrow" w:hAnsi="Arial Narrow"/>
                <w:b/>
                <w:bCs/>
                <w:sz w:val="20"/>
                <w:szCs w:val="20"/>
              </w:rPr>
            </w:pPr>
            <w:r w:rsidRPr="00116AFD">
              <w:rPr>
                <w:rFonts w:ascii="Arial Narrow" w:hAnsi="Arial Narrow"/>
                <w:b/>
                <w:bCs/>
                <w:sz w:val="20"/>
                <w:szCs w:val="20"/>
              </w:rPr>
              <w:t>MEDICINAL PRODUCT</w:t>
            </w:r>
          </w:p>
          <w:p w14:paraId="48E6E42D" w14:textId="77777777" w:rsidR="00852466" w:rsidRPr="00116AFD" w:rsidRDefault="00852466">
            <w:pPr>
              <w:keepLines/>
              <w:rPr>
                <w:rFonts w:ascii="Arial Narrow" w:hAnsi="Arial Narrow"/>
                <w:b/>
                <w:sz w:val="20"/>
                <w:szCs w:val="20"/>
              </w:rPr>
            </w:pPr>
            <w:r w:rsidRPr="00116AFD">
              <w:rPr>
                <w:rFonts w:ascii="Arial Narrow" w:hAnsi="Arial Narrow"/>
                <w:b/>
                <w:bCs/>
                <w:sz w:val="20"/>
                <w:szCs w:val="20"/>
              </w:rPr>
              <w:t>medicinal product pack</w:t>
            </w:r>
          </w:p>
        </w:tc>
        <w:tc>
          <w:tcPr>
            <w:tcW w:w="811" w:type="dxa"/>
            <w:gridSpan w:val="2"/>
            <w:vAlign w:val="center"/>
          </w:tcPr>
          <w:p w14:paraId="5CCC67D7" w14:textId="77777777" w:rsidR="00852466" w:rsidRPr="00116AFD" w:rsidRDefault="00852466">
            <w:pPr>
              <w:keepLines/>
              <w:jc w:val="center"/>
              <w:rPr>
                <w:rFonts w:ascii="Arial Narrow" w:hAnsi="Arial Narrow"/>
                <w:b/>
                <w:sz w:val="20"/>
                <w:szCs w:val="20"/>
              </w:rPr>
            </w:pPr>
            <w:r w:rsidRPr="00116AFD">
              <w:rPr>
                <w:rFonts w:ascii="Arial Narrow" w:hAnsi="Arial Narrow"/>
                <w:b/>
                <w:sz w:val="20"/>
                <w:szCs w:val="20"/>
              </w:rPr>
              <w:t>PBS item code</w:t>
            </w:r>
          </w:p>
        </w:tc>
        <w:tc>
          <w:tcPr>
            <w:tcW w:w="812" w:type="dxa"/>
            <w:vAlign w:val="center"/>
          </w:tcPr>
          <w:p w14:paraId="28B8869D" w14:textId="77777777" w:rsidR="00852466" w:rsidRPr="00116AFD" w:rsidRDefault="00852466">
            <w:pPr>
              <w:keepLines/>
              <w:jc w:val="center"/>
              <w:rPr>
                <w:rFonts w:ascii="Arial Narrow" w:hAnsi="Arial Narrow"/>
                <w:b/>
                <w:sz w:val="20"/>
                <w:szCs w:val="20"/>
              </w:rPr>
            </w:pPr>
            <w:r w:rsidRPr="00116AFD">
              <w:rPr>
                <w:rFonts w:ascii="Arial Narrow" w:hAnsi="Arial Narrow"/>
                <w:b/>
                <w:sz w:val="20"/>
                <w:szCs w:val="20"/>
              </w:rPr>
              <w:t>Max. qty packs</w:t>
            </w:r>
          </w:p>
        </w:tc>
        <w:tc>
          <w:tcPr>
            <w:tcW w:w="811" w:type="dxa"/>
            <w:vAlign w:val="center"/>
          </w:tcPr>
          <w:p w14:paraId="4A10F0E7" w14:textId="77777777" w:rsidR="00852466" w:rsidRPr="00116AFD" w:rsidRDefault="00852466">
            <w:pPr>
              <w:keepLines/>
              <w:jc w:val="center"/>
              <w:rPr>
                <w:rFonts w:ascii="Arial Narrow" w:hAnsi="Arial Narrow"/>
                <w:b/>
                <w:sz w:val="20"/>
                <w:szCs w:val="20"/>
              </w:rPr>
            </w:pPr>
            <w:r w:rsidRPr="00116AFD">
              <w:rPr>
                <w:rFonts w:ascii="Arial Narrow" w:hAnsi="Arial Narrow"/>
                <w:b/>
                <w:sz w:val="20"/>
                <w:szCs w:val="20"/>
              </w:rPr>
              <w:t>Max. qty units</w:t>
            </w:r>
          </w:p>
        </w:tc>
        <w:tc>
          <w:tcPr>
            <w:tcW w:w="812" w:type="dxa"/>
            <w:vAlign w:val="center"/>
          </w:tcPr>
          <w:p w14:paraId="06F6ACC8" w14:textId="77777777" w:rsidR="00852466" w:rsidRPr="00116AFD" w:rsidRDefault="00852466">
            <w:pPr>
              <w:keepLines/>
              <w:jc w:val="center"/>
              <w:rPr>
                <w:rFonts w:ascii="Arial Narrow" w:hAnsi="Arial Narrow"/>
                <w:b/>
                <w:sz w:val="20"/>
                <w:szCs w:val="20"/>
              </w:rPr>
            </w:pPr>
            <w:r w:rsidRPr="00116AFD">
              <w:rPr>
                <w:rFonts w:ascii="Arial Narrow" w:hAnsi="Arial Narrow"/>
                <w:b/>
                <w:sz w:val="20"/>
                <w:szCs w:val="20"/>
              </w:rPr>
              <w:t>№.of</w:t>
            </w:r>
          </w:p>
          <w:p w14:paraId="404F267C" w14:textId="77777777" w:rsidR="00852466" w:rsidRPr="00116AFD" w:rsidRDefault="00852466">
            <w:pPr>
              <w:keepLines/>
              <w:jc w:val="center"/>
              <w:rPr>
                <w:rFonts w:ascii="Arial Narrow" w:hAnsi="Arial Narrow"/>
                <w:b/>
                <w:sz w:val="20"/>
                <w:szCs w:val="20"/>
              </w:rPr>
            </w:pPr>
            <w:r w:rsidRPr="00116AFD">
              <w:rPr>
                <w:rFonts w:ascii="Arial Narrow" w:hAnsi="Arial Narrow"/>
                <w:b/>
                <w:sz w:val="20"/>
                <w:szCs w:val="20"/>
              </w:rPr>
              <w:t>Rpts</w:t>
            </w:r>
          </w:p>
        </w:tc>
        <w:tc>
          <w:tcPr>
            <w:tcW w:w="1839" w:type="dxa"/>
            <w:vAlign w:val="center"/>
          </w:tcPr>
          <w:p w14:paraId="378434DF" w14:textId="77777777" w:rsidR="00852466" w:rsidRPr="00116AFD" w:rsidRDefault="00852466">
            <w:pPr>
              <w:keepLines/>
              <w:rPr>
                <w:rFonts w:ascii="Arial Narrow" w:hAnsi="Arial Narrow"/>
                <w:b/>
                <w:sz w:val="20"/>
                <w:szCs w:val="20"/>
                <w:lang w:val="fr-FR"/>
              </w:rPr>
            </w:pPr>
            <w:r w:rsidRPr="00116AFD">
              <w:rPr>
                <w:rFonts w:ascii="Arial Narrow" w:hAnsi="Arial Narrow"/>
                <w:b/>
                <w:sz w:val="20"/>
                <w:szCs w:val="20"/>
              </w:rPr>
              <w:t>Available brands</w:t>
            </w:r>
          </w:p>
        </w:tc>
      </w:tr>
      <w:tr w:rsidR="00116AFD" w:rsidRPr="00116AFD" w14:paraId="2D873E57" w14:textId="77777777" w:rsidTr="00116AFD">
        <w:trPr>
          <w:gridAfter w:val="1"/>
          <w:wAfter w:w="7" w:type="dxa"/>
          <w:trHeight w:val="20"/>
        </w:trPr>
        <w:tc>
          <w:tcPr>
            <w:tcW w:w="9023" w:type="dxa"/>
            <w:gridSpan w:val="7"/>
            <w:vAlign w:val="center"/>
          </w:tcPr>
          <w:p w14:paraId="528AAFCD" w14:textId="77777777" w:rsidR="00852466" w:rsidRPr="00116AFD" w:rsidRDefault="00852466">
            <w:pPr>
              <w:keepLines/>
              <w:rPr>
                <w:rFonts w:ascii="Arial Narrow" w:hAnsi="Arial Narrow"/>
                <w:sz w:val="20"/>
                <w:szCs w:val="20"/>
              </w:rPr>
            </w:pPr>
            <w:r w:rsidRPr="00116AFD">
              <w:rPr>
                <w:rFonts w:ascii="Arial Narrow" w:hAnsi="Arial Narrow"/>
                <w:sz w:val="20"/>
                <w:szCs w:val="20"/>
              </w:rPr>
              <w:t>ADALIMUMAB</w:t>
            </w:r>
          </w:p>
        </w:tc>
      </w:tr>
      <w:tr w:rsidR="00116AFD" w:rsidRPr="00116AFD" w14:paraId="30FD8949" w14:textId="77777777" w:rsidTr="00116AFD">
        <w:trPr>
          <w:gridAfter w:val="1"/>
          <w:wAfter w:w="7" w:type="dxa"/>
          <w:trHeight w:val="20"/>
        </w:trPr>
        <w:tc>
          <w:tcPr>
            <w:tcW w:w="3938" w:type="dxa"/>
            <w:vAlign w:val="center"/>
          </w:tcPr>
          <w:p w14:paraId="386F548A" w14:textId="77777777" w:rsidR="00852466" w:rsidRPr="00116AFD" w:rsidRDefault="00852466">
            <w:pPr>
              <w:keepLines/>
              <w:rPr>
                <w:rFonts w:ascii="Arial Narrow" w:hAnsi="Arial Narrow"/>
                <w:sz w:val="20"/>
                <w:szCs w:val="20"/>
              </w:rPr>
            </w:pPr>
            <w:r w:rsidRPr="00116AFD">
              <w:rPr>
                <w:rFonts w:ascii="Arial Narrow" w:hAnsi="Arial Narrow"/>
                <w:sz w:val="20"/>
                <w:szCs w:val="20"/>
              </w:rPr>
              <w:t>adalimumab 20 mg/0.2 mL injection, 2 x 0.2 mL syringes</w:t>
            </w:r>
          </w:p>
        </w:tc>
        <w:tc>
          <w:tcPr>
            <w:tcW w:w="811" w:type="dxa"/>
            <w:gridSpan w:val="2"/>
            <w:vAlign w:val="center"/>
          </w:tcPr>
          <w:p w14:paraId="220B102C" w14:textId="77777777" w:rsidR="00852466" w:rsidRPr="00116AFD" w:rsidRDefault="00852466">
            <w:pPr>
              <w:keepLines/>
              <w:jc w:val="center"/>
              <w:rPr>
                <w:rFonts w:ascii="Arial Narrow" w:hAnsi="Arial Narrow"/>
                <w:sz w:val="20"/>
                <w:szCs w:val="20"/>
              </w:rPr>
            </w:pPr>
            <w:r w:rsidRPr="00116AFD">
              <w:rPr>
                <w:rFonts w:ascii="Arial Narrow" w:hAnsi="Arial Narrow"/>
                <w:sz w:val="20"/>
                <w:szCs w:val="20"/>
              </w:rPr>
              <w:t>12424X</w:t>
            </w:r>
          </w:p>
        </w:tc>
        <w:tc>
          <w:tcPr>
            <w:tcW w:w="812" w:type="dxa"/>
            <w:vAlign w:val="center"/>
          </w:tcPr>
          <w:p w14:paraId="1D7819E4" w14:textId="77777777" w:rsidR="00852466" w:rsidRPr="00116AFD" w:rsidRDefault="00852466">
            <w:pPr>
              <w:keepLines/>
              <w:jc w:val="center"/>
              <w:rPr>
                <w:rFonts w:ascii="Arial Narrow" w:hAnsi="Arial Narrow"/>
                <w:sz w:val="20"/>
                <w:szCs w:val="20"/>
              </w:rPr>
            </w:pPr>
            <w:r w:rsidRPr="00116AFD">
              <w:rPr>
                <w:rFonts w:ascii="Arial Narrow" w:hAnsi="Arial Narrow"/>
                <w:sz w:val="20"/>
                <w:szCs w:val="20"/>
              </w:rPr>
              <w:t xml:space="preserve">1 </w:t>
            </w:r>
          </w:p>
        </w:tc>
        <w:tc>
          <w:tcPr>
            <w:tcW w:w="811" w:type="dxa"/>
            <w:vAlign w:val="center"/>
          </w:tcPr>
          <w:p w14:paraId="2385F242" w14:textId="77777777" w:rsidR="00852466" w:rsidRPr="00116AFD" w:rsidRDefault="00852466">
            <w:pPr>
              <w:keepLines/>
              <w:jc w:val="center"/>
              <w:rPr>
                <w:rFonts w:ascii="Arial Narrow" w:hAnsi="Arial Narrow"/>
                <w:sz w:val="20"/>
                <w:szCs w:val="20"/>
              </w:rPr>
            </w:pPr>
            <w:r w:rsidRPr="00116AFD">
              <w:rPr>
                <w:rFonts w:ascii="Arial Narrow" w:hAnsi="Arial Narrow"/>
                <w:sz w:val="20"/>
                <w:szCs w:val="20"/>
              </w:rPr>
              <w:t xml:space="preserve">2 </w:t>
            </w:r>
          </w:p>
        </w:tc>
        <w:tc>
          <w:tcPr>
            <w:tcW w:w="812" w:type="dxa"/>
            <w:vAlign w:val="center"/>
          </w:tcPr>
          <w:p w14:paraId="64AB8AD1" w14:textId="77777777" w:rsidR="00852466" w:rsidRPr="00116AFD" w:rsidRDefault="00852466">
            <w:pPr>
              <w:keepLines/>
              <w:jc w:val="center"/>
              <w:rPr>
                <w:rFonts w:ascii="Arial Narrow" w:hAnsi="Arial Narrow"/>
                <w:sz w:val="20"/>
                <w:szCs w:val="20"/>
              </w:rPr>
            </w:pPr>
            <w:r w:rsidRPr="00116AFD">
              <w:rPr>
                <w:rFonts w:ascii="Arial Narrow" w:hAnsi="Arial Narrow"/>
                <w:sz w:val="20"/>
                <w:szCs w:val="20"/>
              </w:rPr>
              <w:t>5</w:t>
            </w:r>
          </w:p>
        </w:tc>
        <w:tc>
          <w:tcPr>
            <w:tcW w:w="1839" w:type="dxa"/>
            <w:vAlign w:val="center"/>
          </w:tcPr>
          <w:p w14:paraId="23F960A6" w14:textId="77777777" w:rsidR="00852466" w:rsidRPr="00116AFD" w:rsidRDefault="00852466">
            <w:pPr>
              <w:keepLines/>
              <w:rPr>
                <w:rFonts w:ascii="Arial Narrow" w:hAnsi="Arial Narrow"/>
                <w:sz w:val="20"/>
                <w:szCs w:val="20"/>
              </w:rPr>
            </w:pPr>
            <w:r w:rsidRPr="00116AFD">
              <w:rPr>
                <w:rFonts w:ascii="Arial Narrow" w:hAnsi="Arial Narrow"/>
                <w:sz w:val="20"/>
                <w:szCs w:val="20"/>
              </w:rPr>
              <w:t>Humira</w:t>
            </w:r>
          </w:p>
        </w:tc>
      </w:tr>
      <w:tr w:rsidR="00116AFD" w:rsidRPr="00116AFD" w14:paraId="5FCEF52E" w14:textId="77777777" w:rsidTr="00116AFD">
        <w:trPr>
          <w:gridAfter w:val="1"/>
          <w:wAfter w:w="7" w:type="dxa"/>
          <w:trHeight w:val="20"/>
        </w:trPr>
        <w:tc>
          <w:tcPr>
            <w:tcW w:w="3938" w:type="dxa"/>
            <w:vAlign w:val="center"/>
          </w:tcPr>
          <w:p w14:paraId="09888C37" w14:textId="77777777" w:rsidR="00852466" w:rsidRPr="00116AFD" w:rsidRDefault="00852466">
            <w:pPr>
              <w:keepNext/>
              <w:tabs>
                <w:tab w:val="left" w:pos="1077"/>
              </w:tabs>
              <w:rPr>
                <w:rFonts w:ascii="Arial Narrow" w:hAnsi="Arial Narrow"/>
                <w:sz w:val="20"/>
                <w:szCs w:val="20"/>
              </w:rPr>
            </w:pPr>
            <w:r w:rsidRPr="00116AFD">
              <w:rPr>
                <w:rFonts w:ascii="Arial Narrow" w:hAnsi="Arial Narrow"/>
                <w:sz w:val="20"/>
                <w:szCs w:val="20"/>
              </w:rPr>
              <w:t>adalimumab 40 mg/0.4 mL injection, 2 x 0.4 mL pen devices</w:t>
            </w:r>
          </w:p>
        </w:tc>
        <w:tc>
          <w:tcPr>
            <w:tcW w:w="811" w:type="dxa"/>
            <w:gridSpan w:val="2"/>
            <w:vAlign w:val="center"/>
          </w:tcPr>
          <w:p w14:paraId="5677D386"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12341M</w:t>
            </w:r>
          </w:p>
        </w:tc>
        <w:tc>
          <w:tcPr>
            <w:tcW w:w="812" w:type="dxa"/>
            <w:vAlign w:val="center"/>
          </w:tcPr>
          <w:p w14:paraId="4DFAA8B3"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 xml:space="preserve">1 </w:t>
            </w:r>
          </w:p>
        </w:tc>
        <w:tc>
          <w:tcPr>
            <w:tcW w:w="811" w:type="dxa"/>
            <w:vAlign w:val="center"/>
          </w:tcPr>
          <w:p w14:paraId="2426BFE2"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 xml:space="preserve">2 </w:t>
            </w:r>
          </w:p>
        </w:tc>
        <w:tc>
          <w:tcPr>
            <w:tcW w:w="812" w:type="dxa"/>
            <w:vAlign w:val="center"/>
          </w:tcPr>
          <w:p w14:paraId="7D9C074E"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5</w:t>
            </w:r>
          </w:p>
        </w:tc>
        <w:tc>
          <w:tcPr>
            <w:tcW w:w="1839" w:type="dxa"/>
            <w:vAlign w:val="center"/>
          </w:tcPr>
          <w:p w14:paraId="65D1431B" w14:textId="77777777" w:rsidR="00852466" w:rsidRPr="00116AFD" w:rsidRDefault="00852466">
            <w:pPr>
              <w:keepNext/>
              <w:jc w:val="left"/>
              <w:rPr>
                <w:rFonts w:ascii="Arial Narrow" w:hAnsi="Arial Narrow"/>
                <w:sz w:val="20"/>
                <w:szCs w:val="20"/>
              </w:rPr>
            </w:pPr>
            <w:r w:rsidRPr="00116AFD">
              <w:rPr>
                <w:rFonts w:ascii="Arial Narrow" w:hAnsi="Arial Narrow"/>
                <w:sz w:val="20"/>
                <w:szCs w:val="20"/>
              </w:rPr>
              <w:t>Humira</w:t>
            </w:r>
          </w:p>
          <w:p w14:paraId="280841BF" w14:textId="77777777" w:rsidR="00852466" w:rsidRPr="00116AFD" w:rsidRDefault="00852466">
            <w:pPr>
              <w:keepNext/>
              <w:jc w:val="left"/>
              <w:rPr>
                <w:rFonts w:ascii="Arial Narrow" w:hAnsi="Arial Narrow"/>
                <w:sz w:val="20"/>
                <w:szCs w:val="20"/>
              </w:rPr>
            </w:pPr>
          </w:p>
        </w:tc>
      </w:tr>
      <w:tr w:rsidR="00116AFD" w:rsidRPr="00116AFD" w14:paraId="322AD20F" w14:textId="77777777" w:rsidTr="00116AFD">
        <w:trPr>
          <w:gridAfter w:val="1"/>
          <w:wAfter w:w="7" w:type="dxa"/>
          <w:trHeight w:val="20"/>
        </w:trPr>
        <w:tc>
          <w:tcPr>
            <w:tcW w:w="3938" w:type="dxa"/>
            <w:vAlign w:val="center"/>
          </w:tcPr>
          <w:p w14:paraId="21A0D9C7" w14:textId="77777777" w:rsidR="00852466" w:rsidRPr="00116AFD" w:rsidRDefault="00852466">
            <w:pPr>
              <w:keepNext/>
              <w:tabs>
                <w:tab w:val="left" w:pos="1077"/>
              </w:tabs>
              <w:rPr>
                <w:rFonts w:ascii="Arial Narrow" w:hAnsi="Arial Narrow"/>
                <w:sz w:val="20"/>
                <w:szCs w:val="20"/>
              </w:rPr>
            </w:pPr>
            <w:r w:rsidRPr="00116AFD">
              <w:rPr>
                <w:rFonts w:ascii="Arial Narrow" w:hAnsi="Arial Narrow"/>
                <w:sz w:val="20"/>
                <w:szCs w:val="20"/>
              </w:rPr>
              <w:t>adalimumab 40 mg/0.4 mL injection, 2 x 0.4 mL syringes</w:t>
            </w:r>
          </w:p>
        </w:tc>
        <w:tc>
          <w:tcPr>
            <w:tcW w:w="811" w:type="dxa"/>
            <w:gridSpan w:val="2"/>
            <w:vAlign w:val="center"/>
          </w:tcPr>
          <w:p w14:paraId="32CF68A2"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12413H</w:t>
            </w:r>
          </w:p>
        </w:tc>
        <w:tc>
          <w:tcPr>
            <w:tcW w:w="812" w:type="dxa"/>
            <w:vAlign w:val="center"/>
          </w:tcPr>
          <w:p w14:paraId="59EDD150"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 xml:space="preserve">1 </w:t>
            </w:r>
          </w:p>
        </w:tc>
        <w:tc>
          <w:tcPr>
            <w:tcW w:w="811" w:type="dxa"/>
            <w:vAlign w:val="center"/>
          </w:tcPr>
          <w:p w14:paraId="1383C853"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 xml:space="preserve">2 </w:t>
            </w:r>
          </w:p>
        </w:tc>
        <w:tc>
          <w:tcPr>
            <w:tcW w:w="812" w:type="dxa"/>
            <w:vAlign w:val="center"/>
          </w:tcPr>
          <w:p w14:paraId="41A8DEF6" w14:textId="77777777" w:rsidR="00852466" w:rsidRPr="00116AFD" w:rsidRDefault="00852466">
            <w:pPr>
              <w:keepNext/>
              <w:jc w:val="center"/>
              <w:rPr>
                <w:rFonts w:ascii="Arial Narrow" w:hAnsi="Arial Narrow"/>
                <w:sz w:val="20"/>
                <w:szCs w:val="20"/>
              </w:rPr>
            </w:pPr>
            <w:r w:rsidRPr="00116AFD">
              <w:rPr>
                <w:rFonts w:ascii="Arial Narrow" w:hAnsi="Arial Narrow"/>
                <w:sz w:val="20"/>
                <w:szCs w:val="20"/>
              </w:rPr>
              <w:t>5</w:t>
            </w:r>
          </w:p>
        </w:tc>
        <w:tc>
          <w:tcPr>
            <w:tcW w:w="1839" w:type="dxa"/>
            <w:vAlign w:val="center"/>
          </w:tcPr>
          <w:p w14:paraId="067E4FCC" w14:textId="77777777" w:rsidR="00852466" w:rsidRPr="00116AFD" w:rsidRDefault="00852466">
            <w:pPr>
              <w:keepNext/>
              <w:jc w:val="left"/>
              <w:rPr>
                <w:rFonts w:ascii="Arial Narrow" w:hAnsi="Arial Narrow"/>
                <w:sz w:val="20"/>
                <w:szCs w:val="20"/>
              </w:rPr>
            </w:pPr>
            <w:r w:rsidRPr="00116AFD">
              <w:rPr>
                <w:rFonts w:ascii="Arial Narrow" w:hAnsi="Arial Narrow"/>
                <w:sz w:val="20"/>
                <w:szCs w:val="20"/>
              </w:rPr>
              <w:t>Humira</w:t>
            </w:r>
          </w:p>
          <w:p w14:paraId="36C80313" w14:textId="77777777" w:rsidR="00852466" w:rsidRPr="00116AFD" w:rsidRDefault="00852466">
            <w:pPr>
              <w:keepNext/>
              <w:jc w:val="left"/>
              <w:rPr>
                <w:rFonts w:ascii="Arial Narrow" w:hAnsi="Arial Narrow"/>
                <w:sz w:val="20"/>
                <w:szCs w:val="20"/>
              </w:rPr>
            </w:pPr>
          </w:p>
        </w:tc>
      </w:tr>
      <w:tr w:rsidR="00116AFD" w:rsidRPr="00116AFD" w14:paraId="5BA822EA"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7"/>
            <w:tcBorders>
              <w:top w:val="single" w:sz="4" w:space="0" w:color="auto"/>
              <w:left w:val="single" w:sz="4" w:space="0" w:color="auto"/>
              <w:right w:val="single" w:sz="4" w:space="0" w:color="auto"/>
            </w:tcBorders>
            <w:vAlign w:val="center"/>
          </w:tcPr>
          <w:p w14:paraId="2FC96157" w14:textId="77777777" w:rsidR="00852466" w:rsidRPr="00116AFD" w:rsidRDefault="00852466">
            <w:pPr>
              <w:rPr>
                <w:rFonts w:ascii="Arial Narrow" w:hAnsi="Arial Narrow"/>
                <w:sz w:val="20"/>
                <w:szCs w:val="20"/>
              </w:rPr>
            </w:pPr>
          </w:p>
        </w:tc>
      </w:tr>
      <w:tr w:rsidR="00116AFD" w:rsidRPr="00116AFD" w14:paraId="12EBD6C7" w14:textId="77777777" w:rsidTr="00116AFD">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5C5062D1" w14:textId="77777777" w:rsidR="00852466" w:rsidRPr="00116AFD" w:rsidRDefault="00852466">
            <w:pPr>
              <w:keepLines/>
              <w:rPr>
                <w:rFonts w:ascii="Arial Narrow" w:hAnsi="Arial Narrow"/>
                <w:sz w:val="20"/>
                <w:szCs w:val="20"/>
              </w:rPr>
            </w:pPr>
            <w:r w:rsidRPr="00116AFD">
              <w:rPr>
                <w:rFonts w:ascii="Arial Narrow" w:hAnsi="Arial Narrow"/>
                <w:b/>
                <w:sz w:val="20"/>
                <w:szCs w:val="20"/>
              </w:rPr>
              <w:t>Category / Program:</w:t>
            </w:r>
            <w:r w:rsidRPr="00116AFD">
              <w:rPr>
                <w:rFonts w:ascii="Arial Narrow" w:hAnsi="Arial Narrow"/>
                <w:sz w:val="20"/>
                <w:szCs w:val="20"/>
              </w:rPr>
              <w:t xml:space="preserv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 xml:space="preserve"> General Schedule</w:t>
            </w:r>
          </w:p>
        </w:tc>
      </w:tr>
      <w:tr w:rsidR="00116AFD" w:rsidRPr="00116AFD" w14:paraId="6BA06CF1" w14:textId="77777777" w:rsidTr="00116AFD">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7C9B4484" w14:textId="77777777" w:rsidR="00852466" w:rsidRPr="00116AFD" w:rsidRDefault="00852466">
            <w:pPr>
              <w:keepLines/>
              <w:rPr>
                <w:rFonts w:ascii="Arial Narrow" w:hAnsi="Arial Narrow"/>
                <w:b/>
                <w:sz w:val="20"/>
                <w:szCs w:val="20"/>
              </w:rPr>
            </w:pPr>
            <w:r w:rsidRPr="00116AFD">
              <w:rPr>
                <w:rFonts w:ascii="Arial Narrow" w:hAnsi="Arial Narrow"/>
                <w:b/>
                <w:sz w:val="20"/>
                <w:szCs w:val="20"/>
              </w:rPr>
              <w:t xml:space="preserve">Prescriber type: </w:t>
            </w:r>
            <w:r w:rsidRPr="00116AFD">
              <w:rPr>
                <w:rFonts w:ascii="Arial Narrow" w:hAnsi="Arial Narrow"/>
                <w:sz w:val="20"/>
                <w:szCs w:val="20"/>
              </w:rPr>
              <w:fldChar w:fldCharType="begin" w:fldLock="1">
                <w:ffData>
                  <w:name w:val=""/>
                  <w:enabled/>
                  <w:calcOnExit w:val="0"/>
                  <w:checkBox>
                    <w:sizeAuto/>
                    <w:default w:val="1"/>
                  </w:checkBox>
                </w:ffData>
              </w:fldChar>
            </w:r>
            <w:r w:rsidRPr="00116AFD">
              <w:rPr>
                <w:rFonts w:ascii="Arial Narrow" w:hAnsi="Arial Narrow"/>
                <w:sz w:val="20"/>
                <w:szCs w:val="20"/>
              </w:rPr>
              <w:instrText xml:space="preserve"> FORMCHECKBOX </w:instrText>
            </w:r>
            <w:r w:rsidRPr="00116AFD">
              <w:rPr>
                <w:rFonts w:ascii="Arial Narrow" w:hAnsi="Arial Narrow"/>
                <w:sz w:val="20"/>
                <w:szCs w:val="20"/>
              </w:rPr>
            </w:r>
            <w:r w:rsidRPr="00116AFD">
              <w:rPr>
                <w:rFonts w:ascii="Arial Narrow" w:hAnsi="Arial Narrow"/>
                <w:sz w:val="20"/>
                <w:szCs w:val="20"/>
              </w:rPr>
              <w:fldChar w:fldCharType="separate"/>
            </w:r>
            <w:r w:rsidRPr="00116AFD">
              <w:rPr>
                <w:rFonts w:ascii="Arial Narrow" w:hAnsi="Arial Narrow"/>
                <w:sz w:val="20"/>
                <w:szCs w:val="20"/>
              </w:rPr>
              <w:fldChar w:fldCharType="end"/>
            </w:r>
            <w:r w:rsidRPr="00116AFD">
              <w:rPr>
                <w:rFonts w:ascii="Arial Narrow" w:hAnsi="Arial Narrow"/>
                <w:sz w:val="20"/>
                <w:szCs w:val="20"/>
              </w:rPr>
              <w:t xml:space="preserve">Medical Practitioners </w:t>
            </w:r>
          </w:p>
        </w:tc>
      </w:tr>
      <w:tr w:rsidR="00116AFD" w:rsidRPr="00116AFD" w14:paraId="4A81988D" w14:textId="77777777" w:rsidTr="00116AFD">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04805676" w14:textId="77777777" w:rsidR="00852466" w:rsidRPr="00116AFD" w:rsidRDefault="00852466">
            <w:pPr>
              <w:keepLines/>
              <w:rPr>
                <w:rFonts w:ascii="Arial Narrow" w:eastAsia="Calibri" w:hAnsi="Arial Narrow"/>
                <w:sz w:val="20"/>
                <w:szCs w:val="20"/>
              </w:rPr>
            </w:pPr>
            <w:r w:rsidRPr="00116AFD">
              <w:rPr>
                <w:rFonts w:ascii="Arial Narrow" w:hAnsi="Arial Narrow"/>
                <w:b/>
                <w:sz w:val="20"/>
                <w:szCs w:val="20"/>
              </w:rPr>
              <w:t xml:space="preserve">Restriction type: </w:t>
            </w:r>
            <w:r w:rsidRPr="00116AFD">
              <w:rPr>
                <w:rFonts w:ascii="Arial Narrow" w:eastAsia="Calibri" w:hAnsi="Arial Narrow"/>
                <w:sz w:val="20"/>
                <w:szCs w:val="20"/>
              </w:rPr>
              <w:fldChar w:fldCharType="begin" w:fldLock="1">
                <w:ffData>
                  <w:name w:val=""/>
                  <w:enabled/>
                  <w:calcOnExit w:val="0"/>
                  <w:checkBox>
                    <w:sizeAuto/>
                    <w:default w:val="1"/>
                  </w:checkBox>
                </w:ffData>
              </w:fldChar>
            </w:r>
            <w:r w:rsidRPr="00116AFD">
              <w:rPr>
                <w:rFonts w:ascii="Arial Narrow" w:eastAsia="Calibri" w:hAnsi="Arial Narrow"/>
                <w:sz w:val="20"/>
                <w:szCs w:val="20"/>
              </w:rPr>
              <w:instrText xml:space="preserve"> FORMCHECKBOX </w:instrText>
            </w:r>
            <w:r w:rsidRPr="00116AFD">
              <w:rPr>
                <w:rFonts w:ascii="Arial Narrow" w:eastAsia="Calibri" w:hAnsi="Arial Narrow"/>
                <w:sz w:val="20"/>
                <w:szCs w:val="20"/>
              </w:rPr>
            </w:r>
            <w:r w:rsidRPr="00116AFD">
              <w:rPr>
                <w:rFonts w:ascii="Arial Narrow" w:eastAsia="Calibri" w:hAnsi="Arial Narrow"/>
                <w:sz w:val="20"/>
                <w:szCs w:val="20"/>
              </w:rPr>
              <w:fldChar w:fldCharType="separate"/>
            </w:r>
            <w:r w:rsidRPr="00116AFD">
              <w:rPr>
                <w:rFonts w:ascii="Arial Narrow" w:eastAsia="Calibri" w:hAnsi="Arial Narrow"/>
                <w:sz w:val="20"/>
                <w:szCs w:val="20"/>
              </w:rPr>
              <w:fldChar w:fldCharType="end"/>
            </w:r>
            <w:r w:rsidRPr="00116AFD">
              <w:rPr>
                <w:rFonts w:ascii="Arial Narrow" w:eastAsia="Calibri" w:hAnsi="Arial Narrow"/>
                <w:sz w:val="20"/>
                <w:szCs w:val="20"/>
              </w:rPr>
              <w:t>Authority Required (HPOS/online)</w:t>
            </w:r>
          </w:p>
        </w:tc>
      </w:tr>
      <w:tr w:rsidR="00116AFD" w:rsidRPr="00116AFD" w14:paraId="16096557" w14:textId="77777777" w:rsidTr="00116AFD">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68C62F17" w14:textId="77777777" w:rsidR="00852466" w:rsidRPr="00116AFD" w:rsidRDefault="00852466">
            <w:pPr>
              <w:keepLines/>
              <w:rPr>
                <w:rFonts w:ascii="Arial Narrow" w:hAnsi="Arial Narrow"/>
                <w:b/>
                <w:sz w:val="20"/>
                <w:szCs w:val="20"/>
              </w:rPr>
            </w:pPr>
            <w:r w:rsidRPr="00116AFD">
              <w:rPr>
                <w:rFonts w:ascii="Arial Narrow" w:hAnsi="Arial Narrow"/>
                <w:b/>
                <w:bCs/>
                <w:sz w:val="20"/>
                <w:szCs w:val="20"/>
              </w:rPr>
              <w:t>Indication:</w:t>
            </w:r>
            <w:r w:rsidRPr="00116AFD">
              <w:rPr>
                <w:rFonts w:ascii="Arial Narrow" w:hAnsi="Arial Narrow"/>
                <w:sz w:val="20"/>
                <w:szCs w:val="20"/>
              </w:rPr>
              <w:t xml:space="preserve"> Severe Crohn disease</w:t>
            </w:r>
          </w:p>
        </w:tc>
      </w:tr>
      <w:tr w:rsidR="00116AFD" w:rsidRPr="00116AFD" w14:paraId="6154202A" w14:textId="77777777" w:rsidTr="00116AFD">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0181883C" w14:textId="77777777" w:rsidR="00852466" w:rsidRPr="00116AFD" w:rsidRDefault="00852466">
            <w:pPr>
              <w:keepLines/>
              <w:rPr>
                <w:rFonts w:ascii="Arial Narrow" w:hAnsi="Arial Narrow"/>
                <w:b/>
                <w:sz w:val="20"/>
                <w:szCs w:val="20"/>
              </w:rPr>
            </w:pPr>
            <w:r w:rsidRPr="00116AFD">
              <w:rPr>
                <w:rFonts w:ascii="Arial Narrow" w:hAnsi="Arial Narrow"/>
                <w:b/>
                <w:bCs/>
                <w:sz w:val="20"/>
                <w:szCs w:val="20"/>
              </w:rPr>
              <w:t>Treatment Phase:</w:t>
            </w:r>
            <w:r w:rsidRPr="00116AFD">
              <w:rPr>
                <w:rFonts w:ascii="Arial Narrow" w:hAnsi="Arial Narrow"/>
                <w:sz w:val="20"/>
                <w:szCs w:val="20"/>
              </w:rPr>
              <w:t xml:space="preserve"> First continuing treatment of Crohn disease in a paediatric patient </w:t>
            </w:r>
            <w:r w:rsidRPr="00116AFD">
              <w:rPr>
                <w:rFonts w:ascii="Arial Narrow" w:hAnsi="Arial Narrow"/>
                <w:strike/>
                <w:sz w:val="20"/>
                <w:szCs w:val="20"/>
              </w:rPr>
              <w:t>assessed by PCDAI</w:t>
            </w:r>
          </w:p>
        </w:tc>
      </w:tr>
      <w:tr w:rsidR="00116AFD" w:rsidRPr="00116AFD" w14:paraId="3E6708FC" w14:textId="77777777" w:rsidTr="00116AFD">
        <w:tblPrEx>
          <w:tblCellMar>
            <w:top w:w="15" w:type="dxa"/>
            <w:bottom w:w="15" w:type="dxa"/>
          </w:tblCellMar>
        </w:tblPrEx>
        <w:trPr>
          <w:gridAfter w:val="1"/>
          <w:wAfter w:w="7" w:type="dxa"/>
          <w:trHeight w:val="20"/>
        </w:trPr>
        <w:tc>
          <w:tcPr>
            <w:tcW w:w="9023" w:type="dxa"/>
            <w:gridSpan w:val="7"/>
            <w:tcBorders>
              <w:left w:val="single" w:sz="4" w:space="0" w:color="auto"/>
              <w:right w:val="single" w:sz="4" w:space="0" w:color="auto"/>
            </w:tcBorders>
            <w:vAlign w:val="center"/>
          </w:tcPr>
          <w:p w14:paraId="7362D834" w14:textId="77777777" w:rsidR="00852466" w:rsidRPr="00116AFD" w:rsidRDefault="00852466">
            <w:pPr>
              <w:keepLines/>
              <w:rPr>
                <w:rFonts w:ascii="Arial Narrow" w:hAnsi="Arial Narrow"/>
                <w:b/>
                <w:bCs/>
                <w:sz w:val="20"/>
                <w:szCs w:val="20"/>
              </w:rPr>
            </w:pPr>
          </w:p>
          <w:p w14:paraId="320D2C3E" w14:textId="77777777" w:rsidR="00852466" w:rsidRPr="00116AFD" w:rsidRDefault="00852466">
            <w:pPr>
              <w:keepLines/>
              <w:rPr>
                <w:rFonts w:ascii="Arial Narrow" w:hAnsi="Arial Narrow"/>
                <w:b/>
                <w:bCs/>
                <w:sz w:val="20"/>
                <w:szCs w:val="20"/>
              </w:rPr>
            </w:pPr>
          </w:p>
        </w:tc>
      </w:tr>
      <w:tr w:rsidR="00116AFD" w:rsidRPr="00116AFD" w14:paraId="08439103" w14:textId="77777777" w:rsidTr="00116AFD">
        <w:tblPrEx>
          <w:tblCellMar>
            <w:top w:w="15" w:type="dxa"/>
            <w:bottom w:w="15" w:type="dxa"/>
          </w:tblCellMar>
        </w:tblPrEx>
        <w:trPr>
          <w:trHeight w:val="20"/>
        </w:trPr>
        <w:tc>
          <w:tcPr>
            <w:tcW w:w="9030" w:type="dxa"/>
            <w:gridSpan w:val="8"/>
            <w:vAlign w:val="center"/>
            <w:hideMark/>
          </w:tcPr>
          <w:p w14:paraId="11D089CF" w14:textId="77777777" w:rsidR="00852466" w:rsidRPr="00116AFD" w:rsidRDefault="00852466">
            <w:pPr>
              <w:keepLines/>
              <w:rPr>
                <w:rFonts w:ascii="Arial Narrow" w:hAnsi="Arial Narrow"/>
                <w:strike/>
                <w:sz w:val="20"/>
                <w:szCs w:val="20"/>
              </w:rPr>
            </w:pPr>
            <w:r w:rsidRPr="00116AFD">
              <w:rPr>
                <w:rFonts w:ascii="Arial Narrow" w:hAnsi="Arial Narrow"/>
                <w:b/>
                <w:bCs/>
                <w:strike/>
                <w:sz w:val="20"/>
                <w:szCs w:val="20"/>
              </w:rPr>
              <w:t>Indication:</w:t>
            </w:r>
            <w:r w:rsidRPr="00116AFD">
              <w:rPr>
                <w:rFonts w:ascii="Arial Narrow" w:hAnsi="Arial Narrow"/>
                <w:strike/>
                <w:sz w:val="20"/>
                <w:szCs w:val="20"/>
              </w:rPr>
              <w:t xml:space="preserve"> Severe Crohn disease</w:t>
            </w:r>
          </w:p>
        </w:tc>
      </w:tr>
      <w:tr w:rsidR="00116AFD" w:rsidRPr="00116AFD" w14:paraId="6EA4AA7F" w14:textId="77777777" w:rsidTr="00116AFD">
        <w:tblPrEx>
          <w:tblCellMar>
            <w:top w:w="15" w:type="dxa"/>
            <w:bottom w:w="15" w:type="dxa"/>
          </w:tblCellMar>
        </w:tblPrEx>
        <w:trPr>
          <w:trHeight w:val="20"/>
        </w:trPr>
        <w:tc>
          <w:tcPr>
            <w:tcW w:w="9030" w:type="dxa"/>
            <w:gridSpan w:val="8"/>
            <w:vAlign w:val="center"/>
            <w:hideMark/>
          </w:tcPr>
          <w:p w14:paraId="231EC628" w14:textId="77777777" w:rsidR="00852466" w:rsidRPr="00116AFD" w:rsidRDefault="00852466">
            <w:pPr>
              <w:rPr>
                <w:rFonts w:ascii="Arial Narrow" w:hAnsi="Arial Narrow"/>
                <w:strike/>
                <w:sz w:val="20"/>
                <w:szCs w:val="20"/>
              </w:rPr>
            </w:pPr>
            <w:r w:rsidRPr="00116AFD">
              <w:rPr>
                <w:rFonts w:ascii="Arial Narrow" w:hAnsi="Arial Narrow"/>
                <w:b/>
                <w:bCs/>
                <w:strike/>
                <w:sz w:val="20"/>
                <w:szCs w:val="20"/>
              </w:rPr>
              <w:t>Treatment Phase:</w:t>
            </w:r>
            <w:r w:rsidRPr="00116AFD">
              <w:rPr>
                <w:rFonts w:ascii="Arial Narrow" w:hAnsi="Arial Narrow"/>
                <w:strike/>
                <w:sz w:val="20"/>
                <w:szCs w:val="20"/>
              </w:rPr>
              <w:t xml:space="preserve"> Subsequent continuing treatment of Crohn disease in a paediatric patient assessed by PCDAI</w:t>
            </w:r>
          </w:p>
        </w:tc>
      </w:tr>
      <w:tr w:rsidR="00116AFD" w:rsidRPr="00116AFD" w14:paraId="63CD87C4" w14:textId="77777777" w:rsidTr="00116AFD">
        <w:trPr>
          <w:gridAfter w:val="1"/>
          <w:wAfter w:w="7" w:type="dxa"/>
          <w:trHeight w:val="20"/>
        </w:trPr>
        <w:tc>
          <w:tcPr>
            <w:tcW w:w="4511" w:type="dxa"/>
            <w:gridSpan w:val="2"/>
            <w:vAlign w:val="center"/>
          </w:tcPr>
          <w:p w14:paraId="3E2DAC4B" w14:textId="77777777" w:rsidR="00852466" w:rsidRPr="00116AFD" w:rsidRDefault="00852466">
            <w:pPr>
              <w:keepLines/>
              <w:rPr>
                <w:rFonts w:ascii="Arial Narrow" w:hAnsi="Arial Narrow"/>
                <w:b/>
                <w:i/>
                <w:iCs/>
                <w:sz w:val="20"/>
                <w:szCs w:val="20"/>
              </w:rPr>
            </w:pPr>
          </w:p>
        </w:tc>
        <w:tc>
          <w:tcPr>
            <w:tcW w:w="4512" w:type="dxa"/>
            <w:gridSpan w:val="5"/>
            <w:vAlign w:val="center"/>
          </w:tcPr>
          <w:p w14:paraId="79379149" w14:textId="77777777" w:rsidR="00852466" w:rsidRPr="00116AFD" w:rsidRDefault="00852466">
            <w:pPr>
              <w:keepLines/>
              <w:rPr>
                <w:rFonts w:ascii="Arial Narrow" w:hAnsi="Arial Narrow"/>
                <w:b/>
                <w:i/>
                <w:iCs/>
                <w:sz w:val="20"/>
                <w:szCs w:val="20"/>
              </w:rPr>
            </w:pPr>
          </w:p>
        </w:tc>
      </w:tr>
      <w:tr w:rsidR="00116AFD" w:rsidRPr="00116AFD" w14:paraId="6805F44E" w14:textId="77777777" w:rsidTr="00116AFD">
        <w:trPr>
          <w:gridAfter w:val="1"/>
          <w:wAfter w:w="7" w:type="dxa"/>
          <w:trHeight w:val="20"/>
        </w:trPr>
        <w:tc>
          <w:tcPr>
            <w:tcW w:w="3938" w:type="dxa"/>
            <w:vAlign w:val="center"/>
          </w:tcPr>
          <w:p w14:paraId="5EDE59EB"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MEDICINAL PRODUCT</w:t>
            </w:r>
          </w:p>
          <w:p w14:paraId="132C85E8" w14:textId="77777777" w:rsidR="00852466" w:rsidRPr="00116AFD" w:rsidRDefault="00852466">
            <w:pPr>
              <w:keepLines/>
              <w:rPr>
                <w:rFonts w:ascii="Arial Narrow" w:hAnsi="Arial Narrow"/>
                <w:b/>
                <w:i/>
                <w:iCs/>
                <w:sz w:val="20"/>
                <w:szCs w:val="20"/>
              </w:rPr>
            </w:pPr>
            <w:r w:rsidRPr="00116AFD">
              <w:rPr>
                <w:rFonts w:ascii="Arial Narrow" w:hAnsi="Arial Narrow"/>
                <w:b/>
                <w:bCs/>
                <w:i/>
                <w:iCs/>
                <w:sz w:val="20"/>
                <w:szCs w:val="20"/>
              </w:rPr>
              <w:t>medicinal product pack</w:t>
            </w:r>
          </w:p>
        </w:tc>
        <w:tc>
          <w:tcPr>
            <w:tcW w:w="811" w:type="dxa"/>
            <w:gridSpan w:val="2"/>
            <w:vAlign w:val="center"/>
          </w:tcPr>
          <w:p w14:paraId="2E19E096"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PBS item code</w:t>
            </w:r>
          </w:p>
        </w:tc>
        <w:tc>
          <w:tcPr>
            <w:tcW w:w="812" w:type="dxa"/>
            <w:vAlign w:val="center"/>
          </w:tcPr>
          <w:p w14:paraId="31C9A306"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packs</w:t>
            </w:r>
          </w:p>
        </w:tc>
        <w:tc>
          <w:tcPr>
            <w:tcW w:w="811" w:type="dxa"/>
            <w:vAlign w:val="center"/>
          </w:tcPr>
          <w:p w14:paraId="1F7FF06D"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Max. qty units</w:t>
            </w:r>
          </w:p>
        </w:tc>
        <w:tc>
          <w:tcPr>
            <w:tcW w:w="812" w:type="dxa"/>
            <w:vAlign w:val="center"/>
          </w:tcPr>
          <w:p w14:paraId="0A3757DF"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№.of</w:t>
            </w:r>
          </w:p>
          <w:p w14:paraId="0832CA6D" w14:textId="77777777" w:rsidR="00852466" w:rsidRPr="00116AFD" w:rsidRDefault="00852466">
            <w:pPr>
              <w:keepLines/>
              <w:jc w:val="center"/>
              <w:rPr>
                <w:rFonts w:ascii="Arial Narrow" w:hAnsi="Arial Narrow"/>
                <w:b/>
                <w:i/>
                <w:iCs/>
                <w:sz w:val="20"/>
                <w:szCs w:val="20"/>
              </w:rPr>
            </w:pPr>
            <w:r w:rsidRPr="00116AFD">
              <w:rPr>
                <w:rFonts w:ascii="Arial Narrow" w:hAnsi="Arial Narrow"/>
                <w:b/>
                <w:i/>
                <w:iCs/>
                <w:sz w:val="20"/>
                <w:szCs w:val="20"/>
              </w:rPr>
              <w:t>Rpts</w:t>
            </w:r>
          </w:p>
        </w:tc>
        <w:tc>
          <w:tcPr>
            <w:tcW w:w="1839" w:type="dxa"/>
            <w:vAlign w:val="center"/>
          </w:tcPr>
          <w:p w14:paraId="1F8C64DB" w14:textId="77777777" w:rsidR="00852466" w:rsidRPr="00116AFD" w:rsidRDefault="00852466">
            <w:pPr>
              <w:keepLines/>
              <w:rPr>
                <w:rFonts w:ascii="Arial Narrow" w:hAnsi="Arial Narrow"/>
                <w:b/>
                <w:i/>
                <w:iCs/>
                <w:sz w:val="20"/>
                <w:szCs w:val="20"/>
                <w:lang w:val="fr-FR"/>
              </w:rPr>
            </w:pPr>
            <w:r w:rsidRPr="00116AFD">
              <w:rPr>
                <w:rFonts w:ascii="Arial Narrow" w:hAnsi="Arial Narrow"/>
                <w:b/>
                <w:i/>
                <w:iCs/>
                <w:sz w:val="20"/>
                <w:szCs w:val="20"/>
              </w:rPr>
              <w:t>Available brands</w:t>
            </w:r>
          </w:p>
        </w:tc>
      </w:tr>
      <w:tr w:rsidR="00116AFD" w:rsidRPr="00116AFD" w14:paraId="3A7D2A24" w14:textId="77777777" w:rsidTr="00116AFD">
        <w:trPr>
          <w:gridAfter w:val="1"/>
          <w:wAfter w:w="7" w:type="dxa"/>
          <w:trHeight w:val="20"/>
        </w:trPr>
        <w:tc>
          <w:tcPr>
            <w:tcW w:w="9023" w:type="dxa"/>
            <w:gridSpan w:val="7"/>
            <w:vAlign w:val="center"/>
          </w:tcPr>
          <w:p w14:paraId="477A50DE"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ADALIMUMAB</w:t>
            </w:r>
          </w:p>
        </w:tc>
      </w:tr>
      <w:tr w:rsidR="00116AFD" w:rsidRPr="00116AFD" w14:paraId="10213A7E" w14:textId="77777777" w:rsidTr="00116AFD">
        <w:trPr>
          <w:gridAfter w:val="1"/>
          <w:wAfter w:w="7" w:type="dxa"/>
          <w:trHeight w:val="20"/>
        </w:trPr>
        <w:tc>
          <w:tcPr>
            <w:tcW w:w="3938" w:type="dxa"/>
            <w:vAlign w:val="center"/>
          </w:tcPr>
          <w:p w14:paraId="6EC68A95"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adalimumab 20 mg/0.2 mL injection, 2 x 0.2 mL syringes</w:t>
            </w:r>
          </w:p>
        </w:tc>
        <w:tc>
          <w:tcPr>
            <w:tcW w:w="811" w:type="dxa"/>
            <w:gridSpan w:val="2"/>
            <w:vAlign w:val="center"/>
          </w:tcPr>
          <w:p w14:paraId="51BF585C"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NEW</w:t>
            </w:r>
          </w:p>
        </w:tc>
        <w:tc>
          <w:tcPr>
            <w:tcW w:w="812" w:type="dxa"/>
            <w:vAlign w:val="center"/>
          </w:tcPr>
          <w:p w14:paraId="34ADA05B"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 xml:space="preserve">1 </w:t>
            </w:r>
          </w:p>
        </w:tc>
        <w:tc>
          <w:tcPr>
            <w:tcW w:w="811" w:type="dxa"/>
            <w:vAlign w:val="center"/>
          </w:tcPr>
          <w:p w14:paraId="03EDA239"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 xml:space="preserve">2 </w:t>
            </w:r>
          </w:p>
        </w:tc>
        <w:tc>
          <w:tcPr>
            <w:tcW w:w="812" w:type="dxa"/>
            <w:vAlign w:val="center"/>
          </w:tcPr>
          <w:p w14:paraId="4E750C0B" w14:textId="77777777" w:rsidR="00852466" w:rsidRPr="00116AFD" w:rsidRDefault="00852466">
            <w:pPr>
              <w:keepLines/>
              <w:jc w:val="center"/>
              <w:rPr>
                <w:rFonts w:ascii="Arial Narrow" w:hAnsi="Arial Narrow"/>
                <w:i/>
                <w:iCs/>
                <w:sz w:val="20"/>
                <w:szCs w:val="20"/>
              </w:rPr>
            </w:pPr>
            <w:r w:rsidRPr="00116AFD">
              <w:rPr>
                <w:rFonts w:ascii="Arial Narrow" w:hAnsi="Arial Narrow"/>
                <w:i/>
                <w:iCs/>
                <w:sz w:val="20"/>
                <w:szCs w:val="20"/>
              </w:rPr>
              <w:t>5</w:t>
            </w:r>
          </w:p>
        </w:tc>
        <w:tc>
          <w:tcPr>
            <w:tcW w:w="1839" w:type="dxa"/>
            <w:vAlign w:val="center"/>
          </w:tcPr>
          <w:p w14:paraId="7B5BE9B2" w14:textId="77777777" w:rsidR="00852466" w:rsidRPr="00116AFD" w:rsidRDefault="00852466">
            <w:pPr>
              <w:keepLines/>
              <w:rPr>
                <w:rFonts w:ascii="Arial Narrow" w:hAnsi="Arial Narrow"/>
                <w:i/>
                <w:iCs/>
                <w:sz w:val="20"/>
                <w:szCs w:val="20"/>
              </w:rPr>
            </w:pPr>
            <w:r w:rsidRPr="00116AFD">
              <w:rPr>
                <w:rFonts w:ascii="Arial Narrow" w:hAnsi="Arial Narrow"/>
                <w:i/>
                <w:iCs/>
                <w:sz w:val="20"/>
                <w:szCs w:val="20"/>
              </w:rPr>
              <w:t>Humira</w:t>
            </w:r>
          </w:p>
        </w:tc>
      </w:tr>
      <w:tr w:rsidR="00116AFD" w:rsidRPr="00116AFD" w14:paraId="22182D0B" w14:textId="77777777" w:rsidTr="00116AFD">
        <w:trPr>
          <w:gridAfter w:val="1"/>
          <w:wAfter w:w="7" w:type="dxa"/>
          <w:trHeight w:val="20"/>
        </w:trPr>
        <w:tc>
          <w:tcPr>
            <w:tcW w:w="3938" w:type="dxa"/>
            <w:vAlign w:val="center"/>
          </w:tcPr>
          <w:p w14:paraId="65CDABBE" w14:textId="77777777" w:rsidR="00852466" w:rsidRPr="00116AFD" w:rsidRDefault="00852466">
            <w:pPr>
              <w:keepNext/>
              <w:tabs>
                <w:tab w:val="left" w:pos="1077"/>
              </w:tabs>
              <w:rPr>
                <w:rFonts w:ascii="Arial Narrow" w:hAnsi="Arial Narrow"/>
                <w:i/>
                <w:iCs/>
                <w:sz w:val="20"/>
                <w:szCs w:val="20"/>
              </w:rPr>
            </w:pPr>
            <w:r w:rsidRPr="00116AFD">
              <w:rPr>
                <w:rFonts w:ascii="Arial Narrow" w:hAnsi="Arial Narrow"/>
                <w:i/>
                <w:iCs/>
                <w:sz w:val="20"/>
                <w:szCs w:val="20"/>
              </w:rPr>
              <w:t>adalimumab 40 mg/0.4 mL injection, 2 x 0.4 mL pen devices</w:t>
            </w:r>
          </w:p>
        </w:tc>
        <w:tc>
          <w:tcPr>
            <w:tcW w:w="811" w:type="dxa"/>
            <w:gridSpan w:val="2"/>
            <w:vAlign w:val="center"/>
          </w:tcPr>
          <w:p w14:paraId="1E428C2A"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NEW</w:t>
            </w:r>
          </w:p>
        </w:tc>
        <w:tc>
          <w:tcPr>
            <w:tcW w:w="812" w:type="dxa"/>
            <w:vAlign w:val="center"/>
          </w:tcPr>
          <w:p w14:paraId="7A07EF8F"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 xml:space="preserve">1 </w:t>
            </w:r>
          </w:p>
        </w:tc>
        <w:tc>
          <w:tcPr>
            <w:tcW w:w="811" w:type="dxa"/>
            <w:vAlign w:val="center"/>
          </w:tcPr>
          <w:p w14:paraId="1D7E4C05"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 xml:space="preserve">2 </w:t>
            </w:r>
          </w:p>
        </w:tc>
        <w:tc>
          <w:tcPr>
            <w:tcW w:w="812" w:type="dxa"/>
            <w:vAlign w:val="center"/>
          </w:tcPr>
          <w:p w14:paraId="11371417"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5</w:t>
            </w:r>
          </w:p>
        </w:tc>
        <w:tc>
          <w:tcPr>
            <w:tcW w:w="1839" w:type="dxa"/>
            <w:vAlign w:val="center"/>
          </w:tcPr>
          <w:p w14:paraId="090A79A5" w14:textId="77777777" w:rsidR="00852466" w:rsidRPr="00116AFD" w:rsidRDefault="00852466">
            <w:pPr>
              <w:keepNext/>
              <w:jc w:val="left"/>
              <w:rPr>
                <w:rFonts w:ascii="Arial Narrow" w:hAnsi="Arial Narrow"/>
                <w:i/>
                <w:iCs/>
                <w:sz w:val="20"/>
                <w:szCs w:val="20"/>
              </w:rPr>
            </w:pPr>
            <w:r w:rsidRPr="00116AFD">
              <w:rPr>
                <w:rFonts w:ascii="Arial Narrow" w:hAnsi="Arial Narrow"/>
                <w:i/>
                <w:iCs/>
                <w:sz w:val="20"/>
                <w:szCs w:val="20"/>
              </w:rPr>
              <w:t>Humira</w:t>
            </w:r>
          </w:p>
          <w:p w14:paraId="71E966C3" w14:textId="77777777" w:rsidR="00852466" w:rsidRPr="00116AFD" w:rsidRDefault="00852466">
            <w:pPr>
              <w:keepNext/>
              <w:jc w:val="left"/>
              <w:rPr>
                <w:rFonts w:ascii="Arial Narrow" w:hAnsi="Arial Narrow"/>
                <w:i/>
                <w:iCs/>
                <w:sz w:val="20"/>
                <w:szCs w:val="20"/>
              </w:rPr>
            </w:pPr>
          </w:p>
        </w:tc>
      </w:tr>
      <w:tr w:rsidR="00116AFD" w:rsidRPr="00116AFD" w14:paraId="5D283E7F" w14:textId="77777777" w:rsidTr="00116AFD">
        <w:trPr>
          <w:gridAfter w:val="1"/>
          <w:wAfter w:w="7" w:type="dxa"/>
          <w:trHeight w:val="20"/>
        </w:trPr>
        <w:tc>
          <w:tcPr>
            <w:tcW w:w="3938" w:type="dxa"/>
            <w:vAlign w:val="center"/>
          </w:tcPr>
          <w:p w14:paraId="1484CF8C" w14:textId="77777777" w:rsidR="00852466" w:rsidRPr="00116AFD" w:rsidRDefault="00852466">
            <w:pPr>
              <w:keepNext/>
              <w:tabs>
                <w:tab w:val="left" w:pos="1077"/>
              </w:tabs>
              <w:rPr>
                <w:rFonts w:ascii="Arial Narrow" w:hAnsi="Arial Narrow"/>
                <w:i/>
                <w:iCs/>
                <w:sz w:val="20"/>
                <w:szCs w:val="20"/>
              </w:rPr>
            </w:pPr>
            <w:r w:rsidRPr="00116AFD">
              <w:rPr>
                <w:rFonts w:ascii="Arial Narrow" w:hAnsi="Arial Narrow"/>
                <w:i/>
                <w:iCs/>
                <w:sz w:val="20"/>
                <w:szCs w:val="20"/>
              </w:rPr>
              <w:t>adalimumab 40 mg/0.4 mL injection, 2 x 0.4 mL syringes</w:t>
            </w:r>
          </w:p>
        </w:tc>
        <w:tc>
          <w:tcPr>
            <w:tcW w:w="811" w:type="dxa"/>
            <w:gridSpan w:val="2"/>
            <w:vAlign w:val="center"/>
          </w:tcPr>
          <w:p w14:paraId="461AEB73"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NEW</w:t>
            </w:r>
          </w:p>
        </w:tc>
        <w:tc>
          <w:tcPr>
            <w:tcW w:w="812" w:type="dxa"/>
            <w:vAlign w:val="center"/>
          </w:tcPr>
          <w:p w14:paraId="11C78075"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 xml:space="preserve">1 </w:t>
            </w:r>
          </w:p>
        </w:tc>
        <w:tc>
          <w:tcPr>
            <w:tcW w:w="811" w:type="dxa"/>
            <w:vAlign w:val="center"/>
          </w:tcPr>
          <w:p w14:paraId="2D97CEA3"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 xml:space="preserve">2 </w:t>
            </w:r>
          </w:p>
        </w:tc>
        <w:tc>
          <w:tcPr>
            <w:tcW w:w="812" w:type="dxa"/>
            <w:vAlign w:val="center"/>
          </w:tcPr>
          <w:p w14:paraId="33DF1DA8" w14:textId="77777777" w:rsidR="00852466" w:rsidRPr="00116AFD" w:rsidRDefault="00852466">
            <w:pPr>
              <w:keepNext/>
              <w:jc w:val="center"/>
              <w:rPr>
                <w:rFonts w:ascii="Arial Narrow" w:hAnsi="Arial Narrow"/>
                <w:i/>
                <w:iCs/>
                <w:sz w:val="20"/>
                <w:szCs w:val="20"/>
              </w:rPr>
            </w:pPr>
            <w:r w:rsidRPr="00116AFD">
              <w:rPr>
                <w:rFonts w:ascii="Arial Narrow" w:hAnsi="Arial Narrow"/>
                <w:i/>
                <w:iCs/>
                <w:sz w:val="20"/>
                <w:szCs w:val="20"/>
              </w:rPr>
              <w:t>5</w:t>
            </w:r>
          </w:p>
        </w:tc>
        <w:tc>
          <w:tcPr>
            <w:tcW w:w="1839" w:type="dxa"/>
            <w:vAlign w:val="center"/>
          </w:tcPr>
          <w:p w14:paraId="118172BA" w14:textId="77777777" w:rsidR="00852466" w:rsidRPr="00116AFD" w:rsidRDefault="00852466">
            <w:pPr>
              <w:keepNext/>
              <w:jc w:val="left"/>
              <w:rPr>
                <w:rFonts w:ascii="Arial Narrow" w:hAnsi="Arial Narrow"/>
                <w:i/>
                <w:iCs/>
                <w:sz w:val="20"/>
                <w:szCs w:val="20"/>
              </w:rPr>
            </w:pPr>
            <w:r w:rsidRPr="00116AFD">
              <w:rPr>
                <w:rFonts w:ascii="Arial Narrow" w:hAnsi="Arial Narrow"/>
                <w:i/>
                <w:iCs/>
                <w:sz w:val="20"/>
                <w:szCs w:val="20"/>
              </w:rPr>
              <w:t>Humira</w:t>
            </w:r>
          </w:p>
          <w:p w14:paraId="2E1B01FE" w14:textId="77777777" w:rsidR="00852466" w:rsidRPr="00116AFD" w:rsidRDefault="00852466">
            <w:pPr>
              <w:keepNext/>
              <w:jc w:val="left"/>
              <w:rPr>
                <w:rFonts w:ascii="Arial Narrow" w:hAnsi="Arial Narrow"/>
                <w:i/>
                <w:iCs/>
                <w:sz w:val="20"/>
                <w:szCs w:val="20"/>
              </w:rPr>
            </w:pPr>
          </w:p>
        </w:tc>
      </w:tr>
      <w:tr w:rsidR="00116AFD" w:rsidRPr="00116AFD" w14:paraId="4CF63A37" w14:textId="77777777" w:rsidTr="00116AFD">
        <w:tblPrEx>
          <w:tblCellMar>
            <w:top w:w="15" w:type="dxa"/>
            <w:bottom w:w="15" w:type="dxa"/>
          </w:tblCellMar>
        </w:tblPrEx>
        <w:trPr>
          <w:gridAfter w:val="1"/>
          <w:wAfter w:w="7" w:type="dxa"/>
          <w:trHeight w:val="20"/>
        </w:trPr>
        <w:tc>
          <w:tcPr>
            <w:tcW w:w="9023" w:type="dxa"/>
            <w:gridSpan w:val="7"/>
            <w:tcBorders>
              <w:left w:val="single" w:sz="4" w:space="0" w:color="auto"/>
              <w:right w:val="single" w:sz="4" w:space="0" w:color="auto"/>
            </w:tcBorders>
            <w:vAlign w:val="center"/>
          </w:tcPr>
          <w:p w14:paraId="6BF26414" w14:textId="77777777" w:rsidR="00852466" w:rsidRPr="00116AFD" w:rsidRDefault="00852466">
            <w:pPr>
              <w:keepLines/>
              <w:rPr>
                <w:rFonts w:ascii="Arial Narrow" w:hAnsi="Arial Narrow"/>
                <w:b/>
                <w:bCs/>
                <w:i/>
                <w:iCs/>
                <w:sz w:val="20"/>
                <w:szCs w:val="20"/>
              </w:rPr>
            </w:pPr>
          </w:p>
        </w:tc>
      </w:tr>
      <w:tr w:rsidR="00116AFD" w:rsidRPr="00116AFD" w14:paraId="12B808AF" w14:textId="77777777" w:rsidTr="00116AFD">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1D244000" w14:textId="77777777" w:rsidR="00852466" w:rsidRPr="00116AFD" w:rsidRDefault="00852466">
            <w:pPr>
              <w:keepLines/>
              <w:rPr>
                <w:rFonts w:ascii="Arial Narrow" w:hAnsi="Arial Narrow"/>
                <w:i/>
                <w:iCs/>
                <w:sz w:val="20"/>
                <w:szCs w:val="20"/>
              </w:rPr>
            </w:pPr>
            <w:r w:rsidRPr="00116AFD">
              <w:rPr>
                <w:rFonts w:ascii="Arial Narrow" w:hAnsi="Arial Narrow"/>
                <w:b/>
                <w:i/>
                <w:iCs/>
                <w:sz w:val="20"/>
                <w:szCs w:val="20"/>
              </w:rPr>
              <w:t>Category / Program:</w:t>
            </w:r>
            <w:r w:rsidRPr="00116AFD">
              <w:rPr>
                <w:rFonts w:ascii="Arial Narrow" w:hAnsi="Arial Narrow"/>
                <w:i/>
                <w:iCs/>
                <w:sz w:val="20"/>
                <w:szCs w:val="20"/>
              </w:rPr>
              <w:t xml:space="preserv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 xml:space="preserve"> General Schedule</w:t>
            </w:r>
          </w:p>
        </w:tc>
      </w:tr>
      <w:tr w:rsidR="00116AFD" w:rsidRPr="00116AFD" w14:paraId="48E0D8B8" w14:textId="77777777" w:rsidTr="00116AFD">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3931DC65" w14:textId="77777777" w:rsidR="00852466" w:rsidRPr="00116AFD" w:rsidRDefault="00852466">
            <w:pPr>
              <w:keepLines/>
              <w:rPr>
                <w:rFonts w:ascii="Arial Narrow" w:hAnsi="Arial Narrow"/>
                <w:b/>
                <w:i/>
                <w:iCs/>
                <w:sz w:val="20"/>
                <w:szCs w:val="20"/>
              </w:rPr>
            </w:pPr>
            <w:r w:rsidRPr="00116AFD">
              <w:rPr>
                <w:rFonts w:ascii="Arial Narrow" w:hAnsi="Arial Narrow"/>
                <w:b/>
                <w:i/>
                <w:iCs/>
                <w:sz w:val="20"/>
                <w:szCs w:val="20"/>
              </w:rPr>
              <w:t xml:space="preserve">Prescriber type: </w:t>
            </w:r>
            <w:r w:rsidRPr="00116AFD">
              <w:rPr>
                <w:rFonts w:ascii="Arial Narrow" w:hAnsi="Arial Narrow"/>
                <w:i/>
                <w:iCs/>
                <w:sz w:val="20"/>
                <w:szCs w:val="20"/>
              </w:rPr>
              <w:fldChar w:fldCharType="begin" w:fldLock="1">
                <w:ffData>
                  <w:name w:val=""/>
                  <w:enabled/>
                  <w:calcOnExit w:val="0"/>
                  <w:checkBox>
                    <w:sizeAuto/>
                    <w:default w:val="1"/>
                  </w:checkBox>
                </w:ffData>
              </w:fldChar>
            </w:r>
            <w:r w:rsidRPr="00116AFD">
              <w:rPr>
                <w:rFonts w:ascii="Arial Narrow" w:hAnsi="Arial Narrow"/>
                <w:i/>
                <w:iCs/>
                <w:sz w:val="20"/>
                <w:szCs w:val="20"/>
              </w:rPr>
              <w:instrText xml:space="preserve"> FORMCHECKBOX </w:instrText>
            </w:r>
            <w:r w:rsidRPr="00116AFD">
              <w:rPr>
                <w:rFonts w:ascii="Arial Narrow" w:hAnsi="Arial Narrow"/>
                <w:i/>
                <w:iCs/>
                <w:sz w:val="20"/>
                <w:szCs w:val="20"/>
              </w:rPr>
            </w:r>
            <w:r w:rsidRPr="00116AFD">
              <w:rPr>
                <w:rFonts w:ascii="Arial Narrow" w:hAnsi="Arial Narrow"/>
                <w:i/>
                <w:iCs/>
                <w:sz w:val="20"/>
                <w:szCs w:val="20"/>
              </w:rPr>
              <w:fldChar w:fldCharType="separate"/>
            </w:r>
            <w:r w:rsidRPr="00116AFD">
              <w:rPr>
                <w:rFonts w:ascii="Arial Narrow" w:hAnsi="Arial Narrow"/>
                <w:i/>
                <w:iCs/>
                <w:sz w:val="20"/>
                <w:szCs w:val="20"/>
              </w:rPr>
              <w:fldChar w:fldCharType="end"/>
            </w:r>
            <w:r w:rsidRPr="00116AFD">
              <w:rPr>
                <w:rFonts w:ascii="Arial Narrow" w:hAnsi="Arial Narrow"/>
                <w:i/>
                <w:iCs/>
                <w:sz w:val="20"/>
                <w:szCs w:val="20"/>
              </w:rPr>
              <w:t xml:space="preserve">Medical Practitioners </w:t>
            </w:r>
          </w:p>
        </w:tc>
      </w:tr>
      <w:tr w:rsidR="00116AFD" w:rsidRPr="00116AFD" w14:paraId="5B8640B9" w14:textId="77777777" w:rsidTr="00116AFD">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74E6F65D" w14:textId="77777777" w:rsidR="00852466" w:rsidRPr="00116AFD" w:rsidRDefault="00852466">
            <w:pPr>
              <w:keepLines/>
              <w:rPr>
                <w:rFonts w:ascii="Arial Narrow" w:eastAsia="Calibri" w:hAnsi="Arial Narrow"/>
                <w:i/>
                <w:iCs/>
                <w:sz w:val="20"/>
                <w:szCs w:val="20"/>
              </w:rPr>
            </w:pPr>
            <w:r w:rsidRPr="00116AFD">
              <w:rPr>
                <w:rFonts w:ascii="Arial Narrow" w:hAnsi="Arial Narrow"/>
                <w:b/>
                <w:i/>
                <w:iCs/>
                <w:sz w:val="20"/>
                <w:szCs w:val="20"/>
              </w:rPr>
              <w:t xml:space="preserve">Restriction type: </w:t>
            </w:r>
            <w:r w:rsidRPr="00116AFD">
              <w:rPr>
                <w:rFonts w:ascii="Arial Narrow" w:eastAsia="Calibri" w:hAnsi="Arial Narrow"/>
                <w:i/>
                <w:iCs/>
                <w:sz w:val="20"/>
                <w:szCs w:val="20"/>
              </w:rPr>
              <w:fldChar w:fldCharType="begin" w:fldLock="1">
                <w:ffData>
                  <w:name w:val=""/>
                  <w:enabled/>
                  <w:calcOnExit w:val="0"/>
                  <w:checkBox>
                    <w:sizeAuto/>
                    <w:default w:val="1"/>
                  </w:checkBox>
                </w:ffData>
              </w:fldChar>
            </w:r>
            <w:r w:rsidRPr="00116AFD">
              <w:rPr>
                <w:rFonts w:ascii="Arial Narrow" w:eastAsia="Calibri" w:hAnsi="Arial Narrow"/>
                <w:i/>
                <w:iCs/>
                <w:sz w:val="20"/>
                <w:szCs w:val="20"/>
              </w:rPr>
              <w:instrText xml:space="preserve"> FORMCHECKBOX </w:instrText>
            </w:r>
            <w:r w:rsidRPr="00116AFD">
              <w:rPr>
                <w:rFonts w:ascii="Arial Narrow" w:eastAsia="Calibri" w:hAnsi="Arial Narrow"/>
                <w:i/>
                <w:iCs/>
                <w:sz w:val="20"/>
                <w:szCs w:val="20"/>
              </w:rPr>
            </w:r>
            <w:r w:rsidRPr="00116AFD">
              <w:rPr>
                <w:rFonts w:ascii="Arial Narrow" w:eastAsia="Calibri" w:hAnsi="Arial Narrow"/>
                <w:i/>
                <w:iCs/>
                <w:sz w:val="20"/>
                <w:szCs w:val="20"/>
              </w:rPr>
              <w:fldChar w:fldCharType="separate"/>
            </w:r>
            <w:r w:rsidRPr="00116AFD">
              <w:rPr>
                <w:rFonts w:ascii="Arial Narrow" w:eastAsia="Calibri" w:hAnsi="Arial Narrow"/>
                <w:i/>
                <w:iCs/>
                <w:sz w:val="20"/>
                <w:szCs w:val="20"/>
              </w:rPr>
              <w:fldChar w:fldCharType="end"/>
            </w:r>
            <w:r w:rsidRPr="00116AFD">
              <w:rPr>
                <w:rFonts w:ascii="Arial Narrow" w:eastAsia="Calibri" w:hAnsi="Arial Narrow"/>
                <w:i/>
                <w:iCs/>
                <w:sz w:val="20"/>
                <w:szCs w:val="20"/>
              </w:rPr>
              <w:t>Authority Required (STREAMLINED)</w:t>
            </w:r>
          </w:p>
        </w:tc>
      </w:tr>
      <w:tr w:rsidR="00116AFD" w:rsidRPr="00116AFD" w14:paraId="3BF51A9D" w14:textId="77777777" w:rsidTr="00116AFD">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486DEB9F"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Indication:</w:t>
            </w:r>
            <w:r w:rsidRPr="00116AFD">
              <w:rPr>
                <w:rFonts w:ascii="Arial Narrow" w:hAnsi="Arial Narrow"/>
                <w:i/>
                <w:iCs/>
                <w:sz w:val="20"/>
                <w:szCs w:val="20"/>
              </w:rPr>
              <w:t xml:space="preserve"> Severe Crohn disease</w:t>
            </w:r>
          </w:p>
        </w:tc>
      </w:tr>
      <w:tr w:rsidR="00116AFD" w:rsidRPr="00116AFD" w14:paraId="49DE7D57" w14:textId="77777777" w:rsidTr="00116AFD">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450AC96F" w14:textId="77777777" w:rsidR="00852466" w:rsidRPr="00116AFD" w:rsidRDefault="00852466">
            <w:pPr>
              <w:keepLines/>
              <w:rPr>
                <w:rFonts w:ascii="Arial Narrow" w:hAnsi="Arial Narrow"/>
                <w:b/>
                <w:bCs/>
                <w:i/>
                <w:iCs/>
                <w:sz w:val="20"/>
                <w:szCs w:val="20"/>
              </w:rPr>
            </w:pPr>
            <w:r w:rsidRPr="00116AFD">
              <w:rPr>
                <w:rFonts w:ascii="Arial Narrow" w:hAnsi="Arial Narrow"/>
                <w:b/>
                <w:bCs/>
                <w:i/>
                <w:iCs/>
                <w:sz w:val="20"/>
                <w:szCs w:val="20"/>
              </w:rPr>
              <w:t>Treatment Phase:</w:t>
            </w:r>
            <w:r w:rsidRPr="00116AFD">
              <w:rPr>
                <w:rFonts w:ascii="Arial Narrow" w:hAnsi="Arial Narrow"/>
                <w:i/>
                <w:iCs/>
                <w:sz w:val="20"/>
                <w:szCs w:val="20"/>
              </w:rPr>
              <w:t xml:space="preserve"> Subsequent continuing treatment of Crohn disease in a paediatric patient </w:t>
            </w:r>
          </w:p>
        </w:tc>
      </w:tr>
    </w:tbl>
    <w:p w14:paraId="777B6086" w14:textId="77777777" w:rsidR="00852466" w:rsidRDefault="00852466" w:rsidP="00852466">
      <w:pPr>
        <w:pStyle w:val="3-BodyText"/>
        <w:numPr>
          <w:ilvl w:val="1"/>
          <w:numId w:val="2"/>
        </w:numPr>
        <w:spacing w:before="120"/>
        <w:rPr>
          <w:lang w:eastAsia="en-US"/>
        </w:rPr>
      </w:pPr>
      <w:r>
        <w:rPr>
          <w:lang w:eastAsia="en-US"/>
        </w:rPr>
        <w:t>Flow-on changes to remove the no increases in quantity to allow dosing escalation for all adalimumab biosimilars currently listed on the  PBS.</w:t>
      </w:r>
    </w:p>
    <w:p w14:paraId="5332E06D" w14:textId="77777777" w:rsidR="00852466" w:rsidRDefault="00852466" w:rsidP="00852466">
      <w:pPr>
        <w:pStyle w:val="3-BodyText"/>
        <w:numPr>
          <w:ilvl w:val="1"/>
          <w:numId w:val="2"/>
        </w:numPr>
        <w:spacing w:before="120"/>
        <w:rPr>
          <w:lang w:eastAsia="en-US"/>
        </w:rPr>
      </w:pPr>
      <w:r>
        <w:rPr>
          <w:lang w:eastAsia="en-US"/>
        </w:rPr>
        <w:t>Flow-on changes to infliximab 100 mg injection, 1 vial:</w:t>
      </w:r>
    </w:p>
    <w:p w14:paraId="61D8973A" w14:textId="77777777" w:rsidR="00852466" w:rsidRDefault="00852466" w:rsidP="00852466">
      <w:pPr>
        <w:pStyle w:val="ListParagraph"/>
        <w:numPr>
          <w:ilvl w:val="0"/>
          <w:numId w:val="123"/>
        </w:numPr>
        <w:ind w:left="1134" w:hanging="360"/>
        <w:jc w:val="both"/>
        <w:rPr>
          <w:lang w:eastAsia="en-US"/>
        </w:rPr>
      </w:pPr>
      <w:r>
        <w:rPr>
          <w:lang w:eastAsia="en-US"/>
        </w:rPr>
        <w:t>5755X and 9612X (Initial treatment – Initial 1 (new patient): add new restrictions</w:t>
      </w:r>
    </w:p>
    <w:p w14:paraId="4D2E7FE9" w14:textId="77777777" w:rsidR="00852466" w:rsidRDefault="00852466" w:rsidP="00852466">
      <w:pPr>
        <w:pStyle w:val="ListParagraph"/>
        <w:numPr>
          <w:ilvl w:val="0"/>
          <w:numId w:val="123"/>
        </w:numPr>
        <w:ind w:left="1134" w:hanging="360"/>
        <w:jc w:val="both"/>
        <w:rPr>
          <w:lang w:eastAsia="en-US"/>
        </w:rPr>
      </w:pPr>
      <w:r>
        <w:rPr>
          <w:lang w:eastAsia="en-US"/>
        </w:rPr>
        <w:t>5755X and 9612X (Initial treatment – Initial 3 (recommencement of treatment after a break in biological medicine of more than 5 years)): add new restriction</w:t>
      </w:r>
    </w:p>
    <w:p w14:paraId="0BEDE072" w14:textId="77777777" w:rsidR="00852466" w:rsidRDefault="00852466" w:rsidP="00852466">
      <w:pPr>
        <w:pStyle w:val="ListParagraph"/>
        <w:numPr>
          <w:ilvl w:val="0"/>
          <w:numId w:val="123"/>
        </w:numPr>
        <w:ind w:left="1134" w:hanging="360"/>
        <w:jc w:val="both"/>
        <w:rPr>
          <w:lang w:eastAsia="en-US"/>
        </w:rPr>
      </w:pPr>
      <w:r>
        <w:rPr>
          <w:lang w:eastAsia="en-US"/>
        </w:rPr>
        <w:t>5755X and 9612X (First continuing treatment): remove restrictions, replace restriction and add new restriction</w:t>
      </w:r>
    </w:p>
    <w:p w14:paraId="3FC81DE0" w14:textId="77777777" w:rsidR="00852466" w:rsidRDefault="00852466" w:rsidP="00852466">
      <w:pPr>
        <w:pStyle w:val="ListParagraph"/>
        <w:numPr>
          <w:ilvl w:val="0"/>
          <w:numId w:val="123"/>
        </w:numPr>
        <w:ind w:left="1134" w:hanging="360"/>
        <w:jc w:val="both"/>
        <w:rPr>
          <w:lang w:eastAsia="en-US"/>
        </w:rPr>
      </w:pPr>
      <w:r>
        <w:rPr>
          <w:lang w:eastAsia="en-US"/>
        </w:rPr>
        <w:t>11445J, 11448M, 11449N and 11450P (subsequent continuing treatment): remove restrictions, replace restriction and add new restriction.</w:t>
      </w:r>
    </w:p>
    <w:p w14:paraId="7B2EF782" w14:textId="77777777" w:rsidR="00852466" w:rsidRPr="00BC1096" w:rsidRDefault="00852466" w:rsidP="00852466">
      <w:pPr>
        <w:pStyle w:val="4-SubsectionHeading"/>
      </w:pPr>
      <w:r>
        <w:t>Severe active juvenile idiopathic arthritis (change to existing listing)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active juvenile idiopathic arthritis (change to existing listing)"/>
      </w:tblPr>
      <w:tblGrid>
        <w:gridCol w:w="3938"/>
        <w:gridCol w:w="811"/>
        <w:gridCol w:w="812"/>
        <w:gridCol w:w="812"/>
        <w:gridCol w:w="812"/>
        <w:gridCol w:w="1853"/>
      </w:tblGrid>
      <w:tr w:rsidR="00852466" w:rsidRPr="000F1D45" w14:paraId="6C5C401B" w14:textId="77777777" w:rsidTr="00116AFD">
        <w:trPr>
          <w:trHeight w:val="20"/>
        </w:trPr>
        <w:tc>
          <w:tcPr>
            <w:tcW w:w="3938" w:type="dxa"/>
            <w:vAlign w:val="center"/>
          </w:tcPr>
          <w:p w14:paraId="53DA2DF6" w14:textId="77777777" w:rsidR="00852466" w:rsidRPr="000F1D45" w:rsidRDefault="00852466">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74221A65"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11" w:type="dxa"/>
            <w:vAlign w:val="center"/>
          </w:tcPr>
          <w:p w14:paraId="5B5B8156"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812" w:type="dxa"/>
            <w:vAlign w:val="center"/>
          </w:tcPr>
          <w:p w14:paraId="607DA8C4"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2" w:type="dxa"/>
            <w:vAlign w:val="center"/>
          </w:tcPr>
          <w:p w14:paraId="4FC04FF4"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1FC81AEF"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5ABE0DC0"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53" w:type="dxa"/>
            <w:vAlign w:val="center"/>
          </w:tcPr>
          <w:p w14:paraId="4822712A" w14:textId="77777777" w:rsidR="00852466" w:rsidRPr="000F1D45" w:rsidRDefault="00852466">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852466" w:rsidRPr="000F1D45" w14:paraId="664AB121" w14:textId="77777777" w:rsidTr="00116AFD">
        <w:trPr>
          <w:trHeight w:val="20"/>
        </w:trPr>
        <w:tc>
          <w:tcPr>
            <w:tcW w:w="9038" w:type="dxa"/>
            <w:gridSpan w:val="6"/>
            <w:vAlign w:val="center"/>
          </w:tcPr>
          <w:p w14:paraId="2A144292"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852466" w:rsidRPr="000F1D45" w14:paraId="1C52ACB6" w14:textId="77777777" w:rsidTr="00116AFD">
        <w:trPr>
          <w:trHeight w:val="20"/>
        </w:trPr>
        <w:tc>
          <w:tcPr>
            <w:tcW w:w="3938" w:type="dxa"/>
            <w:vAlign w:val="center"/>
          </w:tcPr>
          <w:p w14:paraId="5A7A33E0"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1D25000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12406Y</w:t>
            </w:r>
          </w:p>
        </w:tc>
        <w:tc>
          <w:tcPr>
            <w:tcW w:w="812" w:type="dxa"/>
            <w:vAlign w:val="center"/>
          </w:tcPr>
          <w:p w14:paraId="2F7DE1DC"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0B4E70F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B4F93FB"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16ECFA80"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06C38DCF" w14:textId="77777777" w:rsidTr="00116AFD">
        <w:trPr>
          <w:trHeight w:val="20"/>
        </w:trPr>
        <w:tc>
          <w:tcPr>
            <w:tcW w:w="3938" w:type="dxa"/>
            <w:vAlign w:val="center"/>
          </w:tcPr>
          <w:p w14:paraId="2AB87C0A"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027B4EC6"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12443X</w:t>
            </w:r>
          </w:p>
        </w:tc>
        <w:tc>
          <w:tcPr>
            <w:tcW w:w="812" w:type="dxa"/>
            <w:vAlign w:val="center"/>
          </w:tcPr>
          <w:p w14:paraId="4F89ABD0"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6F913902"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144E888"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3B9964FA"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117225E" w14:textId="77777777" w:rsidTr="00116AFD">
        <w:trPr>
          <w:trHeight w:val="20"/>
        </w:trPr>
        <w:tc>
          <w:tcPr>
            <w:tcW w:w="3938" w:type="dxa"/>
            <w:vAlign w:val="center"/>
          </w:tcPr>
          <w:p w14:paraId="17240083"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5B3471E9"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12335F</w:t>
            </w:r>
          </w:p>
        </w:tc>
        <w:tc>
          <w:tcPr>
            <w:tcW w:w="812" w:type="dxa"/>
            <w:vAlign w:val="center"/>
          </w:tcPr>
          <w:p w14:paraId="0602ED10"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394D242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F6FCAFF"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5ECB7DA3"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3F9FD0B9" w14:textId="77777777" w:rsidR="00852466" w:rsidRPr="000F1D45" w:rsidRDefault="00852466">
            <w:pPr>
              <w:keepLines/>
              <w:rPr>
                <w:rFonts w:ascii="Arial Narrow" w:hAnsi="Arial Narrow"/>
                <w:sz w:val="20"/>
                <w:szCs w:val="20"/>
                <w14:ligatures w14:val="standardContextual"/>
              </w:rPr>
            </w:pPr>
          </w:p>
        </w:tc>
      </w:tr>
      <w:tr w:rsidR="00852466" w:rsidRPr="000F1D45" w14:paraId="49C939C0" w14:textId="77777777" w:rsidTr="00116AFD">
        <w:trPr>
          <w:trHeight w:val="20"/>
        </w:trPr>
        <w:tc>
          <w:tcPr>
            <w:tcW w:w="3938" w:type="dxa"/>
            <w:vAlign w:val="center"/>
          </w:tcPr>
          <w:p w14:paraId="1F8E7633"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3759345B"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12444Y</w:t>
            </w:r>
          </w:p>
        </w:tc>
        <w:tc>
          <w:tcPr>
            <w:tcW w:w="812" w:type="dxa"/>
            <w:vAlign w:val="center"/>
          </w:tcPr>
          <w:p w14:paraId="743A58E1"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7D709710"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63602D3B"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7BB42A57"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60C2DC2C" w14:textId="77777777" w:rsidTr="00116AFD">
        <w:trPr>
          <w:trHeight w:val="20"/>
        </w:trPr>
        <w:tc>
          <w:tcPr>
            <w:tcW w:w="3938" w:type="dxa"/>
            <w:vAlign w:val="center"/>
          </w:tcPr>
          <w:p w14:paraId="47B95530"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2C05F57F"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12431G</w:t>
            </w:r>
          </w:p>
        </w:tc>
        <w:tc>
          <w:tcPr>
            <w:tcW w:w="812" w:type="dxa"/>
            <w:vAlign w:val="center"/>
          </w:tcPr>
          <w:p w14:paraId="7BA7C18E"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6DB95C2B"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7B11D9ED"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76E2401F"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58B9B6DB" w14:textId="77777777" w:rsidTr="00116AFD">
        <w:trPr>
          <w:trHeight w:val="20"/>
        </w:trPr>
        <w:tc>
          <w:tcPr>
            <w:tcW w:w="3938" w:type="dxa"/>
            <w:vAlign w:val="center"/>
          </w:tcPr>
          <w:p w14:paraId="2E856804"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4EF427BC"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12396K</w:t>
            </w:r>
          </w:p>
        </w:tc>
        <w:tc>
          <w:tcPr>
            <w:tcW w:w="812" w:type="dxa"/>
            <w:vAlign w:val="center"/>
          </w:tcPr>
          <w:p w14:paraId="07A53FAD"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6988844C"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5483725"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2E78509F"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53C9E2A1" w14:textId="77777777" w:rsidTr="00116AFD">
        <w:tblPrEx>
          <w:tblCellMar>
            <w:top w:w="15" w:type="dxa"/>
            <w:bottom w:w="15" w:type="dxa"/>
          </w:tblCellMar>
          <w:tblLook w:val="04A0" w:firstRow="1" w:lastRow="0" w:firstColumn="1" w:lastColumn="0" w:noHBand="0" w:noVBand="1"/>
        </w:tblPrEx>
        <w:trPr>
          <w:trHeight w:val="20"/>
        </w:trPr>
        <w:tc>
          <w:tcPr>
            <w:tcW w:w="9038" w:type="dxa"/>
            <w:gridSpan w:val="6"/>
            <w:tcBorders>
              <w:top w:val="single" w:sz="4" w:space="0" w:color="auto"/>
              <w:left w:val="single" w:sz="4" w:space="0" w:color="auto"/>
              <w:right w:val="single" w:sz="4" w:space="0" w:color="auto"/>
            </w:tcBorders>
            <w:vAlign w:val="center"/>
          </w:tcPr>
          <w:p w14:paraId="67A8DA41" w14:textId="77777777" w:rsidR="00852466" w:rsidRPr="000F1D45" w:rsidRDefault="00852466">
            <w:pPr>
              <w:rPr>
                <w:rFonts w:ascii="Arial Narrow" w:hAnsi="Arial Narrow"/>
                <w:sz w:val="20"/>
                <w:szCs w:val="20"/>
                <w14:ligatures w14:val="standardContextual"/>
              </w:rPr>
            </w:pPr>
          </w:p>
        </w:tc>
      </w:tr>
      <w:tr w:rsidR="00852466" w:rsidRPr="000F1D45" w14:paraId="66F55836"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3080D5D"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852466" w:rsidRPr="000F1D45" w14:paraId="33BA3563"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D460EFF"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312CE4A6"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99EEE69" w14:textId="77777777" w:rsidR="00852466" w:rsidRPr="000F1D45" w:rsidRDefault="00852466">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Authority Required (telephone/online PBS Authorities system)</w:t>
            </w:r>
          </w:p>
        </w:tc>
      </w:tr>
      <w:tr w:rsidR="00852466" w:rsidRPr="000F1D45" w14:paraId="6AA8D922"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24C781E" w14:textId="77777777" w:rsidR="00852466" w:rsidRPr="000F1D45" w:rsidRDefault="00852466">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6B93CEB5"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A9EDD11"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3353E2D7"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06DE76C"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1 (new patient)</w:t>
            </w:r>
          </w:p>
        </w:tc>
      </w:tr>
      <w:tr w:rsidR="00852466" w:rsidRPr="000F1D45" w14:paraId="0698C957" w14:textId="77777777" w:rsidTr="00116AFD">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34322C52" w14:textId="77777777" w:rsidR="00852466" w:rsidRDefault="00852466">
            <w:pPr>
              <w:keepLines/>
              <w:jc w:val="left"/>
              <w:rPr>
                <w:rFonts w:ascii="Arial Narrow" w:hAnsi="Arial Narrow"/>
                <w:b/>
                <w:bCs/>
                <w:sz w:val="20"/>
                <w:szCs w:val="20"/>
                <w14:ligatures w14:val="standardContextual"/>
              </w:rPr>
            </w:pPr>
          </w:p>
          <w:p w14:paraId="03DB13F1" w14:textId="77777777" w:rsidR="00852466" w:rsidRPr="000F1D45" w:rsidRDefault="00852466">
            <w:pPr>
              <w:keepLines/>
              <w:jc w:val="left"/>
              <w:rPr>
                <w:rFonts w:ascii="Arial Narrow" w:hAnsi="Arial Narrow"/>
                <w:b/>
                <w:bCs/>
                <w:sz w:val="20"/>
                <w:szCs w:val="20"/>
                <w14:ligatures w14:val="standardContextual"/>
              </w:rPr>
            </w:pPr>
          </w:p>
        </w:tc>
      </w:tr>
      <w:tr w:rsidR="00852466" w:rsidRPr="000F1D45" w14:paraId="355CC21D"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E70B858"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1C8FB3A7"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28FAA93"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259F149C"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FEBD6DF"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852466" w:rsidRPr="000F1D45" w14:paraId="3E9EC420"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2E67837"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2C72BB21"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BD6D9E9"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30235424"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881A1A7"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2 (change or recommencement of treatment after a break in biological medicine of less than 12 months)</w:t>
            </w:r>
          </w:p>
        </w:tc>
      </w:tr>
      <w:tr w:rsidR="00852466" w:rsidRPr="000F1D45" w14:paraId="75CE75CA" w14:textId="77777777" w:rsidTr="00116AFD">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565FC610" w14:textId="77777777" w:rsidR="00852466" w:rsidRDefault="00852466">
            <w:pPr>
              <w:keepLines/>
              <w:jc w:val="left"/>
              <w:rPr>
                <w:rFonts w:ascii="Arial Narrow" w:hAnsi="Arial Narrow"/>
                <w:b/>
                <w:bCs/>
                <w:sz w:val="20"/>
                <w:szCs w:val="20"/>
                <w14:ligatures w14:val="standardContextual"/>
              </w:rPr>
            </w:pPr>
          </w:p>
          <w:p w14:paraId="333E3D9D" w14:textId="77777777" w:rsidR="00852466" w:rsidRPr="000F1D45" w:rsidRDefault="00852466">
            <w:pPr>
              <w:keepLines/>
              <w:jc w:val="left"/>
              <w:rPr>
                <w:rFonts w:ascii="Arial Narrow" w:hAnsi="Arial Narrow"/>
                <w:b/>
                <w:bCs/>
                <w:sz w:val="20"/>
                <w:szCs w:val="20"/>
                <w14:ligatures w14:val="standardContextual"/>
              </w:rPr>
            </w:pPr>
          </w:p>
        </w:tc>
      </w:tr>
      <w:tr w:rsidR="00852466" w:rsidRPr="000F1D45" w14:paraId="1D325334"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C89CAB6"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7F975B76"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EAEB660"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51ED0477"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C9CAEDB"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852466" w:rsidRPr="000F1D45" w14:paraId="4D1048A9"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CD11B48"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627E65DD"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4C05B62"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68AA04F0"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616B005" w14:textId="77777777" w:rsidR="00852466"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4F6B7666" w14:textId="77777777" w:rsidR="00852466" w:rsidRPr="000F1D45" w:rsidRDefault="00852466">
            <w:pPr>
              <w:keepLines/>
              <w:jc w:val="left"/>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treatment - Initial 3 (recommencement of treatment after a break in biological medicine of more than 12 months)</w:t>
            </w:r>
          </w:p>
        </w:tc>
      </w:tr>
      <w:tr w:rsidR="00852466" w:rsidRPr="000F1D45" w14:paraId="5D0A1305" w14:textId="77777777" w:rsidTr="00116AFD">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5D8C5BE1" w14:textId="77777777" w:rsidR="00852466" w:rsidRDefault="00852466">
            <w:pPr>
              <w:rPr>
                <w:rFonts w:ascii="Arial Narrow" w:hAnsi="Arial Narrow"/>
                <w:b/>
                <w:bCs/>
                <w:sz w:val="20"/>
                <w:szCs w:val="20"/>
                <w14:ligatures w14:val="standardContextual"/>
              </w:rPr>
            </w:pPr>
          </w:p>
          <w:p w14:paraId="6CADA7C5" w14:textId="77777777" w:rsidR="00852466" w:rsidRPr="000F1D45" w:rsidRDefault="00852466">
            <w:pPr>
              <w:rPr>
                <w:rFonts w:ascii="Arial Narrow" w:hAnsi="Arial Narrow"/>
                <w:b/>
                <w:bCs/>
                <w:sz w:val="20"/>
                <w:szCs w:val="20"/>
                <w14:ligatures w14:val="standardContextual"/>
              </w:rPr>
            </w:pPr>
          </w:p>
        </w:tc>
      </w:tr>
      <w:tr w:rsidR="00852466" w:rsidRPr="000F1D45" w14:paraId="21A4D1B3"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6889ABA"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852466" w:rsidRPr="000F1D45" w14:paraId="61900571"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B0D8ABB"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0D6963FB"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D2DB443" w14:textId="77777777" w:rsidR="00852466" w:rsidRPr="000F1D45" w:rsidRDefault="00852466">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852466" w:rsidRPr="000F1D45" w14:paraId="282B642C"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1F2D4E8E" w14:textId="77777777" w:rsidR="00852466" w:rsidRPr="000F1D45" w:rsidRDefault="00852466">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7DC37C8D"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3AEA382" w14:textId="77777777" w:rsidR="00852466" w:rsidRPr="000F1D45" w:rsidRDefault="00852466">
            <w:pPr>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23BD45D5" w14:textId="77777777" w:rsidTr="00116AFD">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F8E349E" w14:textId="77777777" w:rsidR="00852466" w:rsidRDefault="00852466">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1D8573EE" w14:textId="77777777" w:rsidR="00852466" w:rsidRPr="000F1D45" w:rsidRDefault="00852466">
            <w:pPr>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1 (new patient) or Initial 2 (change or recommencement of treatment after a break in biological medicine of less than 12 months) or Initial 3 (recommencement of treatment after a break in biological medicine of more than 12 months) - balance of supply</w:t>
            </w:r>
          </w:p>
        </w:tc>
      </w:tr>
    </w:tbl>
    <w:p w14:paraId="2F2CC416" w14:textId="77777777" w:rsidR="00852466" w:rsidRDefault="00852466" w:rsidP="00852466">
      <w:pPr>
        <w:spacing w:before="120"/>
        <w:rPr>
          <w:rFonts w:asciiTheme="minorHAnsi" w:hAnsiTheme="minorHAnsi"/>
          <w:b/>
          <w:i/>
          <w:iCs/>
          <w:snapToGrid w:val="0"/>
          <w:lang w:val="en-G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active juvenile idiopathic arthritis (change to existing listing)"/>
      </w:tblPr>
      <w:tblGrid>
        <w:gridCol w:w="3939"/>
        <w:gridCol w:w="876"/>
        <w:gridCol w:w="747"/>
        <w:gridCol w:w="811"/>
        <w:gridCol w:w="812"/>
        <w:gridCol w:w="1831"/>
        <w:gridCol w:w="7"/>
      </w:tblGrid>
      <w:tr w:rsidR="00852466" w:rsidRPr="000F1D45" w14:paraId="46D4E2F8" w14:textId="77777777" w:rsidTr="00116AFD">
        <w:trPr>
          <w:gridAfter w:val="1"/>
          <w:wAfter w:w="7" w:type="dxa"/>
          <w:trHeight w:val="20"/>
        </w:trPr>
        <w:tc>
          <w:tcPr>
            <w:tcW w:w="3940" w:type="dxa"/>
            <w:vAlign w:val="center"/>
          </w:tcPr>
          <w:p w14:paraId="636B5350" w14:textId="77777777" w:rsidR="00852466" w:rsidRPr="000F1D45" w:rsidRDefault="00852466">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2767FD4E"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76" w:type="dxa"/>
            <w:vAlign w:val="center"/>
          </w:tcPr>
          <w:p w14:paraId="5B6D59A0"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747" w:type="dxa"/>
            <w:vAlign w:val="center"/>
          </w:tcPr>
          <w:p w14:paraId="0D142320"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1" w:type="dxa"/>
            <w:vAlign w:val="center"/>
          </w:tcPr>
          <w:p w14:paraId="5894277D"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46BBCE56"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2DE7909C" w14:textId="77777777" w:rsidR="00852466" w:rsidRPr="000F1D45" w:rsidRDefault="00852466">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31" w:type="dxa"/>
            <w:vAlign w:val="center"/>
          </w:tcPr>
          <w:p w14:paraId="27A38292" w14:textId="77777777" w:rsidR="00852466" w:rsidRPr="000F1D45" w:rsidRDefault="00852466">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852466" w:rsidRPr="000F1D45" w14:paraId="50F512AA" w14:textId="77777777" w:rsidTr="00116AFD">
        <w:trPr>
          <w:gridAfter w:val="1"/>
          <w:wAfter w:w="7" w:type="dxa"/>
          <w:trHeight w:val="20"/>
        </w:trPr>
        <w:tc>
          <w:tcPr>
            <w:tcW w:w="9017" w:type="dxa"/>
            <w:gridSpan w:val="6"/>
            <w:vAlign w:val="center"/>
          </w:tcPr>
          <w:p w14:paraId="70142C51"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852466" w:rsidRPr="000F1D45" w14:paraId="78E01939" w14:textId="77777777" w:rsidTr="00116AFD">
        <w:trPr>
          <w:gridAfter w:val="1"/>
          <w:wAfter w:w="7" w:type="dxa"/>
          <w:trHeight w:val="20"/>
        </w:trPr>
        <w:tc>
          <w:tcPr>
            <w:tcW w:w="3940" w:type="dxa"/>
            <w:vAlign w:val="center"/>
          </w:tcPr>
          <w:p w14:paraId="64D9EBAE"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17336FF2"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13292N</w:t>
            </w:r>
          </w:p>
        </w:tc>
        <w:tc>
          <w:tcPr>
            <w:tcW w:w="747" w:type="dxa"/>
            <w:vAlign w:val="center"/>
          </w:tcPr>
          <w:p w14:paraId="2B5A4273"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40B3FDB5"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418F0FA"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5BE19A0F"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030942C" w14:textId="77777777" w:rsidTr="00116AFD">
        <w:trPr>
          <w:gridAfter w:val="1"/>
          <w:wAfter w:w="7" w:type="dxa"/>
          <w:trHeight w:val="20"/>
        </w:trPr>
        <w:tc>
          <w:tcPr>
            <w:tcW w:w="3940" w:type="dxa"/>
            <w:vAlign w:val="center"/>
          </w:tcPr>
          <w:p w14:paraId="48348F80" w14:textId="77777777" w:rsidR="00852466" w:rsidRPr="000F1D45" w:rsidRDefault="00852466">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2371FBA4"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13293P</w:t>
            </w:r>
          </w:p>
        </w:tc>
        <w:tc>
          <w:tcPr>
            <w:tcW w:w="747" w:type="dxa"/>
            <w:vAlign w:val="center"/>
          </w:tcPr>
          <w:p w14:paraId="66CF89C2"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42E4C6BF"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DA95D1C" w14:textId="77777777" w:rsidR="00852466" w:rsidRPr="000F1D45" w:rsidRDefault="00852466">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4565DF33"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239B9AB9" w14:textId="77777777" w:rsidTr="00116AFD">
        <w:trPr>
          <w:gridAfter w:val="1"/>
          <w:wAfter w:w="7" w:type="dxa"/>
          <w:trHeight w:val="20"/>
        </w:trPr>
        <w:tc>
          <w:tcPr>
            <w:tcW w:w="3940" w:type="dxa"/>
            <w:vAlign w:val="center"/>
          </w:tcPr>
          <w:p w14:paraId="12B1445D"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35985850"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13210G</w:t>
            </w:r>
          </w:p>
        </w:tc>
        <w:tc>
          <w:tcPr>
            <w:tcW w:w="747" w:type="dxa"/>
            <w:vAlign w:val="center"/>
          </w:tcPr>
          <w:p w14:paraId="3080B534"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54B451F3"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24B8AAC0"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5B7B4890"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7E45BBE9" w14:textId="77777777" w:rsidTr="00116AFD">
        <w:trPr>
          <w:gridAfter w:val="1"/>
          <w:wAfter w:w="7" w:type="dxa"/>
          <w:trHeight w:val="20"/>
        </w:trPr>
        <w:tc>
          <w:tcPr>
            <w:tcW w:w="3940" w:type="dxa"/>
            <w:vAlign w:val="center"/>
          </w:tcPr>
          <w:p w14:paraId="238B7FF4"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39B877D3"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13229G</w:t>
            </w:r>
          </w:p>
        </w:tc>
        <w:tc>
          <w:tcPr>
            <w:tcW w:w="747" w:type="dxa"/>
            <w:vAlign w:val="center"/>
          </w:tcPr>
          <w:p w14:paraId="74D9BEBA"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6076E70B"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C8A8C67"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7A392B79"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5F780867" w14:textId="77777777" w:rsidTr="00116AFD">
        <w:trPr>
          <w:gridAfter w:val="1"/>
          <w:wAfter w:w="7" w:type="dxa"/>
          <w:trHeight w:val="20"/>
        </w:trPr>
        <w:tc>
          <w:tcPr>
            <w:tcW w:w="3940" w:type="dxa"/>
            <w:vAlign w:val="center"/>
          </w:tcPr>
          <w:p w14:paraId="5446DCB1"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3D8D66AA"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13212J</w:t>
            </w:r>
          </w:p>
        </w:tc>
        <w:tc>
          <w:tcPr>
            <w:tcW w:w="747" w:type="dxa"/>
            <w:vAlign w:val="center"/>
          </w:tcPr>
          <w:p w14:paraId="74A864F7"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7B36566E"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6E9EC028"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5B3EA4A8"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0D3FB10D" w14:textId="77777777" w:rsidR="00852466" w:rsidRPr="000F1D45" w:rsidRDefault="00852466">
            <w:pPr>
              <w:keepNext/>
              <w:jc w:val="left"/>
              <w:rPr>
                <w:rFonts w:ascii="Arial Narrow" w:hAnsi="Arial Narrow"/>
                <w:sz w:val="20"/>
                <w:szCs w:val="20"/>
                <w14:ligatures w14:val="standardContextual"/>
              </w:rPr>
            </w:pPr>
          </w:p>
        </w:tc>
      </w:tr>
      <w:tr w:rsidR="00852466" w:rsidRPr="000F1D45" w14:paraId="71AAE6B2" w14:textId="77777777" w:rsidTr="00116AFD">
        <w:trPr>
          <w:gridAfter w:val="1"/>
          <w:wAfter w:w="7" w:type="dxa"/>
          <w:trHeight w:val="20"/>
        </w:trPr>
        <w:tc>
          <w:tcPr>
            <w:tcW w:w="3940" w:type="dxa"/>
            <w:vAlign w:val="center"/>
          </w:tcPr>
          <w:p w14:paraId="1AE7389A" w14:textId="77777777" w:rsidR="00852466" w:rsidRPr="000F1D45" w:rsidRDefault="00852466">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337335FA"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13228F</w:t>
            </w:r>
          </w:p>
        </w:tc>
        <w:tc>
          <w:tcPr>
            <w:tcW w:w="747" w:type="dxa"/>
            <w:vAlign w:val="center"/>
          </w:tcPr>
          <w:p w14:paraId="65EA7CFA"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6FC975C2"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1EB785BF" w14:textId="77777777" w:rsidR="00852466" w:rsidRPr="000F1D45" w:rsidRDefault="00852466">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0192A404" w14:textId="77777777" w:rsidR="00852466" w:rsidRPr="000F1D45" w:rsidRDefault="00852466">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852466" w:rsidRPr="000F1D45" w14:paraId="5FCEC2EF"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4461322D" w14:textId="77777777" w:rsidR="00852466" w:rsidRPr="000F1D45" w:rsidRDefault="00852466">
            <w:pPr>
              <w:rPr>
                <w:rFonts w:ascii="Arial Narrow" w:hAnsi="Arial Narrow"/>
                <w:sz w:val="20"/>
                <w:szCs w:val="20"/>
                <w14:ligatures w14:val="standardContextual"/>
              </w:rPr>
            </w:pPr>
          </w:p>
        </w:tc>
      </w:tr>
      <w:tr w:rsidR="00852466" w:rsidRPr="000F1D45" w14:paraId="55189778"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A193BD2" w14:textId="77777777" w:rsidR="00852466" w:rsidRPr="000F1D45" w:rsidRDefault="00852466">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852466" w:rsidRPr="000F1D45" w14:paraId="288A9194"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B77A891" w14:textId="77777777" w:rsidR="00852466" w:rsidRPr="000F1D45" w:rsidRDefault="00852466">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852466" w:rsidRPr="000F1D45" w14:paraId="768A807A" w14:textId="77777777" w:rsidTr="00116AFD">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6FF9881" w14:textId="77777777" w:rsidR="00852466" w:rsidRPr="000F1D45" w:rsidRDefault="00852466">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(Streamlined) </w:t>
            </w:r>
          </w:p>
        </w:tc>
      </w:tr>
      <w:tr w:rsidR="00852466" w:rsidRPr="000F1D45" w14:paraId="693C5EBD"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A6FAC93" w14:textId="77777777" w:rsidR="00852466" w:rsidRPr="000F1D45" w:rsidRDefault="00852466">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852466" w:rsidRPr="000F1D45" w14:paraId="6BD2CE5D"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C0B629C"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852466" w:rsidRPr="000F1D45" w14:paraId="6F7133B1" w14:textId="77777777" w:rsidTr="00116AFD">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143C1DF" w14:textId="77777777" w:rsidR="00852466" w:rsidRPr="000F1D45" w:rsidRDefault="00852466">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Continuing treatment</w:t>
            </w:r>
          </w:p>
        </w:tc>
      </w:tr>
    </w:tbl>
    <w:p w14:paraId="64D90988" w14:textId="77777777" w:rsidR="00852466" w:rsidRDefault="00852466" w:rsidP="00852466">
      <w:pPr>
        <w:pStyle w:val="3-BodyText"/>
        <w:numPr>
          <w:ilvl w:val="1"/>
          <w:numId w:val="2"/>
        </w:numPr>
        <w:spacing w:before="120"/>
        <w:rPr>
          <w:lang w:val="en-GB"/>
        </w:rPr>
      </w:pPr>
      <w:r>
        <w:rPr>
          <w:lang w:val="en-GB"/>
        </w:rPr>
        <w:t>Flow-on changes to Adalicip, Hadlima and Yuflyma that are currently listed under the PBS item codes above.</w:t>
      </w:r>
    </w:p>
    <w:p w14:paraId="754F8689" w14:textId="77777777" w:rsidR="00852466" w:rsidRDefault="00852466" w:rsidP="00852466">
      <w:pPr>
        <w:pStyle w:val="3-BodyText"/>
        <w:numPr>
          <w:ilvl w:val="1"/>
          <w:numId w:val="2"/>
        </w:numPr>
        <w:spacing w:before="120"/>
        <w:rPr>
          <w:lang w:val="en-GB"/>
        </w:rPr>
      </w:pPr>
      <w:r>
        <w:rPr>
          <w:lang w:val="en-GB"/>
        </w:rPr>
        <w:t>Flow-on changes to etanercept 25 mg injection [4 vials] (&amp;) inert substance diluent [ 4 x 1 mL syringes], 1:</w:t>
      </w:r>
    </w:p>
    <w:p w14:paraId="06E937B3" w14:textId="77777777" w:rsidR="00852466" w:rsidRDefault="00852466" w:rsidP="00852466">
      <w:pPr>
        <w:pStyle w:val="3Bodytext"/>
        <w:numPr>
          <w:ilvl w:val="0"/>
          <w:numId w:val="123"/>
        </w:numPr>
        <w:spacing w:before="120"/>
        <w:ind w:left="1440" w:hanging="360"/>
        <w:jc w:val="both"/>
        <w:rPr>
          <w:lang w:val="en-GB"/>
        </w:rPr>
      </w:pPr>
      <w:r>
        <w:rPr>
          <w:lang w:val="en-GB"/>
        </w:rPr>
        <w:t>5734T, 6367D (Initial treatment – Initial 1 (new patient)): change restrictions</w:t>
      </w:r>
    </w:p>
    <w:p w14:paraId="3C0A804E" w14:textId="77777777" w:rsidR="00852466" w:rsidRDefault="00852466" w:rsidP="00852466">
      <w:pPr>
        <w:pStyle w:val="3Bodytext"/>
        <w:numPr>
          <w:ilvl w:val="0"/>
          <w:numId w:val="123"/>
        </w:numPr>
        <w:spacing w:before="120"/>
        <w:ind w:left="1440" w:hanging="360"/>
        <w:jc w:val="both"/>
        <w:rPr>
          <w:lang w:val="en-GB"/>
        </w:rPr>
      </w:pPr>
      <w:r>
        <w:rPr>
          <w:lang w:val="en-GB"/>
        </w:rPr>
        <w:t>5734T, 6367D (Initial treatment – Initial 2 (change or recommencement of treatment after a break in biological medicine of less than 12 months): change restriction</w:t>
      </w:r>
    </w:p>
    <w:p w14:paraId="79E9059A" w14:textId="77777777" w:rsidR="00852466" w:rsidRDefault="00852466" w:rsidP="00852466">
      <w:pPr>
        <w:pStyle w:val="3Bodytext"/>
        <w:numPr>
          <w:ilvl w:val="0"/>
          <w:numId w:val="123"/>
        </w:numPr>
        <w:spacing w:before="120"/>
        <w:ind w:left="1440" w:hanging="360"/>
        <w:jc w:val="both"/>
        <w:rPr>
          <w:lang w:val="en-GB"/>
        </w:rPr>
      </w:pPr>
      <w:r>
        <w:rPr>
          <w:lang w:val="en-GB"/>
        </w:rPr>
        <w:t>5734T, 6367D (Initial treatment – Initial 3 (recommencement of treatment after a break in biological medicine of more than 12 months): change restrictions</w:t>
      </w:r>
    </w:p>
    <w:p w14:paraId="7B88D9E8" w14:textId="77777777" w:rsidR="00852466" w:rsidRDefault="00852466" w:rsidP="00852466">
      <w:pPr>
        <w:pStyle w:val="3Bodytext"/>
        <w:numPr>
          <w:ilvl w:val="0"/>
          <w:numId w:val="123"/>
        </w:numPr>
        <w:spacing w:before="120"/>
        <w:ind w:left="1440" w:hanging="360"/>
        <w:jc w:val="both"/>
        <w:rPr>
          <w:lang w:val="en-GB"/>
        </w:rPr>
      </w:pPr>
      <w:r>
        <w:rPr>
          <w:lang w:val="en-GB"/>
        </w:rPr>
        <w:t>13294Q, 13295R (Continuing treatment): change restriction</w:t>
      </w:r>
    </w:p>
    <w:p w14:paraId="4C1C87F3" w14:textId="77777777" w:rsidR="00852466" w:rsidRDefault="00852466" w:rsidP="00852466">
      <w:pPr>
        <w:pStyle w:val="3-BodyText"/>
        <w:numPr>
          <w:ilvl w:val="1"/>
          <w:numId w:val="2"/>
        </w:numPr>
        <w:spacing w:before="120"/>
        <w:rPr>
          <w:lang w:val="en-GB"/>
        </w:rPr>
      </w:pPr>
      <w:r>
        <w:rPr>
          <w:lang w:val="en-GB"/>
        </w:rPr>
        <w:t>Flow-on changes to etanercept 50 mg/mL injection, 4 x 1 mL pen devices:</w:t>
      </w:r>
    </w:p>
    <w:p w14:paraId="7D985A0D" w14:textId="77777777" w:rsidR="00852466" w:rsidRPr="00BC1096" w:rsidRDefault="00852466" w:rsidP="00852466">
      <w:pPr>
        <w:pStyle w:val="3Bodytext"/>
        <w:numPr>
          <w:ilvl w:val="0"/>
          <w:numId w:val="123"/>
        </w:numPr>
        <w:spacing w:before="120"/>
        <w:ind w:left="1440" w:hanging="360"/>
        <w:jc w:val="both"/>
        <w:rPr>
          <w:lang w:val="en-GB"/>
        </w:rPr>
      </w:pPr>
      <w:r>
        <w:rPr>
          <w:lang w:val="en-GB"/>
        </w:rPr>
        <w:t>5735W, 9641K (Initial treatment – Initial 1 (new patient)): change restrictions</w:t>
      </w:r>
    </w:p>
    <w:p w14:paraId="58C3B0B0" w14:textId="77777777" w:rsidR="00852466" w:rsidRPr="00BC1096" w:rsidRDefault="00852466" w:rsidP="00852466">
      <w:pPr>
        <w:pStyle w:val="3Bodytext"/>
        <w:numPr>
          <w:ilvl w:val="0"/>
          <w:numId w:val="123"/>
        </w:numPr>
        <w:spacing w:before="120"/>
        <w:ind w:left="1440" w:hanging="360"/>
        <w:jc w:val="both"/>
        <w:rPr>
          <w:lang w:val="en-GB"/>
        </w:rPr>
      </w:pPr>
      <w:r>
        <w:rPr>
          <w:lang w:val="en-GB"/>
        </w:rPr>
        <w:t>5735W, 9641K (Initial treatment – Initial 2 (change or recommencement of treatment after a break in biological medicine of less than 12 months): change restriction</w:t>
      </w:r>
    </w:p>
    <w:p w14:paraId="665E3577" w14:textId="77777777" w:rsidR="00852466" w:rsidRPr="00BC1096" w:rsidRDefault="00852466" w:rsidP="00852466">
      <w:pPr>
        <w:pStyle w:val="3Bodytext"/>
        <w:numPr>
          <w:ilvl w:val="0"/>
          <w:numId w:val="123"/>
        </w:numPr>
        <w:spacing w:before="120"/>
        <w:ind w:left="1440" w:hanging="360"/>
        <w:jc w:val="both"/>
        <w:rPr>
          <w:lang w:val="en-GB"/>
        </w:rPr>
      </w:pPr>
      <w:r>
        <w:rPr>
          <w:lang w:val="en-GB"/>
        </w:rPr>
        <w:t>5735W, 9641K (Initial treatment – Initial 3 (recommencement of treatment after a break in biological medicine of more than 12 months): change restrictions</w:t>
      </w:r>
    </w:p>
    <w:p w14:paraId="4735F4CA" w14:textId="77777777" w:rsidR="00852466" w:rsidRDefault="00852466" w:rsidP="00852466">
      <w:pPr>
        <w:pStyle w:val="3Bodytext"/>
        <w:numPr>
          <w:ilvl w:val="0"/>
          <w:numId w:val="123"/>
        </w:numPr>
        <w:spacing w:before="120"/>
        <w:ind w:left="1440" w:hanging="360"/>
        <w:jc w:val="both"/>
        <w:rPr>
          <w:lang w:val="en-GB"/>
        </w:rPr>
      </w:pPr>
      <w:r>
        <w:rPr>
          <w:lang w:val="en-GB"/>
        </w:rPr>
        <w:t>13119B, 13326J (Continuing treatment):</w:t>
      </w:r>
      <w:r w:rsidRPr="00AF57FA">
        <w:rPr>
          <w:lang w:val="en-GB"/>
        </w:rPr>
        <w:t xml:space="preserve"> </w:t>
      </w:r>
      <w:r>
        <w:rPr>
          <w:lang w:val="en-GB"/>
        </w:rPr>
        <w:t>change restriction</w:t>
      </w:r>
    </w:p>
    <w:p w14:paraId="7BFCCC0F" w14:textId="77777777" w:rsidR="00852466" w:rsidRDefault="00852466" w:rsidP="00852466">
      <w:pPr>
        <w:pStyle w:val="3-BodyText"/>
        <w:numPr>
          <w:ilvl w:val="1"/>
          <w:numId w:val="2"/>
        </w:numPr>
        <w:spacing w:before="120"/>
        <w:rPr>
          <w:lang w:val="en-GB"/>
        </w:rPr>
      </w:pPr>
      <w:r>
        <w:rPr>
          <w:lang w:val="en-GB"/>
        </w:rPr>
        <w:t>Flow-on changes to etanercept 50 mg/mL injection, 4 x 1 mL syringes:</w:t>
      </w:r>
    </w:p>
    <w:p w14:paraId="2C2D641F" w14:textId="77777777" w:rsidR="00852466" w:rsidRPr="00BC1096" w:rsidRDefault="00852466" w:rsidP="00852466">
      <w:pPr>
        <w:pStyle w:val="3Bodytext"/>
        <w:numPr>
          <w:ilvl w:val="0"/>
          <w:numId w:val="123"/>
        </w:numPr>
        <w:spacing w:before="120"/>
        <w:ind w:left="1440" w:hanging="360"/>
        <w:jc w:val="both"/>
        <w:rPr>
          <w:lang w:val="en-GB"/>
        </w:rPr>
      </w:pPr>
      <w:r>
        <w:rPr>
          <w:lang w:val="en-GB"/>
        </w:rPr>
        <w:t>5733R, 9615C (Initial treatment – Initial 1 (new patient)): change restrictions</w:t>
      </w:r>
    </w:p>
    <w:p w14:paraId="6466B8B9" w14:textId="77777777" w:rsidR="00852466" w:rsidRPr="00BC1096" w:rsidRDefault="00852466" w:rsidP="00852466">
      <w:pPr>
        <w:pStyle w:val="3Bodytext"/>
        <w:numPr>
          <w:ilvl w:val="0"/>
          <w:numId w:val="123"/>
        </w:numPr>
        <w:spacing w:before="120"/>
        <w:ind w:left="1440" w:hanging="360"/>
        <w:jc w:val="both"/>
        <w:rPr>
          <w:lang w:val="en-GB"/>
        </w:rPr>
      </w:pPr>
      <w:r>
        <w:rPr>
          <w:lang w:val="en-GB"/>
        </w:rPr>
        <w:t>5733R, 9615C (Initial treatment – Initial 2 (change or recommencement of treatment after a break in biological medicine of less than 12 months):</w:t>
      </w:r>
      <w:r w:rsidRPr="00AF57FA">
        <w:rPr>
          <w:lang w:val="en-GB"/>
        </w:rPr>
        <w:t xml:space="preserve"> </w:t>
      </w:r>
      <w:r>
        <w:rPr>
          <w:lang w:val="en-GB"/>
        </w:rPr>
        <w:t>change restriction</w:t>
      </w:r>
    </w:p>
    <w:p w14:paraId="53C98BA4" w14:textId="77777777" w:rsidR="00852466" w:rsidRPr="00BC1096" w:rsidRDefault="00852466" w:rsidP="00852466">
      <w:pPr>
        <w:pStyle w:val="3Bodytext"/>
        <w:numPr>
          <w:ilvl w:val="0"/>
          <w:numId w:val="123"/>
        </w:numPr>
        <w:spacing w:before="120"/>
        <w:ind w:left="1440" w:hanging="360"/>
        <w:jc w:val="both"/>
        <w:rPr>
          <w:lang w:val="en-GB"/>
        </w:rPr>
      </w:pPr>
      <w:r>
        <w:rPr>
          <w:lang w:val="en-GB"/>
        </w:rPr>
        <w:t>5733R, 9615C (Initial treatment – Initial 3 (recommencement of treatment after a break in biological medicine of more than 12 months):</w:t>
      </w:r>
      <w:r w:rsidRPr="00AF57FA">
        <w:rPr>
          <w:lang w:val="en-GB"/>
        </w:rPr>
        <w:t xml:space="preserve"> </w:t>
      </w:r>
      <w:r>
        <w:rPr>
          <w:lang w:val="en-GB"/>
        </w:rPr>
        <w:t>change restrictions</w:t>
      </w:r>
    </w:p>
    <w:p w14:paraId="75FEE4C6" w14:textId="77777777" w:rsidR="00852466" w:rsidRDefault="00852466" w:rsidP="00852466">
      <w:pPr>
        <w:pStyle w:val="3Bodytext"/>
        <w:numPr>
          <w:ilvl w:val="0"/>
          <w:numId w:val="123"/>
        </w:numPr>
        <w:spacing w:before="120"/>
        <w:ind w:left="1440" w:hanging="360"/>
        <w:jc w:val="both"/>
        <w:rPr>
          <w:lang w:val="en-GB"/>
        </w:rPr>
      </w:pPr>
      <w:r>
        <w:rPr>
          <w:lang w:val="en-GB"/>
        </w:rPr>
        <w:t>13308K, 13332Q (Continuing treatment): change restriction</w:t>
      </w:r>
    </w:p>
    <w:p w14:paraId="4E9B63BC" w14:textId="77777777" w:rsidR="00852466" w:rsidRDefault="00852466" w:rsidP="00852466">
      <w:pPr>
        <w:pStyle w:val="3-BodyText"/>
        <w:numPr>
          <w:ilvl w:val="1"/>
          <w:numId w:val="2"/>
        </w:numPr>
        <w:spacing w:before="120"/>
        <w:rPr>
          <w:lang w:val="en-GB"/>
        </w:rPr>
      </w:pPr>
      <w:r>
        <w:rPr>
          <w:lang w:val="en-GB"/>
        </w:rPr>
        <w:t>Flow-on changes to 80 mg/4 mL injection, 4 mL vial:</w:t>
      </w:r>
    </w:p>
    <w:p w14:paraId="3A4DFB0A" w14:textId="77777777" w:rsidR="00852466" w:rsidRPr="00BC1096" w:rsidRDefault="00852466" w:rsidP="00852466">
      <w:pPr>
        <w:pStyle w:val="3Bodytext"/>
        <w:numPr>
          <w:ilvl w:val="0"/>
          <w:numId w:val="123"/>
        </w:numPr>
        <w:spacing w:before="120"/>
        <w:ind w:left="1440" w:hanging="360"/>
        <w:jc w:val="both"/>
        <w:rPr>
          <w:lang w:val="en-GB"/>
        </w:rPr>
      </w:pPr>
      <w:r>
        <w:rPr>
          <w:lang w:val="en-GB"/>
        </w:rPr>
        <w:t>1419Q, 1476Q, 10068X, 10077J (Initial treatment – Initial 1 (new patient)):</w:t>
      </w:r>
      <w:r w:rsidRPr="00AF57FA">
        <w:rPr>
          <w:lang w:val="en-GB"/>
        </w:rPr>
        <w:t xml:space="preserve"> </w:t>
      </w:r>
      <w:r>
        <w:rPr>
          <w:lang w:val="en-GB"/>
        </w:rPr>
        <w:t>change restriction</w:t>
      </w:r>
    </w:p>
    <w:p w14:paraId="5CA47D02" w14:textId="77777777" w:rsidR="00852466" w:rsidRPr="00BC1096" w:rsidRDefault="00852466" w:rsidP="00852466">
      <w:pPr>
        <w:pStyle w:val="3Bodytext"/>
        <w:numPr>
          <w:ilvl w:val="0"/>
          <w:numId w:val="123"/>
        </w:numPr>
        <w:spacing w:before="120"/>
        <w:ind w:left="1440" w:hanging="360"/>
        <w:jc w:val="both"/>
        <w:rPr>
          <w:lang w:val="en-GB"/>
        </w:rPr>
      </w:pPr>
      <w:r>
        <w:rPr>
          <w:lang w:val="en-GB"/>
        </w:rPr>
        <w:t>1419Q, 1476Q, 10068X, 10077J (Initial treatment – Initial 2 (retrial or recommencement of treatment after a break of less than 12 months):</w:t>
      </w:r>
      <w:r w:rsidRPr="00CF05CE">
        <w:rPr>
          <w:lang w:val="en-GB"/>
        </w:rPr>
        <w:t xml:space="preserve"> </w:t>
      </w:r>
      <w:r>
        <w:rPr>
          <w:lang w:val="en-GB"/>
        </w:rPr>
        <w:t>change restriction</w:t>
      </w:r>
    </w:p>
    <w:p w14:paraId="2D5C8F6B" w14:textId="77777777" w:rsidR="00852466" w:rsidRPr="00BC1096" w:rsidRDefault="00852466" w:rsidP="00852466">
      <w:pPr>
        <w:pStyle w:val="3Bodytext"/>
        <w:numPr>
          <w:ilvl w:val="0"/>
          <w:numId w:val="123"/>
        </w:numPr>
        <w:spacing w:before="120"/>
        <w:ind w:left="1440" w:hanging="360"/>
        <w:jc w:val="both"/>
        <w:rPr>
          <w:lang w:val="en-GB"/>
        </w:rPr>
      </w:pPr>
      <w:r>
        <w:rPr>
          <w:lang w:val="en-GB"/>
        </w:rPr>
        <w:t>1419Q, 1476Q, 10068X, 10077J (Initial treatment – Initial 3 (recommencement of treatment after a break in biological medicine of more than 12 months): change restriction</w:t>
      </w:r>
    </w:p>
    <w:p w14:paraId="52F6BF9B" w14:textId="77777777" w:rsidR="00852466" w:rsidRPr="00BC1096" w:rsidRDefault="00852466" w:rsidP="00852466">
      <w:pPr>
        <w:pStyle w:val="3Bodytext"/>
        <w:numPr>
          <w:ilvl w:val="0"/>
          <w:numId w:val="123"/>
        </w:numPr>
        <w:spacing w:before="120"/>
        <w:ind w:left="1440" w:hanging="360"/>
        <w:jc w:val="both"/>
        <w:rPr>
          <w:lang w:val="en-GB"/>
        </w:rPr>
      </w:pPr>
      <w:r>
        <w:rPr>
          <w:lang w:val="en-GB"/>
        </w:rPr>
        <w:t>12794J, 12811G (Initial treatment – Initial 4 (Temporary listing – change of treatment from another biological medicine to tocilizumab after resolution of the critical shortage of tocilizumab): change restrictions</w:t>
      </w:r>
    </w:p>
    <w:p w14:paraId="5F217EF0" w14:textId="77777777" w:rsidR="00852466" w:rsidRPr="00BC1096" w:rsidRDefault="00852466" w:rsidP="00852466">
      <w:pPr>
        <w:pStyle w:val="3Bodytext"/>
        <w:numPr>
          <w:ilvl w:val="0"/>
          <w:numId w:val="123"/>
        </w:numPr>
        <w:spacing w:before="120"/>
        <w:ind w:left="1440" w:hanging="360"/>
        <w:jc w:val="both"/>
        <w:rPr>
          <w:lang w:val="en-GB"/>
        </w:rPr>
      </w:pPr>
      <w:r>
        <w:rPr>
          <w:lang w:val="en-GB"/>
        </w:rPr>
        <w:t>13304F, 13315T (Continuing treatment): change restriction</w:t>
      </w:r>
    </w:p>
    <w:p w14:paraId="230FB107" w14:textId="77777777" w:rsidR="00852466" w:rsidRDefault="00852466" w:rsidP="00852466">
      <w:pPr>
        <w:pStyle w:val="3Bodytext"/>
        <w:numPr>
          <w:ilvl w:val="0"/>
          <w:numId w:val="123"/>
        </w:numPr>
        <w:spacing w:before="120"/>
        <w:ind w:left="1440" w:hanging="360"/>
        <w:jc w:val="both"/>
        <w:rPr>
          <w:lang w:val="en-GB"/>
        </w:rPr>
      </w:pPr>
      <w:r>
        <w:rPr>
          <w:lang w:val="en-GB"/>
        </w:rPr>
        <w:t>13324G (Continuing treatment): change restriction</w:t>
      </w:r>
    </w:p>
    <w:p w14:paraId="2C072C57" w14:textId="77777777" w:rsidR="00852466" w:rsidRDefault="00852466" w:rsidP="00852466">
      <w:pPr>
        <w:pStyle w:val="3-BodyText"/>
        <w:numPr>
          <w:ilvl w:val="1"/>
          <w:numId w:val="2"/>
        </w:numPr>
        <w:spacing w:before="120"/>
        <w:rPr>
          <w:lang w:val="en-GB"/>
        </w:rPr>
      </w:pPr>
      <w:r>
        <w:rPr>
          <w:lang w:val="en-GB"/>
        </w:rPr>
        <w:t>Flow-on changes to tocilizumab 200 mg/10 mL injection:</w:t>
      </w:r>
    </w:p>
    <w:p w14:paraId="2A3CD46F" w14:textId="77777777" w:rsidR="00852466" w:rsidRDefault="00852466" w:rsidP="00852466">
      <w:pPr>
        <w:pStyle w:val="3Bodytext"/>
        <w:numPr>
          <w:ilvl w:val="0"/>
          <w:numId w:val="123"/>
        </w:numPr>
        <w:spacing w:before="120"/>
        <w:ind w:left="1440" w:hanging="360"/>
        <w:jc w:val="both"/>
        <w:rPr>
          <w:lang w:val="en-GB"/>
        </w:rPr>
      </w:pPr>
      <w:r>
        <w:rPr>
          <w:lang w:val="en-GB"/>
        </w:rPr>
        <w:t>1423X, 1481Y (Initial treatment – Initial 1 (new patient)): change restriction</w:t>
      </w:r>
    </w:p>
    <w:p w14:paraId="7AAE5D18" w14:textId="77777777" w:rsidR="00852466" w:rsidRPr="00BC1096" w:rsidRDefault="00852466" w:rsidP="00852466">
      <w:pPr>
        <w:pStyle w:val="3Bodytext"/>
        <w:numPr>
          <w:ilvl w:val="0"/>
          <w:numId w:val="123"/>
        </w:numPr>
        <w:spacing w:before="120"/>
        <w:ind w:left="1440" w:hanging="360"/>
        <w:jc w:val="both"/>
        <w:rPr>
          <w:lang w:val="en-GB"/>
        </w:rPr>
      </w:pPr>
      <w:r>
        <w:rPr>
          <w:lang w:val="en-GB"/>
        </w:rPr>
        <w:t>1423X, 1481Y (Initial treatment - Initial 2 (retrial or recommencement of treatment after a break of less than 12 months)): change restriction)</w:t>
      </w:r>
    </w:p>
    <w:p w14:paraId="0E365975" w14:textId="77777777" w:rsidR="00852466" w:rsidRDefault="00852466" w:rsidP="00852466">
      <w:pPr>
        <w:pStyle w:val="3Bodytext"/>
        <w:numPr>
          <w:ilvl w:val="0"/>
          <w:numId w:val="123"/>
        </w:numPr>
        <w:spacing w:before="120"/>
        <w:ind w:left="1440" w:hanging="360"/>
        <w:jc w:val="both"/>
        <w:rPr>
          <w:lang w:val="en-GB"/>
        </w:rPr>
      </w:pPr>
      <w:r>
        <w:rPr>
          <w:lang w:val="en-GB"/>
        </w:rPr>
        <w:t>1423X, 1481Y (Initial treatment – Initial 3 (recommencement of treatment after a break of more than 12 months)): change restriction</w:t>
      </w:r>
    </w:p>
    <w:p w14:paraId="56129B2B" w14:textId="77777777" w:rsidR="00852466" w:rsidRDefault="00852466" w:rsidP="00852466">
      <w:pPr>
        <w:pStyle w:val="3Bodytext"/>
        <w:numPr>
          <w:ilvl w:val="0"/>
          <w:numId w:val="123"/>
        </w:numPr>
        <w:spacing w:before="120"/>
        <w:ind w:left="1440" w:hanging="360"/>
        <w:jc w:val="both"/>
        <w:rPr>
          <w:lang w:val="en-GB"/>
        </w:rPr>
      </w:pPr>
      <w:r>
        <w:rPr>
          <w:lang w:val="en-GB"/>
        </w:rPr>
        <w:t>10056G, 10079L (Initial treatment – Initial 1 (new patient)): change restrictions</w:t>
      </w:r>
    </w:p>
    <w:p w14:paraId="22D7AD45" w14:textId="77777777" w:rsidR="00852466" w:rsidRDefault="00852466" w:rsidP="00852466">
      <w:pPr>
        <w:pStyle w:val="3Bodytext"/>
        <w:numPr>
          <w:ilvl w:val="0"/>
          <w:numId w:val="123"/>
        </w:numPr>
        <w:spacing w:before="120"/>
        <w:ind w:left="1440" w:hanging="360"/>
        <w:jc w:val="both"/>
        <w:rPr>
          <w:lang w:val="en-GB"/>
        </w:rPr>
      </w:pPr>
      <w:r>
        <w:rPr>
          <w:lang w:val="en-GB"/>
        </w:rPr>
        <w:t>10056G, 10079L (Initial treatment – Initial 2 (change or recommencement of treatment after a break in biological medicine of less than 12 months)): change restriction</w:t>
      </w:r>
    </w:p>
    <w:p w14:paraId="471EF214" w14:textId="77777777" w:rsidR="00852466" w:rsidRDefault="00852466" w:rsidP="00852466">
      <w:pPr>
        <w:pStyle w:val="3Bodytext"/>
        <w:numPr>
          <w:ilvl w:val="0"/>
          <w:numId w:val="123"/>
        </w:numPr>
        <w:spacing w:before="120"/>
        <w:ind w:left="1440" w:hanging="360"/>
        <w:jc w:val="both"/>
        <w:rPr>
          <w:lang w:val="en-GB"/>
        </w:rPr>
      </w:pPr>
      <w:r>
        <w:rPr>
          <w:lang w:val="en-GB"/>
        </w:rPr>
        <w:t>10056G, 10079L (Initial treatment – Initial 3 ( recommencement of treatment after a break in biological medicine of more than 12 months)): change restrictions</w:t>
      </w:r>
    </w:p>
    <w:p w14:paraId="0939C415" w14:textId="77777777" w:rsidR="00852466" w:rsidRDefault="00852466" w:rsidP="00852466">
      <w:pPr>
        <w:pStyle w:val="3Bodytext"/>
        <w:numPr>
          <w:ilvl w:val="0"/>
          <w:numId w:val="123"/>
        </w:numPr>
        <w:spacing w:before="120"/>
        <w:ind w:left="1440" w:hanging="360"/>
        <w:jc w:val="both"/>
        <w:rPr>
          <w:lang w:val="en-GB"/>
        </w:rPr>
      </w:pPr>
      <w:r>
        <w:rPr>
          <w:lang w:val="en-GB"/>
        </w:rPr>
        <w:t>12795K, 12796L (Initial treatment – Initial 4 (Temporary listing – change of treatment from another biological medicine to tocilizumab after resolution of the critical shortage of tocilizumab): change restrictions</w:t>
      </w:r>
    </w:p>
    <w:p w14:paraId="082412CE" w14:textId="77777777" w:rsidR="00852466" w:rsidRDefault="00852466" w:rsidP="00852466">
      <w:pPr>
        <w:pStyle w:val="3Bodytext"/>
        <w:numPr>
          <w:ilvl w:val="0"/>
          <w:numId w:val="123"/>
        </w:numPr>
        <w:spacing w:before="120"/>
        <w:ind w:left="1440" w:hanging="360"/>
        <w:jc w:val="both"/>
        <w:rPr>
          <w:lang w:val="en-GB"/>
        </w:rPr>
      </w:pPr>
      <w:r>
        <w:rPr>
          <w:lang w:val="en-GB"/>
        </w:rPr>
        <w:t>13305G, 13312P (Continuing treatment): change restriction</w:t>
      </w:r>
    </w:p>
    <w:p w14:paraId="6AF20CA6" w14:textId="77777777" w:rsidR="00852466" w:rsidRDefault="00852466" w:rsidP="00852466">
      <w:pPr>
        <w:pStyle w:val="3Bodytext"/>
        <w:numPr>
          <w:ilvl w:val="0"/>
          <w:numId w:val="123"/>
        </w:numPr>
        <w:spacing w:before="120"/>
        <w:ind w:left="1440" w:hanging="360"/>
        <w:jc w:val="both"/>
        <w:rPr>
          <w:lang w:val="en-GB"/>
        </w:rPr>
      </w:pPr>
      <w:r>
        <w:rPr>
          <w:lang w:val="en-GB"/>
        </w:rPr>
        <w:t>13329M, 13330N (Continuing treatment): change restriction</w:t>
      </w:r>
    </w:p>
    <w:p w14:paraId="62DC35C3" w14:textId="77777777" w:rsidR="00852466" w:rsidRDefault="00852466" w:rsidP="00852466">
      <w:pPr>
        <w:pStyle w:val="3-BodyText"/>
        <w:numPr>
          <w:ilvl w:val="1"/>
          <w:numId w:val="2"/>
        </w:numPr>
        <w:spacing w:before="120"/>
        <w:rPr>
          <w:lang w:val="en-GB"/>
        </w:rPr>
      </w:pPr>
      <w:r>
        <w:rPr>
          <w:lang w:val="en-GB"/>
        </w:rPr>
        <w:t>Flow-on changes to tocilizumab 400 mg/20 mL injection, 20 mL vial:</w:t>
      </w:r>
    </w:p>
    <w:p w14:paraId="3507649D" w14:textId="77777777" w:rsidR="00852466" w:rsidRDefault="00852466" w:rsidP="00852466">
      <w:pPr>
        <w:pStyle w:val="3Bodytext"/>
        <w:numPr>
          <w:ilvl w:val="0"/>
          <w:numId w:val="123"/>
        </w:numPr>
        <w:spacing w:before="120"/>
        <w:ind w:left="1440" w:hanging="360"/>
        <w:jc w:val="both"/>
        <w:rPr>
          <w:lang w:val="en-GB"/>
        </w:rPr>
      </w:pPr>
      <w:r>
        <w:rPr>
          <w:lang w:val="en-GB"/>
        </w:rPr>
        <w:t>10060L, 10064Q (Initial treatment – Initial 1 (new patient)): change restrictions</w:t>
      </w:r>
    </w:p>
    <w:p w14:paraId="77ABAEA7" w14:textId="77777777" w:rsidR="00852466" w:rsidRDefault="00852466" w:rsidP="00852466">
      <w:pPr>
        <w:pStyle w:val="3Bodytext"/>
        <w:numPr>
          <w:ilvl w:val="0"/>
          <w:numId w:val="123"/>
        </w:numPr>
        <w:spacing w:before="120"/>
        <w:ind w:left="1440" w:hanging="360"/>
        <w:jc w:val="both"/>
        <w:rPr>
          <w:lang w:val="en-GB"/>
        </w:rPr>
      </w:pPr>
      <w:r>
        <w:rPr>
          <w:lang w:val="en-GB"/>
        </w:rPr>
        <w:t>10060L, 10064Q (Initial treatment – Initial 2 (change or recommencement of treatment after a break in biological medicine of less than 12 months)): change restriction</w:t>
      </w:r>
    </w:p>
    <w:p w14:paraId="105831C9" w14:textId="77777777" w:rsidR="00852466" w:rsidRDefault="00852466" w:rsidP="00852466">
      <w:pPr>
        <w:pStyle w:val="3Bodytext"/>
        <w:numPr>
          <w:ilvl w:val="0"/>
          <w:numId w:val="123"/>
        </w:numPr>
        <w:spacing w:before="120"/>
        <w:ind w:left="1440" w:hanging="360"/>
        <w:jc w:val="both"/>
        <w:rPr>
          <w:lang w:val="en-GB"/>
        </w:rPr>
      </w:pPr>
      <w:r>
        <w:rPr>
          <w:lang w:val="en-GB"/>
        </w:rPr>
        <w:t>10060L, 10064Q (Initial treatment – Initial 3 (recommencement of treatment after a break in biological medicine of more than 12 months)): change restrictions</w:t>
      </w:r>
    </w:p>
    <w:p w14:paraId="227A9BE7" w14:textId="77777777" w:rsidR="00852466" w:rsidRDefault="00852466" w:rsidP="00852466">
      <w:pPr>
        <w:pStyle w:val="3Bodytext"/>
        <w:numPr>
          <w:ilvl w:val="0"/>
          <w:numId w:val="123"/>
        </w:numPr>
        <w:spacing w:before="120"/>
        <w:ind w:left="1440" w:hanging="360"/>
        <w:jc w:val="both"/>
        <w:rPr>
          <w:lang w:val="en-GB"/>
        </w:rPr>
      </w:pPr>
      <w:r>
        <w:rPr>
          <w:lang w:val="en-GB"/>
        </w:rPr>
        <w:t>12802T, 12810F (Initial treatment – Initial 4 (Temporary listing – change of treatment from another biological medicine to tocilizumab after resolution of the critical shortage of tocilizumab)): change restrictions</w:t>
      </w:r>
    </w:p>
    <w:p w14:paraId="54BBA304" w14:textId="77777777" w:rsidR="00852466" w:rsidRDefault="00852466" w:rsidP="00852466">
      <w:pPr>
        <w:pStyle w:val="3Bodytext"/>
        <w:numPr>
          <w:ilvl w:val="0"/>
          <w:numId w:val="123"/>
        </w:numPr>
        <w:spacing w:before="120"/>
        <w:ind w:left="1440" w:hanging="360"/>
        <w:jc w:val="both"/>
        <w:rPr>
          <w:lang w:val="en-GB"/>
        </w:rPr>
      </w:pPr>
      <w:r>
        <w:rPr>
          <w:lang w:val="en-GB"/>
        </w:rPr>
        <w:t>1464C, 1482B (Initial treatment – Initial 1 (new patient)): change restriction</w:t>
      </w:r>
    </w:p>
    <w:p w14:paraId="3D69AFD6" w14:textId="77777777" w:rsidR="00852466" w:rsidRDefault="00852466" w:rsidP="00852466">
      <w:pPr>
        <w:pStyle w:val="3Bodytext"/>
        <w:numPr>
          <w:ilvl w:val="0"/>
          <w:numId w:val="123"/>
        </w:numPr>
        <w:spacing w:before="120"/>
        <w:ind w:left="1440" w:hanging="360"/>
        <w:jc w:val="both"/>
        <w:rPr>
          <w:lang w:val="en-GB"/>
        </w:rPr>
      </w:pPr>
      <w:r>
        <w:rPr>
          <w:lang w:val="en-GB"/>
        </w:rPr>
        <w:t>1464C, 1428B (Initial treatment – Initial 2 (retrial or recommencement of treatment after a break of less than 12 months): change restriction</w:t>
      </w:r>
    </w:p>
    <w:p w14:paraId="1A8B875A" w14:textId="77777777" w:rsidR="00852466" w:rsidRDefault="00852466" w:rsidP="00852466">
      <w:pPr>
        <w:pStyle w:val="3Bodytext"/>
        <w:numPr>
          <w:ilvl w:val="0"/>
          <w:numId w:val="123"/>
        </w:numPr>
        <w:spacing w:before="120"/>
        <w:ind w:left="1440" w:hanging="360"/>
        <w:jc w:val="both"/>
        <w:rPr>
          <w:lang w:val="en-GB"/>
        </w:rPr>
      </w:pPr>
      <w:r>
        <w:rPr>
          <w:lang w:val="en-GB"/>
        </w:rPr>
        <w:t>1464C, 1428B (Initial treatment – Initial 3 (recommencement of treatment after a break of more than 12 months)): change restriction</w:t>
      </w:r>
    </w:p>
    <w:p w14:paraId="75D43CAB" w14:textId="77777777" w:rsidR="00852466" w:rsidRDefault="00852466" w:rsidP="00852466">
      <w:pPr>
        <w:pStyle w:val="3Bodytext"/>
        <w:numPr>
          <w:ilvl w:val="0"/>
          <w:numId w:val="123"/>
        </w:numPr>
        <w:spacing w:before="120"/>
        <w:ind w:left="1440" w:hanging="360"/>
        <w:jc w:val="both"/>
        <w:rPr>
          <w:lang w:val="en-GB"/>
        </w:rPr>
      </w:pPr>
      <w:r>
        <w:rPr>
          <w:lang w:val="en-GB"/>
        </w:rPr>
        <w:t>13299Y, 13323F (Continuing treatment): change restriction</w:t>
      </w:r>
    </w:p>
    <w:p w14:paraId="6A285611" w14:textId="77777777" w:rsidR="00852466" w:rsidRDefault="00852466" w:rsidP="00852466">
      <w:pPr>
        <w:pStyle w:val="3Bodytext"/>
        <w:numPr>
          <w:ilvl w:val="0"/>
          <w:numId w:val="123"/>
        </w:numPr>
        <w:spacing w:before="120"/>
        <w:ind w:left="1440" w:hanging="360"/>
        <w:jc w:val="both"/>
        <w:rPr>
          <w:lang w:val="en-GB"/>
        </w:rPr>
      </w:pPr>
      <w:r>
        <w:rPr>
          <w:lang w:val="en-GB"/>
        </w:rPr>
        <w:t>13338B, 13339C (Continuing treatment): change restriction</w:t>
      </w:r>
    </w:p>
    <w:p w14:paraId="287AC463" w14:textId="77777777" w:rsidR="00852466" w:rsidRDefault="00852466" w:rsidP="00852466">
      <w:pPr>
        <w:pStyle w:val="3-BodyText"/>
        <w:numPr>
          <w:ilvl w:val="1"/>
          <w:numId w:val="2"/>
        </w:numPr>
        <w:spacing w:before="120"/>
        <w:rPr>
          <w:lang w:val="en-GB"/>
        </w:rPr>
      </w:pPr>
      <w:r>
        <w:rPr>
          <w:lang w:val="en-GB"/>
        </w:rPr>
        <w:t>Flow-on changes to tocilizumab 162 mg/0.9 mL injection, 4 x 0.9 mL pen devices:</w:t>
      </w:r>
    </w:p>
    <w:p w14:paraId="08CCC743" w14:textId="77777777" w:rsidR="00852466" w:rsidRDefault="00852466" w:rsidP="00852466">
      <w:pPr>
        <w:pStyle w:val="3Bodytext"/>
        <w:numPr>
          <w:ilvl w:val="0"/>
          <w:numId w:val="123"/>
        </w:numPr>
        <w:spacing w:before="120"/>
        <w:ind w:left="1440" w:hanging="360"/>
        <w:jc w:val="both"/>
        <w:rPr>
          <w:lang w:val="en-GB"/>
        </w:rPr>
      </w:pPr>
      <w:r>
        <w:rPr>
          <w:lang w:val="en-GB"/>
        </w:rPr>
        <w:t>12085C, 12083Y (Initial treatment – Initial 1 (new patient weighing less than 30 kg)): change restriction</w:t>
      </w:r>
    </w:p>
    <w:p w14:paraId="3304F8C8" w14:textId="77777777" w:rsidR="00852466" w:rsidRDefault="00852466" w:rsidP="00852466">
      <w:pPr>
        <w:pStyle w:val="3Bodytext"/>
        <w:numPr>
          <w:ilvl w:val="0"/>
          <w:numId w:val="123"/>
        </w:numPr>
        <w:spacing w:before="120"/>
        <w:ind w:left="1440" w:hanging="360"/>
        <w:jc w:val="both"/>
        <w:rPr>
          <w:lang w:val="en-GB"/>
        </w:rPr>
      </w:pPr>
      <w:r>
        <w:rPr>
          <w:lang w:val="en-GB"/>
        </w:rPr>
        <w:t>12085C, 12083Y (Initial treatment – Initial 2 (retrial or recommencement of treatment after a break of less than 12 months in a patient weighing less than 30 kg): change restriction</w:t>
      </w:r>
    </w:p>
    <w:p w14:paraId="60C8E746" w14:textId="77777777" w:rsidR="00852466" w:rsidRDefault="00852466" w:rsidP="00852466">
      <w:pPr>
        <w:pStyle w:val="3Bodytext"/>
        <w:numPr>
          <w:ilvl w:val="0"/>
          <w:numId w:val="123"/>
        </w:numPr>
        <w:spacing w:before="120"/>
        <w:ind w:left="1440" w:hanging="360"/>
        <w:jc w:val="both"/>
        <w:rPr>
          <w:lang w:val="en-GB"/>
        </w:rPr>
      </w:pPr>
      <w:r>
        <w:rPr>
          <w:lang w:val="en-GB"/>
        </w:rPr>
        <w:t>12085C, 12083Y (Initial treatment – Initial 3) (recommencement of a new treatment cycle after a break of more than 12 months in a patient weighing less than 30 kg): change restriction</w:t>
      </w:r>
    </w:p>
    <w:p w14:paraId="165D415F" w14:textId="77777777" w:rsidR="00852466" w:rsidRDefault="00852466" w:rsidP="00852466">
      <w:pPr>
        <w:pStyle w:val="3Bodytext"/>
        <w:numPr>
          <w:ilvl w:val="0"/>
          <w:numId w:val="123"/>
        </w:numPr>
        <w:spacing w:before="120"/>
        <w:ind w:left="1440" w:hanging="360"/>
        <w:jc w:val="both"/>
        <w:rPr>
          <w:lang w:val="en-GB"/>
        </w:rPr>
      </w:pPr>
      <w:r>
        <w:rPr>
          <w:lang w:val="en-GB"/>
        </w:rPr>
        <w:t>12767Y (Initial treatment – Initial 4 (Temporary listing – change of treatment from another biological medicine to tocilizumab after resolution of the critical shortage of tocilizumab)): change restriction</w:t>
      </w:r>
    </w:p>
    <w:p w14:paraId="12A1A44B" w14:textId="77777777" w:rsidR="00852466" w:rsidRDefault="00852466" w:rsidP="00852466">
      <w:pPr>
        <w:pStyle w:val="3Bodytext"/>
        <w:numPr>
          <w:ilvl w:val="0"/>
          <w:numId w:val="123"/>
        </w:numPr>
        <w:spacing w:before="120"/>
        <w:ind w:left="1440" w:hanging="360"/>
        <w:jc w:val="both"/>
        <w:rPr>
          <w:lang w:val="en-GB"/>
        </w:rPr>
      </w:pPr>
      <w:r>
        <w:rPr>
          <w:lang w:val="en-GB"/>
        </w:rPr>
        <w:t>11725D (Initial treatment – Initial 1 (new patient)): change restrictions</w:t>
      </w:r>
    </w:p>
    <w:p w14:paraId="5E288F5C" w14:textId="77777777" w:rsidR="00852466" w:rsidRDefault="00852466" w:rsidP="00852466">
      <w:pPr>
        <w:pStyle w:val="3Bodytext"/>
        <w:numPr>
          <w:ilvl w:val="0"/>
          <w:numId w:val="123"/>
        </w:numPr>
        <w:spacing w:before="120"/>
        <w:ind w:left="1440" w:hanging="360"/>
        <w:jc w:val="both"/>
        <w:rPr>
          <w:lang w:val="en-GB"/>
        </w:rPr>
      </w:pPr>
      <w:r>
        <w:rPr>
          <w:lang w:val="en-GB"/>
        </w:rPr>
        <w:t>11725D (Initial treatment – Initial 2 (change or recommencement of treatment after a break in biological medicine of less than 24 months)): change restriction</w:t>
      </w:r>
    </w:p>
    <w:p w14:paraId="5510AC83" w14:textId="77777777" w:rsidR="00852466" w:rsidRDefault="00852466" w:rsidP="00852466">
      <w:pPr>
        <w:pStyle w:val="3Bodytext"/>
        <w:numPr>
          <w:ilvl w:val="0"/>
          <w:numId w:val="123"/>
        </w:numPr>
        <w:spacing w:before="120"/>
        <w:ind w:left="1440" w:hanging="360"/>
        <w:jc w:val="both"/>
        <w:rPr>
          <w:lang w:val="en-GB"/>
        </w:rPr>
      </w:pPr>
      <w:r>
        <w:rPr>
          <w:lang w:val="en-GB"/>
        </w:rPr>
        <w:t>11725D (Initial treatment – Initial 3 (recommencement of treatment after a break in biological medicine of more than 24 months)): change restriction</w:t>
      </w:r>
    </w:p>
    <w:p w14:paraId="7BB71399" w14:textId="77777777" w:rsidR="00852466" w:rsidRDefault="00852466" w:rsidP="00852466">
      <w:pPr>
        <w:pStyle w:val="3Bodytext"/>
        <w:numPr>
          <w:ilvl w:val="0"/>
          <w:numId w:val="123"/>
        </w:numPr>
        <w:spacing w:before="120"/>
        <w:ind w:left="1440" w:hanging="360"/>
        <w:jc w:val="both"/>
        <w:rPr>
          <w:lang w:val="en-GB"/>
        </w:rPr>
      </w:pPr>
      <w:r>
        <w:rPr>
          <w:lang w:val="en-GB"/>
        </w:rPr>
        <w:t>11734N (Initial treatment – Initial 1 (new patient)): change restrictions</w:t>
      </w:r>
    </w:p>
    <w:p w14:paraId="3977D802" w14:textId="77777777" w:rsidR="00852466" w:rsidRDefault="00852466" w:rsidP="00852466">
      <w:pPr>
        <w:pStyle w:val="3Bodytext"/>
        <w:numPr>
          <w:ilvl w:val="0"/>
          <w:numId w:val="123"/>
        </w:numPr>
        <w:spacing w:before="120"/>
        <w:ind w:left="1440" w:hanging="360"/>
        <w:jc w:val="both"/>
        <w:rPr>
          <w:lang w:val="en-GB"/>
        </w:rPr>
      </w:pPr>
      <w:r>
        <w:rPr>
          <w:lang w:val="en-GB"/>
        </w:rPr>
        <w:t>11734N (Initial treatment – Initial 2 (change or recommencement of treatment after a break in biological medicine of less than 12 months)): change restriction</w:t>
      </w:r>
    </w:p>
    <w:p w14:paraId="45A68F48" w14:textId="77777777" w:rsidR="00852466" w:rsidRDefault="00852466" w:rsidP="00852466">
      <w:pPr>
        <w:pStyle w:val="3Bodytext"/>
        <w:numPr>
          <w:ilvl w:val="0"/>
          <w:numId w:val="123"/>
        </w:numPr>
        <w:spacing w:before="120"/>
        <w:ind w:left="1440" w:hanging="360"/>
        <w:jc w:val="both"/>
        <w:rPr>
          <w:lang w:val="en-GB"/>
        </w:rPr>
      </w:pPr>
      <w:r>
        <w:rPr>
          <w:lang w:val="en-GB"/>
        </w:rPr>
        <w:t>11734N (Initial treatment – Initial 3 (recommencement of treatment after a break in biological medicine of more than 12 months)): change restrictions</w:t>
      </w:r>
    </w:p>
    <w:p w14:paraId="21D38CBB" w14:textId="77777777" w:rsidR="00852466" w:rsidRDefault="00852466" w:rsidP="00852466">
      <w:pPr>
        <w:pStyle w:val="3Bodytext"/>
        <w:numPr>
          <w:ilvl w:val="0"/>
          <w:numId w:val="123"/>
        </w:numPr>
        <w:spacing w:before="120"/>
        <w:ind w:left="1440" w:hanging="360"/>
        <w:jc w:val="both"/>
        <w:rPr>
          <w:lang w:val="en-GB"/>
        </w:rPr>
      </w:pPr>
      <w:r>
        <w:rPr>
          <w:lang w:val="en-GB"/>
        </w:rPr>
        <w:t>11742B, 13306H (Continuing treatment): change restriction</w:t>
      </w:r>
    </w:p>
    <w:p w14:paraId="4BCAB807" w14:textId="77777777" w:rsidR="00852466" w:rsidRDefault="00852466" w:rsidP="00852466">
      <w:pPr>
        <w:pStyle w:val="3Bodytext"/>
        <w:numPr>
          <w:ilvl w:val="0"/>
          <w:numId w:val="123"/>
        </w:numPr>
        <w:spacing w:before="120"/>
        <w:ind w:left="1440" w:hanging="360"/>
        <w:jc w:val="both"/>
        <w:rPr>
          <w:lang w:val="en-GB"/>
        </w:rPr>
      </w:pPr>
      <w:r>
        <w:rPr>
          <w:lang w:val="en-GB"/>
        </w:rPr>
        <w:t>12084B, 12090H (Continuing treatment in a patient weighing at least 30 kg): change restriction</w:t>
      </w:r>
    </w:p>
    <w:p w14:paraId="3B02B312" w14:textId="77777777" w:rsidR="00852466" w:rsidRDefault="00852466" w:rsidP="00852466">
      <w:pPr>
        <w:pStyle w:val="3-BodyText"/>
        <w:numPr>
          <w:ilvl w:val="1"/>
          <w:numId w:val="2"/>
        </w:numPr>
        <w:spacing w:before="120"/>
        <w:rPr>
          <w:lang w:val="en-GB"/>
        </w:rPr>
      </w:pPr>
      <w:r>
        <w:rPr>
          <w:lang w:val="en-GB"/>
        </w:rPr>
        <w:t>Flow-on changes tocilizumab 162 mg/0.9 mL injection, 4 x 0.9 mL syringes:</w:t>
      </w:r>
    </w:p>
    <w:p w14:paraId="719C7ACD" w14:textId="77777777" w:rsidR="00852466" w:rsidRDefault="00852466" w:rsidP="00852466">
      <w:pPr>
        <w:pStyle w:val="3Bodytext"/>
        <w:numPr>
          <w:ilvl w:val="0"/>
          <w:numId w:val="123"/>
        </w:numPr>
        <w:spacing w:before="120"/>
        <w:ind w:left="1440" w:hanging="360"/>
        <w:jc w:val="both"/>
        <w:rPr>
          <w:lang w:val="en-GB"/>
        </w:rPr>
      </w:pPr>
      <w:r>
        <w:rPr>
          <w:lang w:val="en-GB"/>
        </w:rPr>
        <w:t>12105D, 12095N (Initial treatment – Initial 1 (new patient weighing less than 30 kg): change restriction</w:t>
      </w:r>
    </w:p>
    <w:p w14:paraId="1B1FEC55" w14:textId="77777777" w:rsidR="00852466" w:rsidRDefault="00852466" w:rsidP="00852466">
      <w:pPr>
        <w:pStyle w:val="3Bodytext"/>
        <w:numPr>
          <w:ilvl w:val="0"/>
          <w:numId w:val="123"/>
        </w:numPr>
        <w:spacing w:before="120"/>
        <w:ind w:left="1440" w:hanging="360"/>
        <w:jc w:val="both"/>
        <w:rPr>
          <w:lang w:val="en-GB"/>
        </w:rPr>
      </w:pPr>
      <w:r>
        <w:rPr>
          <w:lang w:val="en-GB"/>
        </w:rPr>
        <w:t>12105D, 12095N (Initial treatment – Initial 2 (retrial or recommencement of treatment after a break of less than 12 months in a patient weighing less than 30 kg)): change restriction</w:t>
      </w:r>
    </w:p>
    <w:p w14:paraId="32BA350C" w14:textId="77777777" w:rsidR="00852466" w:rsidRDefault="00852466" w:rsidP="00852466">
      <w:pPr>
        <w:pStyle w:val="3Bodytext"/>
        <w:numPr>
          <w:ilvl w:val="0"/>
          <w:numId w:val="123"/>
        </w:numPr>
        <w:spacing w:before="120"/>
        <w:ind w:left="1440" w:hanging="360"/>
        <w:jc w:val="both"/>
        <w:rPr>
          <w:lang w:val="en-GB"/>
        </w:rPr>
      </w:pPr>
      <w:r>
        <w:rPr>
          <w:lang w:val="en-GB"/>
        </w:rPr>
        <w:t>12105D, 12095N (Initial treatment – Initial 3 (recommencement of a new treatment cycle after a break of more than 12 months in a patient weighing less than 30 kg)): change restriction</w:t>
      </w:r>
    </w:p>
    <w:p w14:paraId="2C91E1BB" w14:textId="77777777" w:rsidR="00852466" w:rsidRDefault="00852466" w:rsidP="00852466">
      <w:pPr>
        <w:pStyle w:val="3Bodytext"/>
        <w:numPr>
          <w:ilvl w:val="0"/>
          <w:numId w:val="123"/>
        </w:numPr>
        <w:spacing w:before="120"/>
        <w:ind w:left="1440" w:hanging="360"/>
        <w:jc w:val="both"/>
        <w:rPr>
          <w:lang w:val="en-GB"/>
        </w:rPr>
      </w:pPr>
      <w:r>
        <w:rPr>
          <w:lang w:val="en-GB"/>
        </w:rPr>
        <w:t>12768B (Initial treatment – Initial 4 (Temporary listing – change of treatment from another biological medicine to tocilizumab after resolution of the critical shortage of tocilizumab)): change restriction</w:t>
      </w:r>
    </w:p>
    <w:p w14:paraId="738D8AA3" w14:textId="77777777" w:rsidR="00852466" w:rsidRDefault="00852466" w:rsidP="00852466">
      <w:pPr>
        <w:pStyle w:val="3Bodytext"/>
        <w:numPr>
          <w:ilvl w:val="0"/>
          <w:numId w:val="123"/>
        </w:numPr>
        <w:spacing w:before="120"/>
        <w:ind w:left="1440" w:hanging="360"/>
        <w:jc w:val="both"/>
        <w:rPr>
          <w:lang w:val="en-GB"/>
        </w:rPr>
      </w:pPr>
      <w:r>
        <w:rPr>
          <w:lang w:val="en-GB"/>
        </w:rPr>
        <w:t>11748H (Initial treatment – Initial 1 (new patient)): change restrictions</w:t>
      </w:r>
    </w:p>
    <w:p w14:paraId="180C88E7" w14:textId="77777777" w:rsidR="00852466" w:rsidRDefault="00852466" w:rsidP="00852466">
      <w:pPr>
        <w:pStyle w:val="3Bodytext"/>
        <w:numPr>
          <w:ilvl w:val="0"/>
          <w:numId w:val="123"/>
        </w:numPr>
        <w:spacing w:before="120"/>
        <w:ind w:left="1440" w:hanging="360"/>
        <w:jc w:val="both"/>
        <w:rPr>
          <w:lang w:val="en-GB"/>
        </w:rPr>
      </w:pPr>
      <w:r>
        <w:rPr>
          <w:lang w:val="en-GB"/>
        </w:rPr>
        <w:t>11748H (Initial treatment – Initial 2 (change or recommencement of treatment after a break in biological medicine of less than 12 months)): change restriction</w:t>
      </w:r>
    </w:p>
    <w:p w14:paraId="33ECB8CC" w14:textId="77777777" w:rsidR="00852466" w:rsidRDefault="00852466" w:rsidP="00852466">
      <w:pPr>
        <w:pStyle w:val="3Bodytext"/>
        <w:numPr>
          <w:ilvl w:val="0"/>
          <w:numId w:val="123"/>
        </w:numPr>
        <w:spacing w:before="120"/>
        <w:ind w:left="1440" w:hanging="360"/>
        <w:jc w:val="both"/>
        <w:rPr>
          <w:lang w:val="en-GB"/>
        </w:rPr>
      </w:pPr>
      <w:r>
        <w:rPr>
          <w:lang w:val="en-GB"/>
        </w:rPr>
        <w:t>11748H (Initial treatment – Initial 3 (recommencement of treatment after a break in biological medicine of more than 12 months)): change restrictions</w:t>
      </w:r>
    </w:p>
    <w:p w14:paraId="1B7A2A67" w14:textId="77777777" w:rsidR="00852466" w:rsidRDefault="00852466" w:rsidP="00852466">
      <w:pPr>
        <w:pStyle w:val="3Bodytext"/>
        <w:numPr>
          <w:ilvl w:val="0"/>
          <w:numId w:val="123"/>
        </w:numPr>
        <w:spacing w:before="120"/>
        <w:ind w:left="1440" w:hanging="360"/>
        <w:jc w:val="both"/>
        <w:rPr>
          <w:lang w:val="en-GB"/>
        </w:rPr>
      </w:pPr>
      <w:r>
        <w:rPr>
          <w:lang w:val="en-GB"/>
        </w:rPr>
        <w:t>11720W, 13301C (Continuing treatment): change restriction</w:t>
      </w:r>
    </w:p>
    <w:p w14:paraId="38B95F0D" w14:textId="77777777" w:rsidR="00852466" w:rsidRDefault="00852466" w:rsidP="00852466">
      <w:pPr>
        <w:pStyle w:val="3Bodytext"/>
        <w:numPr>
          <w:ilvl w:val="0"/>
          <w:numId w:val="123"/>
        </w:numPr>
        <w:spacing w:before="120"/>
        <w:ind w:left="1440" w:hanging="360"/>
        <w:jc w:val="both"/>
        <w:rPr>
          <w:lang w:val="en-GB"/>
        </w:rPr>
      </w:pPr>
      <w:r>
        <w:rPr>
          <w:lang w:val="en-GB"/>
        </w:rPr>
        <w:t>12086D, 12099T (Continuing treatment in a patient weighing less than 30 kg): change restriction</w:t>
      </w:r>
    </w:p>
    <w:p w14:paraId="3A8040F4" w14:textId="77777777" w:rsidR="00852466" w:rsidRDefault="00852466" w:rsidP="00852466">
      <w:pPr>
        <w:pStyle w:val="3-BodyText"/>
        <w:numPr>
          <w:ilvl w:val="1"/>
          <w:numId w:val="2"/>
        </w:numPr>
        <w:spacing w:before="120"/>
        <w:rPr>
          <w:lang w:val="en-GB"/>
        </w:rPr>
      </w:pPr>
      <w:r>
        <w:rPr>
          <w:lang w:val="en-GB"/>
        </w:rPr>
        <w:t>Flow-on changes to tofacitinib 5 mg tablet, 56:</w:t>
      </w:r>
    </w:p>
    <w:p w14:paraId="65489233" w14:textId="77777777" w:rsidR="00852466" w:rsidRDefault="00852466" w:rsidP="00852466">
      <w:pPr>
        <w:pStyle w:val="3Bodytext"/>
        <w:numPr>
          <w:ilvl w:val="0"/>
          <w:numId w:val="123"/>
        </w:numPr>
        <w:spacing w:before="120"/>
        <w:ind w:left="1440" w:hanging="360"/>
        <w:jc w:val="both"/>
        <w:rPr>
          <w:lang w:val="en-GB"/>
        </w:rPr>
      </w:pPr>
      <w:r>
        <w:rPr>
          <w:lang w:val="en-GB"/>
        </w:rPr>
        <w:t>13755Y (Initial treatment – Initial 1 (new patient)): change restrictions</w:t>
      </w:r>
    </w:p>
    <w:p w14:paraId="2C1DAC42" w14:textId="77777777" w:rsidR="00852466" w:rsidRDefault="00852466" w:rsidP="00852466">
      <w:pPr>
        <w:pStyle w:val="3Bodytext"/>
        <w:numPr>
          <w:ilvl w:val="0"/>
          <w:numId w:val="123"/>
        </w:numPr>
        <w:spacing w:before="120"/>
        <w:ind w:left="1440" w:hanging="360"/>
        <w:jc w:val="both"/>
        <w:rPr>
          <w:lang w:val="en-GB"/>
        </w:rPr>
      </w:pPr>
      <w:r>
        <w:rPr>
          <w:lang w:val="en-GB"/>
        </w:rPr>
        <w:t>13755Y (Initial treatment – Initial 2 (change or recommencement of treatment after a break in biological medicine of less than 12 months)): change restriction</w:t>
      </w:r>
    </w:p>
    <w:p w14:paraId="096631E0" w14:textId="77777777" w:rsidR="00852466" w:rsidRDefault="00852466" w:rsidP="00852466">
      <w:pPr>
        <w:pStyle w:val="3Bodytext"/>
        <w:numPr>
          <w:ilvl w:val="0"/>
          <w:numId w:val="123"/>
        </w:numPr>
        <w:spacing w:before="120"/>
        <w:ind w:left="1440" w:hanging="360"/>
        <w:jc w:val="both"/>
        <w:rPr>
          <w:lang w:val="en-GB"/>
        </w:rPr>
      </w:pPr>
      <w:r>
        <w:rPr>
          <w:lang w:val="en-GB"/>
        </w:rPr>
        <w:t>13755Y (Initial treatment – Initial 3 (recommencement of treatment after a break in biological medicine of more than 12 months)): change restriction</w:t>
      </w:r>
    </w:p>
    <w:p w14:paraId="3094264F" w14:textId="77777777" w:rsidR="00852466" w:rsidRDefault="00852466" w:rsidP="00852466">
      <w:pPr>
        <w:pStyle w:val="3Bodytext"/>
        <w:numPr>
          <w:ilvl w:val="0"/>
          <w:numId w:val="123"/>
        </w:numPr>
        <w:spacing w:before="120"/>
        <w:ind w:left="1440" w:hanging="360"/>
        <w:jc w:val="both"/>
        <w:rPr>
          <w:lang w:val="en-GB"/>
        </w:rPr>
      </w:pPr>
      <w:r>
        <w:rPr>
          <w:lang w:val="en-GB"/>
        </w:rPr>
        <w:t>13757C (Transitioning from non-PBS to PBS-subsidised supply – Grandfather arrangements): change restriction</w:t>
      </w:r>
    </w:p>
    <w:p w14:paraId="3E8E6690" w14:textId="77777777" w:rsidR="00852466" w:rsidRDefault="00852466" w:rsidP="00852466">
      <w:pPr>
        <w:pStyle w:val="3Bodytext"/>
        <w:numPr>
          <w:ilvl w:val="0"/>
          <w:numId w:val="123"/>
        </w:numPr>
        <w:spacing w:before="120"/>
        <w:ind w:left="1440" w:hanging="360"/>
        <w:jc w:val="both"/>
        <w:rPr>
          <w:lang w:val="en-GB"/>
        </w:rPr>
      </w:pPr>
      <w:r>
        <w:rPr>
          <w:lang w:val="en-GB"/>
        </w:rPr>
        <w:t>13737B (Continuing treatment): change restriction</w:t>
      </w:r>
    </w:p>
    <w:p w14:paraId="78016F30" w14:textId="77777777" w:rsidR="00852466" w:rsidRDefault="00852466" w:rsidP="00852466">
      <w:pPr>
        <w:pStyle w:val="3-BodyText"/>
        <w:numPr>
          <w:ilvl w:val="1"/>
          <w:numId w:val="2"/>
        </w:numPr>
        <w:spacing w:before="120"/>
        <w:rPr>
          <w:lang w:val="en-GB"/>
        </w:rPr>
      </w:pPr>
      <w:r>
        <w:rPr>
          <w:lang w:val="en-GB"/>
        </w:rPr>
        <w:t>Flow-on changes to tofacitinib 1 mg/mL oral liquid, 240 mg:</w:t>
      </w:r>
    </w:p>
    <w:p w14:paraId="6A136C36" w14:textId="77777777" w:rsidR="00852466" w:rsidRDefault="00852466" w:rsidP="00852466">
      <w:pPr>
        <w:pStyle w:val="3Bodytext"/>
        <w:numPr>
          <w:ilvl w:val="0"/>
          <w:numId w:val="123"/>
        </w:numPr>
        <w:spacing w:before="120"/>
        <w:ind w:left="1440" w:hanging="360"/>
        <w:jc w:val="both"/>
        <w:rPr>
          <w:lang w:val="en-GB"/>
        </w:rPr>
      </w:pPr>
      <w:r>
        <w:rPr>
          <w:lang w:val="en-GB"/>
        </w:rPr>
        <w:t>13770R (Initial treatment – Initial 1 (new patient)): change restrictions</w:t>
      </w:r>
    </w:p>
    <w:p w14:paraId="062B437D" w14:textId="77777777" w:rsidR="00852466" w:rsidRDefault="00852466" w:rsidP="00852466">
      <w:pPr>
        <w:pStyle w:val="3Bodytext"/>
        <w:numPr>
          <w:ilvl w:val="0"/>
          <w:numId w:val="123"/>
        </w:numPr>
        <w:spacing w:before="120"/>
        <w:ind w:left="1440" w:hanging="360"/>
        <w:jc w:val="both"/>
        <w:rPr>
          <w:lang w:val="en-GB"/>
        </w:rPr>
      </w:pPr>
      <w:r>
        <w:rPr>
          <w:lang w:val="en-GB"/>
        </w:rPr>
        <w:t>13770R (Initial treatment – Initial 2 (change or recommencement of treatment after a break in biological medicine of less than 12 months)): change restriction</w:t>
      </w:r>
    </w:p>
    <w:p w14:paraId="44C8CD27" w14:textId="77777777" w:rsidR="00852466" w:rsidRDefault="00852466" w:rsidP="00852466">
      <w:pPr>
        <w:pStyle w:val="3Bodytext"/>
        <w:numPr>
          <w:ilvl w:val="0"/>
          <w:numId w:val="123"/>
        </w:numPr>
        <w:spacing w:before="120"/>
        <w:ind w:left="1440" w:hanging="360"/>
        <w:jc w:val="both"/>
        <w:rPr>
          <w:lang w:val="en-GB"/>
        </w:rPr>
      </w:pPr>
      <w:r>
        <w:rPr>
          <w:lang w:val="en-GB"/>
        </w:rPr>
        <w:t>13770R (Initial treatment – Initial 3 (recommencement of treatment after a break in biological medicine of more than 12 months)): change restrictions</w:t>
      </w:r>
    </w:p>
    <w:p w14:paraId="66733A97" w14:textId="77777777" w:rsidR="00852466" w:rsidRDefault="00852466" w:rsidP="00852466">
      <w:pPr>
        <w:pStyle w:val="3Bodytext"/>
        <w:numPr>
          <w:ilvl w:val="0"/>
          <w:numId w:val="123"/>
        </w:numPr>
        <w:spacing w:before="120"/>
        <w:ind w:left="1440" w:hanging="360"/>
        <w:jc w:val="both"/>
        <w:rPr>
          <w:lang w:val="en-GB"/>
        </w:rPr>
      </w:pPr>
      <w:r>
        <w:rPr>
          <w:lang w:val="en-GB"/>
        </w:rPr>
        <w:t>13738C (Continuing treatment): change restriction</w:t>
      </w:r>
    </w:p>
    <w:p w14:paraId="6D9BA27F" w14:textId="77777777" w:rsidR="00852466" w:rsidRDefault="00852466" w:rsidP="00852466">
      <w:pPr>
        <w:pStyle w:val="3Bodytext"/>
        <w:numPr>
          <w:ilvl w:val="0"/>
          <w:numId w:val="123"/>
        </w:numPr>
        <w:spacing w:before="120"/>
        <w:ind w:left="1440" w:hanging="360"/>
        <w:jc w:val="both"/>
        <w:rPr>
          <w:lang w:val="en-GB"/>
        </w:rPr>
      </w:pPr>
      <w:r>
        <w:rPr>
          <w:lang w:val="en-GB"/>
        </w:rPr>
        <w:t>13776C (Transitioning from non-PBS to PBS-subsidised supply – Grandfather arrangements): change restrictions</w:t>
      </w:r>
    </w:p>
    <w:p w14:paraId="06B5D4B5" w14:textId="77777777" w:rsidR="00852466" w:rsidRDefault="00852466" w:rsidP="00852466">
      <w:pPr>
        <w:pStyle w:val="4-SubsectionHeading"/>
        <w:rPr>
          <w:snapToGrid w:val="0"/>
          <w:lang w:val="en-GB"/>
        </w:rPr>
      </w:pPr>
      <w:r>
        <w:rPr>
          <w:snapToGrid w:val="0"/>
          <w:lang w:val="en-GB"/>
        </w:rPr>
        <w:t>Enthesitis/spondylitis related juvenile idiopathic arthritis (new listing)</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nthesitis/spondylitis related juvenile idiopathic arthritis (new listing)"/>
      </w:tblPr>
      <w:tblGrid>
        <w:gridCol w:w="3945"/>
        <w:gridCol w:w="811"/>
        <w:gridCol w:w="812"/>
        <w:gridCol w:w="811"/>
        <w:gridCol w:w="812"/>
        <w:gridCol w:w="1831"/>
        <w:gridCol w:w="7"/>
      </w:tblGrid>
      <w:tr w:rsidR="00852466" w:rsidRPr="00691520" w14:paraId="6768086D" w14:textId="77777777" w:rsidTr="00116AFD">
        <w:trPr>
          <w:gridAfter w:val="1"/>
          <w:wAfter w:w="7" w:type="dxa"/>
          <w:trHeight w:val="20"/>
        </w:trPr>
        <w:tc>
          <w:tcPr>
            <w:tcW w:w="3945" w:type="dxa"/>
            <w:vAlign w:val="center"/>
          </w:tcPr>
          <w:p w14:paraId="08ADCCE5"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MEDICINAL PRODUCT</w:t>
            </w:r>
          </w:p>
          <w:p w14:paraId="0E9A15F5"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medicinal product pack</w:t>
            </w:r>
          </w:p>
        </w:tc>
        <w:tc>
          <w:tcPr>
            <w:tcW w:w="811" w:type="dxa"/>
            <w:vAlign w:val="center"/>
          </w:tcPr>
          <w:p w14:paraId="48490449"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PBS item code</w:t>
            </w:r>
          </w:p>
        </w:tc>
        <w:tc>
          <w:tcPr>
            <w:tcW w:w="812" w:type="dxa"/>
            <w:vAlign w:val="center"/>
          </w:tcPr>
          <w:p w14:paraId="34364BC6"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packs</w:t>
            </w:r>
          </w:p>
        </w:tc>
        <w:tc>
          <w:tcPr>
            <w:tcW w:w="811" w:type="dxa"/>
            <w:vAlign w:val="center"/>
          </w:tcPr>
          <w:p w14:paraId="2205A9F2"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units</w:t>
            </w:r>
          </w:p>
        </w:tc>
        <w:tc>
          <w:tcPr>
            <w:tcW w:w="812" w:type="dxa"/>
            <w:vAlign w:val="center"/>
          </w:tcPr>
          <w:p w14:paraId="4E557989"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№.of</w:t>
            </w:r>
          </w:p>
          <w:p w14:paraId="402467B1"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Rpts</w:t>
            </w:r>
          </w:p>
        </w:tc>
        <w:tc>
          <w:tcPr>
            <w:tcW w:w="1831" w:type="dxa"/>
            <w:vAlign w:val="center"/>
          </w:tcPr>
          <w:p w14:paraId="4FAAD2DB" w14:textId="77777777" w:rsidR="00852466" w:rsidRPr="00BC1096" w:rsidRDefault="00852466">
            <w:pPr>
              <w:keepLines/>
              <w:rPr>
                <w:rFonts w:ascii="Arial Narrow" w:hAnsi="Arial Narrow"/>
                <w:b/>
                <w:sz w:val="20"/>
                <w:szCs w:val="20"/>
                <w:lang w:val="fr-FR"/>
                <w14:ligatures w14:val="standardContextual"/>
              </w:rPr>
            </w:pPr>
            <w:r w:rsidRPr="00BC1096">
              <w:rPr>
                <w:rFonts w:ascii="Arial Narrow" w:hAnsi="Arial Narrow"/>
                <w:b/>
                <w:sz w:val="20"/>
                <w:szCs w:val="20"/>
                <w14:ligatures w14:val="standardContextual"/>
              </w:rPr>
              <w:t>Available brands</w:t>
            </w:r>
          </w:p>
        </w:tc>
      </w:tr>
      <w:tr w:rsidR="00852466" w:rsidRPr="00691520" w14:paraId="45979830" w14:textId="77777777" w:rsidTr="00116AFD">
        <w:trPr>
          <w:gridAfter w:val="1"/>
          <w:wAfter w:w="7" w:type="dxa"/>
          <w:trHeight w:val="20"/>
        </w:trPr>
        <w:tc>
          <w:tcPr>
            <w:tcW w:w="9022" w:type="dxa"/>
            <w:gridSpan w:val="6"/>
            <w:vAlign w:val="center"/>
          </w:tcPr>
          <w:p w14:paraId="1D183AE1"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w:t>
            </w:r>
          </w:p>
        </w:tc>
      </w:tr>
      <w:tr w:rsidR="00852466" w:rsidRPr="00691520" w14:paraId="35D30247" w14:textId="77777777" w:rsidTr="00116AFD">
        <w:trPr>
          <w:gridAfter w:val="1"/>
          <w:wAfter w:w="7" w:type="dxa"/>
          <w:trHeight w:val="20"/>
        </w:trPr>
        <w:tc>
          <w:tcPr>
            <w:tcW w:w="3945" w:type="dxa"/>
            <w:vAlign w:val="center"/>
          </w:tcPr>
          <w:p w14:paraId="63B64A18"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20 mg/0.2 mL injection, 2 x 0.2 mL syringes</w:t>
            </w:r>
          </w:p>
        </w:tc>
        <w:tc>
          <w:tcPr>
            <w:tcW w:w="811" w:type="dxa"/>
            <w:vAlign w:val="center"/>
          </w:tcPr>
          <w:p w14:paraId="634560B2"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779B6EAB"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20F18671"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6CBF5B50"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041F0A19"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15155479" w14:textId="77777777" w:rsidTr="00116AFD">
        <w:trPr>
          <w:gridAfter w:val="1"/>
          <w:wAfter w:w="7" w:type="dxa"/>
          <w:trHeight w:val="20"/>
        </w:trPr>
        <w:tc>
          <w:tcPr>
            <w:tcW w:w="3945" w:type="dxa"/>
            <w:vAlign w:val="center"/>
          </w:tcPr>
          <w:p w14:paraId="7B0B232C"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syringes</w:t>
            </w:r>
          </w:p>
        </w:tc>
        <w:tc>
          <w:tcPr>
            <w:tcW w:w="811" w:type="dxa"/>
            <w:vAlign w:val="center"/>
          </w:tcPr>
          <w:p w14:paraId="755156D4"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4C7CE8FE"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6F033A5A"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69E285FB"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323ACE9E"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41CC9E68" w14:textId="77777777" w:rsidTr="00116AFD">
        <w:trPr>
          <w:gridAfter w:val="1"/>
          <w:wAfter w:w="7" w:type="dxa"/>
          <w:trHeight w:val="20"/>
        </w:trPr>
        <w:tc>
          <w:tcPr>
            <w:tcW w:w="3945" w:type="dxa"/>
            <w:vAlign w:val="center"/>
          </w:tcPr>
          <w:p w14:paraId="6E566DF6"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pen devices</w:t>
            </w:r>
          </w:p>
        </w:tc>
        <w:tc>
          <w:tcPr>
            <w:tcW w:w="811" w:type="dxa"/>
            <w:vAlign w:val="center"/>
          </w:tcPr>
          <w:p w14:paraId="04C56591"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23D60E12"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65E68A53"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58557E6C"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62DFE121"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49D39FD6"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61E5D971" w14:textId="77777777" w:rsidR="00852466" w:rsidRPr="00BC1096" w:rsidRDefault="00852466">
            <w:pPr>
              <w:rPr>
                <w:rFonts w:ascii="Arial Narrow" w:hAnsi="Arial Narrow"/>
                <w:sz w:val="20"/>
                <w:szCs w:val="20"/>
                <w14:ligatures w14:val="standardContextual"/>
              </w:rPr>
            </w:pPr>
          </w:p>
        </w:tc>
      </w:tr>
      <w:tr w:rsidR="00852466" w:rsidRPr="00691520" w14:paraId="7CCF9A0B"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6A7C223"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852466" w:rsidRPr="00691520" w14:paraId="4574D195"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3559653"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852466" w:rsidRPr="00691520" w14:paraId="65E30B4E"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D991C65" w14:textId="77777777" w:rsidR="00852466" w:rsidRPr="00BC1096" w:rsidRDefault="00852466">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Authority Required (in writing only via post/HPOS upload)</w:t>
            </w:r>
          </w:p>
        </w:tc>
      </w:tr>
      <w:tr w:rsidR="00852466" w:rsidRPr="00691520" w14:paraId="704E764B"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235AD84" w14:textId="77777777" w:rsidR="00852466" w:rsidRPr="007B4C04"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852466" w:rsidRPr="00691520" w14:paraId="300F03F9"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D1D172E" w14:textId="77777777" w:rsidR="00852466" w:rsidRPr="007B4C04"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Initial treatment </w:t>
            </w:r>
          </w:p>
        </w:tc>
      </w:tr>
      <w:tr w:rsidR="00852466" w:rsidRPr="00691520" w14:paraId="07CBA8F6"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left w:val="single" w:sz="4" w:space="0" w:color="auto"/>
              <w:right w:val="single" w:sz="4" w:space="0" w:color="auto"/>
            </w:tcBorders>
            <w:vAlign w:val="center"/>
          </w:tcPr>
          <w:p w14:paraId="4B182D24" w14:textId="77777777" w:rsidR="00852466" w:rsidRDefault="00852466">
            <w:pPr>
              <w:keepLines/>
              <w:rPr>
                <w:rFonts w:ascii="Arial Narrow" w:hAnsi="Arial Narrow"/>
                <w:b/>
                <w:bCs/>
                <w:sz w:val="20"/>
                <w:szCs w:val="20"/>
                <w14:ligatures w14:val="standardContextual"/>
              </w:rPr>
            </w:pPr>
          </w:p>
          <w:p w14:paraId="79889511" w14:textId="77777777" w:rsidR="00852466" w:rsidRPr="007B4C04" w:rsidRDefault="00852466">
            <w:pPr>
              <w:keepLines/>
              <w:rPr>
                <w:rFonts w:ascii="Arial Narrow" w:hAnsi="Arial Narrow"/>
                <w:b/>
                <w:bCs/>
                <w:sz w:val="20"/>
                <w:szCs w:val="20"/>
                <w14:ligatures w14:val="standardContextual"/>
              </w:rPr>
            </w:pPr>
          </w:p>
        </w:tc>
      </w:tr>
      <w:tr w:rsidR="00852466" w:rsidRPr="00691520" w14:paraId="29E4E37D"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B1D9B8B" w14:textId="77777777" w:rsidR="00852466" w:rsidRPr="007B4C04" w:rsidRDefault="00852466">
            <w:pPr>
              <w:keepLines/>
              <w:rPr>
                <w:rFonts w:ascii="Arial Narrow" w:hAnsi="Arial Narrow"/>
                <w:b/>
                <w:bCs/>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852466" w:rsidRPr="00691520" w14:paraId="5DED3F1E"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CF7EA88" w14:textId="77777777" w:rsidR="00852466" w:rsidRPr="007B4C04" w:rsidRDefault="00852466">
            <w:pPr>
              <w:keepLines/>
              <w:rPr>
                <w:rFonts w:ascii="Arial Narrow" w:hAnsi="Arial Narrow"/>
                <w:b/>
                <w:bCs/>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852466" w:rsidRPr="00691520" w14:paraId="6D327D9A"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19B4853"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Authority Required (telephone/online PBS Authorities system) </w:t>
            </w:r>
          </w:p>
        </w:tc>
      </w:tr>
      <w:tr w:rsidR="00852466" w:rsidRPr="00691520" w14:paraId="17C2702D"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5097B0D"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852466" w:rsidRPr="00691520" w14:paraId="1962018F"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95628A5"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852466" w:rsidRPr="00691520" w14:paraId="10523F2D"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FE28697"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852466" w:rsidRPr="00691520" w14:paraId="5FB401D4"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E4E5F8A"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852466" w:rsidRPr="00691520" w14:paraId="658388B7"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7B713E9"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Initial treatment - balance of supply</w:t>
            </w:r>
          </w:p>
        </w:tc>
      </w:tr>
    </w:tbl>
    <w:p w14:paraId="0220C1BB" w14:textId="77777777" w:rsidR="00852466" w:rsidRDefault="00852466" w:rsidP="00852466">
      <w:pPr>
        <w:rPr>
          <w:lang w:val="en-GB"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nthesitis/spondylitis related juvenile idiopathic arthritis (new listing)"/>
      </w:tblPr>
      <w:tblGrid>
        <w:gridCol w:w="3945"/>
        <w:gridCol w:w="811"/>
        <w:gridCol w:w="812"/>
        <w:gridCol w:w="811"/>
        <w:gridCol w:w="812"/>
        <w:gridCol w:w="1831"/>
        <w:gridCol w:w="7"/>
      </w:tblGrid>
      <w:tr w:rsidR="00852466" w:rsidRPr="00691520" w14:paraId="7DDC7143" w14:textId="77777777" w:rsidTr="00116AFD">
        <w:trPr>
          <w:gridAfter w:val="1"/>
          <w:wAfter w:w="7" w:type="dxa"/>
          <w:trHeight w:val="20"/>
        </w:trPr>
        <w:tc>
          <w:tcPr>
            <w:tcW w:w="3945" w:type="dxa"/>
            <w:vAlign w:val="center"/>
          </w:tcPr>
          <w:p w14:paraId="3DB4CFF7" w14:textId="77777777" w:rsidR="00852466" w:rsidRPr="00BC1096" w:rsidRDefault="00852466">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MEDICINAL PRODUCT</w:t>
            </w:r>
          </w:p>
          <w:p w14:paraId="5C9B16F0"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medicinal product pack</w:t>
            </w:r>
          </w:p>
        </w:tc>
        <w:tc>
          <w:tcPr>
            <w:tcW w:w="811" w:type="dxa"/>
            <w:vAlign w:val="center"/>
          </w:tcPr>
          <w:p w14:paraId="44CBEEB9"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PBS item code</w:t>
            </w:r>
          </w:p>
        </w:tc>
        <w:tc>
          <w:tcPr>
            <w:tcW w:w="812" w:type="dxa"/>
            <w:vAlign w:val="center"/>
          </w:tcPr>
          <w:p w14:paraId="5E91FA82"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packs</w:t>
            </w:r>
          </w:p>
        </w:tc>
        <w:tc>
          <w:tcPr>
            <w:tcW w:w="811" w:type="dxa"/>
            <w:vAlign w:val="center"/>
          </w:tcPr>
          <w:p w14:paraId="21443C1F"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units</w:t>
            </w:r>
          </w:p>
        </w:tc>
        <w:tc>
          <w:tcPr>
            <w:tcW w:w="812" w:type="dxa"/>
            <w:vAlign w:val="center"/>
          </w:tcPr>
          <w:p w14:paraId="51C34482"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№.of</w:t>
            </w:r>
          </w:p>
          <w:p w14:paraId="4B28017F" w14:textId="77777777" w:rsidR="00852466" w:rsidRPr="00BC1096" w:rsidRDefault="00852466">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Rpts</w:t>
            </w:r>
          </w:p>
        </w:tc>
        <w:tc>
          <w:tcPr>
            <w:tcW w:w="1831" w:type="dxa"/>
            <w:vAlign w:val="center"/>
          </w:tcPr>
          <w:p w14:paraId="58CE4FE9" w14:textId="77777777" w:rsidR="00852466" w:rsidRPr="00BC1096" w:rsidRDefault="00852466">
            <w:pPr>
              <w:keepLines/>
              <w:rPr>
                <w:rFonts w:ascii="Arial Narrow" w:hAnsi="Arial Narrow"/>
                <w:b/>
                <w:sz w:val="20"/>
                <w:szCs w:val="20"/>
                <w:lang w:val="fr-FR"/>
                <w14:ligatures w14:val="standardContextual"/>
              </w:rPr>
            </w:pPr>
            <w:r w:rsidRPr="00BC1096">
              <w:rPr>
                <w:rFonts w:ascii="Arial Narrow" w:hAnsi="Arial Narrow"/>
                <w:b/>
                <w:sz w:val="20"/>
                <w:szCs w:val="20"/>
                <w14:ligatures w14:val="standardContextual"/>
              </w:rPr>
              <w:t>Available brands</w:t>
            </w:r>
          </w:p>
        </w:tc>
      </w:tr>
      <w:tr w:rsidR="00852466" w:rsidRPr="00691520" w14:paraId="3CD49462" w14:textId="77777777" w:rsidTr="00116AFD">
        <w:trPr>
          <w:gridAfter w:val="1"/>
          <w:wAfter w:w="7" w:type="dxa"/>
          <w:trHeight w:val="20"/>
        </w:trPr>
        <w:tc>
          <w:tcPr>
            <w:tcW w:w="9022" w:type="dxa"/>
            <w:gridSpan w:val="6"/>
            <w:vAlign w:val="center"/>
          </w:tcPr>
          <w:p w14:paraId="0CF20C75"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w:t>
            </w:r>
          </w:p>
        </w:tc>
      </w:tr>
      <w:tr w:rsidR="00852466" w:rsidRPr="00691520" w14:paraId="0FD6ADB1" w14:textId="77777777" w:rsidTr="00116AFD">
        <w:trPr>
          <w:gridAfter w:val="1"/>
          <w:wAfter w:w="7" w:type="dxa"/>
          <w:trHeight w:val="20"/>
        </w:trPr>
        <w:tc>
          <w:tcPr>
            <w:tcW w:w="3945" w:type="dxa"/>
            <w:vAlign w:val="center"/>
          </w:tcPr>
          <w:p w14:paraId="424D5010"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20 mg/0.2 mL injection, 2 x 0.2 mL syringes</w:t>
            </w:r>
          </w:p>
        </w:tc>
        <w:tc>
          <w:tcPr>
            <w:tcW w:w="811" w:type="dxa"/>
            <w:vAlign w:val="center"/>
          </w:tcPr>
          <w:p w14:paraId="2B055533"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06A241C6"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19C1FDE8"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423670DE"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3D94C858"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558D7D9D" w14:textId="77777777" w:rsidTr="00116AFD">
        <w:trPr>
          <w:gridAfter w:val="1"/>
          <w:wAfter w:w="7" w:type="dxa"/>
          <w:trHeight w:val="20"/>
        </w:trPr>
        <w:tc>
          <w:tcPr>
            <w:tcW w:w="3945" w:type="dxa"/>
            <w:vAlign w:val="center"/>
          </w:tcPr>
          <w:p w14:paraId="39D20AFC"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syringes</w:t>
            </w:r>
          </w:p>
        </w:tc>
        <w:tc>
          <w:tcPr>
            <w:tcW w:w="811" w:type="dxa"/>
            <w:vAlign w:val="center"/>
          </w:tcPr>
          <w:p w14:paraId="49FC3B6A"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6C80317D"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0CF77C67"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0D6C35CA"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0B584CF8"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075DAE4F" w14:textId="77777777" w:rsidTr="00116AFD">
        <w:trPr>
          <w:gridAfter w:val="1"/>
          <w:wAfter w:w="7" w:type="dxa"/>
          <w:trHeight w:val="20"/>
        </w:trPr>
        <w:tc>
          <w:tcPr>
            <w:tcW w:w="3945" w:type="dxa"/>
            <w:vAlign w:val="center"/>
          </w:tcPr>
          <w:p w14:paraId="3018E0BB"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pen devices</w:t>
            </w:r>
          </w:p>
        </w:tc>
        <w:tc>
          <w:tcPr>
            <w:tcW w:w="811" w:type="dxa"/>
            <w:vAlign w:val="center"/>
          </w:tcPr>
          <w:p w14:paraId="4572209A"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46599667"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75EBBAD1"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6F6AD61D" w14:textId="77777777" w:rsidR="00852466" w:rsidRPr="00BC1096" w:rsidRDefault="00852466">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70A50FD7"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852466" w:rsidRPr="00691520" w14:paraId="5BCDCC66" w14:textId="77777777" w:rsidTr="00116AFD">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2FF4C246" w14:textId="77777777" w:rsidR="00852466" w:rsidRPr="00BC1096" w:rsidRDefault="00852466">
            <w:pPr>
              <w:rPr>
                <w:rFonts w:ascii="Arial Narrow" w:hAnsi="Arial Narrow"/>
                <w:sz w:val="20"/>
                <w:szCs w:val="20"/>
                <w14:ligatures w14:val="standardContextual"/>
              </w:rPr>
            </w:pPr>
          </w:p>
        </w:tc>
      </w:tr>
      <w:tr w:rsidR="00852466" w:rsidRPr="00691520" w14:paraId="5987EA28"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1273E26"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852466" w:rsidRPr="00691520" w14:paraId="76D84782"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E2EDCC5"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852466" w:rsidRPr="00691520" w14:paraId="399E075E" w14:textId="77777777" w:rsidTr="00116AFD">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23C2D2D" w14:textId="77777777" w:rsidR="00852466" w:rsidRPr="00BC1096" w:rsidRDefault="00852466">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Authority Required (</w:t>
            </w:r>
            <w:r>
              <w:rPr>
                <w:rFonts w:ascii="Arial Narrow" w:eastAsia="Calibri" w:hAnsi="Arial Narrow"/>
                <w:sz w:val="20"/>
                <w:szCs w:val="20"/>
                <w14:ligatures w14:val="standardContextual"/>
              </w:rPr>
              <w:t>STREAMLINED</w:t>
            </w:r>
            <w:r w:rsidRPr="00BC1096">
              <w:rPr>
                <w:rFonts w:ascii="Arial Narrow" w:eastAsia="Calibri" w:hAnsi="Arial Narrow"/>
                <w:sz w:val="20"/>
                <w:szCs w:val="20"/>
                <w14:ligatures w14:val="standardContextual"/>
              </w:rPr>
              <w:t>)</w:t>
            </w:r>
          </w:p>
        </w:tc>
      </w:tr>
      <w:tr w:rsidR="00852466" w:rsidRPr="00691520" w14:paraId="1221CB33"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E8D69D3"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852466" w:rsidRPr="00691520" w14:paraId="1E4C6BFB" w14:textId="77777777" w:rsidTr="00116AFD">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57D2DA2"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Continuing treatment</w:t>
            </w:r>
          </w:p>
        </w:tc>
      </w:tr>
    </w:tbl>
    <w:p w14:paraId="74D744A3" w14:textId="77777777" w:rsidR="00852466" w:rsidRDefault="00852466" w:rsidP="00852466">
      <w:pPr>
        <w:rPr>
          <w:lang w:val="en-GB"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nthesitis/spondylitis related juvenile idiopathic arthritis (new listing)"/>
      </w:tblPr>
      <w:tblGrid>
        <w:gridCol w:w="3944"/>
        <w:gridCol w:w="811"/>
        <w:gridCol w:w="812"/>
        <w:gridCol w:w="811"/>
        <w:gridCol w:w="812"/>
        <w:gridCol w:w="1832"/>
        <w:gridCol w:w="7"/>
      </w:tblGrid>
      <w:tr w:rsidR="00852466" w:rsidRPr="00691520" w14:paraId="7F27CDB6" w14:textId="77777777">
        <w:trPr>
          <w:gridAfter w:val="1"/>
          <w:wAfter w:w="7" w:type="dxa"/>
          <w:cantSplit/>
          <w:trHeight w:val="20"/>
        </w:trPr>
        <w:tc>
          <w:tcPr>
            <w:tcW w:w="3944" w:type="dxa"/>
            <w:vAlign w:val="center"/>
          </w:tcPr>
          <w:p w14:paraId="017113DC" w14:textId="77777777" w:rsidR="00852466" w:rsidRPr="00691520" w:rsidRDefault="00852466">
            <w:pPr>
              <w:keepLines/>
              <w:rPr>
                <w:rFonts w:ascii="Arial Narrow" w:hAnsi="Arial Narrow"/>
                <w:b/>
                <w:bCs/>
                <w:sz w:val="20"/>
                <w:szCs w:val="20"/>
                <w14:ligatures w14:val="standardContextual"/>
              </w:rPr>
            </w:pPr>
            <w:r w:rsidRPr="00691520">
              <w:rPr>
                <w:rFonts w:ascii="Arial Narrow" w:hAnsi="Arial Narrow"/>
                <w:b/>
                <w:bCs/>
                <w:sz w:val="20"/>
                <w:szCs w:val="20"/>
                <w14:ligatures w14:val="standardContextual"/>
              </w:rPr>
              <w:t>MEDICINAL PRODUCT</w:t>
            </w:r>
          </w:p>
          <w:p w14:paraId="6A138F19" w14:textId="77777777" w:rsidR="00852466" w:rsidRPr="00691520" w:rsidRDefault="00852466">
            <w:pPr>
              <w:keepLines/>
              <w:rPr>
                <w:rFonts w:ascii="Arial Narrow" w:hAnsi="Arial Narrow"/>
                <w:b/>
                <w:sz w:val="20"/>
                <w:szCs w:val="20"/>
                <w14:ligatures w14:val="standardContextual"/>
              </w:rPr>
            </w:pPr>
            <w:r w:rsidRPr="00691520">
              <w:rPr>
                <w:rFonts w:ascii="Arial Narrow" w:hAnsi="Arial Narrow"/>
                <w:b/>
                <w:bCs/>
                <w:sz w:val="20"/>
                <w:szCs w:val="20"/>
                <w14:ligatures w14:val="standardContextual"/>
              </w:rPr>
              <w:t>medicinal product pack</w:t>
            </w:r>
          </w:p>
        </w:tc>
        <w:tc>
          <w:tcPr>
            <w:tcW w:w="811" w:type="dxa"/>
            <w:vAlign w:val="center"/>
          </w:tcPr>
          <w:p w14:paraId="0B65AA6C" w14:textId="77777777" w:rsidR="00852466" w:rsidRPr="00691520" w:rsidRDefault="00852466">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PBS item code</w:t>
            </w:r>
          </w:p>
        </w:tc>
        <w:tc>
          <w:tcPr>
            <w:tcW w:w="812" w:type="dxa"/>
            <w:vAlign w:val="center"/>
          </w:tcPr>
          <w:p w14:paraId="5647A53C" w14:textId="77777777" w:rsidR="00852466" w:rsidRPr="00691520" w:rsidRDefault="00852466">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Max. qty packs</w:t>
            </w:r>
          </w:p>
        </w:tc>
        <w:tc>
          <w:tcPr>
            <w:tcW w:w="811" w:type="dxa"/>
            <w:vAlign w:val="center"/>
          </w:tcPr>
          <w:p w14:paraId="159ACAE3" w14:textId="77777777" w:rsidR="00852466" w:rsidRPr="00691520" w:rsidRDefault="00852466">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Max. qty units</w:t>
            </w:r>
          </w:p>
        </w:tc>
        <w:tc>
          <w:tcPr>
            <w:tcW w:w="812" w:type="dxa"/>
            <w:vAlign w:val="center"/>
          </w:tcPr>
          <w:p w14:paraId="6E662301" w14:textId="77777777" w:rsidR="00852466" w:rsidRPr="00691520" w:rsidRDefault="00852466">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№.of</w:t>
            </w:r>
          </w:p>
          <w:p w14:paraId="5F59D493" w14:textId="77777777" w:rsidR="00852466" w:rsidRPr="00691520" w:rsidRDefault="00852466">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Rpts</w:t>
            </w:r>
          </w:p>
        </w:tc>
        <w:tc>
          <w:tcPr>
            <w:tcW w:w="1832" w:type="dxa"/>
            <w:vAlign w:val="center"/>
          </w:tcPr>
          <w:p w14:paraId="143CE4F2" w14:textId="77777777" w:rsidR="00852466" w:rsidRPr="00691520" w:rsidRDefault="00852466">
            <w:pPr>
              <w:keepLines/>
              <w:rPr>
                <w:rFonts w:ascii="Arial Narrow" w:hAnsi="Arial Narrow"/>
                <w:b/>
                <w:sz w:val="20"/>
                <w:szCs w:val="20"/>
                <w:lang w:val="fr-FR"/>
                <w14:ligatures w14:val="standardContextual"/>
              </w:rPr>
            </w:pPr>
            <w:r w:rsidRPr="00691520">
              <w:rPr>
                <w:rFonts w:ascii="Arial Narrow" w:hAnsi="Arial Narrow"/>
                <w:b/>
                <w:sz w:val="20"/>
                <w:szCs w:val="20"/>
                <w14:ligatures w14:val="standardContextual"/>
              </w:rPr>
              <w:t>Available brands</w:t>
            </w:r>
          </w:p>
        </w:tc>
      </w:tr>
      <w:tr w:rsidR="00852466" w:rsidRPr="00691520" w14:paraId="1B5EE514" w14:textId="77777777">
        <w:trPr>
          <w:gridAfter w:val="1"/>
          <w:wAfter w:w="7" w:type="dxa"/>
          <w:cantSplit/>
          <w:trHeight w:val="20"/>
        </w:trPr>
        <w:tc>
          <w:tcPr>
            <w:tcW w:w="9022" w:type="dxa"/>
            <w:gridSpan w:val="6"/>
            <w:vAlign w:val="center"/>
          </w:tcPr>
          <w:p w14:paraId="350BA8FE"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w:t>
            </w:r>
          </w:p>
        </w:tc>
      </w:tr>
      <w:tr w:rsidR="00852466" w:rsidRPr="00691520" w14:paraId="1449742B" w14:textId="77777777">
        <w:trPr>
          <w:gridAfter w:val="1"/>
          <w:wAfter w:w="7" w:type="dxa"/>
          <w:cantSplit/>
          <w:trHeight w:val="20"/>
        </w:trPr>
        <w:tc>
          <w:tcPr>
            <w:tcW w:w="3944" w:type="dxa"/>
            <w:vAlign w:val="center"/>
          </w:tcPr>
          <w:p w14:paraId="2286EAB6"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20 mg/0.2 mL injection, 2 x 0.2 mL syringes</w:t>
            </w:r>
          </w:p>
        </w:tc>
        <w:tc>
          <w:tcPr>
            <w:tcW w:w="811" w:type="dxa"/>
            <w:vAlign w:val="center"/>
          </w:tcPr>
          <w:p w14:paraId="2CE715AB"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38371AE3"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350F412B"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2543EC22"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39C6A234"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852466" w:rsidRPr="00691520" w14:paraId="2E3D59CB" w14:textId="77777777">
        <w:trPr>
          <w:gridAfter w:val="1"/>
          <w:wAfter w:w="7" w:type="dxa"/>
          <w:cantSplit/>
          <w:trHeight w:val="20"/>
        </w:trPr>
        <w:tc>
          <w:tcPr>
            <w:tcW w:w="3944" w:type="dxa"/>
            <w:vAlign w:val="center"/>
          </w:tcPr>
          <w:p w14:paraId="60FA4FD7"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40 mg/0.4 mL injection, 2 x 0.4 mL syringes</w:t>
            </w:r>
          </w:p>
        </w:tc>
        <w:tc>
          <w:tcPr>
            <w:tcW w:w="811" w:type="dxa"/>
            <w:vAlign w:val="center"/>
          </w:tcPr>
          <w:p w14:paraId="7DD5CA1C"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0DB7A0AA"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589B6369"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5C41A230"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5CF7EC9E"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852466" w:rsidRPr="00691520" w14:paraId="26290497" w14:textId="77777777">
        <w:trPr>
          <w:gridAfter w:val="1"/>
          <w:wAfter w:w="7" w:type="dxa"/>
          <w:cantSplit/>
          <w:trHeight w:val="20"/>
        </w:trPr>
        <w:tc>
          <w:tcPr>
            <w:tcW w:w="3944" w:type="dxa"/>
            <w:vAlign w:val="center"/>
          </w:tcPr>
          <w:p w14:paraId="02AA85E9"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40 mg/0.4 mL injection, 2 x 0.4 mL pen devices</w:t>
            </w:r>
          </w:p>
        </w:tc>
        <w:tc>
          <w:tcPr>
            <w:tcW w:w="811" w:type="dxa"/>
            <w:vAlign w:val="center"/>
          </w:tcPr>
          <w:p w14:paraId="62DFE1DB"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41E880D4"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0FA30F93"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7D99239C" w14:textId="77777777" w:rsidR="00852466" w:rsidRPr="00691520" w:rsidRDefault="00852466">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76F81420" w14:textId="77777777" w:rsidR="00852466" w:rsidRPr="00691520" w:rsidRDefault="00852466">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852466" w:rsidRPr="00691520" w14:paraId="72AE5298" w14:textId="77777777">
        <w:trPr>
          <w:gridAfter w:val="1"/>
          <w:wAfter w:w="7" w:type="dxa"/>
          <w:cantSplit/>
          <w:trHeight w:val="20"/>
        </w:trPr>
        <w:tc>
          <w:tcPr>
            <w:tcW w:w="9022" w:type="dxa"/>
            <w:gridSpan w:val="6"/>
            <w:vAlign w:val="center"/>
          </w:tcPr>
          <w:p w14:paraId="0EA1DD2A" w14:textId="77777777" w:rsidR="00852466" w:rsidRPr="00691520" w:rsidRDefault="00852466">
            <w:pPr>
              <w:keepLines/>
              <w:rPr>
                <w:rFonts w:ascii="Arial Narrow" w:hAnsi="Arial Narrow"/>
                <w:sz w:val="20"/>
                <w:szCs w:val="20"/>
                <w14:ligatures w14:val="standardContextual"/>
              </w:rPr>
            </w:pPr>
          </w:p>
        </w:tc>
      </w:tr>
      <w:tr w:rsidR="00852466" w:rsidRPr="00691520" w14:paraId="32C6A5B5"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4A39638" w14:textId="77777777" w:rsidR="00852466" w:rsidRPr="00BC1096" w:rsidRDefault="00852466">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852466" w:rsidRPr="00691520" w14:paraId="0459E995"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9CFCF8C" w14:textId="77777777" w:rsidR="00852466" w:rsidRPr="00BC1096" w:rsidRDefault="00852466">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852466" w:rsidRPr="00691520" w14:paraId="4B2E775F" w14:textId="7777777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862A3B1" w14:textId="77777777" w:rsidR="00852466" w:rsidRPr="00BC1096" w:rsidRDefault="00852466">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Authority Required (telephone/online PBS Authorities system) </w:t>
            </w:r>
          </w:p>
        </w:tc>
      </w:tr>
      <w:tr w:rsidR="00852466" w:rsidRPr="00691520" w14:paraId="163B6A8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0A64895" w14:textId="77777777" w:rsidR="00852466" w:rsidRPr="00BC1096"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852466" w:rsidRPr="00691520" w14:paraId="1C487AA3"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0717956" w14:textId="77777777" w:rsidR="00852466" w:rsidRPr="00BC1096"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852466" w:rsidRPr="00691520" w14:paraId="3982D4C6"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3958101" w14:textId="77777777" w:rsidR="00852466" w:rsidRPr="00BC1096"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852466" w:rsidRPr="00691520" w14:paraId="32BE15F7" w14:textId="77777777">
        <w:tblPrEx>
          <w:tblCellMar>
            <w:top w:w="15" w:type="dxa"/>
            <w:bottom w:w="15" w:type="dxa"/>
          </w:tblCellMar>
        </w:tblPrEx>
        <w:trPr>
          <w:cantSplit/>
          <w:trHeight w:val="20"/>
        </w:trPr>
        <w:tc>
          <w:tcPr>
            <w:tcW w:w="9029" w:type="dxa"/>
            <w:gridSpan w:val="7"/>
            <w:vAlign w:val="center"/>
            <w:hideMark/>
          </w:tcPr>
          <w:p w14:paraId="6B29841C" w14:textId="77777777" w:rsidR="00852466" w:rsidRPr="00BC1096" w:rsidRDefault="00852466">
            <w:pPr>
              <w:rPr>
                <w:rFonts w:ascii="Arial Narrow" w:hAnsi="Arial Narrow"/>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852466" w:rsidRPr="00691520" w14:paraId="3AD8F832"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15D7EDF" w14:textId="77777777" w:rsidR="00852466" w:rsidRPr="00BC1096" w:rsidRDefault="00852466">
            <w:pPr>
              <w:rPr>
                <w:rFonts w:ascii="Arial Narrow" w:hAnsi="Arial Narrow"/>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Continuing treatment - balance of supply</w:t>
            </w:r>
          </w:p>
        </w:tc>
      </w:tr>
      <w:tr w:rsidR="00852466" w:rsidRPr="00691520" w14:paraId="0158BF60" w14:textId="7777777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30B65F12" w14:textId="77777777" w:rsidR="00852466" w:rsidRDefault="00852466">
            <w:pPr>
              <w:rPr>
                <w:rFonts w:ascii="Arial Narrow" w:hAnsi="Arial Narrow"/>
                <w:b/>
                <w:bCs/>
                <w:sz w:val="20"/>
                <w:szCs w:val="20"/>
                <w14:ligatures w14:val="standardContextual"/>
              </w:rPr>
            </w:pPr>
          </w:p>
          <w:p w14:paraId="5F6A0543" w14:textId="77777777" w:rsidR="00852466" w:rsidRPr="00554BBC" w:rsidRDefault="00852466">
            <w:pPr>
              <w:rPr>
                <w:rFonts w:ascii="Arial Narrow" w:hAnsi="Arial Narrow"/>
                <w:b/>
                <w:bCs/>
                <w:sz w:val="20"/>
                <w:szCs w:val="20"/>
                <w14:ligatures w14:val="standardContextual"/>
              </w:rPr>
            </w:pPr>
          </w:p>
        </w:tc>
      </w:tr>
      <w:tr w:rsidR="00852466" w:rsidRPr="00691520" w14:paraId="0AF8052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4B265CB"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Category / Program:</w:t>
            </w:r>
            <w:r w:rsidRPr="00BC1096">
              <w:rPr>
                <w:rFonts w:ascii="Arial Narrow" w:hAnsi="Arial Narrow"/>
                <w:sz w:val="20"/>
                <w:szCs w:val="20"/>
                <w:lang w:eastAsia="en-US"/>
                <w14:ligatures w14:val="standardContextual"/>
              </w:rPr>
              <w:t xml:space="preserve"> </w:t>
            </w:r>
            <w:r w:rsidRPr="00BC1096">
              <w:rPr>
                <w:rFonts w:ascii="Arial Narrow" w:eastAsia="Calibri"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lang w:eastAsia="en-US"/>
                <w14:ligatures w14:val="standardContextual"/>
              </w:rPr>
              <w:instrText xml:space="preserve"> FORMCHECKBOX </w:instrText>
            </w:r>
            <w:r w:rsidRPr="00BC1096">
              <w:rPr>
                <w:rFonts w:ascii="Arial Narrow" w:eastAsia="Calibri" w:hAnsi="Arial Narrow"/>
                <w:sz w:val="20"/>
                <w:szCs w:val="20"/>
                <w:lang w:eastAsia="en-US"/>
                <w14:ligatures w14:val="standardContextual"/>
              </w:rPr>
            </w:r>
            <w:r w:rsidRPr="00BC1096">
              <w:rPr>
                <w:rFonts w:ascii="Arial Narrow" w:eastAsia="Calibri" w:hAnsi="Arial Narrow"/>
                <w:sz w:val="20"/>
                <w:szCs w:val="20"/>
                <w:lang w:eastAsia="en-US"/>
                <w14:ligatures w14:val="standardContextual"/>
              </w:rPr>
              <w:fldChar w:fldCharType="separate"/>
            </w:r>
            <w:r w:rsidRPr="00BC1096">
              <w:rPr>
                <w:rFonts w:ascii="Arial Narrow" w:eastAsia="Calibri" w:hAnsi="Arial Narrow"/>
                <w:sz w:val="20"/>
                <w:szCs w:val="20"/>
                <w:lang w:eastAsia="en-US"/>
                <w14:ligatures w14:val="standardContextual"/>
              </w:rPr>
              <w:fldChar w:fldCharType="end"/>
            </w:r>
            <w:r w:rsidRPr="00BC1096">
              <w:rPr>
                <w:rFonts w:ascii="Arial Narrow" w:eastAsia="Calibri" w:hAnsi="Arial Narrow"/>
                <w:sz w:val="20"/>
                <w:szCs w:val="20"/>
                <w:lang w:eastAsia="en-US"/>
                <w14:ligatures w14:val="standardContextual"/>
              </w:rPr>
              <w:t xml:space="preserve"> GENERAL - General Schedule (Code GE) </w:t>
            </w:r>
          </w:p>
        </w:tc>
      </w:tr>
      <w:tr w:rsidR="00852466" w:rsidRPr="00691520" w14:paraId="7E8FF1A5"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7E95C89"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 xml:space="preserve">Prescriber type: </w:t>
            </w:r>
            <w:r w:rsidRPr="00BC1096">
              <w:rPr>
                <w:rFonts w:ascii="Arial Narrow"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lang w:eastAsia="en-US"/>
                <w14:ligatures w14:val="standardContextual"/>
              </w:rPr>
              <w:instrText xml:space="preserve"> FORMCHECKBOX </w:instrText>
            </w:r>
            <w:r w:rsidRPr="00BC1096">
              <w:rPr>
                <w:rFonts w:ascii="Arial Narrow" w:hAnsi="Arial Narrow"/>
                <w:sz w:val="20"/>
                <w:szCs w:val="20"/>
                <w:lang w:eastAsia="en-US"/>
                <w14:ligatures w14:val="standardContextual"/>
              </w:rPr>
            </w:r>
            <w:r w:rsidRPr="00BC1096">
              <w:rPr>
                <w:rFonts w:ascii="Arial Narrow" w:hAnsi="Arial Narrow"/>
                <w:sz w:val="20"/>
                <w:szCs w:val="20"/>
                <w:lang w:eastAsia="en-US"/>
                <w14:ligatures w14:val="standardContextual"/>
              </w:rPr>
              <w:fldChar w:fldCharType="separate"/>
            </w:r>
            <w:r w:rsidRPr="00BC1096">
              <w:rPr>
                <w:rFonts w:ascii="Arial Narrow" w:hAnsi="Arial Narrow"/>
                <w:sz w:val="20"/>
                <w:szCs w:val="20"/>
                <w:lang w:eastAsia="en-US"/>
                <w14:ligatures w14:val="standardContextual"/>
              </w:rPr>
              <w:fldChar w:fldCharType="end"/>
            </w:r>
            <w:r w:rsidRPr="00BC1096">
              <w:rPr>
                <w:rFonts w:ascii="Arial Narrow" w:hAnsi="Arial Narrow"/>
                <w:sz w:val="20"/>
                <w:szCs w:val="20"/>
                <w:lang w:eastAsia="en-US"/>
                <w14:ligatures w14:val="standardContextual"/>
              </w:rPr>
              <w:t xml:space="preserve">Medical Practitioners </w:t>
            </w:r>
          </w:p>
        </w:tc>
      </w:tr>
      <w:tr w:rsidR="00852466" w:rsidRPr="00691520" w14:paraId="053A1DD9"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3364D23"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 xml:space="preserve">Restriction type: </w:t>
            </w:r>
            <w:r w:rsidRPr="00BC1096">
              <w:rPr>
                <w:rFonts w:ascii="Arial Narrow" w:eastAsia="Calibri"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lang w:eastAsia="en-US"/>
                <w14:ligatures w14:val="standardContextual"/>
              </w:rPr>
              <w:instrText xml:space="preserve"> FORMCHECKBOX </w:instrText>
            </w:r>
            <w:r w:rsidRPr="00BC1096">
              <w:rPr>
                <w:rFonts w:ascii="Arial Narrow" w:eastAsia="Calibri" w:hAnsi="Arial Narrow"/>
                <w:sz w:val="20"/>
                <w:szCs w:val="20"/>
                <w:lang w:eastAsia="en-US"/>
                <w14:ligatures w14:val="standardContextual"/>
              </w:rPr>
            </w:r>
            <w:r w:rsidRPr="00BC1096">
              <w:rPr>
                <w:rFonts w:ascii="Arial Narrow" w:eastAsia="Calibri" w:hAnsi="Arial Narrow"/>
                <w:sz w:val="20"/>
                <w:szCs w:val="20"/>
                <w:lang w:eastAsia="en-US"/>
                <w14:ligatures w14:val="standardContextual"/>
              </w:rPr>
              <w:fldChar w:fldCharType="separate"/>
            </w:r>
            <w:r w:rsidRPr="00BC1096">
              <w:rPr>
                <w:rFonts w:ascii="Arial Narrow" w:eastAsia="Calibri" w:hAnsi="Arial Narrow"/>
                <w:sz w:val="20"/>
                <w:szCs w:val="20"/>
                <w:lang w:eastAsia="en-US"/>
                <w14:ligatures w14:val="standardContextual"/>
              </w:rPr>
              <w:fldChar w:fldCharType="end"/>
            </w:r>
            <w:r w:rsidRPr="00BC1096">
              <w:rPr>
                <w:rFonts w:ascii="Arial Narrow" w:eastAsia="Calibri" w:hAnsi="Arial Narrow"/>
                <w:sz w:val="20"/>
                <w:szCs w:val="20"/>
                <w:lang w:eastAsia="en-US"/>
                <w14:ligatures w14:val="standardContextual"/>
              </w:rPr>
              <w:t>Authority Required (in writing only via post/HPOS upload)</w:t>
            </w:r>
          </w:p>
        </w:tc>
      </w:tr>
      <w:tr w:rsidR="00852466" w:rsidRPr="00691520" w14:paraId="5372E14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97B120"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852466" w:rsidRPr="00691520" w14:paraId="4CE30E58"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3A4E84"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852466" w:rsidRPr="00691520" w14:paraId="45397B5A"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DAA317E"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852466" w:rsidRPr="00691520" w14:paraId="6950827E"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93DF799"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bCs/>
                <w:sz w:val="20"/>
                <w:szCs w:val="20"/>
                <w:lang w:eastAsia="en-US"/>
                <w14:ligatures w14:val="standardContextual"/>
              </w:rPr>
              <w:t>Indication:</w:t>
            </w:r>
            <w:r w:rsidRPr="00BC1096">
              <w:rPr>
                <w:rFonts w:ascii="Arial Narrow" w:hAnsi="Arial Narrow"/>
                <w:sz w:val="20"/>
                <w:szCs w:val="20"/>
                <w:lang w:eastAsia="en-US"/>
                <w14:ligatures w14:val="standardContextual"/>
              </w:rPr>
              <w:t xml:space="preserve"> Enthesitis/spondylitis related juvenile idiopathic arthritis</w:t>
            </w:r>
          </w:p>
        </w:tc>
      </w:tr>
      <w:tr w:rsidR="00852466" w:rsidRPr="00691520" w14:paraId="4F2F1990" w14:textId="7777777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0AB1AC7" w14:textId="77777777" w:rsidR="00852466" w:rsidRPr="00554BBC" w:rsidRDefault="00852466">
            <w:pPr>
              <w:rPr>
                <w:rFonts w:ascii="Arial Narrow" w:hAnsi="Arial Narrow"/>
                <w:b/>
                <w:bCs/>
                <w:sz w:val="20"/>
                <w:szCs w:val="20"/>
                <w14:ligatures w14:val="standardContextual"/>
              </w:rPr>
            </w:pPr>
            <w:r w:rsidRPr="00BC1096">
              <w:rPr>
                <w:rFonts w:ascii="Arial Narrow" w:hAnsi="Arial Narrow"/>
                <w:b/>
                <w:bCs/>
                <w:sz w:val="20"/>
                <w:szCs w:val="20"/>
                <w:lang w:eastAsia="en-US"/>
                <w14:ligatures w14:val="standardContextual"/>
              </w:rPr>
              <w:t>Treatment Phase:</w:t>
            </w:r>
            <w:r w:rsidRPr="00BC1096">
              <w:rPr>
                <w:rFonts w:ascii="Arial Narrow" w:hAnsi="Arial Narrow"/>
                <w:sz w:val="20"/>
                <w:szCs w:val="20"/>
                <w:lang w:eastAsia="en-US"/>
                <w14:ligatures w14:val="standardContextual"/>
              </w:rPr>
              <w:t xml:space="preserve"> Transitioning from non-PBS to PBS-subsidised treatment - Grandfather arrangements</w:t>
            </w:r>
          </w:p>
        </w:tc>
      </w:tr>
    </w:tbl>
    <w:p w14:paraId="5CF477E9" w14:textId="77777777" w:rsidR="00852466" w:rsidRDefault="00852466" w:rsidP="00852466">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29A9143E" w14:textId="77777777" w:rsidR="00852466" w:rsidRDefault="00852466" w:rsidP="00852466">
      <w:pPr>
        <w:pStyle w:val="2-SectionHeading"/>
        <w:numPr>
          <w:ilvl w:val="0"/>
          <w:numId w:val="2"/>
        </w:numPr>
        <w:rPr>
          <w:bCs/>
          <w:lang w:val="en-GB"/>
        </w:rPr>
      </w:pPr>
      <w:r w:rsidRPr="00C07617">
        <w:t>Context for Decision</w:t>
      </w:r>
    </w:p>
    <w:p w14:paraId="567A45E5" w14:textId="77777777" w:rsidR="00852466" w:rsidRPr="00311EEF" w:rsidRDefault="00852466" w:rsidP="00852466">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D844F3" w14:textId="77777777" w:rsidR="00852466" w:rsidRPr="00311EEF" w:rsidRDefault="00852466" w:rsidP="00852466">
      <w:pPr>
        <w:pStyle w:val="2-SectionHeading"/>
        <w:numPr>
          <w:ilvl w:val="0"/>
          <w:numId w:val="2"/>
        </w:numPr>
      </w:pPr>
      <w:r w:rsidRPr="00311EEF">
        <w:t>Sponsor’s Comment</w:t>
      </w:r>
    </w:p>
    <w:p w14:paraId="22D9E131" w14:textId="77777777" w:rsidR="00852466" w:rsidRPr="002826AC" w:rsidRDefault="00852466" w:rsidP="00852466">
      <w:pPr>
        <w:pStyle w:val="3Bodytext"/>
        <w:numPr>
          <w:ilvl w:val="0"/>
          <w:numId w:val="0"/>
        </w:numPr>
        <w:ind w:left="720"/>
      </w:pPr>
      <w:r w:rsidRPr="00A46567">
        <w:rPr>
          <w:lang w:val="en-GB"/>
        </w:rPr>
        <w:t>AbbVie welcomes the PBAC’s recommendation to expand access to adalimumab and other advanced treatments for children with psoriasis, juvenile arthritis, and inflammatory bowel disease, while also acknowledging the extensive consultation undertaken by both AbbVie and the Department of Health throughout the course of this submission. We would like to thank the clinicians, organisations, patients and family members who have shared their expertise, experience, and support through the preparation, evaluation, and broader consumer consultation process for this submission. AbbVie remains committed to working closely with all stakeholders to ensure the final restrictions are clinically appropriate and address the existing problems and inequities in access for paediatric patients.</w:t>
      </w:r>
    </w:p>
    <w:p w14:paraId="4A650157" w14:textId="19382455" w:rsidR="00BF2B9B" w:rsidRDefault="00BF2B9B">
      <w:pPr>
        <w:jc w:val="left"/>
        <w:rPr>
          <w:rFonts w:asciiTheme="minorHAnsi" w:hAnsiTheme="minorHAnsi" w:cs="Arial"/>
          <w:b/>
          <w:i/>
          <w:iCs/>
          <w:snapToGrid w:val="0"/>
          <w:lang w:val="en-GB"/>
        </w:rPr>
      </w:pPr>
      <w:bookmarkStart w:id="8" w:name="_Toc107902078"/>
      <w:bookmarkEnd w:id="0"/>
      <w:bookmarkEnd w:id="8"/>
      <w:r>
        <w:rPr>
          <w:rFonts w:asciiTheme="minorHAnsi" w:hAnsiTheme="minorHAnsi" w:cs="Arial"/>
          <w:b/>
          <w:i/>
          <w:iCs/>
          <w:snapToGrid w:val="0"/>
          <w:lang w:val="en-GB"/>
        </w:rPr>
        <w:br w:type="page"/>
      </w:r>
    </w:p>
    <w:p w14:paraId="19D68050" w14:textId="77777777" w:rsidR="0088597A" w:rsidRDefault="0088597A" w:rsidP="007A662D">
      <w:pPr>
        <w:spacing w:before="120"/>
        <w:rPr>
          <w:rFonts w:asciiTheme="minorHAnsi" w:hAnsiTheme="minorHAnsi" w:cs="Arial"/>
          <w:b/>
          <w:i/>
          <w:iCs/>
          <w:snapToGrid w:val="0"/>
          <w:lang w:val="en-GB"/>
        </w:rPr>
      </w:pPr>
    </w:p>
    <w:p w14:paraId="05EE9F55" w14:textId="77777777" w:rsidR="0088597A" w:rsidRDefault="0088597A" w:rsidP="007A662D">
      <w:pPr>
        <w:spacing w:before="120"/>
        <w:rPr>
          <w:rFonts w:asciiTheme="minorHAnsi" w:hAnsiTheme="minorHAnsi" w:cs="Arial"/>
          <w:b/>
          <w:i/>
          <w:iCs/>
          <w:snapToGrid w:val="0"/>
          <w:lang w:val="en-GB"/>
        </w:rPr>
      </w:pPr>
    </w:p>
    <w:p w14:paraId="4A2A43E8" w14:textId="4BF9CE53" w:rsidR="0088597A" w:rsidRPr="002F0440" w:rsidRDefault="0088597A" w:rsidP="0088597A">
      <w:pPr>
        <w:pStyle w:val="1-MainHeading"/>
        <w:spacing w:before="0"/>
        <w:rPr>
          <w:color w:val="FF0000"/>
          <w:sz w:val="28"/>
          <w:szCs w:val="28"/>
        </w:rPr>
      </w:pPr>
      <w:r>
        <w:rPr>
          <w:color w:val="FF0000"/>
          <w:sz w:val="28"/>
          <w:szCs w:val="28"/>
        </w:rPr>
        <w:t xml:space="preserve">Addendum to the March 2024 PBAC </w:t>
      </w:r>
      <w:r w:rsidR="006921C1">
        <w:rPr>
          <w:color w:val="FF0000"/>
          <w:sz w:val="28"/>
          <w:szCs w:val="28"/>
        </w:rPr>
        <w:t>PSD</w:t>
      </w:r>
      <w:r>
        <w:rPr>
          <w:color w:val="FF0000"/>
          <w:sz w:val="28"/>
          <w:szCs w:val="28"/>
        </w:rPr>
        <w:t>:</w:t>
      </w:r>
    </w:p>
    <w:p w14:paraId="34BE1AD1" w14:textId="1D6F344E" w:rsidR="0088597A" w:rsidRPr="002826AC" w:rsidRDefault="00BF2B9B" w:rsidP="0088597A">
      <w:pPr>
        <w:pStyle w:val="1-MainHeading"/>
        <w:spacing w:before="0" w:after="0"/>
      </w:pPr>
      <w:r>
        <w:t>1</w:t>
      </w:r>
      <w:r w:rsidR="0088597A">
        <w:t>4</w:t>
      </w:r>
      <w:r w:rsidR="0088597A" w:rsidRPr="00A6439B">
        <w:t>.</w:t>
      </w:r>
      <w:r w:rsidR="0088597A">
        <w:t>0</w:t>
      </w:r>
      <w:r>
        <w:t xml:space="preserve">5 </w:t>
      </w:r>
      <w:r w:rsidR="0088597A" w:rsidRPr="002826AC">
        <w:t>ADALIMUMAB,</w:t>
      </w:r>
    </w:p>
    <w:p w14:paraId="7C17A3D5" w14:textId="2DF2C1C9" w:rsidR="0088597A" w:rsidRPr="00A6439B" w:rsidRDefault="00BF2B9B" w:rsidP="0088597A">
      <w:pPr>
        <w:pStyle w:val="1-MainHeading"/>
        <w:spacing w:before="0" w:after="0"/>
        <w:ind w:firstLine="0"/>
      </w:pPr>
      <w:r>
        <w:t xml:space="preserve">   </w:t>
      </w:r>
      <w:r w:rsidR="0088597A" w:rsidRPr="002826AC">
        <w:t>Injection 20 mg in 0.2 mL pre-filled syringe,</w:t>
      </w:r>
      <w:r w:rsidR="0088597A" w:rsidRPr="002826AC">
        <w:br/>
      </w:r>
      <w:r>
        <w:t xml:space="preserve">   </w:t>
      </w:r>
      <w:r w:rsidR="0088597A" w:rsidRPr="002826AC">
        <w:t>Injection 40 mg in 0.4 mL pre-filled syringe,</w:t>
      </w:r>
      <w:r w:rsidR="0088597A" w:rsidRPr="002826AC">
        <w:br/>
      </w:r>
      <w:r>
        <w:t xml:space="preserve">   I</w:t>
      </w:r>
      <w:r w:rsidR="0088597A" w:rsidRPr="002826AC">
        <w:t>njection 40 mg in 0.4 mL pre-filled pen,</w:t>
      </w:r>
      <w:r w:rsidR="0088597A" w:rsidRPr="002826AC">
        <w:br/>
      </w:r>
      <w:r>
        <w:t xml:space="preserve">   </w:t>
      </w:r>
      <w:r w:rsidR="0088597A" w:rsidRPr="002826AC">
        <w:t>Humira</w:t>
      </w:r>
      <w:r w:rsidR="0088597A" w:rsidRPr="002826AC">
        <w:rPr>
          <w:vertAlign w:val="superscript"/>
        </w:rPr>
        <w:t>®</w:t>
      </w:r>
      <w:r w:rsidR="0088597A" w:rsidRPr="002826AC">
        <w:t>,</w:t>
      </w:r>
      <w:r w:rsidR="0088597A" w:rsidRPr="002826AC">
        <w:br/>
      </w:r>
      <w:r>
        <w:t xml:space="preserve">   </w:t>
      </w:r>
      <w:r w:rsidR="0088597A" w:rsidRPr="002826AC">
        <w:t xml:space="preserve">AbbVie Pty Ltd. </w:t>
      </w:r>
    </w:p>
    <w:p w14:paraId="31F50F67" w14:textId="77777777" w:rsidR="0088597A" w:rsidRPr="00A6439B" w:rsidRDefault="0088597A" w:rsidP="0088597A">
      <w:pPr>
        <w:pStyle w:val="2-SectionHeading"/>
        <w:numPr>
          <w:ilvl w:val="0"/>
          <w:numId w:val="2"/>
        </w:numPr>
        <w:rPr>
          <w:rFonts w:cstheme="minorHAnsi"/>
          <w:color w:val="FF0000"/>
        </w:rPr>
      </w:pPr>
      <w:r w:rsidRPr="00A6439B">
        <w:t xml:space="preserve">Purpose of Submission </w:t>
      </w:r>
    </w:p>
    <w:p w14:paraId="4B23A8FC" w14:textId="6C5A3D29" w:rsidR="001175D0" w:rsidRDefault="001175D0" w:rsidP="001175D0">
      <w:pPr>
        <w:pStyle w:val="ListParagraph"/>
        <w:widowControl w:val="0"/>
        <w:numPr>
          <w:ilvl w:val="1"/>
          <w:numId w:val="2"/>
        </w:numPr>
        <w:snapToGrid w:val="0"/>
        <w:spacing w:after="240"/>
        <w:ind w:left="861"/>
        <w:jc w:val="both"/>
        <w:rPr>
          <w:szCs w:val="18"/>
        </w:rPr>
      </w:pPr>
      <w:bookmarkStart w:id="9" w:name="_Hlk100239252"/>
      <w:bookmarkStart w:id="10" w:name="_Hlk100239231"/>
      <w:r w:rsidRPr="001D0477">
        <w:rPr>
          <w:szCs w:val="18"/>
        </w:rPr>
        <w:t xml:space="preserve">To </w:t>
      </w:r>
      <w:r>
        <w:rPr>
          <w:szCs w:val="18"/>
        </w:rPr>
        <w:t>seek the</w:t>
      </w:r>
      <w:r w:rsidRPr="001D0477">
        <w:rPr>
          <w:szCs w:val="18"/>
        </w:rPr>
        <w:t xml:space="preserve"> </w:t>
      </w:r>
      <w:r>
        <w:rPr>
          <w:szCs w:val="18"/>
        </w:rPr>
        <w:t>PBAC’s advice regarding</w:t>
      </w:r>
      <w:r w:rsidR="00CE3BC9">
        <w:rPr>
          <w:szCs w:val="18"/>
        </w:rPr>
        <w:t xml:space="preserve"> a</w:t>
      </w:r>
      <w:r>
        <w:rPr>
          <w:szCs w:val="18"/>
        </w:rPr>
        <w:t xml:space="preserve"> request from the Australasian College of Dermatologists (ACD), to change the authority requirements for adalimumab for first continuing treatment of paediatric chronic plaque psoriasis (CPP).</w:t>
      </w:r>
    </w:p>
    <w:p w14:paraId="3216B7D2" w14:textId="761083A7" w:rsidR="001175D0" w:rsidRDefault="001175D0" w:rsidP="001175D0">
      <w:pPr>
        <w:pStyle w:val="ListParagraph"/>
        <w:widowControl w:val="0"/>
        <w:numPr>
          <w:ilvl w:val="1"/>
          <w:numId w:val="2"/>
        </w:numPr>
        <w:snapToGrid w:val="0"/>
        <w:spacing w:after="240"/>
        <w:ind w:left="861"/>
        <w:jc w:val="both"/>
        <w:rPr>
          <w:szCs w:val="18"/>
        </w:rPr>
      </w:pPr>
      <w:r w:rsidRPr="001D0477">
        <w:rPr>
          <w:szCs w:val="18"/>
        </w:rPr>
        <w:t xml:space="preserve">To </w:t>
      </w:r>
      <w:r>
        <w:rPr>
          <w:szCs w:val="18"/>
        </w:rPr>
        <w:t xml:space="preserve">seek </w:t>
      </w:r>
      <w:r w:rsidRPr="001D0477">
        <w:rPr>
          <w:szCs w:val="18"/>
        </w:rPr>
        <w:t xml:space="preserve">the </w:t>
      </w:r>
      <w:r>
        <w:rPr>
          <w:szCs w:val="18"/>
        </w:rPr>
        <w:t xml:space="preserve">PBAC’s advice regarding </w:t>
      </w:r>
      <w:r w:rsidR="00CE3BC9">
        <w:rPr>
          <w:szCs w:val="18"/>
        </w:rPr>
        <w:t>a</w:t>
      </w:r>
      <w:r>
        <w:rPr>
          <w:szCs w:val="18"/>
        </w:rPr>
        <w:t xml:space="preserve"> request from the Australian Rheumatology Association (ARA) to change the authority requirements for adalimumab for initial and first continuing treatment of paediatric </w:t>
      </w:r>
      <w:r w:rsidRPr="003C22DD">
        <w:rPr>
          <w:szCs w:val="18"/>
        </w:rPr>
        <w:t>enthesitis/spondylitis related juvenile idiopathic arthritis (ERA</w:t>
      </w:r>
      <w:r>
        <w:rPr>
          <w:szCs w:val="18"/>
        </w:rPr>
        <w:t>).</w:t>
      </w:r>
    </w:p>
    <w:p w14:paraId="2C96B8D3" w14:textId="77777777" w:rsidR="001175D0" w:rsidRDefault="001175D0" w:rsidP="001175D0">
      <w:pPr>
        <w:pStyle w:val="ListParagraph"/>
        <w:widowControl w:val="0"/>
        <w:numPr>
          <w:ilvl w:val="1"/>
          <w:numId w:val="2"/>
        </w:numPr>
        <w:snapToGrid w:val="0"/>
        <w:spacing w:after="240"/>
        <w:ind w:left="861"/>
        <w:jc w:val="both"/>
        <w:rPr>
          <w:szCs w:val="18"/>
        </w:rPr>
      </w:pPr>
      <w:r>
        <w:rPr>
          <w:szCs w:val="18"/>
        </w:rPr>
        <w:t xml:space="preserve">To request advice from the PBAC regarding the inclusion of a Grandfather listing for juvenile idiopathic arthritis (JIA), to accommodate paediatric patients currently receiving adalimumab via the sponsor’s compassionate access program, who would otherwise meet the amended eligibility criteria as recommended by the PBAC in December 2024. </w:t>
      </w:r>
    </w:p>
    <w:bookmarkEnd w:id="9"/>
    <w:bookmarkEnd w:id="10"/>
    <w:p w14:paraId="5EC0C6B9" w14:textId="77777777" w:rsidR="00BA09A2" w:rsidRDefault="00BA09A2" w:rsidP="00BA09A2">
      <w:pPr>
        <w:pStyle w:val="PBACheading10"/>
        <w:numPr>
          <w:ilvl w:val="0"/>
          <w:numId w:val="2"/>
        </w:numPr>
        <w:spacing w:after="160"/>
        <w:jc w:val="both"/>
        <w:rPr>
          <w:rFonts w:asciiTheme="minorHAnsi" w:hAnsiTheme="minorHAnsi" w:cstheme="minorHAnsi"/>
          <w:sz w:val="32"/>
        </w:rPr>
      </w:pPr>
      <w:r>
        <w:rPr>
          <w:rFonts w:asciiTheme="minorHAnsi" w:hAnsiTheme="minorHAnsi" w:cstheme="minorHAnsi"/>
          <w:sz w:val="32"/>
        </w:rPr>
        <w:t>Background</w:t>
      </w:r>
    </w:p>
    <w:p w14:paraId="2494980D" w14:textId="77777777" w:rsidR="00BA09A2" w:rsidRPr="00E15843" w:rsidRDefault="00BA09A2" w:rsidP="00BA09A2">
      <w:pPr>
        <w:widowControl w:val="0"/>
        <w:numPr>
          <w:ilvl w:val="1"/>
          <w:numId w:val="2"/>
        </w:numPr>
        <w:spacing w:after="120"/>
        <w:rPr>
          <w:rFonts w:asciiTheme="minorHAnsi" w:hAnsiTheme="minorHAnsi"/>
          <w:snapToGrid w:val="0"/>
          <w:szCs w:val="22"/>
          <w:lang w:val="en-GB"/>
        </w:rPr>
      </w:pPr>
      <w:r w:rsidRPr="00E15843">
        <w:rPr>
          <w:rFonts w:asciiTheme="minorHAnsi" w:hAnsiTheme="minorHAnsi"/>
        </w:rPr>
        <w:t>At the December 2024 intracycle meeting, t</w:t>
      </w:r>
      <w:r w:rsidRPr="00E15843">
        <w:rPr>
          <w:rFonts w:asciiTheme="minorHAnsi" w:hAnsiTheme="minorHAnsi"/>
          <w:snapToGrid w:val="0"/>
          <w:szCs w:val="22"/>
          <w:lang w:val="en-GB"/>
        </w:rPr>
        <w:t>he PBAC recommended the listing of adalimumab for ERA and CPP for paediatric patients, and recommended changes to the current listings for adalimumab for moderate to severe ulcerative colitis, severe Crohn disease and JIA for paediatric patients to reflect current evidence and practice in managing these conditions.</w:t>
      </w:r>
    </w:p>
    <w:p w14:paraId="7399F353" w14:textId="77777777" w:rsidR="00BA09A2" w:rsidRPr="00E15843" w:rsidRDefault="00BA09A2" w:rsidP="00BA09A2">
      <w:pPr>
        <w:widowControl w:val="0"/>
        <w:numPr>
          <w:ilvl w:val="1"/>
          <w:numId w:val="2"/>
        </w:numPr>
        <w:spacing w:after="120"/>
        <w:rPr>
          <w:rFonts w:asciiTheme="minorHAnsi" w:hAnsiTheme="minorHAnsi"/>
          <w:snapToGrid w:val="0"/>
          <w:szCs w:val="22"/>
          <w:lang w:val="en-GB"/>
        </w:rPr>
      </w:pPr>
      <w:r w:rsidRPr="00E15843">
        <w:rPr>
          <w:rFonts w:asciiTheme="minorHAnsi" w:hAnsiTheme="minorHAnsi"/>
          <w:snapToGrid w:val="0"/>
          <w:szCs w:val="22"/>
          <w:lang w:val="en-GB"/>
        </w:rPr>
        <w:t>The PBAC asked the Department to seek any final comments from clinical stakeholders to finalise the PBS restrictions.</w:t>
      </w:r>
    </w:p>
    <w:p w14:paraId="5B08941E" w14:textId="1F724706" w:rsidR="000616B3" w:rsidRPr="00502EB7" w:rsidRDefault="000569EA" w:rsidP="000616B3">
      <w:pPr>
        <w:pStyle w:val="PBACheading10"/>
        <w:numPr>
          <w:ilvl w:val="0"/>
          <w:numId w:val="2"/>
        </w:numPr>
        <w:spacing w:after="160"/>
        <w:jc w:val="both"/>
        <w:rPr>
          <w:rFonts w:asciiTheme="minorHAnsi" w:hAnsiTheme="minorHAnsi" w:cstheme="minorHAnsi"/>
          <w:sz w:val="32"/>
        </w:rPr>
      </w:pPr>
      <w:r>
        <w:rPr>
          <w:rFonts w:asciiTheme="minorHAnsi" w:hAnsiTheme="minorHAnsi" w:cstheme="minorHAnsi"/>
          <w:sz w:val="32"/>
        </w:rPr>
        <w:t>Clinical advice</w:t>
      </w:r>
    </w:p>
    <w:p w14:paraId="732718FD" w14:textId="77777777" w:rsidR="000616B3" w:rsidRDefault="000616B3" w:rsidP="000616B3">
      <w:pPr>
        <w:pStyle w:val="4-SubsectionHeading"/>
        <w:rPr>
          <w:snapToGrid w:val="0"/>
          <w:lang w:val="en-GB"/>
        </w:rPr>
      </w:pPr>
      <w:r>
        <w:rPr>
          <w:snapToGrid w:val="0"/>
          <w:lang w:val="en-GB"/>
        </w:rPr>
        <w:t>Letter from the Australian Rheumatology Association (ARA)</w:t>
      </w:r>
    </w:p>
    <w:p w14:paraId="3DF696CC" w14:textId="77777777" w:rsidR="000616B3" w:rsidRDefault="000616B3" w:rsidP="000616B3">
      <w:pPr>
        <w:widowControl w:val="0"/>
        <w:numPr>
          <w:ilvl w:val="1"/>
          <w:numId w:val="2"/>
        </w:numPr>
        <w:spacing w:after="120"/>
        <w:rPr>
          <w:rFonts w:asciiTheme="minorHAnsi" w:hAnsiTheme="minorHAnsi" w:cstheme="minorBidi"/>
          <w:snapToGrid w:val="0"/>
        </w:rPr>
      </w:pPr>
      <w:r w:rsidRPr="0DE771C8">
        <w:rPr>
          <w:rFonts w:asciiTheme="minorHAnsi" w:hAnsiTheme="minorHAnsi" w:cstheme="minorBidi"/>
          <w:snapToGrid w:val="0"/>
        </w:rPr>
        <w:t>On 28 March 2025, the ARA advised that the PBS restrictions for adalimumab for the treatment of ERA and JIA are better aligned with contemporary evidence-based care. However, the ARA requested the PBAC to consider amending the authority requirements for the ERA ‘initial’ and ‘first continuation’ listings from ‘Authority Required Written/HPOS upload’ to Authority Required ‘telephone/online’, consistent with the existing adalimumab JIA listing.</w:t>
      </w:r>
    </w:p>
    <w:p w14:paraId="3803F7BC" w14:textId="77777777" w:rsidR="000616B3" w:rsidRDefault="000616B3" w:rsidP="000616B3">
      <w:pPr>
        <w:widowControl w:val="0"/>
        <w:numPr>
          <w:ilvl w:val="1"/>
          <w:numId w:val="2"/>
        </w:numPr>
        <w:spacing w:after="120"/>
        <w:rPr>
          <w:rFonts w:asciiTheme="minorHAnsi" w:hAnsiTheme="minorHAnsi" w:cstheme="minorHAnsi"/>
          <w:snapToGrid w:val="0"/>
          <w:lang w:val="en-GB"/>
        </w:rPr>
      </w:pPr>
      <w:r>
        <w:rPr>
          <w:rFonts w:asciiTheme="minorHAnsi" w:hAnsiTheme="minorHAnsi" w:cstheme="minorHAnsi"/>
          <w:snapToGrid w:val="0"/>
          <w:lang w:val="en-GB"/>
        </w:rPr>
        <w:t>Adalimumab (Humira and biosimilars) for the treatment of JIA (paediatric) is currently listed on the PBS as (as recommended in March 2022):</w:t>
      </w:r>
    </w:p>
    <w:p w14:paraId="39DF68DE" w14:textId="77777777" w:rsidR="003775FB" w:rsidRDefault="003775FB" w:rsidP="003775FB">
      <w:pPr>
        <w:pStyle w:val="ListParagraph"/>
        <w:widowControl w:val="0"/>
        <w:numPr>
          <w:ilvl w:val="0"/>
          <w:numId w:val="134"/>
        </w:numPr>
        <w:contextualSpacing/>
        <w:jc w:val="both"/>
        <w:rPr>
          <w:rFonts w:cstheme="minorHAnsi"/>
          <w:lang w:val="en-GB"/>
        </w:rPr>
      </w:pPr>
      <w:r w:rsidRPr="00A75A9F">
        <w:rPr>
          <w:rFonts w:cstheme="minorHAnsi"/>
          <w:lang w:val="en-GB"/>
        </w:rPr>
        <w:t>Authority Required</w:t>
      </w:r>
      <w:r>
        <w:rPr>
          <w:rFonts w:cstheme="minorHAnsi"/>
          <w:lang w:val="en-GB"/>
        </w:rPr>
        <w:t xml:space="preserve"> Telephone/online for initial treatment</w:t>
      </w:r>
    </w:p>
    <w:p w14:paraId="4288BF8D" w14:textId="4AC6E91C" w:rsidR="000616B3" w:rsidRPr="00A75A9F" w:rsidRDefault="003775FB" w:rsidP="003775FB">
      <w:pPr>
        <w:pStyle w:val="ListParagraph"/>
        <w:widowControl w:val="0"/>
        <w:numPr>
          <w:ilvl w:val="0"/>
          <w:numId w:val="134"/>
        </w:numPr>
        <w:contextualSpacing/>
        <w:jc w:val="both"/>
        <w:rPr>
          <w:rFonts w:cstheme="minorHAnsi"/>
          <w:lang w:val="en-GB"/>
        </w:rPr>
      </w:pPr>
      <w:r>
        <w:rPr>
          <w:rFonts w:cstheme="minorHAnsi"/>
          <w:lang w:val="en-GB"/>
        </w:rPr>
        <w:t>Authority Required STREAMLINED for continuing treatment</w:t>
      </w:r>
      <w:r w:rsidR="000616B3">
        <w:rPr>
          <w:rFonts w:cstheme="minorHAnsi"/>
          <w:lang w:val="en-GB"/>
        </w:rPr>
        <w:t>.</w:t>
      </w:r>
      <w:r w:rsidR="000616B3" w:rsidRPr="00A75A9F">
        <w:rPr>
          <w:rFonts w:cstheme="minorHAnsi"/>
          <w:lang w:val="en-GB"/>
        </w:rPr>
        <w:t xml:space="preserve"> </w:t>
      </w:r>
    </w:p>
    <w:p w14:paraId="13294AA9" w14:textId="5C392BDE" w:rsidR="000616B3" w:rsidRDefault="000616B3" w:rsidP="000616B3">
      <w:pPr>
        <w:pStyle w:val="4-SubsectionHeading"/>
        <w:rPr>
          <w:snapToGrid w:val="0"/>
          <w:lang w:val="en-GB"/>
        </w:rPr>
      </w:pPr>
      <w:r>
        <w:rPr>
          <w:snapToGrid w:val="0"/>
          <w:lang w:val="en-GB"/>
        </w:rPr>
        <w:t xml:space="preserve">Letter from the Australasian College of Dermatologists </w:t>
      </w:r>
    </w:p>
    <w:p w14:paraId="3221DEFB" w14:textId="77777777" w:rsidR="000616B3" w:rsidRPr="00E15843" w:rsidRDefault="000616B3" w:rsidP="000616B3">
      <w:pPr>
        <w:widowControl w:val="0"/>
        <w:numPr>
          <w:ilvl w:val="1"/>
          <w:numId w:val="2"/>
        </w:numPr>
        <w:spacing w:after="120"/>
        <w:rPr>
          <w:rFonts w:asciiTheme="minorHAnsi" w:hAnsiTheme="minorHAnsi" w:cstheme="minorHAnsi"/>
          <w:snapToGrid w:val="0"/>
          <w:lang w:val="en-GB"/>
        </w:rPr>
      </w:pPr>
      <w:r w:rsidRPr="00E15843">
        <w:rPr>
          <w:rFonts w:asciiTheme="minorHAnsi" w:hAnsiTheme="minorHAnsi" w:cstheme="minorHAnsi"/>
          <w:snapToGrid w:val="0"/>
          <w:lang w:val="en-GB"/>
        </w:rPr>
        <w:t>On 14 April 2025, the Australasian College of Dermatologists (ACD) advised that they had no further comments on the amendments to the restrictions for adalimumab for the treatment of paediatric CPP. However, they suggested that it would be beneficial to patient care and more efficient</w:t>
      </w:r>
      <w:r>
        <w:rPr>
          <w:rFonts w:asciiTheme="minorHAnsi" w:hAnsiTheme="minorHAnsi" w:cstheme="minorHAnsi"/>
          <w:snapToGrid w:val="0"/>
          <w:lang w:val="en-GB"/>
        </w:rPr>
        <w:t xml:space="preserve"> (for prescribers)</w:t>
      </w:r>
      <w:r w:rsidRPr="00E15843">
        <w:rPr>
          <w:rFonts w:asciiTheme="minorHAnsi" w:hAnsiTheme="minorHAnsi" w:cstheme="minorHAnsi"/>
          <w:snapToGrid w:val="0"/>
          <w:lang w:val="en-GB"/>
        </w:rPr>
        <w:t xml:space="preserve"> if authority to prescribe </w:t>
      </w:r>
      <w:r>
        <w:rPr>
          <w:rFonts w:asciiTheme="minorHAnsi" w:hAnsiTheme="minorHAnsi" w:cstheme="minorHAnsi"/>
          <w:snapToGrid w:val="0"/>
          <w:lang w:val="en-GB"/>
        </w:rPr>
        <w:t>f</w:t>
      </w:r>
      <w:r w:rsidRPr="00E15843">
        <w:rPr>
          <w:rFonts w:asciiTheme="minorHAnsi" w:hAnsiTheme="minorHAnsi" w:cstheme="minorHAnsi"/>
          <w:snapToGrid w:val="0"/>
          <w:lang w:val="en-GB"/>
        </w:rPr>
        <w:t xml:space="preserve">irst continuing treatment could be sought via phone/online rather than in writing. </w:t>
      </w:r>
    </w:p>
    <w:p w14:paraId="587415C1" w14:textId="30117A65" w:rsidR="000616B3" w:rsidRPr="00075A20" w:rsidRDefault="000616B3" w:rsidP="000616B3">
      <w:pPr>
        <w:widowControl w:val="0"/>
        <w:numPr>
          <w:ilvl w:val="1"/>
          <w:numId w:val="2"/>
        </w:numPr>
        <w:spacing w:after="120"/>
        <w:rPr>
          <w:rFonts w:asciiTheme="minorHAnsi" w:hAnsiTheme="minorHAnsi" w:cstheme="minorHAnsi"/>
          <w:snapToGrid w:val="0"/>
          <w:lang w:val="en-GB"/>
        </w:rPr>
      </w:pPr>
      <w:r>
        <w:rPr>
          <w:rFonts w:asciiTheme="minorHAnsi" w:hAnsiTheme="minorHAnsi" w:cstheme="minorHAnsi"/>
          <w:snapToGrid w:val="0"/>
          <w:lang w:val="en-GB"/>
        </w:rPr>
        <w:t>T</w:t>
      </w:r>
      <w:r w:rsidRPr="00E15843">
        <w:rPr>
          <w:rFonts w:asciiTheme="minorHAnsi" w:hAnsiTheme="minorHAnsi" w:cstheme="minorHAnsi"/>
          <w:snapToGrid w:val="0"/>
          <w:lang w:val="en-GB"/>
        </w:rPr>
        <w:t xml:space="preserve">he authority requirements for adalimumab for </w:t>
      </w:r>
      <w:r>
        <w:rPr>
          <w:rFonts w:asciiTheme="minorHAnsi" w:hAnsiTheme="minorHAnsi" w:cstheme="minorHAnsi"/>
          <w:snapToGrid w:val="0"/>
          <w:lang w:val="en-GB"/>
        </w:rPr>
        <w:t>initial and first continuing</w:t>
      </w:r>
      <w:r w:rsidRPr="00E15843">
        <w:rPr>
          <w:rFonts w:asciiTheme="minorHAnsi" w:hAnsiTheme="minorHAnsi" w:cstheme="minorHAnsi"/>
          <w:snapToGrid w:val="0"/>
          <w:lang w:val="en-GB"/>
        </w:rPr>
        <w:t xml:space="preserve"> treatment of paediatric CPP recommended by the PBAC in December 2024 are consistent with current PBS listings for </w:t>
      </w:r>
      <w:r>
        <w:rPr>
          <w:rFonts w:asciiTheme="minorHAnsi" w:hAnsiTheme="minorHAnsi" w:cstheme="minorHAnsi"/>
          <w:snapToGrid w:val="0"/>
          <w:lang w:val="en-GB"/>
        </w:rPr>
        <w:t>ustekinumab (Stelara®)</w:t>
      </w:r>
      <w:r w:rsidRPr="00E15843">
        <w:rPr>
          <w:rFonts w:asciiTheme="minorHAnsi" w:hAnsiTheme="minorHAnsi" w:cstheme="minorHAnsi"/>
          <w:snapToGrid w:val="0"/>
          <w:lang w:val="en-GB"/>
        </w:rPr>
        <w:t>.</w:t>
      </w:r>
      <w:r>
        <w:rPr>
          <w:rFonts w:asciiTheme="minorHAnsi" w:hAnsiTheme="minorHAnsi" w:cstheme="minorHAnsi"/>
          <w:snapToGrid w:val="0"/>
          <w:lang w:val="en-GB"/>
        </w:rPr>
        <w:t xml:space="preserve"> The PBAC recommended that adalimumab be listed as Authority Required STREAMLINED for subsequent continuing therapy.</w:t>
      </w:r>
      <w:r w:rsidRPr="00E15843">
        <w:rPr>
          <w:rFonts w:asciiTheme="minorHAnsi" w:hAnsiTheme="minorHAnsi" w:cstheme="minorHAnsi"/>
          <w:snapToGrid w:val="0"/>
          <w:lang w:val="en-GB"/>
        </w:rPr>
        <w:t xml:space="preserve"> </w:t>
      </w:r>
      <w:r>
        <w:rPr>
          <w:rFonts w:asciiTheme="minorHAnsi" w:hAnsiTheme="minorHAnsi" w:cstheme="minorHAnsi"/>
          <w:snapToGrid w:val="0"/>
          <w:lang w:val="en-GB"/>
        </w:rPr>
        <w:t xml:space="preserve">Ustekinumab is currently an Authority Required ‘Written/HPOS upload’ listing for both initial and continuing therapy. </w:t>
      </w:r>
      <w:r w:rsidRPr="00E15843">
        <w:rPr>
          <w:rFonts w:asciiTheme="minorHAnsi" w:hAnsiTheme="minorHAnsi" w:cstheme="minorHAnsi"/>
          <w:snapToGrid w:val="0"/>
          <w:lang w:val="en-GB"/>
        </w:rPr>
        <w:t xml:space="preserve">The PBAC recommended PBS listing of biosimilars for </w:t>
      </w:r>
      <w:r>
        <w:rPr>
          <w:rFonts w:asciiTheme="minorHAnsi" w:hAnsiTheme="minorHAnsi" w:cstheme="minorHAnsi"/>
          <w:snapToGrid w:val="0"/>
          <w:lang w:val="en-GB"/>
        </w:rPr>
        <w:t xml:space="preserve">ustekinumab, in </w:t>
      </w:r>
      <w:r w:rsidRPr="00E15843">
        <w:rPr>
          <w:rFonts w:asciiTheme="minorHAnsi" w:hAnsiTheme="minorHAnsi" w:cstheme="minorHAnsi"/>
          <w:snapToGrid w:val="0"/>
          <w:lang w:val="en-GB"/>
        </w:rPr>
        <w:t>March 2024, November 2024 and March 2</w:t>
      </w:r>
      <w:r>
        <w:rPr>
          <w:rFonts w:asciiTheme="minorHAnsi" w:hAnsiTheme="minorHAnsi" w:cstheme="minorHAnsi"/>
          <w:snapToGrid w:val="0"/>
          <w:lang w:val="en-GB"/>
        </w:rPr>
        <w:t>02</w:t>
      </w:r>
      <w:r w:rsidRPr="00E15843">
        <w:rPr>
          <w:rFonts w:asciiTheme="minorHAnsi" w:hAnsiTheme="minorHAnsi" w:cstheme="minorHAnsi"/>
          <w:snapToGrid w:val="0"/>
          <w:lang w:val="en-GB"/>
        </w:rPr>
        <w:t>5, which include</w:t>
      </w:r>
      <w:r>
        <w:rPr>
          <w:rFonts w:asciiTheme="minorHAnsi" w:hAnsiTheme="minorHAnsi" w:cstheme="minorHAnsi"/>
          <w:snapToGrid w:val="0"/>
          <w:lang w:val="en-GB"/>
        </w:rPr>
        <w:t>d</w:t>
      </w:r>
      <w:r w:rsidRPr="00E15843">
        <w:rPr>
          <w:rFonts w:asciiTheme="minorHAnsi" w:hAnsiTheme="minorHAnsi" w:cstheme="minorHAnsi"/>
          <w:snapToGrid w:val="0"/>
          <w:lang w:val="en-GB"/>
        </w:rPr>
        <w:t xml:space="preserve"> Authority Required S</w:t>
      </w:r>
      <w:r>
        <w:rPr>
          <w:rFonts w:asciiTheme="minorHAnsi" w:hAnsiTheme="minorHAnsi" w:cstheme="minorHAnsi"/>
          <w:snapToGrid w:val="0"/>
          <w:lang w:val="en-GB"/>
        </w:rPr>
        <w:t>TREAMLINED</w:t>
      </w:r>
      <w:r w:rsidRPr="00E15843">
        <w:rPr>
          <w:rFonts w:asciiTheme="minorHAnsi" w:hAnsiTheme="minorHAnsi" w:cstheme="minorHAnsi"/>
          <w:snapToGrid w:val="0"/>
          <w:lang w:val="en-GB"/>
        </w:rPr>
        <w:t xml:space="preserve"> subsequent continuing listings</w:t>
      </w:r>
      <w:r>
        <w:rPr>
          <w:rFonts w:asciiTheme="minorHAnsi" w:hAnsiTheme="minorHAnsi" w:cstheme="minorHAnsi"/>
          <w:snapToGrid w:val="0"/>
          <w:lang w:val="en-GB"/>
        </w:rPr>
        <w:t xml:space="preserve"> (consistent with the biosimilar uptake drive policy)</w:t>
      </w:r>
      <w:r w:rsidRPr="00E15843">
        <w:rPr>
          <w:rFonts w:asciiTheme="minorHAnsi" w:hAnsiTheme="minorHAnsi" w:cstheme="minorHAnsi"/>
          <w:snapToGrid w:val="0"/>
          <w:lang w:val="en-GB"/>
        </w:rPr>
        <w:t>.</w:t>
      </w:r>
      <w:r>
        <w:rPr>
          <w:rFonts w:asciiTheme="minorHAnsi" w:hAnsiTheme="minorHAnsi" w:cstheme="minorHAnsi"/>
          <w:snapToGrid w:val="0"/>
          <w:lang w:val="en-GB"/>
        </w:rPr>
        <w:t xml:space="preserve"> </w:t>
      </w:r>
      <w:r w:rsidRPr="00075A20">
        <w:rPr>
          <w:rFonts w:asciiTheme="minorHAnsi" w:hAnsiTheme="minorHAnsi" w:cstheme="minorHAnsi"/>
          <w:snapToGrid w:val="0"/>
          <w:lang w:val="en-GB"/>
        </w:rPr>
        <w:t>The first biosimilar brand of ustekinumab w</w:t>
      </w:r>
      <w:r w:rsidR="00EB5334" w:rsidRPr="00075A20">
        <w:rPr>
          <w:rFonts w:asciiTheme="minorHAnsi" w:hAnsiTheme="minorHAnsi" w:cstheme="minorHAnsi"/>
          <w:snapToGrid w:val="0"/>
          <w:lang w:val="en-GB"/>
        </w:rPr>
        <w:t>as</w:t>
      </w:r>
      <w:r w:rsidRPr="00075A20">
        <w:rPr>
          <w:rFonts w:asciiTheme="minorHAnsi" w:hAnsiTheme="minorHAnsi" w:cstheme="minorHAnsi"/>
          <w:snapToGrid w:val="0"/>
          <w:lang w:val="en-GB"/>
        </w:rPr>
        <w:t xml:space="preserve"> be listed on the PBS on 1 August 2025. </w:t>
      </w:r>
    </w:p>
    <w:p w14:paraId="78736D65" w14:textId="77777777" w:rsidR="000616B3" w:rsidRDefault="000616B3" w:rsidP="000616B3">
      <w:pPr>
        <w:widowControl w:val="0"/>
        <w:numPr>
          <w:ilvl w:val="1"/>
          <w:numId w:val="2"/>
        </w:numPr>
        <w:spacing w:after="120"/>
        <w:rPr>
          <w:rFonts w:asciiTheme="minorHAnsi" w:hAnsiTheme="minorHAnsi" w:cstheme="minorHAnsi"/>
          <w:snapToGrid w:val="0"/>
          <w:lang w:val="en-GB"/>
        </w:rPr>
      </w:pPr>
      <w:r>
        <w:rPr>
          <w:rFonts w:asciiTheme="minorHAnsi" w:hAnsiTheme="minorHAnsi" w:cstheme="minorHAnsi"/>
          <w:snapToGrid w:val="0"/>
          <w:lang w:val="en-GB"/>
        </w:rPr>
        <w:t xml:space="preserve">The current authority requirements for etanercept for the treatment of paediatric CPP differ from ustekinumab. Etanercept is an </w:t>
      </w:r>
      <w:r w:rsidRPr="00323363">
        <w:rPr>
          <w:rFonts w:asciiTheme="minorHAnsi" w:hAnsiTheme="minorHAnsi" w:cstheme="minorHAnsi"/>
          <w:snapToGrid w:val="0"/>
          <w:lang w:val="en-GB"/>
        </w:rPr>
        <w:t>Authority Required (Telephone/Electronic)</w:t>
      </w:r>
      <w:r>
        <w:rPr>
          <w:rFonts w:asciiTheme="minorHAnsi" w:hAnsiTheme="minorHAnsi" w:cstheme="minorHAnsi"/>
          <w:snapToGrid w:val="0"/>
          <w:lang w:val="en-GB"/>
        </w:rPr>
        <w:t xml:space="preserve"> listing for initial treatment and </w:t>
      </w:r>
      <w:r w:rsidRPr="00323363">
        <w:rPr>
          <w:rFonts w:asciiTheme="minorHAnsi" w:hAnsiTheme="minorHAnsi" w:cstheme="minorHAnsi"/>
          <w:snapToGrid w:val="0"/>
          <w:lang w:val="en-GB"/>
        </w:rPr>
        <w:t>Authority Required (STREAMLINED)</w:t>
      </w:r>
      <w:r>
        <w:rPr>
          <w:rFonts w:asciiTheme="minorHAnsi" w:hAnsiTheme="minorHAnsi" w:cstheme="minorHAnsi"/>
          <w:snapToGrid w:val="0"/>
          <w:lang w:val="en-GB"/>
        </w:rPr>
        <w:t xml:space="preserve"> for completion of a course of treatment (24-week course of treatment), as recommended by the PBAC in March 2022. The PBAC did not consider ustekinumab for the treatment of paediatric CPP as part of the March 2022 Review of PBS Authority Required (Written) Listings.</w:t>
      </w:r>
    </w:p>
    <w:p w14:paraId="7F38A530" w14:textId="77777777" w:rsidR="000616B3" w:rsidRPr="00F92133" w:rsidRDefault="000616B3" w:rsidP="000616B3">
      <w:pPr>
        <w:pStyle w:val="4-SubsectionHeading"/>
        <w:rPr>
          <w:snapToGrid w:val="0"/>
          <w:lang w:val="en-GB"/>
        </w:rPr>
      </w:pPr>
      <w:r w:rsidRPr="00F92133">
        <w:rPr>
          <w:snapToGrid w:val="0"/>
          <w:lang w:val="en-GB"/>
        </w:rPr>
        <w:t>Sponsor request – Grandfather listing JIA</w:t>
      </w:r>
    </w:p>
    <w:p w14:paraId="3B26190D" w14:textId="5DCECC24" w:rsidR="000616B3" w:rsidRDefault="000616B3" w:rsidP="000616B3">
      <w:pPr>
        <w:widowControl w:val="0"/>
        <w:numPr>
          <w:ilvl w:val="1"/>
          <w:numId w:val="2"/>
        </w:numPr>
        <w:spacing w:after="120"/>
        <w:rPr>
          <w:rFonts w:asciiTheme="minorHAnsi" w:hAnsiTheme="minorHAnsi" w:cstheme="minorHAnsi"/>
          <w:snapToGrid w:val="0"/>
          <w:lang w:val="en-GB"/>
        </w:rPr>
      </w:pPr>
      <w:r w:rsidRPr="00E15843">
        <w:rPr>
          <w:rFonts w:asciiTheme="minorHAnsi" w:hAnsiTheme="minorHAnsi" w:cstheme="minorHAnsi"/>
          <w:snapToGrid w:val="0"/>
          <w:lang w:val="en-GB"/>
        </w:rPr>
        <w:t xml:space="preserve">On 2 May 2025, </w:t>
      </w:r>
      <w:r>
        <w:rPr>
          <w:rFonts w:asciiTheme="minorHAnsi" w:hAnsiTheme="minorHAnsi" w:cstheme="minorHAnsi"/>
          <w:snapToGrid w:val="0"/>
          <w:lang w:val="en-GB"/>
        </w:rPr>
        <w:t xml:space="preserve">the sponsor for Humira® </w:t>
      </w:r>
      <w:r w:rsidRPr="00E15843">
        <w:rPr>
          <w:rFonts w:asciiTheme="minorHAnsi" w:hAnsiTheme="minorHAnsi" w:cstheme="minorHAnsi"/>
          <w:snapToGrid w:val="0"/>
          <w:lang w:val="en-GB"/>
        </w:rPr>
        <w:t>requested inclusion of Grandfather</w:t>
      </w:r>
      <w:r>
        <w:rPr>
          <w:rFonts w:asciiTheme="minorHAnsi" w:hAnsiTheme="minorHAnsi" w:cstheme="minorHAnsi"/>
          <w:snapToGrid w:val="0"/>
          <w:lang w:val="en-GB"/>
        </w:rPr>
        <w:t xml:space="preserve"> arrangements</w:t>
      </w:r>
      <w:r w:rsidRPr="00E15843">
        <w:rPr>
          <w:rFonts w:asciiTheme="minorHAnsi" w:hAnsiTheme="minorHAnsi" w:cstheme="minorHAnsi"/>
          <w:snapToGrid w:val="0"/>
          <w:lang w:val="en-GB"/>
        </w:rPr>
        <w:t xml:space="preserve"> for the amended JIA PBS </w:t>
      </w:r>
      <w:r>
        <w:rPr>
          <w:rFonts w:asciiTheme="minorHAnsi" w:hAnsiTheme="minorHAnsi" w:cstheme="minorHAnsi"/>
          <w:snapToGrid w:val="0"/>
          <w:lang w:val="en-GB"/>
        </w:rPr>
        <w:t>listing,</w:t>
      </w:r>
      <w:r w:rsidRPr="00E15843">
        <w:rPr>
          <w:rFonts w:asciiTheme="minorHAnsi" w:hAnsiTheme="minorHAnsi" w:cstheme="minorHAnsi"/>
          <w:snapToGrid w:val="0"/>
          <w:lang w:val="en-GB"/>
        </w:rPr>
        <w:t xml:space="preserve"> to allow </w:t>
      </w:r>
      <w:r>
        <w:rPr>
          <w:rFonts w:asciiTheme="minorHAnsi" w:hAnsiTheme="minorHAnsi" w:cstheme="minorHAnsi"/>
          <w:snapToGrid w:val="0"/>
          <w:lang w:val="en-GB"/>
        </w:rPr>
        <w:t xml:space="preserve">paediatric </w:t>
      </w:r>
      <w:r w:rsidRPr="00E15843">
        <w:rPr>
          <w:rFonts w:asciiTheme="minorHAnsi" w:hAnsiTheme="minorHAnsi" w:cstheme="minorHAnsi"/>
          <w:snapToGrid w:val="0"/>
          <w:lang w:val="en-GB"/>
        </w:rPr>
        <w:t xml:space="preserve">patients currently receiving compassionate supply of adalimumab </w:t>
      </w:r>
      <w:r>
        <w:rPr>
          <w:rFonts w:asciiTheme="minorHAnsi" w:hAnsiTheme="minorHAnsi" w:cstheme="minorHAnsi"/>
          <w:snapToGrid w:val="0"/>
          <w:lang w:val="en-GB"/>
        </w:rPr>
        <w:t>(</w:t>
      </w:r>
      <w:r w:rsidRPr="00E15843">
        <w:rPr>
          <w:rFonts w:asciiTheme="minorHAnsi" w:hAnsiTheme="minorHAnsi" w:cstheme="minorHAnsi"/>
          <w:snapToGrid w:val="0"/>
          <w:lang w:val="en-GB"/>
        </w:rPr>
        <w:t>for JIA</w:t>
      </w:r>
      <w:r>
        <w:rPr>
          <w:rFonts w:asciiTheme="minorHAnsi" w:hAnsiTheme="minorHAnsi" w:cstheme="minorHAnsi"/>
          <w:snapToGrid w:val="0"/>
          <w:lang w:val="en-GB"/>
        </w:rPr>
        <w:t xml:space="preserve">) </w:t>
      </w:r>
      <w:r w:rsidRPr="00E15843">
        <w:rPr>
          <w:rFonts w:asciiTheme="minorHAnsi" w:hAnsiTheme="minorHAnsi" w:cstheme="minorHAnsi"/>
          <w:snapToGrid w:val="0"/>
          <w:lang w:val="en-GB"/>
        </w:rPr>
        <w:t xml:space="preserve">to transition to PBS subsidised treatment. </w:t>
      </w:r>
      <w:r>
        <w:rPr>
          <w:rFonts w:asciiTheme="minorHAnsi" w:hAnsiTheme="minorHAnsi" w:cstheme="minorHAnsi"/>
          <w:snapToGrid w:val="0"/>
          <w:lang w:val="en-GB"/>
        </w:rPr>
        <w:t>The sponsor</w:t>
      </w:r>
      <w:r w:rsidRPr="00E15843">
        <w:rPr>
          <w:rFonts w:asciiTheme="minorHAnsi" w:hAnsiTheme="minorHAnsi" w:cstheme="minorHAnsi"/>
          <w:snapToGrid w:val="0"/>
          <w:lang w:val="en-GB"/>
        </w:rPr>
        <w:t xml:space="preserve"> expect</w:t>
      </w:r>
      <w:r>
        <w:rPr>
          <w:rFonts w:asciiTheme="minorHAnsi" w:hAnsiTheme="minorHAnsi" w:cstheme="minorHAnsi"/>
          <w:snapToGrid w:val="0"/>
          <w:lang w:val="en-GB"/>
        </w:rPr>
        <w:t>ed</w:t>
      </w:r>
      <w:r w:rsidRPr="00E15843">
        <w:rPr>
          <w:rFonts w:asciiTheme="minorHAnsi" w:hAnsiTheme="minorHAnsi" w:cstheme="minorHAnsi"/>
          <w:snapToGrid w:val="0"/>
          <w:lang w:val="en-GB"/>
        </w:rPr>
        <w:t xml:space="preserve"> that </w:t>
      </w:r>
      <w:proofErr w:type="gramStart"/>
      <w:r w:rsidRPr="00E15843">
        <w:rPr>
          <w:rFonts w:asciiTheme="minorHAnsi" w:hAnsiTheme="minorHAnsi" w:cstheme="minorHAnsi"/>
          <w:snapToGrid w:val="0"/>
          <w:lang w:val="en-GB"/>
        </w:rPr>
        <w:t>the majority of</w:t>
      </w:r>
      <w:proofErr w:type="gramEnd"/>
      <w:r w:rsidRPr="00E15843">
        <w:rPr>
          <w:rFonts w:asciiTheme="minorHAnsi" w:hAnsiTheme="minorHAnsi" w:cstheme="minorHAnsi"/>
          <w:snapToGrid w:val="0"/>
          <w:lang w:val="en-GB"/>
        </w:rPr>
        <w:t xml:space="preserve"> patients receiving compassionate access w</w:t>
      </w:r>
      <w:r>
        <w:rPr>
          <w:rFonts w:asciiTheme="minorHAnsi" w:hAnsiTheme="minorHAnsi" w:cstheme="minorHAnsi"/>
          <w:snapToGrid w:val="0"/>
          <w:lang w:val="en-GB"/>
        </w:rPr>
        <w:t>ould</w:t>
      </w:r>
      <w:r w:rsidRPr="00E15843">
        <w:rPr>
          <w:rFonts w:asciiTheme="minorHAnsi" w:hAnsiTheme="minorHAnsi" w:cstheme="minorHAnsi"/>
          <w:snapToGrid w:val="0"/>
          <w:lang w:val="en-GB"/>
        </w:rPr>
        <w:t xml:space="preserve"> align with the expanded PBS population (as recommended by the PBAC in December 2024). For those patients who do not meet the PBAC eligibility criteria, </w:t>
      </w:r>
      <w:r>
        <w:rPr>
          <w:rFonts w:asciiTheme="minorHAnsi" w:hAnsiTheme="minorHAnsi" w:cstheme="minorHAnsi"/>
          <w:snapToGrid w:val="0"/>
          <w:lang w:val="en-GB"/>
        </w:rPr>
        <w:t>the sponsor</w:t>
      </w:r>
      <w:r w:rsidRPr="00E15843">
        <w:rPr>
          <w:rFonts w:asciiTheme="minorHAnsi" w:hAnsiTheme="minorHAnsi" w:cstheme="minorHAnsi"/>
          <w:snapToGrid w:val="0"/>
          <w:lang w:val="en-GB"/>
        </w:rPr>
        <w:t xml:space="preserve"> stated that it will continue to provide compassionate supply provided the patient is continuing to derive clinical benefit.  </w:t>
      </w:r>
    </w:p>
    <w:p w14:paraId="20B55F40" w14:textId="7D9F50D9" w:rsidR="00DD5462" w:rsidRPr="00F9765C" w:rsidRDefault="000616B3" w:rsidP="00F9765C">
      <w:pPr>
        <w:widowControl w:val="0"/>
        <w:numPr>
          <w:ilvl w:val="1"/>
          <w:numId w:val="2"/>
        </w:numPr>
        <w:spacing w:after="120" w:line="259" w:lineRule="auto"/>
        <w:rPr>
          <w:rFonts w:asciiTheme="minorHAnsi" w:hAnsiTheme="minorHAnsi" w:cstheme="minorBidi"/>
          <w:lang w:val="en-GB"/>
        </w:rPr>
      </w:pPr>
      <w:r w:rsidRPr="54920CF5">
        <w:rPr>
          <w:rFonts w:asciiTheme="minorHAnsi" w:hAnsiTheme="minorHAnsi" w:cstheme="minorBidi"/>
          <w:snapToGrid w:val="0"/>
          <w:lang w:val="en-GB"/>
        </w:rPr>
        <w:t xml:space="preserve">The financial estimates for the amended JIA listing, provided to the PBAC in December 2024, were calculated by the Department using an epidemiological approach.   Patients enrolled in the sponsor’s compassionate access program would therefore be expected to be accounted for in the prevalent patient population. The Department estimated approximately 700 prevalent patients in year one. On 26 June 2025, the sponsor advised that there are currently </w:t>
      </w:r>
      <w:r w:rsidR="00EF7C65">
        <w:rPr>
          <w:rFonts w:asciiTheme="minorHAnsi" w:hAnsiTheme="minorHAnsi" w:cstheme="minorBidi"/>
          <w:snapToGrid w:val="0"/>
          <w:lang w:val="en-GB"/>
        </w:rPr>
        <w:t>&lt;</w:t>
      </w:r>
      <w:r w:rsidR="00E50DB5">
        <w:rPr>
          <w:rFonts w:asciiTheme="minorHAnsi" w:hAnsiTheme="minorHAnsi" w:cstheme="minorBidi"/>
          <w:snapToGrid w:val="0"/>
          <w:lang w:val="en-GB"/>
        </w:rPr>
        <w:t>500</w:t>
      </w:r>
      <w:r w:rsidR="00EF7C65" w:rsidRPr="54920CF5">
        <w:rPr>
          <w:rFonts w:asciiTheme="minorHAnsi" w:hAnsiTheme="minorHAnsi" w:cstheme="minorBidi"/>
          <w:snapToGrid w:val="0"/>
          <w:lang w:val="en-GB"/>
        </w:rPr>
        <w:t xml:space="preserve"> </w:t>
      </w:r>
      <w:r w:rsidRPr="54920CF5">
        <w:rPr>
          <w:rFonts w:asciiTheme="minorHAnsi" w:hAnsiTheme="minorHAnsi" w:cstheme="minorBidi"/>
          <w:snapToGrid w:val="0"/>
          <w:lang w:val="en-GB"/>
        </w:rPr>
        <w:t xml:space="preserve">patients receiving adalimumab via its JIA compassionate access program. The sponsor anticipated that approximately </w:t>
      </w:r>
      <w:r w:rsidR="00E50DB5">
        <w:rPr>
          <w:rFonts w:asciiTheme="minorHAnsi" w:hAnsiTheme="minorHAnsi" w:cstheme="minorBidi"/>
          <w:snapToGrid w:val="0"/>
          <w:lang w:val="en-GB"/>
        </w:rPr>
        <w:t>&lt;</w:t>
      </w:r>
      <w:r w:rsidR="00072FA6">
        <w:rPr>
          <w:rFonts w:asciiTheme="minorHAnsi" w:hAnsiTheme="minorHAnsi" w:cstheme="minorBidi"/>
          <w:snapToGrid w:val="0"/>
          <w:lang w:val="en-GB"/>
        </w:rPr>
        <w:t xml:space="preserve">500 </w:t>
      </w:r>
      <w:r w:rsidRPr="54920CF5">
        <w:rPr>
          <w:rFonts w:asciiTheme="minorHAnsi" w:hAnsiTheme="minorHAnsi" w:cstheme="minorBidi"/>
          <w:snapToGrid w:val="0"/>
          <w:lang w:val="en-GB"/>
        </w:rPr>
        <w:t xml:space="preserve">of these children may be eligible for PBS subsidy under the </w:t>
      </w:r>
      <w:proofErr w:type="gramStart"/>
      <w:r w:rsidRPr="54920CF5">
        <w:rPr>
          <w:rFonts w:asciiTheme="minorHAnsi" w:hAnsiTheme="minorHAnsi" w:cstheme="minorBidi"/>
          <w:snapToGrid w:val="0"/>
          <w:lang w:val="en-GB"/>
        </w:rPr>
        <w:t>Grandfather</w:t>
      </w:r>
      <w:proofErr w:type="gramEnd"/>
      <w:r w:rsidRPr="54920CF5">
        <w:rPr>
          <w:rFonts w:asciiTheme="minorHAnsi" w:hAnsiTheme="minorHAnsi" w:cstheme="minorBidi"/>
          <w:snapToGrid w:val="0"/>
          <w:lang w:val="en-GB"/>
        </w:rPr>
        <w:t xml:space="preserve"> arrangement.</w:t>
      </w:r>
      <w:r w:rsidR="00EB5334" w:rsidRPr="54920CF5">
        <w:rPr>
          <w:rFonts w:asciiTheme="minorHAnsi" w:hAnsiTheme="minorHAnsi" w:cstheme="minorBidi"/>
          <w:snapToGrid w:val="0"/>
          <w:lang w:val="en-GB"/>
        </w:rPr>
        <w:t xml:space="preserve"> The Department </w:t>
      </w:r>
      <w:r w:rsidRPr="54920CF5">
        <w:rPr>
          <w:rFonts w:asciiTheme="minorHAnsi" w:hAnsiTheme="minorHAnsi" w:cstheme="minorBidi"/>
          <w:snapToGrid w:val="0"/>
          <w:lang w:val="en-GB"/>
        </w:rPr>
        <w:t xml:space="preserve">therefore </w:t>
      </w:r>
      <w:r w:rsidR="00EB5334" w:rsidRPr="54920CF5">
        <w:rPr>
          <w:rFonts w:asciiTheme="minorHAnsi" w:hAnsiTheme="minorHAnsi" w:cstheme="minorBidi"/>
          <w:snapToGrid w:val="0"/>
          <w:lang w:val="en-GB"/>
        </w:rPr>
        <w:t xml:space="preserve">would </w:t>
      </w:r>
      <w:r w:rsidRPr="54920CF5">
        <w:rPr>
          <w:rFonts w:asciiTheme="minorHAnsi" w:hAnsiTheme="minorHAnsi" w:cstheme="minorBidi"/>
          <w:snapToGrid w:val="0"/>
          <w:lang w:val="en-GB"/>
        </w:rPr>
        <w:t xml:space="preserve">not </w:t>
      </w:r>
      <w:r w:rsidR="0F8D2047" w:rsidRPr="54920CF5">
        <w:rPr>
          <w:rFonts w:asciiTheme="minorHAnsi" w:hAnsiTheme="minorHAnsi" w:cstheme="minorBidi"/>
          <w:lang w:val="en-GB"/>
        </w:rPr>
        <w:t>expect</w:t>
      </w:r>
      <w:r w:rsidRPr="54920CF5">
        <w:rPr>
          <w:rFonts w:asciiTheme="minorHAnsi" w:hAnsiTheme="minorHAnsi" w:cstheme="minorBidi"/>
          <w:snapToGrid w:val="0"/>
          <w:lang w:val="en-GB"/>
        </w:rPr>
        <w:t xml:space="preserve"> </w:t>
      </w:r>
      <w:r w:rsidR="00EB5334" w:rsidRPr="54920CF5">
        <w:rPr>
          <w:rFonts w:asciiTheme="minorHAnsi" w:hAnsiTheme="minorHAnsi" w:cstheme="minorBidi"/>
          <w:snapToGrid w:val="0"/>
          <w:lang w:val="en-GB"/>
        </w:rPr>
        <w:t xml:space="preserve">the </w:t>
      </w:r>
      <w:proofErr w:type="gramStart"/>
      <w:r w:rsidR="00EB5334" w:rsidRPr="54920CF5">
        <w:rPr>
          <w:rFonts w:asciiTheme="minorHAnsi" w:hAnsiTheme="minorHAnsi" w:cstheme="minorBidi"/>
          <w:snapToGrid w:val="0"/>
          <w:lang w:val="en-GB"/>
        </w:rPr>
        <w:t>Grandfather</w:t>
      </w:r>
      <w:proofErr w:type="gramEnd"/>
      <w:r w:rsidR="00EB5334" w:rsidRPr="54920CF5">
        <w:rPr>
          <w:rFonts w:asciiTheme="minorHAnsi" w:hAnsiTheme="minorHAnsi" w:cstheme="minorBidi"/>
          <w:snapToGrid w:val="0"/>
          <w:lang w:val="en-GB"/>
        </w:rPr>
        <w:t xml:space="preserve"> listing </w:t>
      </w:r>
      <w:r w:rsidRPr="54920CF5">
        <w:rPr>
          <w:rFonts w:asciiTheme="minorHAnsi" w:hAnsiTheme="minorHAnsi" w:cstheme="minorBidi"/>
          <w:snapToGrid w:val="0"/>
          <w:lang w:val="en-GB"/>
        </w:rPr>
        <w:t>to result in an additional cost to the PBS.</w:t>
      </w:r>
    </w:p>
    <w:p w14:paraId="0ACD4D39" w14:textId="77777777" w:rsidR="009A36FA" w:rsidRDefault="009A36FA" w:rsidP="009A36FA">
      <w:pPr>
        <w:pStyle w:val="2-SectionHeading"/>
        <w:numPr>
          <w:ilvl w:val="0"/>
          <w:numId w:val="2"/>
        </w:numPr>
      </w:pPr>
      <w:r w:rsidRPr="0090150D">
        <w:t>PBAC Outcome</w:t>
      </w:r>
    </w:p>
    <w:p w14:paraId="4F7E6AFF" w14:textId="2CA66A27" w:rsidR="00CA10E8" w:rsidRDefault="00CA10E8" w:rsidP="54920CF5">
      <w:pPr>
        <w:widowControl w:val="0"/>
        <w:numPr>
          <w:ilvl w:val="1"/>
          <w:numId w:val="2"/>
        </w:numPr>
        <w:tabs>
          <w:tab w:val="num" w:pos="720"/>
        </w:tabs>
        <w:spacing w:after="120"/>
        <w:rPr>
          <w:rFonts w:asciiTheme="minorHAnsi" w:hAnsiTheme="minorHAnsi" w:cstheme="minorBidi"/>
          <w:snapToGrid w:val="0"/>
          <w:lang w:val="en-GB"/>
        </w:rPr>
      </w:pPr>
      <w:r w:rsidRPr="54920CF5">
        <w:rPr>
          <w:rFonts w:asciiTheme="minorHAnsi" w:hAnsiTheme="minorHAnsi" w:cstheme="minorBidi"/>
          <w:snapToGrid w:val="0"/>
          <w:lang w:val="en-GB"/>
        </w:rPr>
        <w:t xml:space="preserve">The PBAC recommended the inclusion of a </w:t>
      </w:r>
      <w:proofErr w:type="gramStart"/>
      <w:r w:rsidRPr="54920CF5">
        <w:rPr>
          <w:rFonts w:asciiTheme="minorHAnsi" w:hAnsiTheme="minorHAnsi" w:cstheme="minorBidi"/>
          <w:snapToGrid w:val="0"/>
          <w:lang w:val="en-GB"/>
        </w:rPr>
        <w:t>Grandfather</w:t>
      </w:r>
      <w:proofErr w:type="gramEnd"/>
      <w:r w:rsidRPr="54920CF5">
        <w:rPr>
          <w:rFonts w:asciiTheme="minorHAnsi" w:hAnsiTheme="minorHAnsi" w:cstheme="minorBidi"/>
          <w:snapToGrid w:val="0"/>
          <w:lang w:val="en-GB"/>
        </w:rPr>
        <w:t xml:space="preserve"> listing for the amended JIA population (recommended in December 2024). The PBAC noted that the </w:t>
      </w:r>
      <w:proofErr w:type="gramStart"/>
      <w:r w:rsidRPr="54920CF5">
        <w:rPr>
          <w:rFonts w:asciiTheme="minorHAnsi" w:hAnsiTheme="minorHAnsi" w:cstheme="minorBidi"/>
          <w:snapToGrid w:val="0"/>
          <w:lang w:val="en-GB"/>
        </w:rPr>
        <w:t>Grandfather</w:t>
      </w:r>
      <w:proofErr w:type="gramEnd"/>
      <w:r w:rsidRPr="54920CF5">
        <w:rPr>
          <w:rFonts w:asciiTheme="minorHAnsi" w:hAnsiTheme="minorHAnsi" w:cstheme="minorBidi"/>
          <w:snapToGrid w:val="0"/>
          <w:lang w:val="en-GB"/>
        </w:rPr>
        <w:t xml:space="preserve"> </w:t>
      </w:r>
      <w:r w:rsidR="00EB5334" w:rsidRPr="54920CF5">
        <w:rPr>
          <w:rFonts w:asciiTheme="minorHAnsi" w:hAnsiTheme="minorHAnsi" w:cstheme="minorBidi"/>
          <w:snapToGrid w:val="0"/>
          <w:lang w:val="en-GB"/>
        </w:rPr>
        <w:t>listing</w:t>
      </w:r>
      <w:r w:rsidRPr="54920CF5">
        <w:rPr>
          <w:rFonts w:asciiTheme="minorHAnsi" w:hAnsiTheme="minorHAnsi" w:cstheme="minorBidi"/>
          <w:snapToGrid w:val="0"/>
          <w:lang w:val="en-GB"/>
        </w:rPr>
        <w:t xml:space="preserve"> would allow approximately </w:t>
      </w:r>
      <w:r w:rsidR="00072FA6">
        <w:rPr>
          <w:rFonts w:asciiTheme="minorHAnsi" w:hAnsiTheme="minorHAnsi" w:cstheme="minorBidi"/>
          <w:snapToGrid w:val="0"/>
          <w:lang w:val="en-GB"/>
        </w:rPr>
        <w:t xml:space="preserve">&lt;500 </w:t>
      </w:r>
      <w:r w:rsidRPr="54920CF5">
        <w:rPr>
          <w:rFonts w:asciiTheme="minorHAnsi" w:hAnsiTheme="minorHAnsi" w:cstheme="minorBidi"/>
          <w:snapToGrid w:val="0"/>
          <w:lang w:val="en-GB"/>
        </w:rPr>
        <w:t>children to transition to PBS subsidised therapy from the sponsor</w:t>
      </w:r>
      <w:r w:rsidR="00C33912" w:rsidRPr="54920CF5">
        <w:rPr>
          <w:rFonts w:asciiTheme="minorHAnsi" w:hAnsiTheme="minorHAnsi" w:cstheme="minorBidi"/>
          <w:snapToGrid w:val="0"/>
          <w:lang w:val="en-GB"/>
        </w:rPr>
        <w:t>’</w:t>
      </w:r>
      <w:r w:rsidR="0007680A" w:rsidRPr="54920CF5">
        <w:rPr>
          <w:rFonts w:asciiTheme="minorHAnsi" w:hAnsiTheme="minorHAnsi" w:cstheme="minorBidi"/>
          <w:snapToGrid w:val="0"/>
          <w:lang w:val="en-GB"/>
        </w:rPr>
        <w:t>s</w:t>
      </w:r>
      <w:r w:rsidRPr="54920CF5">
        <w:rPr>
          <w:rFonts w:asciiTheme="minorHAnsi" w:hAnsiTheme="minorHAnsi" w:cstheme="minorBidi"/>
          <w:snapToGrid w:val="0"/>
          <w:lang w:val="en-GB"/>
        </w:rPr>
        <w:t xml:space="preserve"> compassionate access program and that </w:t>
      </w:r>
      <w:r w:rsidR="005637F2" w:rsidRPr="54920CF5">
        <w:rPr>
          <w:rFonts w:asciiTheme="minorHAnsi" w:hAnsiTheme="minorHAnsi" w:cstheme="minorBidi"/>
          <w:snapToGrid w:val="0"/>
          <w:lang w:val="en-GB"/>
        </w:rPr>
        <w:t xml:space="preserve">the Department did not </w:t>
      </w:r>
      <w:r w:rsidRPr="54920CF5">
        <w:rPr>
          <w:rFonts w:asciiTheme="minorHAnsi" w:hAnsiTheme="minorHAnsi" w:cstheme="minorBidi"/>
          <w:snapToGrid w:val="0"/>
          <w:lang w:val="en-GB"/>
        </w:rPr>
        <w:t xml:space="preserve">expect </w:t>
      </w:r>
      <w:r w:rsidR="005637F2" w:rsidRPr="54920CF5">
        <w:rPr>
          <w:rFonts w:asciiTheme="minorHAnsi" w:hAnsiTheme="minorHAnsi" w:cstheme="minorBidi"/>
          <w:snapToGrid w:val="0"/>
          <w:lang w:val="en-GB"/>
        </w:rPr>
        <w:t>this to</w:t>
      </w:r>
      <w:r w:rsidRPr="54920CF5">
        <w:rPr>
          <w:rFonts w:asciiTheme="minorHAnsi" w:hAnsiTheme="minorHAnsi" w:cstheme="minorBidi"/>
          <w:snapToGrid w:val="0"/>
          <w:lang w:val="en-GB"/>
        </w:rPr>
        <w:t xml:space="preserve"> result in an additional cost to the PBS.</w:t>
      </w:r>
    </w:p>
    <w:p w14:paraId="2A8C3845" w14:textId="471B395B" w:rsidR="0007680A" w:rsidRPr="003775FB" w:rsidRDefault="00CC2613" w:rsidP="0007680A">
      <w:pPr>
        <w:widowControl w:val="0"/>
        <w:numPr>
          <w:ilvl w:val="1"/>
          <w:numId w:val="2"/>
        </w:numPr>
        <w:tabs>
          <w:tab w:val="num" w:pos="720"/>
        </w:tabs>
        <w:spacing w:after="120"/>
        <w:rPr>
          <w:rFonts w:asciiTheme="minorHAnsi" w:hAnsiTheme="minorHAnsi" w:cstheme="minorHAnsi"/>
          <w:snapToGrid w:val="0"/>
          <w:lang w:val="en-GB"/>
        </w:rPr>
      </w:pPr>
      <w:r w:rsidRPr="00CC2613">
        <w:rPr>
          <w:rFonts w:asciiTheme="minorHAnsi" w:hAnsiTheme="minorHAnsi" w:cstheme="minorHAnsi"/>
          <w:snapToGrid w:val="0"/>
          <w:lang w:val="en-GB"/>
        </w:rPr>
        <w:t>The PBAC recommended</w:t>
      </w:r>
      <w:r w:rsidR="00A74A8C">
        <w:rPr>
          <w:rFonts w:asciiTheme="minorHAnsi" w:hAnsiTheme="minorHAnsi" w:cstheme="minorHAnsi"/>
          <w:snapToGrid w:val="0"/>
          <w:lang w:val="en-GB"/>
        </w:rPr>
        <w:t xml:space="preserve"> amending</w:t>
      </w:r>
      <w:r w:rsidRPr="00CC2613">
        <w:rPr>
          <w:rFonts w:asciiTheme="minorHAnsi" w:hAnsiTheme="minorHAnsi" w:cstheme="minorHAnsi"/>
          <w:snapToGrid w:val="0"/>
          <w:lang w:val="en-GB"/>
        </w:rPr>
        <w:t xml:space="preserve"> the</w:t>
      </w:r>
      <w:r w:rsidR="00170A25">
        <w:rPr>
          <w:rFonts w:asciiTheme="minorHAnsi" w:hAnsiTheme="minorHAnsi" w:cstheme="minorHAnsi"/>
          <w:snapToGrid w:val="0"/>
          <w:lang w:val="en-GB"/>
        </w:rPr>
        <w:t xml:space="preserve"> authority requirements for</w:t>
      </w:r>
      <w:r w:rsidRPr="00CC2613">
        <w:rPr>
          <w:rFonts w:asciiTheme="minorHAnsi" w:hAnsiTheme="minorHAnsi" w:cstheme="minorHAnsi"/>
          <w:snapToGrid w:val="0"/>
          <w:lang w:val="en-GB"/>
        </w:rPr>
        <w:t xml:space="preserve"> adalimumab for </w:t>
      </w:r>
      <w:r w:rsidR="00170A25">
        <w:rPr>
          <w:rFonts w:asciiTheme="minorHAnsi" w:hAnsiTheme="minorHAnsi" w:cstheme="minorHAnsi"/>
          <w:snapToGrid w:val="0"/>
          <w:lang w:val="en-GB"/>
        </w:rPr>
        <w:t>the treatment of ERA</w:t>
      </w:r>
      <w:r w:rsidR="002369DA">
        <w:rPr>
          <w:rFonts w:asciiTheme="minorHAnsi" w:hAnsiTheme="minorHAnsi" w:cstheme="minorHAnsi"/>
          <w:snapToGrid w:val="0"/>
          <w:lang w:val="en-GB"/>
        </w:rPr>
        <w:t xml:space="preserve"> (recommended in December 2024)</w:t>
      </w:r>
      <w:r w:rsidR="00170A25">
        <w:rPr>
          <w:rFonts w:asciiTheme="minorHAnsi" w:hAnsiTheme="minorHAnsi" w:cstheme="minorHAnsi"/>
          <w:snapToGrid w:val="0"/>
          <w:lang w:val="en-GB"/>
        </w:rPr>
        <w:t xml:space="preserve"> to align with the current authority requirements for adalimumab</w:t>
      </w:r>
      <w:r w:rsidR="00A46BA9">
        <w:rPr>
          <w:rFonts w:asciiTheme="minorHAnsi" w:hAnsiTheme="minorHAnsi" w:cstheme="minorHAnsi"/>
          <w:snapToGrid w:val="0"/>
          <w:lang w:val="en-GB"/>
        </w:rPr>
        <w:t xml:space="preserve"> for the treatment of JIA (paediatric patients).</w:t>
      </w:r>
      <w:r w:rsidR="0007680A">
        <w:rPr>
          <w:rFonts w:asciiTheme="minorHAnsi" w:hAnsiTheme="minorHAnsi" w:cstheme="minorHAnsi"/>
          <w:snapToGrid w:val="0"/>
          <w:lang w:val="en-GB"/>
        </w:rPr>
        <w:t xml:space="preserve"> </w:t>
      </w:r>
      <w:r w:rsidR="0007680A" w:rsidRPr="003775FB">
        <w:rPr>
          <w:rFonts w:asciiTheme="minorHAnsi" w:hAnsiTheme="minorHAnsi" w:cstheme="minorBidi"/>
          <w:snapToGrid w:val="0"/>
        </w:rPr>
        <w:t xml:space="preserve">The PBAC noted the request from the ARA to amend the authority requirements for the ERA ‘initial’ and ‘first continuation’ listings from Authority Required Written/HPOS upload to Authority Required </w:t>
      </w:r>
      <w:r w:rsidR="0007680A">
        <w:rPr>
          <w:rFonts w:asciiTheme="minorHAnsi" w:hAnsiTheme="minorHAnsi" w:cstheme="minorBidi"/>
          <w:snapToGrid w:val="0"/>
        </w:rPr>
        <w:t>T</w:t>
      </w:r>
      <w:r w:rsidR="0007680A" w:rsidRPr="003775FB">
        <w:rPr>
          <w:rFonts w:asciiTheme="minorHAnsi" w:hAnsiTheme="minorHAnsi" w:cstheme="minorBidi"/>
          <w:snapToGrid w:val="0"/>
        </w:rPr>
        <w:t>elephone/online</w:t>
      </w:r>
      <w:r w:rsidR="0007680A">
        <w:rPr>
          <w:rFonts w:asciiTheme="minorHAnsi" w:hAnsiTheme="minorHAnsi" w:cstheme="minorBidi"/>
          <w:snapToGrid w:val="0"/>
        </w:rPr>
        <w:t xml:space="preserve">. </w:t>
      </w:r>
      <w:r w:rsidR="0007680A" w:rsidRPr="003775FB">
        <w:rPr>
          <w:rFonts w:asciiTheme="minorHAnsi" w:hAnsiTheme="minorHAnsi" w:cstheme="minorBidi"/>
          <w:snapToGrid w:val="0"/>
        </w:rPr>
        <w:t>The PBAC noted that</w:t>
      </w:r>
      <w:r w:rsidR="0007680A" w:rsidRPr="003775FB">
        <w:rPr>
          <w:rFonts w:asciiTheme="minorHAnsi" w:hAnsiTheme="minorHAnsi" w:cstheme="minorHAnsi"/>
          <w:snapToGrid w:val="0"/>
          <w:lang w:val="en-GB"/>
        </w:rPr>
        <w:t xml:space="preserve"> t</w:t>
      </w:r>
      <w:r w:rsidR="0007680A">
        <w:rPr>
          <w:rFonts w:asciiTheme="minorHAnsi" w:hAnsiTheme="minorHAnsi" w:cstheme="minorHAnsi"/>
          <w:snapToGrid w:val="0"/>
          <w:lang w:val="en-GB"/>
        </w:rPr>
        <w:t xml:space="preserve">he current adalimumab PBS listing for JIA (paediatric patients) was </w:t>
      </w:r>
      <w:r w:rsidR="0007680A" w:rsidRPr="003775FB">
        <w:rPr>
          <w:rFonts w:asciiTheme="minorHAnsi" w:hAnsiTheme="minorHAnsi" w:cstheme="minorHAnsi"/>
          <w:snapToGrid w:val="0"/>
          <w:lang w:val="en-GB"/>
        </w:rPr>
        <w:t>Authority Required Telephone/online for initial treatment</w:t>
      </w:r>
      <w:r w:rsidR="0007680A">
        <w:rPr>
          <w:rFonts w:asciiTheme="minorHAnsi" w:hAnsiTheme="minorHAnsi" w:cstheme="minorHAnsi"/>
          <w:snapToGrid w:val="0"/>
          <w:lang w:val="en-GB"/>
        </w:rPr>
        <w:t xml:space="preserve"> and </w:t>
      </w:r>
      <w:r w:rsidR="0007680A" w:rsidRPr="003775FB">
        <w:rPr>
          <w:rFonts w:asciiTheme="minorHAnsi" w:hAnsiTheme="minorHAnsi" w:cstheme="minorHAnsi"/>
          <w:snapToGrid w:val="0"/>
          <w:lang w:val="en-GB"/>
        </w:rPr>
        <w:t xml:space="preserve">Authority Required STREAMLINED for continuing treatment. </w:t>
      </w:r>
    </w:p>
    <w:p w14:paraId="41FB41B6" w14:textId="2BB1B168" w:rsidR="00A46BA9" w:rsidRPr="0007680A" w:rsidRDefault="00A46BA9">
      <w:pPr>
        <w:widowControl w:val="0"/>
        <w:numPr>
          <w:ilvl w:val="1"/>
          <w:numId w:val="2"/>
        </w:numPr>
        <w:tabs>
          <w:tab w:val="num" w:pos="720"/>
        </w:tabs>
        <w:spacing w:after="120"/>
        <w:rPr>
          <w:rFonts w:asciiTheme="minorHAnsi" w:hAnsiTheme="minorHAnsi" w:cstheme="minorHAnsi"/>
          <w:snapToGrid w:val="0"/>
          <w:lang w:val="en-GB"/>
        </w:rPr>
      </w:pPr>
      <w:r w:rsidRPr="0007680A">
        <w:rPr>
          <w:rFonts w:asciiTheme="minorHAnsi" w:hAnsiTheme="minorHAnsi" w:cstheme="minorHAnsi"/>
          <w:snapToGrid w:val="0"/>
          <w:lang w:val="en-GB"/>
        </w:rPr>
        <w:t xml:space="preserve">The PBAC did not recommend </w:t>
      </w:r>
      <w:r w:rsidR="004D4DAB" w:rsidRPr="0007680A">
        <w:rPr>
          <w:rFonts w:asciiTheme="minorHAnsi" w:hAnsiTheme="minorHAnsi" w:cstheme="minorHAnsi"/>
          <w:snapToGrid w:val="0"/>
          <w:lang w:val="en-GB"/>
        </w:rPr>
        <w:t>amending the authority requirements for adalimumab for the treatment of CPP (paediatric patients).</w:t>
      </w:r>
      <w:r w:rsidR="0007680A">
        <w:rPr>
          <w:rFonts w:asciiTheme="minorHAnsi" w:hAnsiTheme="minorHAnsi" w:cstheme="minorHAnsi"/>
          <w:snapToGrid w:val="0"/>
          <w:lang w:val="en-GB"/>
        </w:rPr>
        <w:t xml:space="preserve"> </w:t>
      </w:r>
      <w:r w:rsidR="009A7DF1" w:rsidRPr="0007680A">
        <w:rPr>
          <w:rFonts w:asciiTheme="minorHAnsi" w:hAnsiTheme="minorHAnsi" w:cstheme="minorBidi"/>
          <w:snapToGrid w:val="0"/>
        </w:rPr>
        <w:t xml:space="preserve">The PBAC noted the </w:t>
      </w:r>
      <w:r w:rsidR="004D0413" w:rsidRPr="0007680A">
        <w:rPr>
          <w:rFonts w:asciiTheme="minorHAnsi" w:hAnsiTheme="minorHAnsi" w:cstheme="minorBidi"/>
          <w:snapToGrid w:val="0"/>
        </w:rPr>
        <w:t>correspondence</w:t>
      </w:r>
      <w:r w:rsidR="009A7DF1" w:rsidRPr="0007680A">
        <w:rPr>
          <w:rFonts w:asciiTheme="minorHAnsi" w:hAnsiTheme="minorHAnsi" w:cstheme="minorBidi"/>
          <w:snapToGrid w:val="0"/>
        </w:rPr>
        <w:t xml:space="preserve"> from the </w:t>
      </w:r>
      <w:r w:rsidR="0007623F" w:rsidRPr="0007680A">
        <w:rPr>
          <w:rFonts w:asciiTheme="minorHAnsi" w:hAnsiTheme="minorHAnsi" w:cstheme="minorBidi"/>
          <w:snapToGrid w:val="0"/>
        </w:rPr>
        <w:t>ACD</w:t>
      </w:r>
      <w:r w:rsidR="004D0413" w:rsidRPr="0007680A">
        <w:rPr>
          <w:rFonts w:asciiTheme="minorHAnsi" w:hAnsiTheme="minorHAnsi" w:cstheme="minorBidi"/>
          <w:snapToGrid w:val="0"/>
        </w:rPr>
        <w:t xml:space="preserve"> </w:t>
      </w:r>
      <w:r w:rsidR="004D0413" w:rsidRPr="0007680A">
        <w:rPr>
          <w:rFonts w:asciiTheme="minorHAnsi" w:hAnsiTheme="minorHAnsi" w:cstheme="minorHAnsi"/>
          <w:snapToGrid w:val="0"/>
          <w:lang w:val="en-GB"/>
        </w:rPr>
        <w:t>suggesting that it would be beneficial to patient care and more efficient if authority to prescribe first continuing treatment could be sought via phone/online rather than in writing. The PBAC recalled that the authority requirements it recommended in December 2024 for adalimumab for initial and first continuing therapy for paediatric CPP were consistent with the authority requirements for ustekinumab for the same indication.</w:t>
      </w:r>
    </w:p>
    <w:p w14:paraId="1AE6295B" w14:textId="77777777" w:rsidR="009A36FA" w:rsidRDefault="009A36FA" w:rsidP="007A662D">
      <w:pPr>
        <w:spacing w:before="120"/>
        <w:rPr>
          <w:rFonts w:asciiTheme="minorHAnsi" w:hAnsiTheme="minorHAnsi" w:cs="Arial"/>
          <w:b/>
          <w:i/>
          <w:iCs/>
          <w:snapToGrid w:val="0"/>
          <w:lang w:val="en-GB"/>
        </w:rPr>
      </w:pPr>
    </w:p>
    <w:p w14:paraId="132987F5" w14:textId="5EDA8CF0" w:rsidR="006512F5" w:rsidRDefault="006512F5" w:rsidP="007A662D">
      <w:pPr>
        <w:spacing w:before="120"/>
        <w:rPr>
          <w:rFonts w:asciiTheme="minorHAnsi" w:hAnsiTheme="minorHAnsi" w:cs="Arial"/>
          <w:b/>
          <w:snapToGrid w:val="0"/>
          <w:sz w:val="28"/>
          <w:szCs w:val="28"/>
          <w:lang w:val="en-GB"/>
        </w:rPr>
      </w:pPr>
      <w:r w:rsidRPr="006512F5">
        <w:rPr>
          <w:rFonts w:asciiTheme="minorHAnsi" w:hAnsiTheme="minorHAnsi" w:cs="Arial"/>
          <w:b/>
          <w:snapToGrid w:val="0"/>
          <w:sz w:val="28"/>
          <w:szCs w:val="28"/>
          <w:lang w:val="en-GB"/>
        </w:rPr>
        <w:t>Outcome</w:t>
      </w:r>
      <w:r w:rsidR="00075A20">
        <w:rPr>
          <w:rFonts w:asciiTheme="minorHAnsi" w:hAnsiTheme="minorHAnsi" w:cs="Arial"/>
          <w:b/>
          <w:snapToGrid w:val="0"/>
          <w:sz w:val="28"/>
          <w:szCs w:val="28"/>
          <w:lang w:val="en-GB"/>
        </w:rPr>
        <w:t>:</w:t>
      </w:r>
    </w:p>
    <w:p w14:paraId="4C883958" w14:textId="1D192DA4" w:rsidR="006512F5" w:rsidRPr="006512F5" w:rsidRDefault="006512F5" w:rsidP="00F9765C">
      <w:pPr>
        <w:rPr>
          <w:rFonts w:asciiTheme="minorHAnsi" w:hAnsiTheme="minorHAnsi" w:cs="Arial"/>
          <w:bCs/>
          <w:snapToGrid w:val="0"/>
          <w:sz w:val="20"/>
          <w:szCs w:val="20"/>
          <w:lang w:val="en-GB"/>
        </w:rPr>
      </w:pPr>
      <w:r w:rsidRPr="006512F5">
        <w:rPr>
          <w:rFonts w:asciiTheme="minorHAnsi" w:hAnsiTheme="minorHAnsi" w:cs="Arial"/>
          <w:bCs/>
          <w:snapToGrid w:val="0"/>
          <w:lang w:val="en-GB"/>
        </w:rPr>
        <w:t>Advice provided</w:t>
      </w:r>
    </w:p>
    <w:p w14:paraId="1055B1BD" w14:textId="0C919E30" w:rsidR="00E90EA0" w:rsidRDefault="00E90EA0">
      <w:pPr>
        <w:jc w:val="left"/>
        <w:rPr>
          <w:rFonts w:asciiTheme="minorHAnsi" w:hAnsiTheme="minorHAnsi" w:cs="Arial"/>
          <w:b/>
          <w:snapToGrid w:val="0"/>
          <w:sz w:val="32"/>
          <w:szCs w:val="32"/>
        </w:rPr>
      </w:pPr>
    </w:p>
    <w:p w14:paraId="632407B7" w14:textId="77D28CAA" w:rsidR="008B3CC0" w:rsidRDefault="008B3CC0" w:rsidP="008B3CC0">
      <w:pPr>
        <w:pStyle w:val="2-SectionHeading"/>
        <w:numPr>
          <w:ilvl w:val="0"/>
          <w:numId w:val="2"/>
        </w:numPr>
      </w:pPr>
      <w:r>
        <w:t>Recommended listing</w:t>
      </w:r>
    </w:p>
    <w:p w14:paraId="4785B2E8" w14:textId="117E376A" w:rsidR="00962DB6" w:rsidRPr="003B286C" w:rsidRDefault="00A236F3" w:rsidP="00962DB6">
      <w:pPr>
        <w:pStyle w:val="3-BodyText"/>
        <w:numPr>
          <w:ilvl w:val="1"/>
          <w:numId w:val="2"/>
        </w:numPr>
        <w:spacing w:before="120"/>
        <w:rPr>
          <w:b/>
          <w:snapToGrid w:val="0"/>
        </w:rPr>
      </w:pPr>
      <w:r w:rsidRPr="00A236F3">
        <w:rPr>
          <w:snapToGrid w:val="0"/>
        </w:rPr>
        <w:t>Amend the authority</w:t>
      </w:r>
      <w:r w:rsidR="0007680A">
        <w:rPr>
          <w:snapToGrid w:val="0"/>
        </w:rPr>
        <w:t xml:space="preserve"> requirements</w:t>
      </w:r>
      <w:r w:rsidRPr="00A236F3">
        <w:rPr>
          <w:snapToGrid w:val="0"/>
        </w:rPr>
        <w:t xml:space="preserve"> </w:t>
      </w:r>
      <w:r w:rsidR="0007680A">
        <w:rPr>
          <w:snapToGrid w:val="0"/>
        </w:rPr>
        <w:t xml:space="preserve">specified in </w:t>
      </w:r>
      <w:r w:rsidRPr="00A236F3">
        <w:rPr>
          <w:snapToGrid w:val="0"/>
        </w:rPr>
        <w:t>section 15 for Enthesitis/spondylitis related juvenile idiopathic arthritis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24.1 Amend the authority requirements specified in section 15 for Enthesitis/spondylitis related juvenile idiopathic arthritis"/>
      </w:tblPr>
      <w:tblGrid>
        <w:gridCol w:w="1276"/>
        <w:gridCol w:w="2668"/>
        <w:gridCol w:w="811"/>
        <w:gridCol w:w="812"/>
        <w:gridCol w:w="811"/>
        <w:gridCol w:w="812"/>
        <w:gridCol w:w="1831"/>
      </w:tblGrid>
      <w:tr w:rsidR="00D2354E" w:rsidRPr="00446E53" w14:paraId="71DABA05" w14:textId="77777777" w:rsidTr="00157DEE">
        <w:trPr>
          <w:cantSplit/>
          <w:trHeight w:val="20"/>
        </w:trPr>
        <w:tc>
          <w:tcPr>
            <w:tcW w:w="3944" w:type="dxa"/>
            <w:gridSpan w:val="2"/>
            <w:vAlign w:val="center"/>
          </w:tcPr>
          <w:p w14:paraId="22227B66" w14:textId="77777777" w:rsidR="00D2354E" w:rsidRPr="00446E53" w:rsidRDefault="00D2354E" w:rsidP="00157DEE">
            <w:pPr>
              <w:keepLines/>
              <w:rPr>
                <w:rFonts w:ascii="Arial Narrow" w:hAnsi="Arial Narrow" w:cs="Arial"/>
                <w:b/>
                <w:bCs/>
                <w:sz w:val="20"/>
                <w:szCs w:val="20"/>
              </w:rPr>
            </w:pPr>
            <w:r w:rsidRPr="00446E53">
              <w:rPr>
                <w:rFonts w:ascii="Arial Narrow" w:hAnsi="Arial Narrow" w:cs="Arial"/>
                <w:b/>
                <w:bCs/>
                <w:sz w:val="20"/>
                <w:szCs w:val="20"/>
              </w:rPr>
              <w:t>MEDICINAL PRODUCT</w:t>
            </w:r>
          </w:p>
          <w:p w14:paraId="1FE4AD08" w14:textId="77777777" w:rsidR="00D2354E" w:rsidRPr="00446E53" w:rsidRDefault="00D2354E" w:rsidP="00157DEE">
            <w:pPr>
              <w:keepLines/>
              <w:rPr>
                <w:rFonts w:ascii="Arial Narrow" w:hAnsi="Arial Narrow" w:cs="Arial"/>
                <w:b/>
                <w:sz w:val="20"/>
                <w:szCs w:val="20"/>
              </w:rPr>
            </w:pPr>
            <w:r w:rsidRPr="00446E53">
              <w:rPr>
                <w:rFonts w:ascii="Arial Narrow" w:hAnsi="Arial Narrow" w:cs="Arial"/>
                <w:b/>
                <w:bCs/>
                <w:sz w:val="20"/>
                <w:szCs w:val="20"/>
              </w:rPr>
              <w:t>medicinal product pack</w:t>
            </w:r>
          </w:p>
        </w:tc>
        <w:tc>
          <w:tcPr>
            <w:tcW w:w="811" w:type="dxa"/>
            <w:vAlign w:val="center"/>
          </w:tcPr>
          <w:p w14:paraId="22CECF7E" w14:textId="77777777" w:rsidR="00D2354E" w:rsidRPr="00446E53" w:rsidRDefault="00D2354E" w:rsidP="00157DEE">
            <w:pPr>
              <w:keepLines/>
              <w:jc w:val="center"/>
              <w:rPr>
                <w:rFonts w:ascii="Arial Narrow" w:hAnsi="Arial Narrow" w:cs="Arial"/>
                <w:b/>
                <w:sz w:val="20"/>
                <w:szCs w:val="20"/>
              </w:rPr>
            </w:pPr>
            <w:r w:rsidRPr="00446E53">
              <w:rPr>
                <w:rFonts w:ascii="Arial Narrow" w:hAnsi="Arial Narrow" w:cs="Arial"/>
                <w:b/>
                <w:sz w:val="20"/>
                <w:szCs w:val="20"/>
              </w:rPr>
              <w:t>PBS item code</w:t>
            </w:r>
          </w:p>
        </w:tc>
        <w:tc>
          <w:tcPr>
            <w:tcW w:w="812" w:type="dxa"/>
            <w:vAlign w:val="center"/>
          </w:tcPr>
          <w:p w14:paraId="72FAE877" w14:textId="77777777" w:rsidR="00D2354E" w:rsidRPr="00446E53" w:rsidRDefault="00D2354E" w:rsidP="00157DEE">
            <w:pPr>
              <w:keepLines/>
              <w:jc w:val="center"/>
              <w:rPr>
                <w:rFonts w:ascii="Arial Narrow" w:hAnsi="Arial Narrow" w:cs="Arial"/>
                <w:b/>
                <w:sz w:val="20"/>
                <w:szCs w:val="20"/>
              </w:rPr>
            </w:pPr>
            <w:r w:rsidRPr="00446E53">
              <w:rPr>
                <w:rFonts w:ascii="Arial Narrow" w:hAnsi="Arial Narrow" w:cs="Arial"/>
                <w:b/>
                <w:sz w:val="20"/>
                <w:szCs w:val="20"/>
              </w:rPr>
              <w:t>Max. qty packs</w:t>
            </w:r>
          </w:p>
        </w:tc>
        <w:tc>
          <w:tcPr>
            <w:tcW w:w="811" w:type="dxa"/>
            <w:vAlign w:val="center"/>
          </w:tcPr>
          <w:p w14:paraId="1EB51950" w14:textId="77777777" w:rsidR="00D2354E" w:rsidRPr="00446E53" w:rsidRDefault="00D2354E" w:rsidP="00157DEE">
            <w:pPr>
              <w:keepLines/>
              <w:jc w:val="center"/>
              <w:rPr>
                <w:rFonts w:ascii="Arial Narrow" w:hAnsi="Arial Narrow" w:cs="Arial"/>
                <w:b/>
                <w:sz w:val="20"/>
                <w:szCs w:val="20"/>
              </w:rPr>
            </w:pPr>
            <w:r w:rsidRPr="00446E53">
              <w:rPr>
                <w:rFonts w:ascii="Arial Narrow" w:hAnsi="Arial Narrow" w:cs="Arial"/>
                <w:b/>
                <w:sz w:val="20"/>
                <w:szCs w:val="20"/>
              </w:rPr>
              <w:t>Max. qty units</w:t>
            </w:r>
          </w:p>
        </w:tc>
        <w:tc>
          <w:tcPr>
            <w:tcW w:w="812" w:type="dxa"/>
            <w:vAlign w:val="center"/>
          </w:tcPr>
          <w:p w14:paraId="2498E41C" w14:textId="76EF2EC2" w:rsidR="00D2354E" w:rsidRPr="00446E53" w:rsidRDefault="004235D1" w:rsidP="00157DEE">
            <w:pPr>
              <w:keepLines/>
              <w:jc w:val="center"/>
              <w:rPr>
                <w:rFonts w:ascii="Arial Narrow" w:hAnsi="Arial Narrow" w:cs="Arial"/>
                <w:b/>
                <w:sz w:val="20"/>
                <w:szCs w:val="20"/>
              </w:rPr>
            </w:pPr>
            <w:r w:rsidRPr="00446E53">
              <w:rPr>
                <w:rFonts w:ascii="Arial Narrow" w:hAnsi="Arial Narrow" w:cs="Arial"/>
                <w:b/>
                <w:sz w:val="20"/>
                <w:szCs w:val="20"/>
              </w:rPr>
              <w:t>№. of</w:t>
            </w:r>
          </w:p>
          <w:p w14:paraId="1873DC0B" w14:textId="77777777" w:rsidR="00D2354E" w:rsidRPr="00446E53" w:rsidRDefault="00D2354E" w:rsidP="00157DEE">
            <w:pPr>
              <w:keepLines/>
              <w:jc w:val="center"/>
              <w:rPr>
                <w:rFonts w:ascii="Arial Narrow" w:hAnsi="Arial Narrow" w:cs="Arial"/>
                <w:b/>
                <w:sz w:val="20"/>
                <w:szCs w:val="20"/>
              </w:rPr>
            </w:pPr>
            <w:r w:rsidRPr="00446E53">
              <w:rPr>
                <w:rFonts w:ascii="Arial Narrow" w:hAnsi="Arial Narrow" w:cs="Arial"/>
                <w:b/>
                <w:sz w:val="20"/>
                <w:szCs w:val="20"/>
              </w:rPr>
              <w:t>Rpts</w:t>
            </w:r>
          </w:p>
        </w:tc>
        <w:tc>
          <w:tcPr>
            <w:tcW w:w="1831" w:type="dxa"/>
            <w:vAlign w:val="center"/>
          </w:tcPr>
          <w:p w14:paraId="2FCD4B9E" w14:textId="77777777" w:rsidR="00D2354E" w:rsidRPr="00446E53" w:rsidRDefault="00D2354E" w:rsidP="00157DEE">
            <w:pPr>
              <w:keepLines/>
              <w:rPr>
                <w:rFonts w:ascii="Arial Narrow" w:hAnsi="Arial Narrow" w:cs="Arial"/>
                <w:b/>
                <w:sz w:val="20"/>
                <w:szCs w:val="20"/>
                <w:lang w:val="fr-FR"/>
              </w:rPr>
            </w:pPr>
            <w:r w:rsidRPr="00446E53">
              <w:rPr>
                <w:rFonts w:ascii="Arial Narrow" w:hAnsi="Arial Narrow" w:cs="Arial"/>
                <w:b/>
                <w:sz w:val="20"/>
                <w:szCs w:val="20"/>
              </w:rPr>
              <w:t>Available brands</w:t>
            </w:r>
          </w:p>
        </w:tc>
      </w:tr>
      <w:tr w:rsidR="00D2354E" w:rsidRPr="00EA24BD" w14:paraId="20A2CFAB" w14:textId="77777777" w:rsidTr="00157DEE">
        <w:trPr>
          <w:cantSplit/>
          <w:trHeight w:val="20"/>
        </w:trPr>
        <w:tc>
          <w:tcPr>
            <w:tcW w:w="9021" w:type="dxa"/>
            <w:gridSpan w:val="7"/>
            <w:vAlign w:val="center"/>
          </w:tcPr>
          <w:p w14:paraId="6F1F58E9" w14:textId="77777777" w:rsidR="00D2354E" w:rsidRPr="00EA24BD" w:rsidRDefault="00D2354E" w:rsidP="00157DEE">
            <w:pPr>
              <w:keepLines/>
              <w:rPr>
                <w:rFonts w:ascii="Arial Narrow" w:hAnsi="Arial Narrow" w:cs="Arial"/>
                <w:sz w:val="20"/>
                <w:szCs w:val="20"/>
              </w:rPr>
            </w:pPr>
            <w:r w:rsidRPr="00EA24BD">
              <w:rPr>
                <w:rFonts w:ascii="Arial Narrow" w:hAnsi="Arial Narrow" w:cs="Arial"/>
                <w:sz w:val="20"/>
                <w:szCs w:val="20"/>
              </w:rPr>
              <w:t>ADALIMUMAB</w:t>
            </w:r>
          </w:p>
        </w:tc>
      </w:tr>
      <w:tr w:rsidR="00D2354E" w:rsidRPr="00EA24BD" w14:paraId="6939B076" w14:textId="77777777" w:rsidTr="00157DEE">
        <w:trPr>
          <w:cantSplit/>
          <w:trHeight w:val="20"/>
        </w:trPr>
        <w:tc>
          <w:tcPr>
            <w:tcW w:w="3944" w:type="dxa"/>
            <w:gridSpan w:val="2"/>
            <w:vAlign w:val="center"/>
          </w:tcPr>
          <w:p w14:paraId="210591B0" w14:textId="77777777" w:rsidR="00D2354E" w:rsidRPr="00EA24BD" w:rsidRDefault="00D2354E" w:rsidP="00157DEE">
            <w:pPr>
              <w:keepLines/>
              <w:rPr>
                <w:rFonts w:ascii="Arial Narrow" w:hAnsi="Arial Narrow" w:cs="Arial"/>
                <w:sz w:val="20"/>
                <w:szCs w:val="20"/>
              </w:rPr>
            </w:pPr>
            <w:r w:rsidRPr="00EA24BD">
              <w:rPr>
                <w:rFonts w:ascii="Arial Narrow" w:hAnsi="Arial Narrow" w:cs="Arial"/>
                <w:sz w:val="20"/>
                <w:szCs w:val="20"/>
              </w:rPr>
              <w:t>adalimumab 20 mg/0.2 mL injection, 2 x 0.2 mL syringes </w:t>
            </w:r>
          </w:p>
        </w:tc>
        <w:tc>
          <w:tcPr>
            <w:tcW w:w="811" w:type="dxa"/>
            <w:vAlign w:val="center"/>
          </w:tcPr>
          <w:p w14:paraId="6DB2DA1C" w14:textId="77777777" w:rsidR="00D2354E" w:rsidRPr="00EA24BD" w:rsidRDefault="00D2354E" w:rsidP="00157DEE">
            <w:pPr>
              <w:keepLines/>
              <w:jc w:val="center"/>
              <w:rPr>
                <w:rFonts w:ascii="Arial Narrow" w:hAnsi="Arial Narrow" w:cs="Arial"/>
                <w:sz w:val="20"/>
                <w:szCs w:val="20"/>
              </w:rPr>
            </w:pPr>
            <w:r w:rsidRPr="00EA24BD">
              <w:rPr>
                <w:rFonts w:ascii="Arial Narrow" w:hAnsi="Arial Narrow" w:cs="Arial"/>
                <w:sz w:val="20"/>
                <w:szCs w:val="20"/>
              </w:rPr>
              <w:t>NEW</w:t>
            </w:r>
          </w:p>
        </w:tc>
        <w:tc>
          <w:tcPr>
            <w:tcW w:w="812" w:type="dxa"/>
            <w:vAlign w:val="center"/>
          </w:tcPr>
          <w:p w14:paraId="016667D3" w14:textId="77777777" w:rsidR="00D2354E" w:rsidRPr="00EA24BD" w:rsidRDefault="00D2354E" w:rsidP="00157DEE">
            <w:pPr>
              <w:keepLines/>
              <w:jc w:val="center"/>
              <w:rPr>
                <w:rFonts w:ascii="Arial Narrow" w:hAnsi="Arial Narrow" w:cs="Arial"/>
                <w:sz w:val="20"/>
                <w:szCs w:val="20"/>
              </w:rPr>
            </w:pPr>
            <w:r w:rsidRPr="00EA24BD">
              <w:rPr>
                <w:rFonts w:ascii="Arial Narrow" w:hAnsi="Arial Narrow" w:cs="Arial"/>
                <w:sz w:val="20"/>
                <w:szCs w:val="20"/>
              </w:rPr>
              <w:t>1</w:t>
            </w:r>
          </w:p>
        </w:tc>
        <w:tc>
          <w:tcPr>
            <w:tcW w:w="811" w:type="dxa"/>
            <w:vAlign w:val="center"/>
          </w:tcPr>
          <w:p w14:paraId="50A9C2AC" w14:textId="77777777" w:rsidR="00D2354E" w:rsidRPr="00EA24BD" w:rsidRDefault="00D2354E" w:rsidP="00157DEE">
            <w:pPr>
              <w:keepLines/>
              <w:jc w:val="center"/>
              <w:rPr>
                <w:rFonts w:ascii="Arial Narrow" w:hAnsi="Arial Narrow" w:cs="Arial"/>
                <w:sz w:val="20"/>
                <w:szCs w:val="20"/>
              </w:rPr>
            </w:pPr>
            <w:r w:rsidRPr="00EA24BD">
              <w:rPr>
                <w:rFonts w:ascii="Arial Narrow" w:hAnsi="Arial Narrow" w:cs="Arial"/>
                <w:sz w:val="20"/>
                <w:szCs w:val="20"/>
              </w:rPr>
              <w:t>2</w:t>
            </w:r>
          </w:p>
        </w:tc>
        <w:tc>
          <w:tcPr>
            <w:tcW w:w="812" w:type="dxa"/>
            <w:vAlign w:val="center"/>
          </w:tcPr>
          <w:p w14:paraId="1B9E2318" w14:textId="77777777" w:rsidR="00D2354E" w:rsidRPr="00EA24BD" w:rsidRDefault="00D2354E" w:rsidP="00157DEE">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1CB51029" w14:textId="77777777" w:rsidR="00D2354E" w:rsidRPr="00EA24BD" w:rsidRDefault="00D2354E" w:rsidP="00157DEE">
            <w:pPr>
              <w:keepLines/>
              <w:rPr>
                <w:rFonts w:ascii="Arial Narrow" w:hAnsi="Arial Narrow" w:cs="Arial"/>
                <w:sz w:val="20"/>
                <w:szCs w:val="20"/>
              </w:rPr>
            </w:pPr>
            <w:r w:rsidRPr="00EA24BD">
              <w:rPr>
                <w:rFonts w:ascii="Arial Narrow" w:hAnsi="Arial Narrow" w:cs="Arial"/>
                <w:sz w:val="20"/>
                <w:szCs w:val="20"/>
              </w:rPr>
              <w:t>Humira</w:t>
            </w:r>
          </w:p>
        </w:tc>
      </w:tr>
      <w:tr w:rsidR="00D2354E" w:rsidRPr="00EA24BD" w14:paraId="4578DBC0" w14:textId="77777777" w:rsidTr="00157DEE">
        <w:trPr>
          <w:cantSplit/>
          <w:trHeight w:val="20"/>
        </w:trPr>
        <w:tc>
          <w:tcPr>
            <w:tcW w:w="3944" w:type="dxa"/>
            <w:gridSpan w:val="2"/>
            <w:vAlign w:val="center"/>
          </w:tcPr>
          <w:p w14:paraId="0A9321CD" w14:textId="77777777" w:rsidR="00D2354E" w:rsidRPr="00EA24BD" w:rsidRDefault="00D2354E" w:rsidP="00157DEE">
            <w:pPr>
              <w:keepLines/>
              <w:rPr>
                <w:rFonts w:ascii="Arial Narrow" w:hAnsi="Arial Narrow" w:cs="Arial"/>
                <w:sz w:val="20"/>
                <w:szCs w:val="20"/>
              </w:rPr>
            </w:pPr>
            <w:r w:rsidRPr="00802A31">
              <w:rPr>
                <w:rFonts w:ascii="Arial Narrow" w:hAnsi="Arial Narrow" w:cs="Arial"/>
                <w:sz w:val="20"/>
                <w:szCs w:val="20"/>
              </w:rPr>
              <w:t>adalimumab 40 mg/0.4 mL injection, 2 x 0.4 mL pen devices </w:t>
            </w:r>
          </w:p>
        </w:tc>
        <w:tc>
          <w:tcPr>
            <w:tcW w:w="811" w:type="dxa"/>
            <w:vAlign w:val="center"/>
          </w:tcPr>
          <w:p w14:paraId="49846919" w14:textId="77777777" w:rsidR="00D2354E" w:rsidRPr="00EA24BD" w:rsidRDefault="00D2354E" w:rsidP="00157DEE">
            <w:pPr>
              <w:keepLines/>
              <w:jc w:val="center"/>
              <w:rPr>
                <w:rFonts w:ascii="Arial Narrow" w:hAnsi="Arial Narrow" w:cs="Arial"/>
                <w:sz w:val="20"/>
                <w:szCs w:val="20"/>
              </w:rPr>
            </w:pPr>
            <w:r w:rsidRPr="00802A31">
              <w:rPr>
                <w:rFonts w:ascii="Arial Narrow" w:hAnsi="Arial Narrow" w:cs="Arial"/>
                <w:sz w:val="20"/>
                <w:szCs w:val="20"/>
              </w:rPr>
              <w:t>NEW </w:t>
            </w:r>
          </w:p>
        </w:tc>
        <w:tc>
          <w:tcPr>
            <w:tcW w:w="812" w:type="dxa"/>
            <w:vAlign w:val="center"/>
          </w:tcPr>
          <w:p w14:paraId="77C0C3B0" w14:textId="77777777" w:rsidR="00D2354E" w:rsidRPr="00EA24BD" w:rsidRDefault="00D2354E" w:rsidP="00157DEE">
            <w:pPr>
              <w:keepLines/>
              <w:jc w:val="center"/>
              <w:rPr>
                <w:rFonts w:ascii="Arial Narrow" w:hAnsi="Arial Narrow" w:cs="Arial"/>
                <w:sz w:val="20"/>
                <w:szCs w:val="20"/>
              </w:rPr>
            </w:pPr>
            <w:r w:rsidRPr="00802A31">
              <w:rPr>
                <w:rFonts w:ascii="Arial Narrow" w:hAnsi="Arial Narrow" w:cs="Arial"/>
                <w:sz w:val="20"/>
                <w:szCs w:val="20"/>
              </w:rPr>
              <w:t>1 </w:t>
            </w:r>
          </w:p>
        </w:tc>
        <w:tc>
          <w:tcPr>
            <w:tcW w:w="811" w:type="dxa"/>
            <w:vAlign w:val="center"/>
          </w:tcPr>
          <w:p w14:paraId="39202E73" w14:textId="77777777" w:rsidR="00D2354E" w:rsidRPr="00EA24BD" w:rsidRDefault="00D2354E" w:rsidP="00157DEE">
            <w:pPr>
              <w:keepLines/>
              <w:jc w:val="center"/>
              <w:rPr>
                <w:rFonts w:ascii="Arial Narrow" w:hAnsi="Arial Narrow" w:cs="Arial"/>
                <w:sz w:val="20"/>
                <w:szCs w:val="20"/>
              </w:rPr>
            </w:pPr>
            <w:r w:rsidRPr="00802A31">
              <w:rPr>
                <w:rFonts w:ascii="Arial Narrow" w:hAnsi="Arial Narrow" w:cs="Arial"/>
                <w:sz w:val="20"/>
                <w:szCs w:val="20"/>
              </w:rPr>
              <w:t>2 </w:t>
            </w:r>
          </w:p>
        </w:tc>
        <w:tc>
          <w:tcPr>
            <w:tcW w:w="812" w:type="dxa"/>
            <w:vAlign w:val="center"/>
          </w:tcPr>
          <w:p w14:paraId="22A2C0D4" w14:textId="77777777" w:rsidR="00D2354E" w:rsidRDefault="00D2354E" w:rsidP="00157DEE">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314081AD" w14:textId="77777777" w:rsidR="00D2354E" w:rsidRDefault="00D2354E" w:rsidP="00157DEE">
            <w:pPr>
              <w:pStyle w:val="paragraph"/>
              <w:spacing w:before="0" w:beforeAutospacing="0" w:after="0" w:afterAutospacing="0"/>
              <w:rPr>
                <w:rFonts w:ascii="Arial Narrow" w:eastAsiaTheme="minorEastAsia" w:hAnsi="Arial Narrow" w:cs="Arial"/>
                <w:sz w:val="20"/>
                <w:szCs w:val="20"/>
                <w:lang w:eastAsia="en-US"/>
              </w:rPr>
            </w:pPr>
            <w:r w:rsidRPr="2A26E699">
              <w:rPr>
                <w:rFonts w:ascii="Arial Narrow" w:eastAsiaTheme="minorEastAsia" w:hAnsi="Arial Narrow" w:cs="Arial"/>
                <w:sz w:val="20"/>
                <w:szCs w:val="20"/>
                <w:lang w:eastAsia="en-US"/>
              </w:rPr>
              <w:t>Humira</w:t>
            </w:r>
          </w:p>
          <w:p w14:paraId="3F6FF78E" w14:textId="43CE22C9" w:rsidR="00D2354E" w:rsidRPr="00EA24BD" w:rsidRDefault="00D2354E" w:rsidP="00157DEE">
            <w:pPr>
              <w:keepLines/>
              <w:rPr>
                <w:rFonts w:ascii="Arial Narrow" w:hAnsi="Arial Narrow" w:cs="Arial"/>
                <w:sz w:val="20"/>
                <w:szCs w:val="20"/>
              </w:rPr>
            </w:pPr>
          </w:p>
        </w:tc>
      </w:tr>
      <w:tr w:rsidR="00D2354E" w:rsidRPr="00B10988" w14:paraId="7F5B097C" w14:textId="77777777" w:rsidTr="00157DEE">
        <w:trPr>
          <w:cantSplit/>
          <w:trHeight w:val="20"/>
        </w:trPr>
        <w:tc>
          <w:tcPr>
            <w:tcW w:w="3944" w:type="dxa"/>
            <w:gridSpan w:val="2"/>
            <w:vAlign w:val="center"/>
          </w:tcPr>
          <w:p w14:paraId="4893346F" w14:textId="77777777" w:rsidR="00D2354E" w:rsidRPr="00B10988" w:rsidRDefault="00D2354E" w:rsidP="00157DEE">
            <w:pPr>
              <w:keepLines/>
              <w:rPr>
                <w:rFonts w:ascii="Arial Narrow" w:hAnsi="Arial Narrow" w:cs="Arial"/>
                <w:sz w:val="20"/>
                <w:szCs w:val="20"/>
              </w:rPr>
            </w:pPr>
            <w:r w:rsidRPr="00B10988">
              <w:rPr>
                <w:rStyle w:val="normaltextrun"/>
                <w:rFonts w:ascii="Arial Narrow" w:hAnsi="Arial Narrow" w:cs="Segoe UI"/>
                <w:sz w:val="20"/>
                <w:szCs w:val="20"/>
              </w:rPr>
              <w:t>adalimumab 40 mg/0.4 mL injection, 2 x 0.4 mL syringes</w:t>
            </w:r>
            <w:r w:rsidRPr="00B10988">
              <w:rPr>
                <w:rStyle w:val="eop"/>
                <w:rFonts w:ascii="Arial Narrow" w:hAnsi="Arial Narrow" w:cs="Segoe UI"/>
                <w:sz w:val="20"/>
                <w:szCs w:val="20"/>
              </w:rPr>
              <w:t> </w:t>
            </w:r>
          </w:p>
        </w:tc>
        <w:tc>
          <w:tcPr>
            <w:tcW w:w="811" w:type="dxa"/>
            <w:vAlign w:val="center"/>
          </w:tcPr>
          <w:p w14:paraId="524F5E70" w14:textId="77777777" w:rsidR="00D2354E" w:rsidRPr="00B10988" w:rsidRDefault="00D2354E" w:rsidP="00157DEE">
            <w:pPr>
              <w:keepLines/>
              <w:jc w:val="center"/>
              <w:rPr>
                <w:rFonts w:ascii="Arial Narrow" w:hAnsi="Arial Narrow" w:cs="Arial"/>
                <w:sz w:val="20"/>
                <w:szCs w:val="20"/>
              </w:rPr>
            </w:pPr>
            <w:r w:rsidRPr="00B10988">
              <w:rPr>
                <w:rStyle w:val="normaltextrun"/>
                <w:rFonts w:ascii="Arial Narrow" w:hAnsi="Arial Narrow" w:cs="Segoe UI"/>
                <w:sz w:val="20"/>
                <w:szCs w:val="20"/>
              </w:rPr>
              <w:t>NEW </w:t>
            </w:r>
            <w:r w:rsidRPr="00B10988">
              <w:rPr>
                <w:rStyle w:val="eop"/>
                <w:rFonts w:ascii="Arial Narrow" w:hAnsi="Arial Narrow" w:cs="Segoe UI"/>
                <w:sz w:val="20"/>
                <w:szCs w:val="20"/>
              </w:rPr>
              <w:t> </w:t>
            </w:r>
          </w:p>
        </w:tc>
        <w:tc>
          <w:tcPr>
            <w:tcW w:w="812" w:type="dxa"/>
            <w:vAlign w:val="center"/>
          </w:tcPr>
          <w:p w14:paraId="49E6DFE7" w14:textId="77777777" w:rsidR="00D2354E" w:rsidRPr="00B10988" w:rsidRDefault="00D2354E" w:rsidP="00157DEE">
            <w:pPr>
              <w:keepLines/>
              <w:jc w:val="center"/>
              <w:rPr>
                <w:rFonts w:ascii="Arial Narrow" w:hAnsi="Arial Narrow" w:cs="Arial"/>
                <w:sz w:val="20"/>
                <w:szCs w:val="20"/>
              </w:rPr>
            </w:pPr>
            <w:r w:rsidRPr="00B10988">
              <w:rPr>
                <w:rStyle w:val="normaltextrun"/>
                <w:rFonts w:ascii="Arial Narrow" w:hAnsi="Arial Narrow" w:cs="Segoe UI"/>
                <w:sz w:val="20"/>
                <w:szCs w:val="20"/>
              </w:rPr>
              <w:t>1</w:t>
            </w:r>
            <w:r w:rsidRPr="00B10988">
              <w:rPr>
                <w:rStyle w:val="eop"/>
                <w:rFonts w:ascii="Arial Narrow" w:hAnsi="Arial Narrow" w:cs="Segoe UI"/>
                <w:sz w:val="20"/>
                <w:szCs w:val="20"/>
              </w:rPr>
              <w:t> </w:t>
            </w:r>
          </w:p>
        </w:tc>
        <w:tc>
          <w:tcPr>
            <w:tcW w:w="811" w:type="dxa"/>
            <w:vAlign w:val="center"/>
          </w:tcPr>
          <w:p w14:paraId="39288C5E" w14:textId="77777777" w:rsidR="00D2354E" w:rsidRPr="00B10988" w:rsidRDefault="00D2354E" w:rsidP="00157DEE">
            <w:pPr>
              <w:keepLines/>
              <w:jc w:val="center"/>
              <w:rPr>
                <w:rFonts w:ascii="Arial Narrow" w:hAnsi="Arial Narrow" w:cs="Arial"/>
                <w:sz w:val="20"/>
                <w:szCs w:val="20"/>
              </w:rPr>
            </w:pPr>
            <w:r w:rsidRPr="00B10988">
              <w:rPr>
                <w:rStyle w:val="normaltextrun"/>
                <w:rFonts w:ascii="Arial Narrow" w:hAnsi="Arial Narrow" w:cs="Segoe UI"/>
                <w:sz w:val="20"/>
                <w:szCs w:val="20"/>
              </w:rPr>
              <w:t>2</w:t>
            </w:r>
            <w:r w:rsidRPr="00B10988">
              <w:rPr>
                <w:rStyle w:val="eop"/>
                <w:rFonts w:ascii="Arial Narrow" w:hAnsi="Arial Narrow" w:cs="Segoe UI"/>
                <w:sz w:val="20"/>
                <w:szCs w:val="20"/>
              </w:rPr>
              <w:t> </w:t>
            </w:r>
          </w:p>
        </w:tc>
        <w:tc>
          <w:tcPr>
            <w:tcW w:w="812" w:type="dxa"/>
            <w:vAlign w:val="center"/>
          </w:tcPr>
          <w:p w14:paraId="639DB7C1" w14:textId="77777777" w:rsidR="00D2354E" w:rsidRPr="008D16DE" w:rsidRDefault="00D2354E" w:rsidP="00157DEE">
            <w:pPr>
              <w:keepLines/>
              <w:jc w:val="center"/>
              <w:rPr>
                <w:rFonts w:ascii="Arial Narrow" w:hAnsi="Arial Narrow" w:cs="Arial"/>
                <w:sz w:val="20"/>
                <w:szCs w:val="20"/>
              </w:rPr>
            </w:pPr>
            <w:r w:rsidRPr="008D16DE">
              <w:rPr>
                <w:rStyle w:val="normaltextrun"/>
                <w:rFonts w:ascii="Arial Narrow" w:hAnsi="Arial Narrow" w:cs="Segoe UI"/>
                <w:sz w:val="20"/>
                <w:szCs w:val="20"/>
              </w:rPr>
              <w:t>3</w:t>
            </w:r>
          </w:p>
        </w:tc>
        <w:tc>
          <w:tcPr>
            <w:tcW w:w="1831" w:type="dxa"/>
            <w:vAlign w:val="center"/>
          </w:tcPr>
          <w:p w14:paraId="60D2D10A" w14:textId="77777777" w:rsidR="00D2354E" w:rsidRDefault="00D2354E" w:rsidP="00157DEE">
            <w:pPr>
              <w:pStyle w:val="paragraph"/>
              <w:spacing w:before="0" w:beforeAutospacing="0" w:after="0" w:afterAutospacing="0"/>
              <w:rPr>
                <w:rStyle w:val="eop"/>
                <w:rFonts w:ascii="Arial Narrow" w:hAnsi="Arial Narrow" w:cs="Segoe UI"/>
                <w:sz w:val="20"/>
                <w:szCs w:val="20"/>
              </w:rPr>
            </w:pPr>
            <w:r w:rsidRPr="2A26E699">
              <w:rPr>
                <w:rStyle w:val="eop"/>
                <w:rFonts w:ascii="Arial Narrow" w:hAnsi="Arial Narrow" w:cs="Segoe UI"/>
                <w:sz w:val="20"/>
                <w:szCs w:val="20"/>
              </w:rPr>
              <w:t>Humira</w:t>
            </w:r>
          </w:p>
          <w:p w14:paraId="29B77D9F" w14:textId="69189913" w:rsidR="00D2354E" w:rsidRPr="00B10988" w:rsidRDefault="00D2354E" w:rsidP="00157DEE">
            <w:pPr>
              <w:keepLines/>
              <w:rPr>
                <w:rFonts w:ascii="Arial Narrow" w:hAnsi="Arial Narrow" w:cs="Arial"/>
                <w:sz w:val="20"/>
                <w:szCs w:val="20"/>
              </w:rPr>
            </w:pPr>
          </w:p>
        </w:tc>
      </w:tr>
      <w:tr w:rsidR="00D2354E" w:rsidRPr="00446E53" w14:paraId="4841F44E" w14:textId="77777777" w:rsidTr="00157DEE">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59F2876B" w14:textId="77777777" w:rsidR="00D2354E" w:rsidRPr="00446E53" w:rsidRDefault="00D2354E" w:rsidP="00157DEE">
            <w:pPr>
              <w:rPr>
                <w:rFonts w:ascii="Arial Narrow" w:hAnsi="Arial Narrow" w:cs="Arial"/>
                <w:sz w:val="20"/>
                <w:szCs w:val="20"/>
              </w:rPr>
            </w:pPr>
          </w:p>
        </w:tc>
      </w:tr>
      <w:tr w:rsidR="00D2354E" w:rsidRPr="00736BC8" w14:paraId="0DD5A2C2" w14:textId="77777777" w:rsidTr="00157DEE">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25462569" w14:textId="77777777" w:rsidR="00D2354E" w:rsidRPr="00446E53" w:rsidRDefault="00D2354E" w:rsidP="00157DEE">
            <w:pPr>
              <w:jc w:val="center"/>
              <w:rPr>
                <w:rFonts w:ascii="Arial Narrow" w:hAnsi="Arial Narrow" w:cs="Arial"/>
                <w:sz w:val="20"/>
                <w:szCs w:val="20"/>
              </w:rPr>
            </w:pPr>
            <w:r w:rsidRPr="00446E53">
              <w:rPr>
                <w:rFonts w:ascii="Arial Narrow" w:hAnsi="Arial Narrow" w:cs="Arial"/>
                <w:b/>
                <w:sz w:val="20"/>
                <w:szCs w:val="20"/>
              </w:rPr>
              <w:t>Concept ID</w:t>
            </w:r>
          </w:p>
          <w:p w14:paraId="0F15F527" w14:textId="77777777" w:rsidR="00D2354E" w:rsidRPr="00446E53" w:rsidRDefault="00D2354E" w:rsidP="00157DEE">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86AA1FF" w14:textId="77777777" w:rsidR="00D2354E" w:rsidRPr="00736BC8" w:rsidRDefault="00D2354E" w:rsidP="00157DEE">
            <w:pPr>
              <w:keepLines/>
              <w:rPr>
                <w:rFonts w:ascii="Arial Narrow" w:hAnsi="Arial Narrow" w:cs="Arial"/>
                <w:sz w:val="20"/>
                <w:szCs w:val="20"/>
              </w:rPr>
            </w:pPr>
            <w:r w:rsidRPr="00736BC8">
              <w:rPr>
                <w:rFonts w:ascii="Arial Narrow" w:hAnsi="Arial Narrow" w:cs="Arial"/>
                <w:b/>
                <w:sz w:val="20"/>
                <w:szCs w:val="20"/>
              </w:rPr>
              <w:t>Category / Program:</w:t>
            </w:r>
            <w:r w:rsidRPr="00736BC8">
              <w:rPr>
                <w:rFonts w:ascii="Arial Narrow" w:hAnsi="Arial Narrow" w:cs="Arial"/>
                <w:sz w:val="20"/>
                <w:szCs w:val="20"/>
              </w:rPr>
              <w:t xml:space="preserve"> </w:t>
            </w:r>
            <w:r w:rsidRPr="00736BC8">
              <w:rPr>
                <w:rFonts w:ascii="Arial Narrow" w:eastAsia="Calibri" w:hAnsi="Arial Narrow" w:cs="Arial"/>
                <w:sz w:val="20"/>
                <w:szCs w:val="20"/>
              </w:rPr>
              <w:fldChar w:fldCharType="begin" w:fldLock="1">
                <w:ffData>
                  <w:name w:val=""/>
                  <w:enabled/>
                  <w:calcOnExit w:val="0"/>
                  <w:checkBox>
                    <w:sizeAuto/>
                    <w:default w:val="1"/>
                  </w:checkBox>
                </w:ffData>
              </w:fldChar>
            </w:r>
            <w:r w:rsidRPr="00736BC8">
              <w:rPr>
                <w:rFonts w:ascii="Arial Narrow" w:eastAsia="Calibri" w:hAnsi="Arial Narrow" w:cs="Arial"/>
                <w:sz w:val="20"/>
                <w:szCs w:val="20"/>
              </w:rPr>
              <w:instrText xml:space="preserve"> FORMCHECKBOX </w:instrText>
            </w:r>
            <w:r w:rsidRPr="00736BC8">
              <w:rPr>
                <w:rFonts w:ascii="Arial Narrow" w:eastAsia="Calibri" w:hAnsi="Arial Narrow" w:cs="Arial"/>
                <w:sz w:val="20"/>
                <w:szCs w:val="20"/>
              </w:rPr>
            </w:r>
            <w:r w:rsidRPr="00736BC8">
              <w:rPr>
                <w:rFonts w:ascii="Arial Narrow" w:eastAsia="Calibri" w:hAnsi="Arial Narrow" w:cs="Arial"/>
                <w:sz w:val="20"/>
                <w:szCs w:val="20"/>
              </w:rPr>
              <w:fldChar w:fldCharType="separate"/>
            </w:r>
            <w:r w:rsidRPr="00736BC8">
              <w:rPr>
                <w:rFonts w:ascii="Arial Narrow" w:eastAsia="Calibri" w:hAnsi="Arial Narrow" w:cs="Arial"/>
                <w:sz w:val="20"/>
                <w:szCs w:val="20"/>
              </w:rPr>
              <w:fldChar w:fldCharType="end"/>
            </w:r>
            <w:r w:rsidRPr="00736BC8">
              <w:rPr>
                <w:rFonts w:ascii="Arial Narrow" w:eastAsia="Calibri" w:hAnsi="Arial Narrow" w:cs="Arial"/>
                <w:sz w:val="20"/>
                <w:szCs w:val="20"/>
              </w:rPr>
              <w:t xml:space="preserve"> GENERAL - General Schedule (Code GE) </w:t>
            </w:r>
          </w:p>
        </w:tc>
      </w:tr>
      <w:tr w:rsidR="00D2354E" w:rsidRPr="00736BC8" w14:paraId="6E174891"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57D1AE43" w14:textId="77777777" w:rsidR="00D2354E" w:rsidRPr="00446E53" w:rsidRDefault="00D2354E"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172C9D" w14:textId="77777777" w:rsidR="00D2354E" w:rsidRPr="00736BC8" w:rsidRDefault="00D2354E" w:rsidP="00157DEE">
            <w:pPr>
              <w:keepLines/>
              <w:rPr>
                <w:rFonts w:ascii="Arial Narrow" w:hAnsi="Arial Narrow" w:cs="Arial"/>
                <w:b/>
                <w:sz w:val="20"/>
                <w:szCs w:val="20"/>
              </w:rPr>
            </w:pPr>
            <w:r w:rsidRPr="00736BC8">
              <w:rPr>
                <w:rFonts w:ascii="Arial Narrow" w:hAnsi="Arial Narrow" w:cs="Arial"/>
                <w:b/>
                <w:sz w:val="20"/>
                <w:szCs w:val="20"/>
              </w:rPr>
              <w:t xml:space="preserve">Prescriber type: </w:t>
            </w:r>
            <w:r w:rsidRPr="00736BC8">
              <w:rPr>
                <w:rFonts w:ascii="Arial Narrow" w:hAnsi="Arial Narrow" w:cs="Arial"/>
                <w:sz w:val="20"/>
                <w:szCs w:val="20"/>
              </w:rPr>
              <w:fldChar w:fldCharType="begin" w:fldLock="1">
                <w:ffData>
                  <w:name w:val=""/>
                  <w:enabled/>
                  <w:calcOnExit w:val="0"/>
                  <w:checkBox>
                    <w:sizeAuto/>
                    <w:default w:val="1"/>
                  </w:checkBox>
                </w:ffData>
              </w:fldChar>
            </w:r>
            <w:r w:rsidRPr="00736BC8">
              <w:rPr>
                <w:rFonts w:ascii="Arial Narrow" w:hAnsi="Arial Narrow" w:cs="Arial"/>
                <w:sz w:val="20"/>
                <w:szCs w:val="20"/>
              </w:rPr>
              <w:instrText xml:space="preserve"> FORMCHECKBOX </w:instrText>
            </w:r>
            <w:r w:rsidRPr="00736BC8">
              <w:rPr>
                <w:rFonts w:ascii="Arial Narrow" w:hAnsi="Arial Narrow" w:cs="Arial"/>
                <w:sz w:val="20"/>
                <w:szCs w:val="20"/>
              </w:rPr>
            </w:r>
            <w:r w:rsidRPr="00736BC8">
              <w:rPr>
                <w:rFonts w:ascii="Arial Narrow" w:hAnsi="Arial Narrow" w:cs="Arial"/>
                <w:sz w:val="20"/>
                <w:szCs w:val="20"/>
              </w:rPr>
              <w:fldChar w:fldCharType="separate"/>
            </w:r>
            <w:r w:rsidRPr="00736BC8">
              <w:rPr>
                <w:rFonts w:ascii="Arial Narrow" w:hAnsi="Arial Narrow" w:cs="Arial"/>
                <w:sz w:val="20"/>
                <w:szCs w:val="20"/>
              </w:rPr>
              <w:fldChar w:fldCharType="end"/>
            </w:r>
            <w:r w:rsidRPr="00736BC8">
              <w:rPr>
                <w:rFonts w:ascii="Arial Narrow" w:hAnsi="Arial Narrow" w:cs="Arial"/>
                <w:sz w:val="20"/>
                <w:szCs w:val="20"/>
              </w:rPr>
              <w:t xml:space="preserve">Medical Practitioners </w:t>
            </w:r>
          </w:p>
        </w:tc>
      </w:tr>
      <w:tr w:rsidR="00D2354E" w:rsidRPr="00736BC8" w14:paraId="4C0B04E5"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0E47D219" w14:textId="77777777" w:rsidR="00D2354E" w:rsidRPr="00446E53" w:rsidRDefault="00D2354E"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453C074" w14:textId="5917E74F" w:rsidR="00D2354E" w:rsidRPr="00736BC8" w:rsidRDefault="00D2354E" w:rsidP="00157DEE">
            <w:pPr>
              <w:keepLines/>
              <w:rPr>
                <w:rFonts w:ascii="Arial Narrow" w:eastAsia="Calibri" w:hAnsi="Arial Narrow" w:cs="Arial"/>
                <w:sz w:val="20"/>
                <w:szCs w:val="20"/>
              </w:rPr>
            </w:pPr>
            <w:r w:rsidRPr="00736BC8">
              <w:rPr>
                <w:rFonts w:ascii="Arial Narrow" w:hAnsi="Arial Narrow" w:cs="Arial"/>
                <w:b/>
                <w:sz w:val="20"/>
                <w:szCs w:val="20"/>
              </w:rPr>
              <w:t xml:space="preserve">Restriction type: </w:t>
            </w:r>
            <w:r w:rsidRPr="00736BC8">
              <w:rPr>
                <w:rFonts w:ascii="Arial Narrow" w:eastAsia="Calibri" w:hAnsi="Arial Narrow" w:cs="Arial"/>
                <w:sz w:val="20"/>
                <w:szCs w:val="20"/>
              </w:rPr>
              <w:fldChar w:fldCharType="begin" w:fldLock="1">
                <w:ffData>
                  <w:name w:val=""/>
                  <w:enabled/>
                  <w:calcOnExit w:val="0"/>
                  <w:checkBox>
                    <w:sizeAuto/>
                    <w:default w:val="1"/>
                  </w:checkBox>
                </w:ffData>
              </w:fldChar>
            </w:r>
            <w:r w:rsidRPr="00736BC8">
              <w:rPr>
                <w:rFonts w:ascii="Arial Narrow" w:eastAsia="Calibri" w:hAnsi="Arial Narrow" w:cs="Arial"/>
                <w:sz w:val="20"/>
                <w:szCs w:val="20"/>
              </w:rPr>
              <w:instrText xml:space="preserve"> FORMCHECKBOX </w:instrText>
            </w:r>
            <w:r w:rsidRPr="00736BC8">
              <w:rPr>
                <w:rFonts w:ascii="Arial Narrow" w:eastAsia="Calibri" w:hAnsi="Arial Narrow" w:cs="Arial"/>
                <w:sz w:val="20"/>
                <w:szCs w:val="20"/>
              </w:rPr>
            </w:r>
            <w:r w:rsidRPr="00736BC8">
              <w:rPr>
                <w:rFonts w:ascii="Arial Narrow" w:eastAsia="Calibri" w:hAnsi="Arial Narrow" w:cs="Arial"/>
                <w:sz w:val="20"/>
                <w:szCs w:val="20"/>
              </w:rPr>
              <w:fldChar w:fldCharType="separate"/>
            </w:r>
            <w:r w:rsidRPr="00736BC8">
              <w:rPr>
                <w:rFonts w:ascii="Arial Narrow" w:eastAsia="Calibri" w:hAnsi="Arial Narrow" w:cs="Arial"/>
                <w:sz w:val="20"/>
                <w:szCs w:val="20"/>
              </w:rPr>
              <w:fldChar w:fldCharType="end"/>
            </w:r>
            <w:r w:rsidRPr="00736BC8">
              <w:rPr>
                <w:rFonts w:ascii="Arial Narrow" w:eastAsia="Calibri" w:hAnsi="Arial Narrow" w:cs="Arial"/>
                <w:sz w:val="20"/>
                <w:szCs w:val="20"/>
              </w:rPr>
              <w:t>Authority Required (</w:t>
            </w:r>
            <w:r>
              <w:rPr>
                <w:rFonts w:ascii="Arial Narrow" w:eastAsia="Calibri" w:hAnsi="Arial Narrow" w:cs="Arial"/>
                <w:sz w:val="20"/>
                <w:szCs w:val="20"/>
              </w:rPr>
              <w:t>Telephone/Online PBS Authorities</w:t>
            </w:r>
            <w:r w:rsidRPr="00736BC8">
              <w:rPr>
                <w:rFonts w:ascii="Arial Narrow" w:eastAsia="Calibri" w:hAnsi="Arial Narrow" w:cs="Arial"/>
                <w:sz w:val="20"/>
                <w:szCs w:val="20"/>
              </w:rPr>
              <w:t xml:space="preserve">) </w:t>
            </w:r>
          </w:p>
        </w:tc>
      </w:tr>
      <w:tr w:rsidR="00D2354E" w:rsidRPr="00736BC8" w14:paraId="40275B6A"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right w:val="single" w:sz="4" w:space="0" w:color="auto"/>
            </w:tcBorders>
          </w:tcPr>
          <w:p w14:paraId="5DC7AE9D" w14:textId="77777777" w:rsidR="00D2354E" w:rsidRPr="00446E53" w:rsidRDefault="00D2354E"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82ACAD" w14:textId="77777777" w:rsidR="00D2354E" w:rsidRPr="00736BC8" w:rsidRDefault="00D2354E" w:rsidP="00157DEE">
            <w:pPr>
              <w:keepLines/>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D2354E" w:rsidRPr="000C4C5C" w14:paraId="058C3028"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40EAC0EF" w14:textId="07432A0C" w:rsidR="00D2354E" w:rsidRPr="00446E53" w:rsidRDefault="00D2354E"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F858FC" w14:textId="77777777" w:rsidR="00D2354E" w:rsidRDefault="00D2354E" w:rsidP="00157DEE">
            <w:pPr>
              <w:keepLines/>
              <w:rPr>
                <w:rFonts w:ascii="Arial Narrow" w:hAnsi="Arial Narrow"/>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w:t>
            </w:r>
          </w:p>
          <w:p w14:paraId="3A7A6BF4" w14:textId="77777777" w:rsidR="00D2354E" w:rsidRPr="000C4C5C" w:rsidRDefault="00D2354E" w:rsidP="00157DEE">
            <w:pPr>
              <w:rPr>
                <w:rFonts w:ascii="Arial Narrow" w:hAnsi="Arial Narrow"/>
                <w:sz w:val="20"/>
                <w:szCs w:val="20"/>
              </w:rPr>
            </w:pPr>
            <w:r w:rsidRPr="000C4C5C">
              <w:rPr>
                <w:rFonts w:ascii="Arial Narrow" w:hAnsi="Arial Narrow"/>
                <w:sz w:val="20"/>
                <w:szCs w:val="20"/>
                <w14:ligatures w14:val="standardContextual"/>
              </w:rPr>
              <w:t xml:space="preserve">The assessment for Juvenile </w:t>
            </w:r>
            <w:proofErr w:type="spellStart"/>
            <w:r w:rsidRPr="000C4C5C">
              <w:rPr>
                <w:rFonts w:ascii="Arial Narrow" w:hAnsi="Arial Narrow"/>
                <w:sz w:val="20"/>
                <w:szCs w:val="20"/>
                <w14:ligatures w14:val="standardContextual"/>
              </w:rPr>
              <w:t>Spondyloarthritis</w:t>
            </w:r>
            <w:proofErr w:type="spellEnd"/>
            <w:r w:rsidRPr="000C4C5C">
              <w:rPr>
                <w:rFonts w:ascii="Arial Narrow" w:hAnsi="Arial Narrow"/>
                <w:sz w:val="20"/>
                <w:szCs w:val="20"/>
                <w14:ligatures w14:val="standardContextual"/>
              </w:rPr>
              <w:t xml:space="preserve"> Disease Activity Index score is available at: </w:t>
            </w:r>
            <w:hyperlink r:id="rId14" w:history="1">
              <w:r w:rsidRPr="000C4C5C">
                <w:rPr>
                  <w:rFonts w:ascii="Arial Narrow" w:hAnsi="Arial Narrow"/>
                  <w:sz w:val="20"/>
                  <w:szCs w:val="20"/>
                  <w:u w:val="single"/>
                  <w14:ligatures w14:val="standardContextual"/>
                </w:rPr>
                <w:t>https://pmc.ncbi.nlm.nih.gov/articles/PMC4245319/table/T2/</w:t>
              </w:r>
            </w:hyperlink>
            <w:r w:rsidRPr="000C4C5C">
              <w:rPr>
                <w:rFonts w:ascii="Arial Narrow" w:hAnsi="Arial Narrow"/>
                <w:sz w:val="20"/>
                <w:szCs w:val="20"/>
                <w14:ligatures w14:val="standardContextual"/>
              </w:rPr>
              <w:t>.</w:t>
            </w:r>
          </w:p>
        </w:tc>
      </w:tr>
      <w:tr w:rsidR="00D2354E" w:rsidRPr="0025488F" w14:paraId="04F1DE8C"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vAlign w:val="center"/>
          </w:tcPr>
          <w:p w14:paraId="6E203111" w14:textId="36B0B39A" w:rsidR="00D2354E" w:rsidRPr="0025488F" w:rsidRDefault="00D2354E"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4073E67" w14:textId="77777777" w:rsidR="00D2354E" w:rsidRPr="0025488F" w:rsidRDefault="00D2354E" w:rsidP="00157DEE">
            <w:pPr>
              <w:keepLines/>
              <w:rPr>
                <w:rFonts w:ascii="Arial Narrow" w:hAnsi="Arial Narrow" w:cs="Arial"/>
                <w:b/>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No increase in the maximum number of repeats may be authorised.</w:t>
            </w:r>
          </w:p>
        </w:tc>
      </w:tr>
      <w:tr w:rsidR="00D2354E" w:rsidRPr="0025488F" w14:paraId="6507C140"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vAlign w:val="center"/>
          </w:tcPr>
          <w:p w14:paraId="4DF34E44" w14:textId="33E6D8FD" w:rsidR="00D2354E" w:rsidRPr="0025488F" w:rsidRDefault="00D2354E"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0E6365" w14:textId="77777777" w:rsidR="00D2354E" w:rsidRPr="0025488F" w:rsidRDefault="00D2354E" w:rsidP="00157DEE">
            <w:pPr>
              <w:keepLines/>
              <w:rPr>
                <w:rFonts w:ascii="Arial Narrow" w:hAnsi="Arial Narrow"/>
                <w:b/>
                <w:bCs/>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No increase in the maximum quantity or number of units may be authorised.</w:t>
            </w:r>
          </w:p>
        </w:tc>
      </w:tr>
      <w:tr w:rsidR="00D2354E" w:rsidRPr="0025488F" w14:paraId="4B06F7AF"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643F17DF" w14:textId="77777777" w:rsidR="00D2354E" w:rsidRDefault="00D2354E" w:rsidP="00157DEE">
            <w:pPr>
              <w:jc w:val="center"/>
              <w:rPr>
                <w:rFonts w:ascii="Arial Narrow" w:hAnsi="Arial Narrow"/>
                <w:sz w:val="20"/>
                <w:szCs w:val="20"/>
              </w:rPr>
            </w:pPr>
          </w:p>
          <w:p w14:paraId="6383BF9E" w14:textId="17A67F01" w:rsidR="00D2354E" w:rsidRPr="0025488F" w:rsidRDefault="00D2354E"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5B0908" w14:textId="77777777" w:rsidR="00D2354E" w:rsidRPr="00B26B9F" w:rsidRDefault="00D2354E" w:rsidP="00157DEE">
            <w:pPr>
              <w:keepLines/>
              <w:rPr>
                <w:rFonts w:ascii="Arial Narrow" w:hAnsi="Arial Narrow"/>
                <w:b/>
                <w:bCs/>
                <w:sz w:val="20"/>
                <w:szCs w:val="20"/>
              </w:rPr>
            </w:pPr>
            <w:r w:rsidRPr="00B26B9F">
              <w:rPr>
                <w:rFonts w:ascii="Arial Narrow" w:hAnsi="Arial Narrow"/>
                <w:b/>
                <w:bCs/>
                <w:sz w:val="20"/>
                <w:szCs w:val="20"/>
              </w:rPr>
              <w:t>Administrative Advice:</w:t>
            </w:r>
          </w:p>
          <w:p w14:paraId="4F7662AE" w14:textId="77777777" w:rsidR="00D2354E" w:rsidRDefault="00D2354E" w:rsidP="00157DEE">
            <w:pPr>
              <w:keepLines/>
              <w:rPr>
                <w:rFonts w:ascii="Arial Narrow" w:hAnsi="Arial Narrow"/>
                <w:sz w:val="20"/>
                <w:szCs w:val="20"/>
              </w:rPr>
            </w:pPr>
            <w:r w:rsidRPr="00B26B9F">
              <w:rPr>
                <w:rFonts w:ascii="Arial Narrow" w:hAnsi="Arial Narrow"/>
                <w:sz w:val="20"/>
                <w:szCs w:val="20"/>
              </w:rPr>
              <w:t>Pharmaceutical benefits that have the form adalimumab 20 mg/0.2 mL syringes and pharmaceutical benefits that have the form adalimumab 20 mg/0.4 mL syringes are equivalent for the purposes of substitution</w:t>
            </w:r>
          </w:p>
          <w:p w14:paraId="0BB480D6" w14:textId="77777777" w:rsidR="00D2354E" w:rsidRDefault="00D2354E" w:rsidP="00157DEE">
            <w:pPr>
              <w:keepLines/>
              <w:rPr>
                <w:rFonts w:ascii="Arial Narrow" w:hAnsi="Arial Narrow"/>
                <w:b/>
                <w:bCs/>
                <w:sz w:val="20"/>
                <w:szCs w:val="20"/>
              </w:rPr>
            </w:pPr>
          </w:p>
          <w:p w14:paraId="26BF3A21" w14:textId="77777777" w:rsidR="00D2354E" w:rsidRDefault="00D2354E" w:rsidP="00157DEE">
            <w:pPr>
              <w:keepLines/>
              <w:rPr>
                <w:rFonts w:ascii="Arial Narrow" w:hAnsi="Arial Narrow"/>
                <w:sz w:val="20"/>
                <w:szCs w:val="20"/>
              </w:rPr>
            </w:pPr>
            <w:r w:rsidRPr="00B26B9F">
              <w:rPr>
                <w:rFonts w:ascii="Arial Narrow" w:hAnsi="Arial Narrow"/>
                <w:sz w:val="20"/>
                <w:szCs w:val="20"/>
              </w:rPr>
              <w:t>Pharmaceutical benefits that have the form adalimumab 40 mg/0.4 mL pen devices and pharmaceutical benefits that have the form adalimumab 40 mg/0.8 mL pen devices are equivalent for the purposes of substitution</w:t>
            </w:r>
          </w:p>
          <w:p w14:paraId="1125DA29" w14:textId="77777777" w:rsidR="00D2354E" w:rsidRDefault="00D2354E" w:rsidP="00157DEE">
            <w:pPr>
              <w:keepLines/>
              <w:rPr>
                <w:rFonts w:ascii="Arial Narrow" w:hAnsi="Arial Narrow"/>
                <w:sz w:val="20"/>
                <w:szCs w:val="20"/>
              </w:rPr>
            </w:pPr>
          </w:p>
          <w:p w14:paraId="742F0606" w14:textId="77777777" w:rsidR="00D2354E" w:rsidRPr="0025488F" w:rsidRDefault="00D2354E" w:rsidP="00157DEE">
            <w:pPr>
              <w:keepLines/>
              <w:rPr>
                <w:rFonts w:ascii="Arial Narrow" w:hAnsi="Arial Narrow"/>
                <w:b/>
                <w:bCs/>
                <w:sz w:val="20"/>
                <w:szCs w:val="20"/>
              </w:rPr>
            </w:pPr>
            <w:r w:rsidRPr="00B26B9F">
              <w:rPr>
                <w:rFonts w:ascii="Arial Narrow" w:hAnsi="Arial Narrow"/>
                <w:sz w:val="20"/>
                <w:szCs w:val="20"/>
              </w:rPr>
              <w:t>Pharmaceutical benefits that have the form adalimumab 40 mg/0.4 mL syringes and pharmaceutical benefits that have the form adalimumab 40 mg/0.8 mL syringes are equivalent for the purposes of substitution</w:t>
            </w:r>
          </w:p>
        </w:tc>
      </w:tr>
      <w:tr w:rsidR="00D2354E" w:rsidRPr="0025488F" w14:paraId="717FB290"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1C357BB3" w14:textId="2567732D" w:rsidR="00D2354E" w:rsidRPr="0025488F" w:rsidRDefault="00D2354E"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733DB" w14:textId="77777777" w:rsidR="00D2354E" w:rsidRPr="00B26B9F" w:rsidRDefault="00D2354E" w:rsidP="00157DEE">
            <w:pPr>
              <w:keepLines/>
              <w:rPr>
                <w:rFonts w:ascii="Arial Narrow" w:hAnsi="Arial Narrow"/>
                <w:b/>
                <w:bCs/>
                <w:sz w:val="20"/>
                <w:szCs w:val="20"/>
              </w:rPr>
            </w:pPr>
            <w:r w:rsidRPr="00B26B9F">
              <w:rPr>
                <w:rFonts w:ascii="Arial Narrow" w:hAnsi="Arial Narrow"/>
                <w:b/>
                <w:bCs/>
                <w:sz w:val="20"/>
                <w:szCs w:val="20"/>
              </w:rPr>
              <w:t>Administrative Advice:</w:t>
            </w:r>
          </w:p>
          <w:p w14:paraId="3CED2A61" w14:textId="77777777" w:rsidR="00D2354E" w:rsidRPr="0025488F" w:rsidRDefault="00D2354E" w:rsidP="00157DEE">
            <w:pPr>
              <w:keepLines/>
              <w:rPr>
                <w:rFonts w:ascii="Arial Narrow" w:hAnsi="Arial Narrow"/>
                <w:b/>
                <w:bCs/>
                <w:sz w:val="20"/>
                <w:szCs w:val="20"/>
              </w:rPr>
            </w:pPr>
            <w:r w:rsidRPr="00B26B9F">
              <w:rPr>
                <w:rFonts w:ascii="Arial Narrow" w:hAnsi="Arial Narrow"/>
                <w:sz w:val="20"/>
                <w:szCs w:val="20"/>
              </w:rPr>
              <w:t>Pharmaceutical benefits that have a pack size of 1 may be substituted for pharmaceutical benefits that have a pack size of 2, in combinations equivalent to the maximum quantity number of units.</w:t>
            </w:r>
          </w:p>
        </w:tc>
      </w:tr>
      <w:tr w:rsidR="00D2354E" w:rsidRPr="00AA666B" w14:paraId="4963B32F"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vAlign w:val="center"/>
          </w:tcPr>
          <w:p w14:paraId="0AFCEEDD" w14:textId="0CBA3EF9" w:rsidR="00D2354E" w:rsidRPr="00AA666B" w:rsidRDefault="00D2354E"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645CBE" w14:textId="77777777" w:rsidR="00D2354E" w:rsidRPr="00AA666B" w:rsidRDefault="00D2354E" w:rsidP="00157DEE">
            <w:pPr>
              <w:keepLines/>
              <w:rPr>
                <w:rFonts w:ascii="Arial Narrow" w:hAnsi="Arial Narrow"/>
                <w:sz w:val="20"/>
                <w:szCs w:val="20"/>
              </w:rPr>
            </w:pPr>
            <w:r w:rsidRPr="00AA666B">
              <w:rPr>
                <w:rFonts w:ascii="Arial Narrow" w:hAnsi="Arial Narrow"/>
                <w:b/>
                <w:bCs/>
                <w:sz w:val="20"/>
                <w:szCs w:val="20"/>
              </w:rPr>
              <w:t>Administrative Advice:</w:t>
            </w:r>
            <w:r w:rsidRPr="00AA666B">
              <w:rPr>
                <w:rFonts w:ascii="Arial Narrow" w:hAnsi="Arial Narrow"/>
                <w:sz w:val="20"/>
                <w:szCs w:val="20"/>
              </w:rPr>
              <w:t xml:space="preserve"> </w:t>
            </w:r>
          </w:p>
          <w:p w14:paraId="3946B14D" w14:textId="77777777" w:rsidR="00D2354E" w:rsidRPr="00AA666B" w:rsidRDefault="00D2354E" w:rsidP="00157DEE">
            <w:pPr>
              <w:keepLines/>
              <w:rPr>
                <w:rFonts w:ascii="Arial Narrow" w:hAnsi="Arial Narrow"/>
                <w:b/>
                <w:bCs/>
                <w:sz w:val="20"/>
                <w:szCs w:val="20"/>
              </w:rPr>
            </w:pPr>
            <w:r w:rsidRPr="00AA666B">
              <w:rPr>
                <w:rFonts w:ascii="Arial Narrow" w:hAnsi="Arial Narrow"/>
                <w:b/>
                <w:bCs/>
                <w:sz w:val="20"/>
                <w:szCs w:val="20"/>
              </w:rPr>
              <w:t>Biosimilar prescribing policy</w:t>
            </w:r>
          </w:p>
          <w:p w14:paraId="680CAD5D" w14:textId="77777777" w:rsidR="00D2354E" w:rsidRPr="00AA666B" w:rsidRDefault="00D2354E" w:rsidP="00157DEE">
            <w:pPr>
              <w:keepLines/>
              <w:rPr>
                <w:rFonts w:ascii="Arial Narrow" w:hAnsi="Arial Narrow"/>
                <w:sz w:val="20"/>
                <w:szCs w:val="20"/>
              </w:rPr>
            </w:pPr>
            <w:r w:rsidRPr="00AA666B">
              <w:rPr>
                <w:rFonts w:ascii="Arial Narrow" w:hAnsi="Arial Narrow"/>
                <w:sz w:val="20"/>
                <w:szCs w:val="20"/>
              </w:rPr>
              <w:t>Prescribing of a biosimilar brand where available is encouraged for treatment naïve patients.</w:t>
            </w:r>
          </w:p>
        </w:tc>
      </w:tr>
      <w:tr w:rsidR="00D2354E" w:rsidRPr="00AA666B" w14:paraId="7DF45FDE"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vAlign w:val="center"/>
          </w:tcPr>
          <w:p w14:paraId="10DDE938" w14:textId="600E7DB8" w:rsidR="00D2354E" w:rsidRPr="00AA666B" w:rsidRDefault="00D2354E"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48C656" w14:textId="77777777" w:rsidR="00D2354E" w:rsidRPr="00AA666B" w:rsidRDefault="00D2354E" w:rsidP="00157DEE">
            <w:pPr>
              <w:keepLines/>
              <w:rPr>
                <w:rFonts w:ascii="Arial Narrow" w:hAnsi="Arial Narrow"/>
                <w:b/>
                <w:bCs/>
                <w:sz w:val="20"/>
                <w:szCs w:val="20"/>
              </w:rPr>
            </w:pPr>
            <w:r w:rsidRPr="00AA666B">
              <w:rPr>
                <w:rFonts w:ascii="Arial Narrow" w:hAnsi="Arial Narrow"/>
                <w:b/>
                <w:bCs/>
                <w:sz w:val="20"/>
                <w:szCs w:val="20"/>
              </w:rPr>
              <w:t xml:space="preserve">Administrative Advice: </w:t>
            </w:r>
          </w:p>
          <w:p w14:paraId="7EEDA588" w14:textId="77777777" w:rsidR="00D2354E" w:rsidRPr="00AA666B" w:rsidRDefault="00D2354E" w:rsidP="00157DEE">
            <w:pPr>
              <w:keepLines/>
              <w:rPr>
                <w:rFonts w:ascii="Arial Narrow" w:hAnsi="Arial Narrow"/>
                <w:b/>
                <w:bCs/>
                <w:sz w:val="20"/>
                <w:szCs w:val="20"/>
              </w:rPr>
            </w:pPr>
            <w:r w:rsidRPr="00AA666B">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D2354E" w:rsidRPr="002314B4" w14:paraId="5AD70C68"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shd w:val="clear" w:color="auto" w:fill="BFBFBF" w:themeFill="background1" w:themeFillShade="BF"/>
          </w:tcPr>
          <w:p w14:paraId="230EC575" w14:textId="77777777" w:rsidR="00D2354E" w:rsidRPr="00446E53" w:rsidRDefault="00D2354E"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B9CC16" w14:textId="77777777" w:rsidR="00D2354E" w:rsidRPr="002314B4" w:rsidRDefault="00D2354E" w:rsidP="00157DEE">
            <w:pPr>
              <w:keepLines/>
              <w:rPr>
                <w:rFonts w:ascii="Arial Narrow" w:hAnsi="Arial Narrow"/>
                <w:b/>
                <w:bCs/>
                <w:sz w:val="20"/>
                <w:szCs w:val="20"/>
              </w:rPr>
            </w:pPr>
            <w:r w:rsidRPr="002314B4">
              <w:rPr>
                <w:rFonts w:ascii="Arial Narrow" w:hAnsi="Arial Narrow"/>
                <w:b/>
                <w:sz w:val="20"/>
                <w:szCs w:val="20"/>
              </w:rPr>
              <w:t xml:space="preserve">Restriction Summary [new1] / Treatment of Concept: [new1A] </w:t>
            </w:r>
          </w:p>
        </w:tc>
      </w:tr>
      <w:tr w:rsidR="00D2354E" w:rsidRPr="00EF3FC7" w14:paraId="56D38C30" w14:textId="77777777" w:rsidTr="00157DEE">
        <w:tblPrEx>
          <w:tblCellMar>
            <w:top w:w="15" w:type="dxa"/>
            <w:bottom w:w="15" w:type="dxa"/>
          </w:tblCellMar>
          <w:tblLook w:val="04A0" w:firstRow="1" w:lastRow="0" w:firstColumn="1" w:lastColumn="0" w:noHBand="0" w:noVBand="1"/>
        </w:tblPrEx>
        <w:trPr>
          <w:trHeight w:val="20"/>
        </w:trPr>
        <w:tc>
          <w:tcPr>
            <w:tcW w:w="1276" w:type="dxa"/>
            <w:vMerge w:val="restart"/>
            <w:tcBorders>
              <w:left w:val="single" w:sz="4" w:space="0" w:color="auto"/>
              <w:right w:val="single" w:sz="4" w:space="0" w:color="auto"/>
            </w:tcBorders>
          </w:tcPr>
          <w:p w14:paraId="0703D644" w14:textId="77777777" w:rsidR="00D2354E" w:rsidRPr="00446E53" w:rsidRDefault="00D2354E"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3F9212" w14:textId="77777777" w:rsidR="00D2354E" w:rsidRPr="00EF3FC7" w:rsidRDefault="00D2354E" w:rsidP="00157DEE">
            <w:pPr>
              <w:keepLines/>
              <w:rPr>
                <w:rFonts w:ascii="Arial Narrow" w:hAnsi="Arial Narrow"/>
                <w:b/>
                <w:sz w:val="20"/>
                <w:szCs w:val="20"/>
              </w:rPr>
            </w:pPr>
            <w:r w:rsidRPr="00EF3FC7">
              <w:rPr>
                <w:rFonts w:ascii="Arial Narrow" w:hAnsi="Arial Narrow"/>
                <w:b/>
                <w:bCs/>
                <w:sz w:val="20"/>
                <w:szCs w:val="20"/>
                <w14:ligatures w14:val="standardContextual"/>
              </w:rPr>
              <w:t xml:space="preserve">Episodicity: </w:t>
            </w:r>
            <w:r w:rsidRPr="00EF3FC7">
              <w:rPr>
                <w:rFonts w:ascii="Arial Narrow" w:hAnsi="Arial Narrow"/>
                <w:sz w:val="20"/>
                <w:szCs w:val="20"/>
                <w14:ligatures w14:val="standardContextual"/>
              </w:rPr>
              <w:t>[blank]</w:t>
            </w:r>
          </w:p>
        </w:tc>
      </w:tr>
      <w:tr w:rsidR="00D2354E" w:rsidRPr="00EF3FC7" w14:paraId="133357EC"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0CB5EA80" w14:textId="77777777" w:rsidR="00D2354E" w:rsidRPr="00446E53" w:rsidRDefault="00D2354E"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F1FAE8" w14:textId="77777777" w:rsidR="00D2354E" w:rsidRPr="00EF3FC7" w:rsidRDefault="00D2354E" w:rsidP="00157DEE">
            <w:pPr>
              <w:keepLines/>
              <w:rPr>
                <w:rFonts w:ascii="Arial Narrow" w:hAnsi="Arial Narrow"/>
                <w:b/>
                <w:sz w:val="20"/>
                <w:szCs w:val="20"/>
              </w:rPr>
            </w:pPr>
            <w:r w:rsidRPr="00EF3FC7">
              <w:rPr>
                <w:rFonts w:ascii="Arial Narrow" w:hAnsi="Arial Narrow"/>
                <w:b/>
                <w:bCs/>
                <w:sz w:val="20"/>
                <w:szCs w:val="20"/>
                <w14:ligatures w14:val="standardContextual"/>
              </w:rPr>
              <w:t xml:space="preserve">Severity: </w:t>
            </w:r>
            <w:r w:rsidRPr="00EF3FC7">
              <w:rPr>
                <w:rFonts w:ascii="Arial Narrow" w:hAnsi="Arial Narrow"/>
                <w:sz w:val="20"/>
                <w:szCs w:val="20"/>
                <w14:ligatures w14:val="standardContextual"/>
              </w:rPr>
              <w:t>[blank]</w:t>
            </w:r>
          </w:p>
        </w:tc>
      </w:tr>
      <w:tr w:rsidR="00D2354E" w:rsidRPr="00EF3FC7" w14:paraId="1A0A72B7"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33C0B0B5" w14:textId="77777777" w:rsidR="00D2354E" w:rsidRPr="00446E53" w:rsidRDefault="00D2354E"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47DD89" w14:textId="77777777" w:rsidR="00D2354E" w:rsidRPr="00EF3FC7" w:rsidRDefault="00D2354E" w:rsidP="00157DEE">
            <w:pPr>
              <w:keepLines/>
              <w:rPr>
                <w:rFonts w:ascii="Arial Narrow" w:hAnsi="Arial Narrow"/>
                <w:b/>
                <w:sz w:val="20"/>
                <w:szCs w:val="20"/>
              </w:rPr>
            </w:pPr>
            <w:r w:rsidRPr="00EF3FC7">
              <w:rPr>
                <w:rFonts w:ascii="Arial Narrow" w:hAnsi="Arial Narrow"/>
                <w:b/>
                <w:bCs/>
                <w:sz w:val="20"/>
                <w:szCs w:val="20"/>
                <w14:ligatures w14:val="standardContextual"/>
              </w:rPr>
              <w:t xml:space="preserve">Condition: </w:t>
            </w:r>
            <w:r w:rsidRPr="00EF3FC7">
              <w:rPr>
                <w:rFonts w:ascii="Arial Narrow" w:hAnsi="Arial Narrow"/>
                <w:sz w:val="20"/>
                <w:szCs w:val="20"/>
                <w14:ligatures w14:val="standardContextual"/>
              </w:rPr>
              <w:t>Enthesitis/spondylitis related juvenile idiopathic arthritis</w:t>
            </w:r>
          </w:p>
        </w:tc>
      </w:tr>
      <w:tr w:rsidR="00D2354E" w:rsidRPr="008864EE" w14:paraId="035131AF"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1DDF94D3" w14:textId="26F9DC94" w:rsidR="00D2354E" w:rsidRPr="008864EE" w:rsidRDefault="00D2354E" w:rsidP="00157DEE">
            <w:pPr>
              <w:keepLines/>
              <w:jc w:val="center"/>
              <w:rPr>
                <w:rFonts w:ascii="Arial Narrow" w:hAnsi="Arial Narrow"/>
                <w:sz w:val="20"/>
                <w:szCs w:val="20"/>
              </w:rPr>
            </w:pPr>
          </w:p>
        </w:tc>
        <w:tc>
          <w:tcPr>
            <w:tcW w:w="7745" w:type="dxa"/>
            <w:gridSpan w:val="6"/>
            <w:vAlign w:val="center"/>
            <w:hideMark/>
          </w:tcPr>
          <w:p w14:paraId="255D31EE" w14:textId="77777777" w:rsidR="00D2354E" w:rsidRPr="008864EE" w:rsidRDefault="00D2354E" w:rsidP="00157DEE">
            <w:pPr>
              <w:keepLines/>
              <w:rPr>
                <w:rFonts w:ascii="Arial Narrow" w:hAnsi="Arial Narrow"/>
                <w:sz w:val="20"/>
                <w:szCs w:val="20"/>
              </w:rPr>
            </w:pPr>
            <w:r w:rsidRPr="008864EE">
              <w:rPr>
                <w:rFonts w:ascii="Arial Narrow" w:hAnsi="Arial Narrow"/>
                <w:b/>
                <w:bCs/>
                <w:sz w:val="20"/>
                <w:szCs w:val="20"/>
              </w:rPr>
              <w:t>Indication:</w:t>
            </w:r>
            <w:r w:rsidRPr="008864EE">
              <w:rPr>
                <w:rFonts w:ascii="Arial Narrow" w:hAnsi="Arial Narrow"/>
                <w:sz w:val="20"/>
                <w:szCs w:val="20"/>
              </w:rPr>
              <w:t xml:space="preserve"> </w:t>
            </w:r>
            <w:r w:rsidRPr="00E664AE">
              <w:rPr>
                <w:rFonts w:ascii="Arial Narrow" w:hAnsi="Arial Narrow"/>
                <w:sz w:val="20"/>
                <w:szCs w:val="20"/>
                <w14:ligatures w14:val="standardContextual"/>
              </w:rPr>
              <w:t>Enthesitis/spondylitis related juvenile idiopathic arthritis</w:t>
            </w:r>
          </w:p>
        </w:tc>
      </w:tr>
      <w:tr w:rsidR="00D2354E" w:rsidRPr="008864EE" w14:paraId="1CF2DB8B"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5CEBBF38" w14:textId="77777777" w:rsidR="00D2354E" w:rsidRPr="008864EE" w:rsidRDefault="00D2354E" w:rsidP="00157DEE">
            <w:pPr>
              <w:jc w:val="center"/>
              <w:rPr>
                <w:rFonts w:ascii="Arial Narrow" w:hAnsi="Arial Narrow"/>
                <w:sz w:val="20"/>
                <w:szCs w:val="20"/>
              </w:rPr>
            </w:pPr>
          </w:p>
        </w:tc>
        <w:tc>
          <w:tcPr>
            <w:tcW w:w="7745" w:type="dxa"/>
            <w:gridSpan w:val="6"/>
            <w:vAlign w:val="center"/>
            <w:hideMark/>
          </w:tcPr>
          <w:p w14:paraId="5B13AD79" w14:textId="77777777" w:rsidR="00D2354E" w:rsidRPr="008864EE" w:rsidRDefault="00D2354E" w:rsidP="00157DEE">
            <w:pPr>
              <w:rPr>
                <w:rFonts w:ascii="Arial Narrow" w:hAnsi="Arial Narrow"/>
                <w:sz w:val="20"/>
                <w:szCs w:val="20"/>
              </w:rPr>
            </w:pPr>
            <w:r w:rsidRPr="5311C991">
              <w:rPr>
                <w:rFonts w:ascii="Arial Narrow" w:hAnsi="Arial Narrow"/>
                <w:b/>
                <w:bCs/>
                <w:sz w:val="20"/>
                <w:szCs w:val="20"/>
              </w:rPr>
              <w:t>Treatment Phase:</w:t>
            </w:r>
            <w:r w:rsidRPr="5311C991">
              <w:rPr>
                <w:rFonts w:ascii="Arial Narrow" w:hAnsi="Arial Narrow"/>
                <w:sz w:val="20"/>
                <w:szCs w:val="20"/>
              </w:rPr>
              <w:t xml:space="preserve"> Initial treatment </w:t>
            </w:r>
          </w:p>
        </w:tc>
      </w:tr>
      <w:tr w:rsidR="00D2354E" w:rsidRPr="008864EE" w14:paraId="3A22F5D6"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BDD1C25" w14:textId="5A8FE059" w:rsidR="00D2354E" w:rsidRPr="008864EE" w:rsidRDefault="00D2354E" w:rsidP="00157DEE">
            <w:pPr>
              <w:jc w:val="center"/>
              <w:rPr>
                <w:rFonts w:ascii="Arial Narrow" w:hAnsi="Arial Narrow"/>
                <w:sz w:val="20"/>
                <w:szCs w:val="20"/>
              </w:rPr>
            </w:pPr>
          </w:p>
        </w:tc>
        <w:tc>
          <w:tcPr>
            <w:tcW w:w="7745" w:type="dxa"/>
            <w:gridSpan w:val="6"/>
            <w:vAlign w:val="center"/>
            <w:hideMark/>
          </w:tcPr>
          <w:p w14:paraId="5C8D7734" w14:textId="77777777" w:rsidR="00D2354E" w:rsidRPr="008864EE" w:rsidRDefault="00D2354E" w:rsidP="00157DEE">
            <w:pPr>
              <w:rPr>
                <w:rFonts w:ascii="Arial Narrow" w:hAnsi="Arial Narrow"/>
                <w:sz w:val="20"/>
                <w:szCs w:val="20"/>
              </w:rPr>
            </w:pPr>
            <w:r w:rsidRPr="008864EE">
              <w:rPr>
                <w:rFonts w:ascii="Arial Narrow" w:hAnsi="Arial Narrow"/>
                <w:b/>
                <w:bCs/>
                <w:sz w:val="20"/>
                <w:szCs w:val="20"/>
              </w:rPr>
              <w:t xml:space="preserve">Clinical criteria: </w:t>
            </w:r>
          </w:p>
        </w:tc>
      </w:tr>
      <w:tr w:rsidR="00D2354E" w:rsidRPr="007B266F" w14:paraId="2FB71E12"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A3DD474" w14:textId="5C9E9437" w:rsidR="00D2354E" w:rsidRPr="008864EE" w:rsidRDefault="00D2354E" w:rsidP="00157DEE">
            <w:pPr>
              <w:jc w:val="center"/>
              <w:rPr>
                <w:rFonts w:ascii="Arial Narrow" w:hAnsi="Arial Narrow"/>
                <w:sz w:val="20"/>
                <w:szCs w:val="20"/>
              </w:rPr>
            </w:pPr>
          </w:p>
        </w:tc>
        <w:tc>
          <w:tcPr>
            <w:tcW w:w="7745" w:type="dxa"/>
            <w:gridSpan w:val="6"/>
            <w:vAlign w:val="center"/>
            <w:hideMark/>
          </w:tcPr>
          <w:p w14:paraId="610C4B71" w14:textId="77777777" w:rsidR="00D2354E" w:rsidRPr="007B266F" w:rsidRDefault="00D2354E" w:rsidP="00157DEE">
            <w:pPr>
              <w:rPr>
                <w:rFonts w:ascii="Arial Narrow" w:hAnsi="Arial Narrow"/>
                <w:sz w:val="20"/>
                <w:szCs w:val="20"/>
              </w:rPr>
            </w:pPr>
            <w:r w:rsidRPr="007B266F">
              <w:rPr>
                <w:rFonts w:ascii="Arial Narrow" w:hAnsi="Arial Narrow"/>
                <w:sz w:val="20"/>
                <w:szCs w:val="20"/>
                <w14:ligatures w14:val="standardContextual"/>
              </w:rPr>
              <w:t xml:space="preserve">Patient must have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w:t>
            </w:r>
            <w:proofErr w:type="spellStart"/>
            <w:r w:rsidRPr="007B266F">
              <w:rPr>
                <w:rFonts w:ascii="Arial Narrow" w:hAnsi="Arial Narrow"/>
                <w:sz w:val="20"/>
                <w:szCs w:val="20"/>
                <w14:ligatures w14:val="standardContextual"/>
              </w:rPr>
              <w:t>spondyloarthritis</w:t>
            </w:r>
            <w:proofErr w:type="spellEnd"/>
            <w:r w:rsidRPr="007B266F">
              <w:rPr>
                <w:rFonts w:ascii="Arial Narrow" w:hAnsi="Arial Narrow"/>
                <w:sz w:val="20"/>
                <w:szCs w:val="20"/>
                <w14:ligatures w14:val="standardContextual"/>
              </w:rPr>
              <w:t xml:space="preserve"> in a first-degree relative</w:t>
            </w:r>
            <w:r w:rsidRPr="007B266F">
              <w:rPr>
                <w:rFonts w:ascii="Arial Narrow" w:hAnsi="Arial Narrow"/>
                <w:sz w:val="20"/>
                <w:szCs w:val="20"/>
              </w:rPr>
              <w:t>.</w:t>
            </w:r>
          </w:p>
        </w:tc>
      </w:tr>
      <w:tr w:rsidR="00D2354E" w:rsidRPr="008864EE" w14:paraId="44133F12"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1F096139" w14:textId="77777777" w:rsidR="00D2354E" w:rsidRPr="008864EE" w:rsidRDefault="00D2354E" w:rsidP="00157DEE">
            <w:pPr>
              <w:jc w:val="center"/>
              <w:rPr>
                <w:rFonts w:ascii="Arial Narrow" w:hAnsi="Arial Narrow"/>
                <w:sz w:val="20"/>
                <w:szCs w:val="20"/>
              </w:rPr>
            </w:pPr>
          </w:p>
        </w:tc>
        <w:tc>
          <w:tcPr>
            <w:tcW w:w="7745" w:type="dxa"/>
            <w:gridSpan w:val="6"/>
            <w:vAlign w:val="center"/>
          </w:tcPr>
          <w:p w14:paraId="45E38287" w14:textId="77777777" w:rsidR="00D2354E" w:rsidRPr="008864EE" w:rsidRDefault="00D2354E" w:rsidP="00157DEE">
            <w:pPr>
              <w:rPr>
                <w:rFonts w:ascii="Arial Narrow" w:hAnsi="Arial Narrow"/>
                <w:sz w:val="20"/>
                <w:szCs w:val="20"/>
              </w:rPr>
            </w:pPr>
            <w:r w:rsidRPr="008864EE">
              <w:rPr>
                <w:rFonts w:ascii="Arial Narrow" w:hAnsi="Arial Narrow"/>
                <w:b/>
                <w:bCs/>
                <w:sz w:val="20"/>
                <w:szCs w:val="20"/>
              </w:rPr>
              <w:t>AND</w:t>
            </w:r>
          </w:p>
        </w:tc>
      </w:tr>
      <w:tr w:rsidR="00D2354E" w:rsidRPr="008864EE" w14:paraId="248E3B3C"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1678110" w14:textId="4AA8F2AC" w:rsidR="00D2354E" w:rsidRPr="008864EE" w:rsidRDefault="00D2354E" w:rsidP="00157DEE">
            <w:pPr>
              <w:jc w:val="center"/>
              <w:rPr>
                <w:rFonts w:ascii="Arial Narrow" w:hAnsi="Arial Narrow"/>
                <w:sz w:val="20"/>
                <w:szCs w:val="20"/>
              </w:rPr>
            </w:pPr>
          </w:p>
        </w:tc>
        <w:tc>
          <w:tcPr>
            <w:tcW w:w="7745" w:type="dxa"/>
            <w:gridSpan w:val="6"/>
            <w:vAlign w:val="center"/>
            <w:hideMark/>
          </w:tcPr>
          <w:p w14:paraId="6ACF0F63" w14:textId="77777777" w:rsidR="00D2354E" w:rsidRPr="008864EE" w:rsidRDefault="00D2354E" w:rsidP="00157DEE">
            <w:pPr>
              <w:rPr>
                <w:rFonts w:ascii="Arial Narrow" w:hAnsi="Arial Narrow"/>
                <w:sz w:val="20"/>
                <w:szCs w:val="20"/>
              </w:rPr>
            </w:pPr>
            <w:r w:rsidRPr="008864EE">
              <w:rPr>
                <w:rFonts w:ascii="Arial Narrow" w:hAnsi="Arial Narrow"/>
                <w:b/>
                <w:bCs/>
                <w:sz w:val="20"/>
                <w:szCs w:val="20"/>
              </w:rPr>
              <w:t>Clinical criteria:</w:t>
            </w:r>
          </w:p>
        </w:tc>
      </w:tr>
      <w:tr w:rsidR="00D2354E" w:rsidRPr="0093559B" w14:paraId="1163659F"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7F83206B" w14:textId="4E729184" w:rsidR="00D2354E" w:rsidRPr="0093559B" w:rsidRDefault="00D2354E" w:rsidP="00157DEE">
            <w:pPr>
              <w:jc w:val="center"/>
              <w:rPr>
                <w:rFonts w:ascii="Arial Narrow" w:hAnsi="Arial Narrow"/>
                <w:sz w:val="20"/>
                <w:szCs w:val="20"/>
              </w:rPr>
            </w:pPr>
          </w:p>
        </w:tc>
        <w:tc>
          <w:tcPr>
            <w:tcW w:w="7745" w:type="dxa"/>
            <w:gridSpan w:val="6"/>
            <w:vAlign w:val="center"/>
          </w:tcPr>
          <w:p w14:paraId="647FAED7" w14:textId="77777777" w:rsidR="00D2354E" w:rsidRPr="0093559B" w:rsidRDefault="00D2354E" w:rsidP="00157DEE">
            <w:pPr>
              <w:rPr>
                <w:rFonts w:ascii="Arial Narrow" w:hAnsi="Arial Narrow"/>
                <w:sz w:val="20"/>
                <w:szCs w:val="20"/>
              </w:rPr>
            </w:pPr>
            <w:r w:rsidRPr="0093559B">
              <w:rPr>
                <w:rFonts w:ascii="Arial Narrow" w:hAnsi="Arial Narrow"/>
                <w:sz w:val="20"/>
                <w:szCs w:val="20"/>
                <w14:ligatures w14:val="standardContextual"/>
              </w:rPr>
              <w:t xml:space="preserve">Patient must not have received PBS-subsidised treatment with a biological medicine for this condition; or </w:t>
            </w:r>
          </w:p>
        </w:tc>
      </w:tr>
      <w:tr w:rsidR="00D2354E" w:rsidRPr="00E50FD3" w14:paraId="7BD4C39E"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D3E2D60" w14:textId="1C455769" w:rsidR="00D2354E" w:rsidRDefault="00D2354E" w:rsidP="00157DEE">
            <w:pPr>
              <w:jc w:val="center"/>
              <w:rPr>
                <w:rFonts w:ascii="Arial Narrow" w:hAnsi="Arial Narrow"/>
                <w:sz w:val="20"/>
                <w:szCs w:val="20"/>
              </w:rPr>
            </w:pPr>
          </w:p>
        </w:tc>
        <w:tc>
          <w:tcPr>
            <w:tcW w:w="7745" w:type="dxa"/>
            <w:gridSpan w:val="6"/>
            <w:vAlign w:val="center"/>
          </w:tcPr>
          <w:p w14:paraId="455F8096" w14:textId="77777777" w:rsidR="00D2354E" w:rsidRPr="00E50FD3" w:rsidRDefault="00D2354E" w:rsidP="00157DEE">
            <w:pPr>
              <w:rPr>
                <w:rFonts w:ascii="Arial Narrow" w:hAnsi="Arial Narrow"/>
                <w:sz w:val="20"/>
                <w:szCs w:val="20"/>
              </w:rPr>
            </w:pPr>
            <w:r w:rsidRPr="00E50FD3">
              <w:rPr>
                <w:rFonts w:ascii="Arial Narrow" w:hAnsi="Arial Narrow"/>
                <w:sz w:val="20"/>
                <w:szCs w:val="20"/>
                <w14:ligatures w14:val="standardContextual"/>
              </w:rPr>
              <w:t xml:space="preserve">Patient must have had a break in treatment of at least 2 years from the most recently approved PBS-subsidised biological medicine for this condition. </w:t>
            </w:r>
          </w:p>
        </w:tc>
      </w:tr>
      <w:tr w:rsidR="00D2354E" w:rsidRPr="008864EE" w14:paraId="25CFCBEA"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C618F64" w14:textId="77777777" w:rsidR="00D2354E" w:rsidRPr="008864EE" w:rsidRDefault="00D2354E" w:rsidP="00157DEE">
            <w:pPr>
              <w:jc w:val="center"/>
              <w:rPr>
                <w:rFonts w:ascii="Arial Narrow" w:hAnsi="Arial Narrow"/>
                <w:sz w:val="20"/>
                <w:szCs w:val="20"/>
              </w:rPr>
            </w:pPr>
          </w:p>
        </w:tc>
        <w:tc>
          <w:tcPr>
            <w:tcW w:w="7745" w:type="dxa"/>
            <w:gridSpan w:val="6"/>
            <w:vAlign w:val="center"/>
            <w:hideMark/>
          </w:tcPr>
          <w:p w14:paraId="35C6C712" w14:textId="77777777" w:rsidR="00D2354E" w:rsidRPr="008864EE" w:rsidRDefault="00D2354E" w:rsidP="00157DEE">
            <w:pPr>
              <w:rPr>
                <w:rFonts w:ascii="Arial Narrow" w:hAnsi="Arial Narrow"/>
                <w:sz w:val="20"/>
                <w:szCs w:val="20"/>
              </w:rPr>
            </w:pPr>
            <w:r w:rsidRPr="008864EE">
              <w:rPr>
                <w:rFonts w:ascii="Arial Narrow" w:hAnsi="Arial Narrow"/>
                <w:b/>
                <w:bCs/>
                <w:sz w:val="20"/>
                <w:szCs w:val="20"/>
              </w:rPr>
              <w:t xml:space="preserve">AND </w:t>
            </w:r>
          </w:p>
        </w:tc>
      </w:tr>
      <w:tr w:rsidR="00D2354E" w:rsidRPr="008864EE" w14:paraId="0BD7497A"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FCEA9B3" w14:textId="2B37248C" w:rsidR="00D2354E" w:rsidRPr="008864EE" w:rsidRDefault="00D2354E" w:rsidP="00157DEE">
            <w:pPr>
              <w:jc w:val="center"/>
              <w:rPr>
                <w:rFonts w:ascii="Arial Narrow" w:hAnsi="Arial Narrow"/>
                <w:sz w:val="20"/>
                <w:szCs w:val="20"/>
              </w:rPr>
            </w:pPr>
          </w:p>
        </w:tc>
        <w:tc>
          <w:tcPr>
            <w:tcW w:w="7745" w:type="dxa"/>
            <w:gridSpan w:val="6"/>
            <w:vAlign w:val="center"/>
          </w:tcPr>
          <w:p w14:paraId="2650FBC4" w14:textId="77777777" w:rsidR="00D2354E" w:rsidRPr="008864EE" w:rsidRDefault="00D2354E" w:rsidP="00157DEE">
            <w:pPr>
              <w:rPr>
                <w:rFonts w:ascii="Arial Narrow" w:hAnsi="Arial Narrow"/>
                <w:sz w:val="20"/>
                <w:szCs w:val="20"/>
              </w:rPr>
            </w:pPr>
            <w:r w:rsidRPr="008864EE">
              <w:rPr>
                <w:rFonts w:ascii="Arial Narrow" w:hAnsi="Arial Narrow"/>
                <w:b/>
                <w:bCs/>
                <w:sz w:val="20"/>
                <w:szCs w:val="20"/>
              </w:rPr>
              <w:t xml:space="preserve">Clinical criteria: </w:t>
            </w:r>
          </w:p>
        </w:tc>
      </w:tr>
      <w:tr w:rsidR="00D2354E" w:rsidRPr="003B242F" w14:paraId="5E1C0916"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D2A746E" w14:textId="7D81DAAF" w:rsidR="00D2354E" w:rsidRPr="008864EE" w:rsidRDefault="00D2354E" w:rsidP="00157DEE">
            <w:pPr>
              <w:jc w:val="center"/>
              <w:rPr>
                <w:rFonts w:ascii="Arial Narrow" w:hAnsi="Arial Narrow"/>
                <w:sz w:val="20"/>
                <w:szCs w:val="20"/>
              </w:rPr>
            </w:pPr>
          </w:p>
        </w:tc>
        <w:tc>
          <w:tcPr>
            <w:tcW w:w="7745" w:type="dxa"/>
            <w:gridSpan w:val="6"/>
            <w:vAlign w:val="center"/>
          </w:tcPr>
          <w:p w14:paraId="40C1991F" w14:textId="77777777" w:rsidR="00D2354E" w:rsidRPr="003B242F" w:rsidRDefault="00D2354E" w:rsidP="00157DEE">
            <w:pPr>
              <w:rPr>
                <w:rFonts w:ascii="Arial Narrow" w:hAnsi="Arial Narrow"/>
                <w:sz w:val="20"/>
                <w:szCs w:val="20"/>
              </w:rPr>
            </w:pPr>
            <w:r w:rsidRPr="003B242F">
              <w:rPr>
                <w:rFonts w:ascii="Arial Narrow" w:hAnsi="Arial Narrow"/>
                <w:sz w:val="20"/>
                <w:szCs w:val="20"/>
                <w14:ligatures w14:val="standardContextual"/>
              </w:rPr>
              <w:t>Patient must have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D2354E" w:rsidRPr="003B242F" w14:paraId="0109E275"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74956E20" w14:textId="79AF64E1" w:rsidR="00D2354E" w:rsidRPr="008864EE" w:rsidRDefault="00D2354E" w:rsidP="00157DEE">
            <w:pPr>
              <w:jc w:val="center"/>
              <w:rPr>
                <w:rFonts w:ascii="Arial Narrow" w:hAnsi="Arial Narrow"/>
                <w:sz w:val="20"/>
                <w:szCs w:val="20"/>
              </w:rPr>
            </w:pPr>
          </w:p>
        </w:tc>
        <w:tc>
          <w:tcPr>
            <w:tcW w:w="7745" w:type="dxa"/>
            <w:gridSpan w:val="6"/>
            <w:vAlign w:val="center"/>
            <w:hideMark/>
          </w:tcPr>
          <w:p w14:paraId="23AEB95D" w14:textId="77777777" w:rsidR="00D2354E" w:rsidRPr="003B242F" w:rsidRDefault="00D2354E" w:rsidP="00157DEE">
            <w:pPr>
              <w:autoSpaceDE w:val="0"/>
              <w:autoSpaceDN w:val="0"/>
              <w:adjustRightInd w:val="0"/>
              <w:rPr>
                <w:rFonts w:ascii="Arial Narrow" w:hAnsi="Arial Narrow" w:cs="Arial Narrow"/>
                <w:sz w:val="20"/>
                <w:szCs w:val="20"/>
              </w:rPr>
            </w:pPr>
            <w:r w:rsidRPr="003B242F">
              <w:rPr>
                <w:rFonts w:ascii="Arial Narrow" w:hAnsi="Arial Narrow"/>
                <w:sz w:val="20"/>
                <w:szCs w:val="20"/>
                <w14:ligatures w14:val="standardContextual"/>
              </w:rPr>
              <w:t>Patient must have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r>
              <w:rPr>
                <w:rFonts w:ascii="Arial Narrow" w:hAnsi="Arial Narrow"/>
                <w:sz w:val="20"/>
                <w:szCs w:val="20"/>
                <w14:ligatures w14:val="standardContextual"/>
              </w:rPr>
              <w:t>.</w:t>
            </w:r>
          </w:p>
        </w:tc>
      </w:tr>
      <w:tr w:rsidR="00D2354E" w:rsidRPr="00974F3F" w14:paraId="3016741A"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7341426C" w14:textId="77777777" w:rsidR="00D2354E" w:rsidRPr="00974F3F" w:rsidRDefault="00D2354E" w:rsidP="00157DEE">
            <w:pPr>
              <w:jc w:val="center"/>
              <w:rPr>
                <w:rFonts w:ascii="Arial Narrow" w:hAnsi="Arial Narrow"/>
                <w:sz w:val="20"/>
                <w:szCs w:val="20"/>
              </w:rPr>
            </w:pPr>
          </w:p>
        </w:tc>
        <w:tc>
          <w:tcPr>
            <w:tcW w:w="7745" w:type="dxa"/>
            <w:gridSpan w:val="6"/>
            <w:vAlign w:val="center"/>
          </w:tcPr>
          <w:p w14:paraId="299E119D" w14:textId="77777777" w:rsidR="00D2354E" w:rsidRPr="00974F3F" w:rsidRDefault="00D2354E" w:rsidP="00157DEE">
            <w:pPr>
              <w:autoSpaceDE w:val="0"/>
              <w:autoSpaceDN w:val="0"/>
              <w:adjustRightInd w:val="0"/>
              <w:rPr>
                <w:rFonts w:ascii="Arial Narrow" w:hAnsi="Arial Narrow" w:cs="Arial Narrow"/>
                <w:b/>
                <w:bCs/>
                <w:sz w:val="20"/>
                <w:szCs w:val="20"/>
              </w:rPr>
            </w:pPr>
            <w:r w:rsidRPr="00974F3F">
              <w:rPr>
                <w:rFonts w:ascii="Arial Narrow" w:hAnsi="Arial Narrow"/>
                <w:b/>
                <w:bCs/>
                <w:sz w:val="20"/>
                <w:szCs w:val="20"/>
              </w:rPr>
              <w:t>AND</w:t>
            </w:r>
          </w:p>
        </w:tc>
      </w:tr>
      <w:tr w:rsidR="00D2354E" w:rsidRPr="00974F3F" w14:paraId="66893B39"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870C888" w14:textId="58BE0EF0" w:rsidR="00D2354E" w:rsidRPr="00974F3F" w:rsidRDefault="00D2354E" w:rsidP="00157DEE">
            <w:pPr>
              <w:jc w:val="center"/>
              <w:rPr>
                <w:rFonts w:ascii="Arial Narrow" w:hAnsi="Arial Narrow"/>
                <w:sz w:val="20"/>
                <w:szCs w:val="20"/>
              </w:rPr>
            </w:pPr>
          </w:p>
        </w:tc>
        <w:tc>
          <w:tcPr>
            <w:tcW w:w="7745" w:type="dxa"/>
            <w:gridSpan w:val="6"/>
            <w:vAlign w:val="center"/>
          </w:tcPr>
          <w:p w14:paraId="49CA075C" w14:textId="77777777" w:rsidR="00D2354E" w:rsidRPr="00974F3F" w:rsidRDefault="00D2354E" w:rsidP="00157DEE">
            <w:pPr>
              <w:autoSpaceDE w:val="0"/>
              <w:autoSpaceDN w:val="0"/>
              <w:adjustRightInd w:val="0"/>
              <w:rPr>
                <w:rFonts w:ascii="Arial Narrow" w:hAnsi="Arial Narrow" w:cs="Arial Narrow"/>
                <w:sz w:val="20"/>
                <w:szCs w:val="20"/>
              </w:rPr>
            </w:pPr>
            <w:r w:rsidRPr="00974F3F">
              <w:rPr>
                <w:rFonts w:ascii="Arial Narrow" w:hAnsi="Arial Narrow"/>
                <w:b/>
                <w:bCs/>
                <w:sz w:val="20"/>
                <w:szCs w:val="20"/>
              </w:rPr>
              <w:t xml:space="preserve">Clinical criteria: </w:t>
            </w:r>
          </w:p>
        </w:tc>
      </w:tr>
      <w:tr w:rsidR="00D2354E" w:rsidRPr="00974F3F" w14:paraId="02CAADFE"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9B1DBA4" w14:textId="0E4FE921" w:rsidR="00D2354E" w:rsidRPr="00974F3F" w:rsidRDefault="00D2354E" w:rsidP="00157DEE">
            <w:pPr>
              <w:jc w:val="center"/>
              <w:rPr>
                <w:rFonts w:ascii="Arial Narrow" w:hAnsi="Arial Narrow"/>
                <w:sz w:val="20"/>
                <w:szCs w:val="20"/>
              </w:rPr>
            </w:pPr>
          </w:p>
        </w:tc>
        <w:tc>
          <w:tcPr>
            <w:tcW w:w="7745" w:type="dxa"/>
            <w:gridSpan w:val="6"/>
            <w:vAlign w:val="center"/>
          </w:tcPr>
          <w:p w14:paraId="7743E590" w14:textId="77777777" w:rsidR="00D2354E" w:rsidRPr="00974F3F" w:rsidRDefault="00D2354E" w:rsidP="00157DEE">
            <w:pPr>
              <w:autoSpaceDE w:val="0"/>
              <w:autoSpaceDN w:val="0"/>
              <w:adjustRightInd w:val="0"/>
              <w:rPr>
                <w:rFonts w:ascii="Arial Narrow" w:hAnsi="Arial Narrow" w:cs="Arial Narrow"/>
                <w:sz w:val="20"/>
                <w:szCs w:val="20"/>
              </w:rPr>
            </w:pPr>
            <w:r w:rsidRPr="00E12BE1">
              <w:rPr>
                <w:rFonts w:ascii="Arial Narrow" w:hAnsi="Arial Narrow" w:cs="Arial Narrow"/>
                <w:sz w:val="20"/>
                <w:szCs w:val="20"/>
              </w:rPr>
              <w:t>Patient must not receive more than 16 weeks of treatment under this restriction.</w:t>
            </w:r>
          </w:p>
        </w:tc>
      </w:tr>
      <w:tr w:rsidR="00D2354E" w:rsidRPr="00E12BE1" w14:paraId="2CEA5868"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481934F" w14:textId="2AAF4598" w:rsidR="00D2354E" w:rsidRDefault="00D2354E" w:rsidP="00157DEE">
            <w:pPr>
              <w:jc w:val="center"/>
              <w:rPr>
                <w:rFonts w:ascii="Arial Narrow" w:hAnsi="Arial Narrow"/>
                <w:sz w:val="20"/>
                <w:szCs w:val="20"/>
              </w:rPr>
            </w:pPr>
          </w:p>
        </w:tc>
        <w:tc>
          <w:tcPr>
            <w:tcW w:w="7745" w:type="dxa"/>
            <w:gridSpan w:val="6"/>
            <w:vAlign w:val="center"/>
          </w:tcPr>
          <w:p w14:paraId="69FD13B8" w14:textId="77777777" w:rsidR="00D2354E" w:rsidRPr="00E12BE1" w:rsidRDefault="00D2354E" w:rsidP="00157DEE">
            <w:pPr>
              <w:autoSpaceDE w:val="0"/>
              <w:autoSpaceDN w:val="0"/>
              <w:adjustRightInd w:val="0"/>
              <w:rPr>
                <w:rFonts w:ascii="Arial Narrow" w:hAnsi="Arial Narrow" w:cs="Arial Narrow"/>
                <w:sz w:val="20"/>
                <w:szCs w:val="20"/>
              </w:rPr>
            </w:pPr>
            <w:r w:rsidRPr="008864EE">
              <w:rPr>
                <w:rFonts w:ascii="Arial Narrow" w:hAnsi="Arial Narrow"/>
                <w:b/>
                <w:bCs/>
                <w:sz w:val="20"/>
                <w:szCs w:val="20"/>
              </w:rPr>
              <w:t>Treatment criteria:</w:t>
            </w:r>
          </w:p>
        </w:tc>
      </w:tr>
      <w:tr w:rsidR="00D2354E" w:rsidRPr="00E12BE1" w14:paraId="452652CB"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54E4A19" w14:textId="210DB150" w:rsidR="00D2354E" w:rsidRDefault="00D2354E" w:rsidP="00157DEE">
            <w:pPr>
              <w:jc w:val="center"/>
              <w:rPr>
                <w:rFonts w:ascii="Arial Narrow" w:hAnsi="Arial Narrow"/>
                <w:sz w:val="20"/>
                <w:szCs w:val="20"/>
              </w:rPr>
            </w:pPr>
          </w:p>
        </w:tc>
        <w:tc>
          <w:tcPr>
            <w:tcW w:w="7745" w:type="dxa"/>
            <w:gridSpan w:val="6"/>
            <w:vAlign w:val="center"/>
          </w:tcPr>
          <w:p w14:paraId="177D8364" w14:textId="77777777" w:rsidR="00D2354E" w:rsidRPr="00E12BE1" w:rsidRDefault="00D2354E" w:rsidP="00157DEE">
            <w:pPr>
              <w:autoSpaceDE w:val="0"/>
              <w:autoSpaceDN w:val="0"/>
              <w:adjustRightInd w:val="0"/>
              <w:rPr>
                <w:rFonts w:ascii="Arial Narrow" w:hAnsi="Arial Narrow" w:cs="Arial Narrow"/>
                <w:sz w:val="20"/>
                <w:szCs w:val="20"/>
              </w:rPr>
            </w:pPr>
            <w:r w:rsidRPr="001A015C">
              <w:rPr>
                <w:rFonts w:ascii="Arial Narrow" w:hAnsi="Arial Narrow"/>
                <w:sz w:val="20"/>
                <w:szCs w:val="20"/>
              </w:rPr>
              <w:t>Must be treated by a paediatric rheumatologist; or</w:t>
            </w:r>
          </w:p>
        </w:tc>
      </w:tr>
      <w:tr w:rsidR="00D2354E" w:rsidRPr="001A015C" w14:paraId="2AB9AE11"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A4309D0" w14:textId="2557FC6B" w:rsidR="00D2354E" w:rsidRDefault="00D2354E" w:rsidP="00157DEE">
            <w:pPr>
              <w:jc w:val="center"/>
              <w:rPr>
                <w:rFonts w:ascii="Arial Narrow" w:hAnsi="Arial Narrow"/>
                <w:sz w:val="20"/>
                <w:szCs w:val="20"/>
              </w:rPr>
            </w:pPr>
          </w:p>
        </w:tc>
        <w:tc>
          <w:tcPr>
            <w:tcW w:w="7745" w:type="dxa"/>
            <w:gridSpan w:val="6"/>
            <w:vAlign w:val="center"/>
          </w:tcPr>
          <w:p w14:paraId="28DC6920" w14:textId="77777777" w:rsidR="00D2354E" w:rsidRPr="001A015C" w:rsidRDefault="00D2354E" w:rsidP="00157DEE">
            <w:pPr>
              <w:autoSpaceDE w:val="0"/>
              <w:autoSpaceDN w:val="0"/>
              <w:adjustRightInd w:val="0"/>
              <w:rPr>
                <w:rFonts w:ascii="Arial Narrow" w:hAnsi="Arial Narrow"/>
                <w:sz w:val="20"/>
                <w:szCs w:val="20"/>
              </w:rPr>
            </w:pPr>
            <w:r w:rsidRPr="00A4647D">
              <w:rPr>
                <w:rFonts w:ascii="Arial Narrow" w:hAnsi="Arial Narrow"/>
                <w:sz w:val="20"/>
                <w:szCs w:val="20"/>
              </w:rPr>
              <w:t>Patient must be undergoing treatment under the supervision of a paediatric rheumatology treatment centre.</w:t>
            </w:r>
          </w:p>
        </w:tc>
      </w:tr>
      <w:tr w:rsidR="00D2354E" w:rsidRPr="00974F3F" w14:paraId="64156B13"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05799EB" w14:textId="3B7B4ABF" w:rsidR="00D2354E" w:rsidRPr="00974F3F" w:rsidRDefault="00D2354E" w:rsidP="00157DEE">
            <w:pPr>
              <w:jc w:val="center"/>
              <w:rPr>
                <w:rFonts w:ascii="Arial Narrow" w:hAnsi="Arial Narrow"/>
                <w:sz w:val="20"/>
                <w:szCs w:val="20"/>
              </w:rPr>
            </w:pPr>
          </w:p>
        </w:tc>
        <w:tc>
          <w:tcPr>
            <w:tcW w:w="7745" w:type="dxa"/>
            <w:gridSpan w:val="6"/>
            <w:vAlign w:val="center"/>
          </w:tcPr>
          <w:p w14:paraId="2BB89ABF" w14:textId="77777777" w:rsidR="00D2354E" w:rsidRPr="00974F3F" w:rsidRDefault="00D2354E" w:rsidP="00157DEE">
            <w:pPr>
              <w:rPr>
                <w:rFonts w:ascii="Arial Narrow" w:hAnsi="Arial Narrow"/>
                <w:sz w:val="20"/>
                <w:szCs w:val="20"/>
              </w:rPr>
            </w:pPr>
            <w:r w:rsidRPr="00974F3F">
              <w:rPr>
                <w:rFonts w:ascii="Arial Narrow" w:hAnsi="Arial Narrow"/>
                <w:b/>
                <w:bCs/>
                <w:sz w:val="20"/>
                <w:szCs w:val="20"/>
              </w:rPr>
              <w:t>Population criteria:</w:t>
            </w:r>
          </w:p>
        </w:tc>
      </w:tr>
      <w:tr w:rsidR="00D2354E" w:rsidRPr="00974F3F" w14:paraId="18930355"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24B9A201" w14:textId="03EF4BDF" w:rsidR="00D2354E" w:rsidRPr="00974F3F" w:rsidRDefault="00D2354E" w:rsidP="00157DEE">
            <w:pPr>
              <w:jc w:val="center"/>
              <w:rPr>
                <w:rFonts w:ascii="Arial Narrow" w:hAnsi="Arial Narrow"/>
                <w:sz w:val="20"/>
                <w:szCs w:val="20"/>
              </w:rPr>
            </w:pPr>
          </w:p>
        </w:tc>
        <w:tc>
          <w:tcPr>
            <w:tcW w:w="7745" w:type="dxa"/>
            <w:gridSpan w:val="6"/>
            <w:vAlign w:val="center"/>
            <w:hideMark/>
          </w:tcPr>
          <w:p w14:paraId="0088BBA3" w14:textId="77777777" w:rsidR="00D2354E" w:rsidRPr="00974F3F" w:rsidRDefault="00D2354E" w:rsidP="00157DEE">
            <w:pPr>
              <w:rPr>
                <w:rFonts w:ascii="Arial Narrow" w:hAnsi="Arial Narrow"/>
                <w:sz w:val="20"/>
                <w:szCs w:val="20"/>
              </w:rPr>
            </w:pPr>
            <w:r w:rsidRPr="00974F3F">
              <w:rPr>
                <w:rFonts w:ascii="Arial Narrow" w:hAnsi="Arial Narrow"/>
                <w:sz w:val="20"/>
                <w:szCs w:val="20"/>
              </w:rPr>
              <w:t>Patient must be under 18 years of age</w:t>
            </w:r>
            <w:r>
              <w:rPr>
                <w:rFonts w:ascii="Arial Narrow" w:hAnsi="Arial Narrow"/>
                <w:sz w:val="20"/>
                <w:szCs w:val="20"/>
              </w:rPr>
              <w:t>.</w:t>
            </w:r>
          </w:p>
        </w:tc>
      </w:tr>
      <w:tr w:rsidR="00D2354E" w:rsidRPr="00234EE3" w14:paraId="502BF45B"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AF38050" w14:textId="0E3E4C42" w:rsidR="00D2354E" w:rsidRDefault="00D2354E" w:rsidP="00157DEE">
            <w:pPr>
              <w:jc w:val="center"/>
              <w:rPr>
                <w:rFonts w:ascii="Arial Narrow" w:hAnsi="Arial Narrow"/>
                <w:sz w:val="20"/>
                <w:szCs w:val="20"/>
              </w:rPr>
            </w:pPr>
          </w:p>
          <w:p w14:paraId="4A8E5763" w14:textId="070033D5" w:rsidR="00D2354E" w:rsidRPr="00974F3F" w:rsidRDefault="00D2354E" w:rsidP="00157DEE">
            <w:pPr>
              <w:jc w:val="center"/>
              <w:rPr>
                <w:rFonts w:ascii="Arial Narrow" w:hAnsi="Arial Narrow"/>
                <w:sz w:val="20"/>
                <w:szCs w:val="20"/>
              </w:rPr>
            </w:pPr>
          </w:p>
        </w:tc>
        <w:tc>
          <w:tcPr>
            <w:tcW w:w="7745" w:type="dxa"/>
            <w:gridSpan w:val="6"/>
            <w:vAlign w:val="center"/>
          </w:tcPr>
          <w:p w14:paraId="51BB5CB6" w14:textId="77777777" w:rsidR="00D2354E" w:rsidRDefault="00D2354E" w:rsidP="00157DEE">
            <w:pPr>
              <w:rPr>
                <w:rFonts w:ascii="Arial Narrow" w:hAnsi="Arial Narrow"/>
                <w:b/>
                <w:bCs/>
                <w:sz w:val="20"/>
                <w:szCs w:val="20"/>
              </w:rPr>
            </w:pPr>
            <w:r>
              <w:rPr>
                <w:rFonts w:ascii="Arial Narrow" w:hAnsi="Arial Narrow"/>
                <w:b/>
                <w:bCs/>
                <w:sz w:val="20"/>
                <w:szCs w:val="20"/>
              </w:rPr>
              <w:t>Prescribing Instructions:</w:t>
            </w:r>
          </w:p>
          <w:p w14:paraId="1BE0939A" w14:textId="77777777" w:rsidR="00D2354E" w:rsidRPr="006C70CE" w:rsidRDefault="00D2354E" w:rsidP="00157DEE">
            <w:pPr>
              <w:rPr>
                <w:rFonts w:ascii="Arial Narrow" w:hAnsi="Arial Narrow"/>
                <w:sz w:val="20"/>
                <w:szCs w:val="20"/>
              </w:rPr>
            </w:pPr>
            <w:r w:rsidRPr="006C70CE">
              <w:rPr>
                <w:rFonts w:ascii="Arial Narrow" w:hAnsi="Arial Narrow"/>
                <w:sz w:val="20"/>
                <w:szCs w:val="20"/>
              </w:rPr>
              <w:t>The application must include details of the NSAIDs trialled, their doses and duration of treatment.</w:t>
            </w:r>
          </w:p>
          <w:p w14:paraId="118B3A7D" w14:textId="77777777" w:rsidR="00D2354E" w:rsidRPr="006C70CE" w:rsidRDefault="00D2354E" w:rsidP="00157DEE">
            <w:pPr>
              <w:rPr>
                <w:rFonts w:ascii="Arial Narrow" w:hAnsi="Arial Narrow"/>
                <w:sz w:val="20"/>
                <w:szCs w:val="20"/>
              </w:rPr>
            </w:pPr>
            <w:r w:rsidRPr="006C70CE">
              <w:rPr>
                <w:rFonts w:ascii="Arial Narrow" w:hAnsi="Arial Narrow"/>
                <w:sz w:val="20"/>
                <w:szCs w:val="20"/>
              </w:rPr>
              <w:t>If the NSAID dose is less than the maximum recommended dose in the relevant TGA-approved Product Information, the application must include the reason a higher dose cannot be used.</w:t>
            </w:r>
          </w:p>
          <w:p w14:paraId="254F8216" w14:textId="77777777" w:rsidR="00D2354E" w:rsidRPr="006C70CE" w:rsidRDefault="00D2354E" w:rsidP="00157DEE">
            <w:pPr>
              <w:rPr>
                <w:rFonts w:ascii="Arial Narrow" w:hAnsi="Arial Narrow"/>
                <w:sz w:val="20"/>
                <w:szCs w:val="20"/>
              </w:rPr>
            </w:pPr>
            <w:r w:rsidRPr="006C70CE">
              <w:rPr>
                <w:rFonts w:ascii="Arial Narrow" w:hAnsi="Arial Narrow"/>
                <w:sz w:val="20"/>
                <w:szCs w:val="20"/>
              </w:rPr>
              <w:t>If treatment with NSAIDs is contraindicated according to the relevant TGA-approved Product Information, the application must provide details of the contraindication.</w:t>
            </w:r>
          </w:p>
          <w:p w14:paraId="763E5411" w14:textId="77777777" w:rsidR="00D2354E" w:rsidRPr="00234EE3" w:rsidRDefault="00D2354E" w:rsidP="00157DEE">
            <w:pPr>
              <w:rPr>
                <w:rFonts w:ascii="Arial Narrow" w:hAnsi="Arial Narrow"/>
                <w:b/>
                <w:bCs/>
                <w:sz w:val="20"/>
                <w:szCs w:val="20"/>
              </w:rPr>
            </w:pPr>
            <w:r w:rsidRPr="006C70CE">
              <w:rPr>
                <w:rFonts w:ascii="Arial Narrow" w:hAnsi="Arial Narrow"/>
                <w:sz w:val="20"/>
                <w:szCs w:val="20"/>
              </w:rPr>
              <w:t>If intolerance to NSAID treatment develops during the relevant period of use which is of a severity to necessitate permanent treatment withdrawal, the application must provide details of the nature and severity of this intolerance.</w:t>
            </w:r>
          </w:p>
        </w:tc>
      </w:tr>
      <w:tr w:rsidR="00D2354E" w:rsidRPr="00154388" w14:paraId="13EFBAAD"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414A1B5A" w14:textId="0CCC209E" w:rsidR="00D2354E" w:rsidRPr="00234EE3" w:rsidRDefault="00D2354E" w:rsidP="00157DEE">
            <w:pPr>
              <w:jc w:val="center"/>
              <w:rPr>
                <w:rFonts w:ascii="Arial Narrow" w:hAnsi="Arial Narrow"/>
                <w:sz w:val="20"/>
                <w:szCs w:val="20"/>
              </w:rPr>
            </w:pPr>
          </w:p>
        </w:tc>
        <w:tc>
          <w:tcPr>
            <w:tcW w:w="7745" w:type="dxa"/>
            <w:gridSpan w:val="6"/>
            <w:vAlign w:val="center"/>
          </w:tcPr>
          <w:p w14:paraId="530832CC" w14:textId="77777777" w:rsidR="00D2354E" w:rsidRDefault="00D2354E" w:rsidP="00157DEE">
            <w:pPr>
              <w:rPr>
                <w:rFonts w:ascii="Arial Narrow" w:hAnsi="Arial Narrow"/>
                <w:b/>
                <w:bCs/>
                <w:sz w:val="20"/>
                <w:szCs w:val="20"/>
              </w:rPr>
            </w:pPr>
            <w:r>
              <w:rPr>
                <w:rFonts w:ascii="Arial Narrow" w:hAnsi="Arial Narrow"/>
                <w:b/>
                <w:bCs/>
                <w:sz w:val="20"/>
                <w:szCs w:val="20"/>
              </w:rPr>
              <w:t>Prescribing Instructions:</w:t>
            </w:r>
          </w:p>
          <w:p w14:paraId="7C91938C" w14:textId="77777777" w:rsidR="00D2354E" w:rsidRPr="009028E0" w:rsidRDefault="00D2354E" w:rsidP="00157DEE">
            <w:pPr>
              <w:rPr>
                <w:rFonts w:ascii="Arial Narrow" w:hAnsi="Arial Narrow"/>
                <w:sz w:val="20"/>
                <w:szCs w:val="20"/>
                <w14:ligatures w14:val="standardContextual"/>
              </w:rPr>
            </w:pPr>
            <w:r w:rsidRPr="009028E0">
              <w:rPr>
                <w:rFonts w:ascii="Arial Narrow" w:hAnsi="Arial Narrow"/>
                <w:sz w:val="20"/>
                <w:szCs w:val="20"/>
                <w14:ligatures w14:val="standardContextual"/>
              </w:rPr>
              <w:t>The following criteria indicate failure to achieve an adequate response and must be demonstrated at the time of the initial application:</w:t>
            </w:r>
          </w:p>
          <w:p w14:paraId="77D66116" w14:textId="77777777" w:rsidR="00D2354E" w:rsidRPr="009028E0" w:rsidRDefault="00D2354E" w:rsidP="00157DEE">
            <w:pPr>
              <w:rPr>
                <w:rFonts w:ascii="Arial Narrow" w:hAnsi="Arial Narrow"/>
                <w:sz w:val="20"/>
                <w:szCs w:val="20"/>
                <w14:ligatures w14:val="standardContextual"/>
              </w:rPr>
            </w:pPr>
            <w:r w:rsidRPr="009028E0">
              <w:rPr>
                <w:rFonts w:ascii="Arial Narrow" w:hAnsi="Arial Narrow"/>
                <w:sz w:val="20"/>
                <w:szCs w:val="20"/>
                <w14:ligatures w14:val="standardContextual"/>
              </w:rPr>
              <w:t xml:space="preserve">(a) a Juvenile </w:t>
            </w:r>
            <w:proofErr w:type="spellStart"/>
            <w:r w:rsidRPr="009028E0">
              <w:rPr>
                <w:rFonts w:ascii="Arial Narrow" w:hAnsi="Arial Narrow"/>
                <w:sz w:val="20"/>
                <w:szCs w:val="20"/>
                <w14:ligatures w14:val="standardContextual"/>
              </w:rPr>
              <w:t>Spondyloarthritis</w:t>
            </w:r>
            <w:proofErr w:type="spellEnd"/>
            <w:r w:rsidRPr="009028E0">
              <w:rPr>
                <w:rFonts w:ascii="Arial Narrow" w:hAnsi="Arial Narrow"/>
                <w:sz w:val="20"/>
                <w:szCs w:val="20"/>
                <w14:ligatures w14:val="standardContextual"/>
              </w:rPr>
              <w:t xml:space="preserve"> Disease Activity Index score greater than 2; or</w:t>
            </w:r>
          </w:p>
          <w:p w14:paraId="76577350" w14:textId="1C7F6C69" w:rsidR="00D2354E" w:rsidRPr="00154388" w:rsidRDefault="00D2354E" w:rsidP="00157DEE">
            <w:pPr>
              <w:rPr>
                <w:rFonts w:ascii="Arial Narrow" w:hAnsi="Arial Narrow"/>
                <w:b/>
                <w:bCs/>
                <w:sz w:val="20"/>
                <w:szCs w:val="20"/>
              </w:rPr>
            </w:pPr>
            <w:r w:rsidRPr="009028E0">
              <w:rPr>
                <w:rFonts w:ascii="Arial Narrow" w:hAnsi="Arial Narrow"/>
                <w:sz w:val="20"/>
                <w:szCs w:val="20"/>
                <w14:ligatures w14:val="standardContextual"/>
              </w:rPr>
              <w:t xml:space="preserve">(b) </w:t>
            </w:r>
            <w:r w:rsidR="003C69B6">
              <w:rPr>
                <w:rFonts w:ascii="Arial Narrow" w:hAnsi="Arial Narrow"/>
                <w:sz w:val="20"/>
                <w:szCs w:val="20"/>
                <w14:ligatures w14:val="standardContextual"/>
              </w:rPr>
              <w:t>p</w:t>
            </w:r>
            <w:r w:rsidRPr="009028E0">
              <w:rPr>
                <w:rFonts w:ascii="Arial Narrow" w:hAnsi="Arial Narrow"/>
                <w:sz w:val="20"/>
                <w:szCs w:val="20"/>
                <w14:ligatures w14:val="standardContextual"/>
              </w:rPr>
              <w:t>ersistent symptoms of axial spondylitis or sacroiliitis with prior confirmatory Magnetic Resonance Imaging (MRI) assessed by a clinician experienced with juvenile spondyloarthropathy.</w:t>
            </w:r>
          </w:p>
        </w:tc>
      </w:tr>
      <w:tr w:rsidR="00D2354E" w:rsidRPr="003B0D37" w14:paraId="2CAEA7C2"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5F607BA" w14:textId="77777777" w:rsidR="00D2354E" w:rsidRDefault="00D2354E" w:rsidP="00157DEE">
            <w:pPr>
              <w:jc w:val="center"/>
              <w:rPr>
                <w:rFonts w:ascii="Arial Narrow" w:hAnsi="Arial Narrow"/>
                <w:color w:val="FF0000"/>
                <w:sz w:val="20"/>
                <w:szCs w:val="20"/>
              </w:rPr>
            </w:pPr>
          </w:p>
          <w:p w14:paraId="6ED9A022" w14:textId="77777777" w:rsidR="00D2354E" w:rsidRDefault="00D2354E" w:rsidP="00594AC4">
            <w:pPr>
              <w:jc w:val="center"/>
              <w:rPr>
                <w:rFonts w:ascii="Arial Narrow" w:hAnsi="Arial Narrow"/>
                <w:sz w:val="20"/>
                <w:szCs w:val="20"/>
              </w:rPr>
            </w:pPr>
          </w:p>
        </w:tc>
        <w:tc>
          <w:tcPr>
            <w:tcW w:w="7745" w:type="dxa"/>
            <w:gridSpan w:val="6"/>
            <w:vAlign w:val="center"/>
          </w:tcPr>
          <w:p w14:paraId="2DE128E5" w14:textId="77777777" w:rsidR="00D2354E" w:rsidRPr="00A96196" w:rsidRDefault="00D2354E" w:rsidP="00157DEE">
            <w:pPr>
              <w:rPr>
                <w:rFonts w:ascii="Arial Narrow" w:hAnsi="Arial Narrow"/>
                <w:b/>
                <w:bCs/>
                <w:sz w:val="20"/>
                <w:szCs w:val="20"/>
              </w:rPr>
            </w:pPr>
            <w:r>
              <w:rPr>
                <w:rFonts w:ascii="Arial Narrow" w:hAnsi="Arial Narrow"/>
                <w:b/>
                <w:bCs/>
                <w:sz w:val="20"/>
                <w:szCs w:val="20"/>
              </w:rPr>
              <w:t>Prescribing Instructions</w:t>
            </w:r>
          </w:p>
          <w:p w14:paraId="31EAAC70" w14:textId="77777777" w:rsidR="00D2354E" w:rsidRPr="00593579" w:rsidRDefault="00D2354E" w:rsidP="00157DEE">
            <w:pPr>
              <w:rPr>
                <w:rFonts w:ascii="Arial Narrow" w:hAnsi="Arial Narrow"/>
                <w:sz w:val="20"/>
                <w:szCs w:val="20"/>
                <w14:ligatures w14:val="standardContextual"/>
              </w:rPr>
            </w:pPr>
            <w:r w:rsidRPr="00593579">
              <w:rPr>
                <w:rFonts w:ascii="Arial Narrow" w:hAnsi="Arial Narrow"/>
                <w:sz w:val="20"/>
                <w:szCs w:val="20"/>
                <w14:ligatures w14:val="standardContextual"/>
              </w:rPr>
              <w:t>The following must be provided at the time of application and documented in the patient's medical records:</w:t>
            </w:r>
          </w:p>
          <w:p w14:paraId="12E616F6" w14:textId="77777777" w:rsidR="00D2354E" w:rsidRPr="00593579" w:rsidRDefault="00D2354E" w:rsidP="00157DEE">
            <w:pPr>
              <w:rPr>
                <w:rFonts w:ascii="Arial Narrow" w:hAnsi="Arial Narrow"/>
                <w:strike/>
                <w:sz w:val="20"/>
                <w:szCs w:val="20"/>
                <w14:ligatures w14:val="standardContextual"/>
              </w:rPr>
            </w:pPr>
            <w:r w:rsidRPr="00593579">
              <w:rPr>
                <w:rFonts w:ascii="Arial Narrow" w:hAnsi="Arial Narrow"/>
                <w:sz w:val="20"/>
                <w:szCs w:val="20"/>
                <w14:ligatures w14:val="standardContextual"/>
              </w:rPr>
              <w:t xml:space="preserve">(i) the baseline Juvenile </w:t>
            </w:r>
            <w:proofErr w:type="spellStart"/>
            <w:r w:rsidRPr="00593579">
              <w:rPr>
                <w:rFonts w:ascii="Arial Narrow" w:hAnsi="Arial Narrow"/>
                <w:sz w:val="20"/>
                <w:szCs w:val="20"/>
                <w14:ligatures w14:val="standardContextual"/>
              </w:rPr>
              <w:t>Spondyloarthritis</w:t>
            </w:r>
            <w:proofErr w:type="spellEnd"/>
            <w:r w:rsidRPr="00593579">
              <w:rPr>
                <w:rFonts w:ascii="Arial Narrow" w:hAnsi="Arial Narrow"/>
                <w:sz w:val="20"/>
                <w:szCs w:val="20"/>
                <w14:ligatures w14:val="standardContextual"/>
              </w:rPr>
              <w:t xml:space="preserve"> Disease Activity Index score; </w:t>
            </w:r>
            <w:r>
              <w:rPr>
                <w:rFonts w:ascii="Arial Narrow" w:hAnsi="Arial Narrow"/>
                <w:sz w:val="20"/>
                <w:szCs w:val="20"/>
                <w14:ligatures w14:val="standardContextual"/>
              </w:rPr>
              <w:t>and</w:t>
            </w:r>
          </w:p>
          <w:p w14:paraId="200B9FC7" w14:textId="7D20928D" w:rsidR="00D2354E" w:rsidRPr="00593579" w:rsidRDefault="00D2354E" w:rsidP="00157DEE">
            <w:pPr>
              <w:rPr>
                <w:rFonts w:ascii="Arial Narrow" w:hAnsi="Arial Narrow"/>
                <w:sz w:val="20"/>
                <w:szCs w:val="20"/>
                <w14:ligatures w14:val="standardContextual"/>
              </w:rPr>
            </w:pPr>
            <w:r w:rsidRPr="00593579">
              <w:rPr>
                <w:rFonts w:ascii="Arial Narrow" w:hAnsi="Arial Narrow"/>
                <w:sz w:val="20"/>
                <w:szCs w:val="20"/>
                <w14:ligatures w14:val="standardContextual"/>
              </w:rPr>
              <w:t>(ii)</w:t>
            </w:r>
            <w:r w:rsidR="003C69B6">
              <w:rPr>
                <w:rFonts w:ascii="Arial Narrow" w:hAnsi="Arial Narrow"/>
                <w:sz w:val="20"/>
                <w:szCs w:val="20"/>
                <w14:ligatures w14:val="standardContextual"/>
              </w:rPr>
              <w:t xml:space="preserve"> i</w:t>
            </w:r>
            <w:r w:rsidRPr="00593579">
              <w:rPr>
                <w:rFonts w:ascii="Arial Narrow" w:hAnsi="Arial Narrow"/>
                <w:sz w:val="20"/>
                <w:szCs w:val="20"/>
                <w14:ligatures w14:val="standardContextual"/>
              </w:rPr>
              <w:t>f applicable, details (name of the report provider, date of the report and unique identifying number/code that links report to the individual patient) of the magnetic resonance imaging demonstrating inflammatory spondylitis or sacroiliitis; and</w:t>
            </w:r>
          </w:p>
          <w:p w14:paraId="78FD68E9" w14:textId="22F9C33C" w:rsidR="00D2354E" w:rsidRPr="003B0D37" w:rsidRDefault="00D2354E" w:rsidP="00157DEE">
            <w:pPr>
              <w:rPr>
                <w:rFonts w:ascii="Arial Narrow" w:hAnsi="Arial Narrow"/>
                <w:b/>
                <w:bCs/>
                <w:sz w:val="20"/>
                <w:szCs w:val="20"/>
              </w:rPr>
            </w:pPr>
            <w:r w:rsidRPr="00593579">
              <w:rPr>
                <w:rFonts w:ascii="Arial Narrow" w:hAnsi="Arial Narrow"/>
                <w:sz w:val="20"/>
                <w:szCs w:val="20"/>
                <w14:ligatures w14:val="standardContextual"/>
              </w:rPr>
              <w:t xml:space="preserve">(iii) </w:t>
            </w:r>
            <w:r>
              <w:rPr>
                <w:rFonts w:ascii="Arial Narrow" w:hAnsi="Arial Narrow"/>
                <w:sz w:val="20"/>
                <w:szCs w:val="20"/>
                <w14:ligatures w14:val="standardContextual"/>
              </w:rPr>
              <w:t>i</w:t>
            </w:r>
            <w:r w:rsidRPr="00593579">
              <w:rPr>
                <w:rFonts w:ascii="Arial Narrow" w:hAnsi="Arial Narrow"/>
                <w:sz w:val="20"/>
                <w:szCs w:val="20"/>
                <w14:ligatures w14:val="standardContextual"/>
              </w:rPr>
              <w:t>f applicable, details (name of the report provider, date of the report and unique identifying number/code that links report to the individual patient) demonstrating the presence of HLA-B27.</w:t>
            </w:r>
          </w:p>
        </w:tc>
      </w:tr>
      <w:tr w:rsidR="00D2354E" w:rsidRPr="001F1B43" w14:paraId="32D96E73"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436693B8" w14:textId="13263CCF" w:rsidR="00D2354E" w:rsidRPr="00972C32" w:rsidRDefault="00D2354E" w:rsidP="00157DEE">
            <w:pPr>
              <w:jc w:val="center"/>
              <w:rPr>
                <w:rFonts w:ascii="Arial Narrow" w:hAnsi="Arial Narrow"/>
                <w:sz w:val="20"/>
                <w:szCs w:val="20"/>
              </w:rPr>
            </w:pPr>
          </w:p>
        </w:tc>
        <w:tc>
          <w:tcPr>
            <w:tcW w:w="7745" w:type="dxa"/>
            <w:gridSpan w:val="6"/>
            <w:vAlign w:val="center"/>
          </w:tcPr>
          <w:p w14:paraId="513DD64E" w14:textId="77777777" w:rsidR="00D2354E" w:rsidRPr="001F1B43" w:rsidRDefault="00D2354E" w:rsidP="00157DEE">
            <w:pPr>
              <w:rPr>
                <w:rFonts w:ascii="Arial Narrow" w:hAnsi="Arial Narrow"/>
                <w:b/>
                <w:bCs/>
                <w:sz w:val="20"/>
                <w:szCs w:val="20"/>
              </w:rPr>
            </w:pPr>
            <w:r>
              <w:rPr>
                <w:rFonts w:ascii="Arial Narrow" w:hAnsi="Arial Narrow"/>
                <w:b/>
                <w:bCs/>
                <w:sz w:val="20"/>
                <w:szCs w:val="20"/>
              </w:rPr>
              <w:t>Prescribing Instructions</w:t>
            </w:r>
          </w:p>
          <w:p w14:paraId="4C534DB8" w14:textId="77777777" w:rsidR="00D2354E" w:rsidRPr="001F1B43" w:rsidRDefault="00D2354E" w:rsidP="00157DEE">
            <w:pPr>
              <w:rPr>
                <w:rFonts w:ascii="Arial Narrow" w:hAnsi="Arial Narrow"/>
                <w:sz w:val="20"/>
                <w:szCs w:val="20"/>
              </w:rPr>
            </w:pPr>
            <w:r w:rsidRPr="001F1B43">
              <w:rPr>
                <w:rFonts w:ascii="Arial Narrow" w:hAnsi="Arial Narrow"/>
                <w:sz w:val="20"/>
                <w:szCs w:val="20"/>
              </w:rPr>
              <w:t>An assessment of a patient's response to this initial course of treatment must be conducted following a minimum of 12 weeks of therapy and no later than 4 weeks prior the completion of this course of treatment.</w:t>
            </w:r>
          </w:p>
        </w:tc>
      </w:tr>
      <w:tr w:rsidR="00D2354E" w:rsidRPr="003460E2" w14:paraId="189C29D2"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A6F0D1D" w14:textId="3CF793D0" w:rsidR="00D2354E" w:rsidRPr="00972C32" w:rsidRDefault="00D2354E" w:rsidP="00157DEE">
            <w:pPr>
              <w:jc w:val="center"/>
              <w:rPr>
                <w:rFonts w:ascii="Arial Narrow" w:hAnsi="Arial Narrow"/>
                <w:sz w:val="20"/>
                <w:szCs w:val="20"/>
              </w:rPr>
            </w:pPr>
          </w:p>
        </w:tc>
        <w:tc>
          <w:tcPr>
            <w:tcW w:w="7745" w:type="dxa"/>
            <w:gridSpan w:val="6"/>
            <w:vAlign w:val="center"/>
          </w:tcPr>
          <w:p w14:paraId="7156FB7B" w14:textId="77777777" w:rsidR="00D2354E" w:rsidRPr="003460E2" w:rsidRDefault="00D2354E" w:rsidP="00157DEE">
            <w:pPr>
              <w:rPr>
                <w:rFonts w:ascii="Arial Narrow" w:hAnsi="Arial Narrow"/>
                <w:b/>
                <w:bCs/>
                <w:sz w:val="20"/>
                <w:szCs w:val="20"/>
              </w:rPr>
            </w:pPr>
            <w:r>
              <w:rPr>
                <w:rFonts w:ascii="Arial Narrow" w:hAnsi="Arial Narrow"/>
                <w:b/>
                <w:bCs/>
                <w:sz w:val="20"/>
                <w:szCs w:val="20"/>
              </w:rPr>
              <w:t>Prescribing Instructions</w:t>
            </w:r>
          </w:p>
          <w:p w14:paraId="30FA97BE" w14:textId="77777777" w:rsidR="00D2354E" w:rsidRPr="003460E2" w:rsidRDefault="00D2354E" w:rsidP="00157DEE">
            <w:pPr>
              <w:rPr>
                <w:rFonts w:ascii="Arial Narrow" w:hAnsi="Arial Narrow"/>
                <w:sz w:val="20"/>
                <w:szCs w:val="20"/>
              </w:rPr>
            </w:pPr>
            <w:r w:rsidRPr="003460E2">
              <w:rPr>
                <w:rFonts w:ascii="Arial Narrow" w:hAnsi="Arial Narrow"/>
                <w:sz w:val="20"/>
                <w:szCs w:val="20"/>
              </w:rPr>
              <w:t>Where a response assessment is not conducted within these timeframes, the patient will be deemed to have failed to respond to treatment with this drug.</w:t>
            </w:r>
          </w:p>
        </w:tc>
      </w:tr>
      <w:tr w:rsidR="00D2354E" w:rsidRPr="00312208" w14:paraId="0A7C3D34"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9FD0FF1" w14:textId="00EE5866" w:rsidR="00D2354E" w:rsidRPr="00312208" w:rsidRDefault="00D2354E" w:rsidP="00157DEE">
            <w:pPr>
              <w:jc w:val="center"/>
              <w:rPr>
                <w:rFonts w:ascii="Arial Narrow" w:hAnsi="Arial Narrow"/>
                <w:sz w:val="20"/>
                <w:szCs w:val="20"/>
              </w:rPr>
            </w:pPr>
          </w:p>
        </w:tc>
        <w:tc>
          <w:tcPr>
            <w:tcW w:w="7745" w:type="dxa"/>
            <w:gridSpan w:val="6"/>
            <w:vAlign w:val="center"/>
          </w:tcPr>
          <w:p w14:paraId="3C59624C" w14:textId="77777777" w:rsidR="00D2354E" w:rsidRPr="00312208" w:rsidRDefault="00D2354E" w:rsidP="00157DEE">
            <w:pPr>
              <w:rPr>
                <w:rFonts w:ascii="Arial Narrow" w:hAnsi="Arial Narrow"/>
                <w:bCs/>
                <w:sz w:val="20"/>
                <w:szCs w:val="20"/>
                <w14:ligatures w14:val="standardContextual"/>
              </w:rPr>
            </w:pPr>
            <w:r w:rsidRPr="00312208">
              <w:rPr>
                <w:rFonts w:ascii="Arial Narrow" w:hAnsi="Arial Narrow"/>
                <w:b/>
                <w:bCs/>
                <w:sz w:val="20"/>
                <w:szCs w:val="20"/>
                <w14:ligatures w14:val="standardContextual"/>
              </w:rPr>
              <w:t xml:space="preserve">Prescribing Instructions: </w:t>
            </w:r>
          </w:p>
          <w:p w14:paraId="4C1CDDF7" w14:textId="77777777" w:rsidR="00D2354E" w:rsidRPr="00312208" w:rsidRDefault="00D2354E" w:rsidP="00157DEE">
            <w:pPr>
              <w:rPr>
                <w:rFonts w:ascii="Arial Narrow" w:hAnsi="Arial Narrow"/>
                <w:b/>
                <w:bCs/>
                <w:sz w:val="20"/>
                <w:szCs w:val="20"/>
              </w:rPr>
            </w:pPr>
            <w:r w:rsidRPr="00312208">
              <w:rPr>
                <w:rFonts w:ascii="Arial Narrow" w:hAnsi="Arial Narrow"/>
                <w:sz w:val="20"/>
                <w:szCs w:val="20"/>
                <w14:ligatures w14:val="standardContextual"/>
              </w:rPr>
              <w:t xml:space="preserve">If a patient fails to demonstrate a response to treatment with this </w:t>
            </w:r>
            <w:proofErr w:type="gramStart"/>
            <w:r w:rsidRPr="00312208">
              <w:rPr>
                <w:rFonts w:ascii="Arial Narrow" w:hAnsi="Arial Narrow"/>
                <w:sz w:val="20"/>
                <w:szCs w:val="20"/>
                <w14:ligatures w14:val="standardContextual"/>
              </w:rPr>
              <w:t>drug</w:t>
            </w:r>
            <w:proofErr w:type="gramEnd"/>
            <w:r w:rsidRPr="00312208">
              <w:rPr>
                <w:rFonts w:ascii="Arial Narrow" w:hAnsi="Arial Narrow"/>
                <w:sz w:val="20"/>
                <w:szCs w:val="20"/>
                <w14:ligatures w14:val="standardContextual"/>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D2354E" w:rsidRPr="00F76F5A" w14:paraId="40329B7B"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B4499A7" w14:textId="52C1FF9E" w:rsidR="00D2354E" w:rsidRPr="00312208" w:rsidRDefault="00D2354E" w:rsidP="00157DEE">
            <w:pPr>
              <w:jc w:val="center"/>
              <w:rPr>
                <w:rFonts w:ascii="Arial Narrow" w:hAnsi="Arial Narrow"/>
                <w:sz w:val="20"/>
                <w:szCs w:val="20"/>
                <w14:ligatures w14:val="standardContextual"/>
              </w:rPr>
            </w:pPr>
          </w:p>
        </w:tc>
        <w:tc>
          <w:tcPr>
            <w:tcW w:w="7745" w:type="dxa"/>
            <w:gridSpan w:val="6"/>
            <w:vAlign w:val="center"/>
          </w:tcPr>
          <w:p w14:paraId="71C78A7C" w14:textId="77777777" w:rsidR="00D2354E" w:rsidRPr="00F76F5A" w:rsidRDefault="00D2354E" w:rsidP="00157DEE">
            <w:pPr>
              <w:rPr>
                <w:rFonts w:ascii="Arial Narrow" w:hAnsi="Arial Narrow"/>
                <w:b/>
                <w:bCs/>
                <w:sz w:val="20"/>
                <w:szCs w:val="20"/>
              </w:rPr>
            </w:pPr>
            <w:r w:rsidRPr="00CE1D7B">
              <w:rPr>
                <w:rFonts w:ascii="Arial Narrow" w:hAnsi="Arial Narrow"/>
                <w:b/>
                <w:bCs/>
                <w:sz w:val="20"/>
                <w:szCs w:val="20"/>
              </w:rPr>
              <w:t>Administrative Advice:</w:t>
            </w:r>
          </w:p>
          <w:p w14:paraId="0F18A9B1" w14:textId="77777777" w:rsidR="00D2354E" w:rsidRPr="00F76F5A" w:rsidRDefault="00D2354E" w:rsidP="00157DEE">
            <w:pPr>
              <w:rPr>
                <w:rFonts w:ascii="Arial Narrow" w:hAnsi="Arial Narrow"/>
                <w:sz w:val="20"/>
                <w:szCs w:val="20"/>
                <w14:ligatures w14:val="standardContextual"/>
              </w:rPr>
            </w:pPr>
            <w:r w:rsidRPr="00F76F5A">
              <w:rPr>
                <w:rFonts w:ascii="Arial Narrow" w:hAnsi="Arial Narrow"/>
                <w:sz w:val="20"/>
                <w:szCs w:val="20"/>
                <w14:ligatures w14:val="standardContextual"/>
              </w:rPr>
              <w:t>Details of the toxicities, including severity, which will be accepted for the purposes of administering this restriction can be found on the Services Australia website at www.servicesaustralia.gov.au</w:t>
            </w:r>
          </w:p>
        </w:tc>
      </w:tr>
      <w:tr w:rsidR="00D2354E" w:rsidRPr="00CE1D7B" w14:paraId="5A5478E6"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36BCB28" w14:textId="777843F0" w:rsidR="00D2354E" w:rsidRPr="00D505C0" w:rsidRDefault="00D2354E" w:rsidP="00157DEE">
            <w:pPr>
              <w:jc w:val="center"/>
              <w:rPr>
                <w:rFonts w:ascii="Arial Narrow" w:hAnsi="Arial Narrow" w:cs="Open Sans"/>
                <w:color w:val="333333"/>
                <w:sz w:val="20"/>
                <w:szCs w:val="20"/>
              </w:rPr>
            </w:pPr>
          </w:p>
          <w:p w14:paraId="495D8EA4" w14:textId="5BD336F0" w:rsidR="00D2354E" w:rsidRPr="00CE1D7B" w:rsidRDefault="00D2354E" w:rsidP="00157DEE">
            <w:pPr>
              <w:jc w:val="center"/>
              <w:textAlignment w:val="baseline"/>
              <w:rPr>
                <w:rFonts w:ascii="Arial Narrow" w:hAnsi="Arial Narrow" w:cs="Open Sans"/>
                <w:sz w:val="20"/>
                <w:szCs w:val="20"/>
              </w:rPr>
            </w:pPr>
          </w:p>
        </w:tc>
        <w:tc>
          <w:tcPr>
            <w:tcW w:w="7745" w:type="dxa"/>
            <w:gridSpan w:val="6"/>
            <w:vAlign w:val="center"/>
          </w:tcPr>
          <w:p w14:paraId="25360841" w14:textId="77777777" w:rsidR="00D2354E" w:rsidRPr="00857C11" w:rsidRDefault="00D2354E" w:rsidP="00157DEE">
            <w:pPr>
              <w:rPr>
                <w:rFonts w:ascii="Arial Narrow" w:hAnsi="Arial Narrow"/>
                <w:sz w:val="20"/>
                <w:szCs w:val="20"/>
              </w:rPr>
            </w:pPr>
            <w:r w:rsidRPr="00857C11">
              <w:rPr>
                <w:rFonts w:ascii="Arial Narrow" w:hAnsi="Arial Narrow"/>
                <w:b/>
                <w:bCs/>
                <w:sz w:val="20"/>
                <w:szCs w:val="20"/>
              </w:rPr>
              <w:t>Administrative Advice</w:t>
            </w:r>
            <w:r w:rsidRPr="00857C11">
              <w:rPr>
                <w:rFonts w:ascii="Arial Narrow" w:hAnsi="Arial Narrow"/>
                <w:sz w:val="20"/>
                <w:szCs w:val="20"/>
              </w:rPr>
              <w:t>:</w:t>
            </w:r>
          </w:p>
          <w:p w14:paraId="24E7592A" w14:textId="77777777" w:rsidR="00D2354E" w:rsidRPr="00CE1D7B" w:rsidRDefault="00D2354E" w:rsidP="00157DEE">
            <w:pPr>
              <w:rPr>
                <w:rFonts w:ascii="Arial Narrow" w:hAnsi="Arial Narrow"/>
                <w:b/>
                <w:bCs/>
                <w:sz w:val="20"/>
                <w:szCs w:val="20"/>
              </w:rPr>
            </w:pPr>
            <w:r w:rsidRPr="00857C1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r>
              <w:rPr>
                <w:rFonts w:ascii="Arial Narrow" w:hAnsi="Arial Narrow"/>
                <w:sz w:val="20"/>
                <w:szCs w:val="20"/>
              </w:rPr>
              <w:t>.</w:t>
            </w:r>
          </w:p>
        </w:tc>
      </w:tr>
      <w:tr w:rsidR="00D2354E" w:rsidRPr="00446E53" w14:paraId="518D4140" w14:textId="77777777" w:rsidTr="00157DEE">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75AEE4D2" w14:textId="77777777" w:rsidR="003C69B6" w:rsidRPr="00446E53" w:rsidRDefault="003C69B6" w:rsidP="00157DEE">
            <w:pPr>
              <w:rPr>
                <w:rFonts w:ascii="Arial Narrow" w:hAnsi="Arial Narrow"/>
                <w:bCs/>
                <w:color w:val="FF0000"/>
                <w:sz w:val="20"/>
                <w:szCs w:val="20"/>
              </w:rPr>
            </w:pPr>
          </w:p>
        </w:tc>
      </w:tr>
      <w:tr w:rsidR="00D2354E" w:rsidRPr="008864EE" w14:paraId="451B9589" w14:textId="77777777" w:rsidTr="00157DEE">
        <w:tblPrEx>
          <w:tblCellMar>
            <w:top w:w="15" w:type="dxa"/>
            <w:bottom w:w="15" w:type="dxa"/>
          </w:tblCellMar>
          <w:tblLook w:val="04A0" w:firstRow="1" w:lastRow="0" w:firstColumn="1" w:lastColumn="0" w:noHBand="0" w:noVBand="1"/>
        </w:tblPrEx>
        <w:trPr>
          <w:cantSplit/>
          <w:trHeight w:val="20"/>
        </w:trPr>
        <w:tc>
          <w:tcPr>
            <w:tcW w:w="1276" w:type="dxa"/>
            <w:shd w:val="clear" w:color="auto" w:fill="BFBFBF" w:themeFill="background1" w:themeFillShade="BF"/>
          </w:tcPr>
          <w:p w14:paraId="330D22EC" w14:textId="77777777" w:rsidR="00D2354E" w:rsidRPr="00446E53" w:rsidRDefault="00D2354E" w:rsidP="00157DEE">
            <w:pPr>
              <w:keepNext/>
              <w:keepLines/>
              <w:jc w:val="center"/>
              <w:rPr>
                <w:rFonts w:ascii="Arial Narrow" w:hAnsi="Arial Narrow"/>
                <w:b/>
                <w:bCs/>
                <w:color w:val="333333"/>
                <w:sz w:val="20"/>
                <w:szCs w:val="20"/>
              </w:rPr>
            </w:pPr>
          </w:p>
        </w:tc>
        <w:tc>
          <w:tcPr>
            <w:tcW w:w="7745" w:type="dxa"/>
            <w:gridSpan w:val="6"/>
            <w:shd w:val="clear" w:color="auto" w:fill="BFBFBF" w:themeFill="background1" w:themeFillShade="BF"/>
            <w:vAlign w:val="center"/>
          </w:tcPr>
          <w:p w14:paraId="1A017614" w14:textId="77777777" w:rsidR="00D2354E" w:rsidRPr="008864EE" w:rsidRDefault="00D2354E" w:rsidP="00157DEE">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2</w:t>
            </w:r>
            <w:r w:rsidRPr="00446E53">
              <w:rPr>
                <w:rFonts w:ascii="Arial Narrow" w:hAnsi="Arial Narrow"/>
                <w:b/>
                <w:bCs/>
                <w:color w:val="333333"/>
                <w:sz w:val="20"/>
                <w:szCs w:val="20"/>
              </w:rPr>
              <w:t>] / Treatment of Concept: [new</w:t>
            </w:r>
            <w:r>
              <w:rPr>
                <w:rFonts w:ascii="Arial Narrow" w:hAnsi="Arial Narrow"/>
                <w:b/>
                <w:bCs/>
                <w:color w:val="333333"/>
                <w:sz w:val="20"/>
                <w:szCs w:val="20"/>
              </w:rPr>
              <w:t>2A</w:t>
            </w:r>
            <w:r w:rsidRPr="00446E53">
              <w:rPr>
                <w:rFonts w:ascii="Arial Narrow" w:hAnsi="Arial Narrow"/>
                <w:b/>
                <w:bCs/>
                <w:color w:val="333333"/>
                <w:sz w:val="20"/>
                <w:szCs w:val="20"/>
              </w:rPr>
              <w:t>]</w:t>
            </w:r>
          </w:p>
        </w:tc>
      </w:tr>
      <w:tr w:rsidR="00D2354E" w:rsidRPr="005E63D4" w14:paraId="40798C4A" w14:textId="77777777" w:rsidTr="00157DEE">
        <w:tblPrEx>
          <w:tblCellMar>
            <w:top w:w="15" w:type="dxa"/>
            <w:bottom w:w="15" w:type="dxa"/>
          </w:tblCellMar>
          <w:tblLook w:val="04A0" w:firstRow="1" w:lastRow="0" w:firstColumn="1" w:lastColumn="0" w:noHBand="0" w:noVBand="1"/>
        </w:tblPrEx>
        <w:trPr>
          <w:cantSplit/>
          <w:trHeight w:val="20"/>
        </w:trPr>
        <w:tc>
          <w:tcPr>
            <w:tcW w:w="1276" w:type="dxa"/>
            <w:vMerge w:val="restart"/>
          </w:tcPr>
          <w:p w14:paraId="4E44926B" w14:textId="77777777" w:rsidR="00D2354E" w:rsidRPr="005E63D4" w:rsidRDefault="00D2354E" w:rsidP="00157DEE">
            <w:pPr>
              <w:jc w:val="center"/>
              <w:rPr>
                <w:rFonts w:ascii="Arial Narrow" w:hAnsi="Arial Narrow"/>
                <w:sz w:val="20"/>
                <w:szCs w:val="20"/>
              </w:rPr>
            </w:pPr>
          </w:p>
        </w:tc>
        <w:tc>
          <w:tcPr>
            <w:tcW w:w="7745" w:type="dxa"/>
            <w:gridSpan w:val="6"/>
            <w:vAlign w:val="center"/>
          </w:tcPr>
          <w:p w14:paraId="37B1F10F" w14:textId="77777777" w:rsidR="00D2354E" w:rsidRPr="005E63D4" w:rsidRDefault="00D2354E" w:rsidP="00157DEE">
            <w:pPr>
              <w:rPr>
                <w:rFonts w:ascii="Arial Narrow" w:hAnsi="Arial Narrow"/>
                <w:b/>
                <w:bCs/>
                <w:sz w:val="20"/>
                <w:szCs w:val="20"/>
              </w:rPr>
            </w:pPr>
            <w:r w:rsidRPr="00EF3FC7">
              <w:rPr>
                <w:rFonts w:ascii="Arial Narrow" w:hAnsi="Arial Narrow"/>
                <w:b/>
                <w:bCs/>
                <w:sz w:val="20"/>
                <w:szCs w:val="20"/>
                <w14:ligatures w14:val="standardContextual"/>
              </w:rPr>
              <w:t xml:space="preserve">Episodicity: </w:t>
            </w:r>
            <w:r w:rsidRPr="00EF3FC7">
              <w:rPr>
                <w:rFonts w:ascii="Arial Narrow" w:hAnsi="Arial Narrow"/>
                <w:sz w:val="20"/>
                <w:szCs w:val="20"/>
                <w14:ligatures w14:val="standardContextual"/>
              </w:rPr>
              <w:t>[blank]</w:t>
            </w:r>
          </w:p>
        </w:tc>
      </w:tr>
      <w:tr w:rsidR="00D2354E" w:rsidRPr="005E63D4" w14:paraId="310494B0" w14:textId="77777777" w:rsidTr="00157DEE">
        <w:tblPrEx>
          <w:tblCellMar>
            <w:top w:w="15" w:type="dxa"/>
            <w:bottom w:w="15" w:type="dxa"/>
          </w:tblCellMar>
          <w:tblLook w:val="04A0" w:firstRow="1" w:lastRow="0" w:firstColumn="1" w:lastColumn="0" w:noHBand="0" w:noVBand="1"/>
        </w:tblPrEx>
        <w:trPr>
          <w:cantSplit/>
          <w:trHeight w:val="20"/>
        </w:trPr>
        <w:tc>
          <w:tcPr>
            <w:tcW w:w="1276" w:type="dxa"/>
            <w:vMerge/>
          </w:tcPr>
          <w:p w14:paraId="1207C36F" w14:textId="77777777" w:rsidR="00D2354E" w:rsidRPr="005E63D4" w:rsidRDefault="00D2354E" w:rsidP="00157DEE">
            <w:pPr>
              <w:jc w:val="center"/>
              <w:rPr>
                <w:rFonts w:ascii="Arial Narrow" w:hAnsi="Arial Narrow"/>
                <w:sz w:val="20"/>
                <w:szCs w:val="20"/>
              </w:rPr>
            </w:pPr>
          </w:p>
        </w:tc>
        <w:tc>
          <w:tcPr>
            <w:tcW w:w="7745" w:type="dxa"/>
            <w:gridSpan w:val="6"/>
            <w:vAlign w:val="center"/>
          </w:tcPr>
          <w:p w14:paraId="4EE136EA" w14:textId="77777777" w:rsidR="00D2354E" w:rsidRPr="005E63D4" w:rsidRDefault="00D2354E" w:rsidP="00157DEE">
            <w:pPr>
              <w:rPr>
                <w:rFonts w:ascii="Arial Narrow" w:hAnsi="Arial Narrow"/>
                <w:b/>
                <w:bCs/>
                <w:sz w:val="20"/>
                <w:szCs w:val="20"/>
              </w:rPr>
            </w:pPr>
            <w:r w:rsidRPr="00EF3FC7">
              <w:rPr>
                <w:rFonts w:ascii="Arial Narrow" w:hAnsi="Arial Narrow"/>
                <w:b/>
                <w:bCs/>
                <w:sz w:val="20"/>
                <w:szCs w:val="20"/>
                <w14:ligatures w14:val="standardContextual"/>
              </w:rPr>
              <w:t xml:space="preserve">Severity: </w:t>
            </w:r>
            <w:r w:rsidRPr="00EF3FC7">
              <w:rPr>
                <w:rFonts w:ascii="Arial Narrow" w:hAnsi="Arial Narrow"/>
                <w:sz w:val="20"/>
                <w:szCs w:val="20"/>
                <w14:ligatures w14:val="standardContextual"/>
              </w:rPr>
              <w:t>[blank]</w:t>
            </w:r>
          </w:p>
        </w:tc>
      </w:tr>
      <w:tr w:rsidR="00D2354E" w:rsidRPr="005E63D4" w14:paraId="5621EFE0" w14:textId="77777777" w:rsidTr="00157DEE">
        <w:tblPrEx>
          <w:tblCellMar>
            <w:top w:w="15" w:type="dxa"/>
            <w:bottom w:w="15" w:type="dxa"/>
          </w:tblCellMar>
          <w:tblLook w:val="04A0" w:firstRow="1" w:lastRow="0" w:firstColumn="1" w:lastColumn="0" w:noHBand="0" w:noVBand="1"/>
        </w:tblPrEx>
        <w:trPr>
          <w:cantSplit/>
          <w:trHeight w:val="20"/>
        </w:trPr>
        <w:tc>
          <w:tcPr>
            <w:tcW w:w="1276" w:type="dxa"/>
            <w:vMerge/>
          </w:tcPr>
          <w:p w14:paraId="17C8EA13" w14:textId="77777777" w:rsidR="00D2354E" w:rsidRPr="005E63D4" w:rsidRDefault="00D2354E" w:rsidP="00157DEE">
            <w:pPr>
              <w:jc w:val="center"/>
              <w:rPr>
                <w:rFonts w:ascii="Arial Narrow" w:hAnsi="Arial Narrow"/>
                <w:sz w:val="20"/>
                <w:szCs w:val="20"/>
              </w:rPr>
            </w:pPr>
          </w:p>
        </w:tc>
        <w:tc>
          <w:tcPr>
            <w:tcW w:w="7745" w:type="dxa"/>
            <w:gridSpan w:val="6"/>
            <w:vAlign w:val="center"/>
          </w:tcPr>
          <w:p w14:paraId="11C88EFB" w14:textId="77777777" w:rsidR="00D2354E" w:rsidRPr="005E63D4" w:rsidRDefault="00D2354E" w:rsidP="00157DEE">
            <w:pPr>
              <w:rPr>
                <w:rFonts w:ascii="Arial Narrow" w:hAnsi="Arial Narrow"/>
                <w:b/>
                <w:bCs/>
                <w:sz w:val="20"/>
                <w:szCs w:val="20"/>
              </w:rPr>
            </w:pPr>
            <w:r w:rsidRPr="00EF3FC7">
              <w:rPr>
                <w:rFonts w:ascii="Arial Narrow" w:hAnsi="Arial Narrow"/>
                <w:b/>
                <w:bCs/>
                <w:sz w:val="20"/>
                <w:szCs w:val="20"/>
                <w14:ligatures w14:val="standardContextual"/>
              </w:rPr>
              <w:t xml:space="preserve">Condition: </w:t>
            </w:r>
            <w:r w:rsidRPr="00EF3FC7">
              <w:rPr>
                <w:rFonts w:ascii="Arial Narrow" w:hAnsi="Arial Narrow"/>
                <w:sz w:val="20"/>
                <w:szCs w:val="20"/>
                <w14:ligatures w14:val="standardContextual"/>
              </w:rPr>
              <w:t>Enthesitis/spondylitis related juvenile idiopathic arthritis</w:t>
            </w:r>
          </w:p>
        </w:tc>
      </w:tr>
      <w:tr w:rsidR="00D2354E" w:rsidRPr="005E63D4" w14:paraId="20004DD8"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6EFC4328" w14:textId="3DDCAAEE" w:rsidR="00D2354E" w:rsidRPr="005E63D4" w:rsidRDefault="00D2354E" w:rsidP="00157DEE">
            <w:pPr>
              <w:jc w:val="center"/>
              <w:rPr>
                <w:rFonts w:ascii="Arial Narrow" w:hAnsi="Arial Narrow"/>
                <w:sz w:val="20"/>
                <w:szCs w:val="20"/>
              </w:rPr>
            </w:pPr>
          </w:p>
        </w:tc>
        <w:tc>
          <w:tcPr>
            <w:tcW w:w="7745" w:type="dxa"/>
            <w:gridSpan w:val="6"/>
            <w:vAlign w:val="center"/>
            <w:hideMark/>
          </w:tcPr>
          <w:p w14:paraId="5EA94D1E" w14:textId="77777777" w:rsidR="00D2354E" w:rsidRPr="005E63D4" w:rsidRDefault="00D2354E" w:rsidP="00157DEE">
            <w:pPr>
              <w:rPr>
                <w:rFonts w:ascii="Arial Narrow" w:hAnsi="Arial Narrow"/>
                <w:sz w:val="20"/>
                <w:szCs w:val="20"/>
              </w:rPr>
            </w:pPr>
            <w:r w:rsidRPr="008864EE">
              <w:rPr>
                <w:rFonts w:ascii="Arial Narrow" w:hAnsi="Arial Narrow"/>
                <w:b/>
                <w:bCs/>
                <w:sz w:val="20"/>
                <w:szCs w:val="20"/>
              </w:rPr>
              <w:t>Indication:</w:t>
            </w:r>
            <w:r w:rsidRPr="008864EE">
              <w:rPr>
                <w:rFonts w:ascii="Arial Narrow" w:hAnsi="Arial Narrow"/>
                <w:sz w:val="20"/>
                <w:szCs w:val="20"/>
              </w:rPr>
              <w:t xml:space="preserve"> </w:t>
            </w:r>
            <w:r w:rsidRPr="00E664AE">
              <w:rPr>
                <w:rFonts w:ascii="Arial Narrow" w:hAnsi="Arial Narrow"/>
                <w:sz w:val="20"/>
                <w:szCs w:val="20"/>
                <w14:ligatures w14:val="standardContextual"/>
              </w:rPr>
              <w:t>Enthesitis/spondylitis related juvenile idiopathic arthritis</w:t>
            </w:r>
          </w:p>
        </w:tc>
      </w:tr>
      <w:tr w:rsidR="00D2354E" w:rsidRPr="005E63D4" w14:paraId="455131BF"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46B7180F" w14:textId="77777777" w:rsidR="00D2354E" w:rsidRPr="005E63D4" w:rsidRDefault="00D2354E" w:rsidP="00157DEE">
            <w:pPr>
              <w:jc w:val="center"/>
              <w:rPr>
                <w:rFonts w:ascii="Arial Narrow" w:hAnsi="Arial Narrow"/>
                <w:sz w:val="20"/>
                <w:szCs w:val="20"/>
              </w:rPr>
            </w:pPr>
          </w:p>
        </w:tc>
        <w:tc>
          <w:tcPr>
            <w:tcW w:w="7745" w:type="dxa"/>
            <w:gridSpan w:val="6"/>
            <w:vAlign w:val="center"/>
            <w:hideMark/>
          </w:tcPr>
          <w:p w14:paraId="7922C0F3" w14:textId="77777777" w:rsidR="00D2354E" w:rsidRPr="005E63D4" w:rsidRDefault="00D2354E" w:rsidP="00157DEE">
            <w:pPr>
              <w:rPr>
                <w:rFonts w:ascii="Arial Narrow" w:hAnsi="Arial Narrow"/>
                <w:sz w:val="20"/>
                <w:szCs w:val="20"/>
              </w:rPr>
            </w:pPr>
            <w:r w:rsidRPr="005E63D4">
              <w:rPr>
                <w:rFonts w:ascii="Arial Narrow" w:hAnsi="Arial Narrow"/>
                <w:b/>
                <w:bCs/>
                <w:sz w:val="20"/>
                <w:szCs w:val="20"/>
              </w:rPr>
              <w:t>Treatment Phase:</w:t>
            </w:r>
            <w:r w:rsidRPr="005E63D4">
              <w:rPr>
                <w:rFonts w:ascii="Arial Narrow" w:hAnsi="Arial Narrow"/>
                <w:sz w:val="20"/>
                <w:szCs w:val="20"/>
              </w:rPr>
              <w:t xml:space="preserve"> </w:t>
            </w:r>
            <w:r>
              <w:rPr>
                <w:rFonts w:ascii="Arial Narrow" w:hAnsi="Arial Narrow"/>
                <w:sz w:val="20"/>
                <w:szCs w:val="20"/>
              </w:rPr>
              <w:t xml:space="preserve">Initial treatment – balance of supply </w:t>
            </w:r>
          </w:p>
        </w:tc>
      </w:tr>
      <w:tr w:rsidR="00D2354E" w:rsidRPr="005E63D4" w14:paraId="213E8BAC"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6EE55CF" w14:textId="55962EEC" w:rsidR="00D2354E" w:rsidRPr="005E63D4" w:rsidRDefault="00D2354E" w:rsidP="00157DEE">
            <w:pPr>
              <w:jc w:val="center"/>
              <w:rPr>
                <w:rFonts w:ascii="Arial Narrow" w:hAnsi="Arial Narrow"/>
                <w:sz w:val="20"/>
                <w:szCs w:val="20"/>
              </w:rPr>
            </w:pPr>
          </w:p>
        </w:tc>
        <w:tc>
          <w:tcPr>
            <w:tcW w:w="7745" w:type="dxa"/>
            <w:gridSpan w:val="6"/>
            <w:vAlign w:val="center"/>
          </w:tcPr>
          <w:p w14:paraId="105ED5D8" w14:textId="77777777" w:rsidR="00D2354E" w:rsidRPr="005E63D4" w:rsidRDefault="00D2354E" w:rsidP="00157DEE">
            <w:pPr>
              <w:rPr>
                <w:rFonts w:ascii="Arial Narrow" w:hAnsi="Arial Narrow"/>
                <w:b/>
                <w:bCs/>
                <w:sz w:val="20"/>
                <w:szCs w:val="20"/>
              </w:rPr>
            </w:pPr>
            <w:r w:rsidRPr="005E63D4">
              <w:rPr>
                <w:rFonts w:ascii="Arial Narrow" w:hAnsi="Arial Narrow"/>
                <w:b/>
                <w:bCs/>
                <w:sz w:val="20"/>
                <w:szCs w:val="20"/>
              </w:rPr>
              <w:t xml:space="preserve">Clinical criteria: </w:t>
            </w:r>
          </w:p>
        </w:tc>
      </w:tr>
      <w:tr w:rsidR="00D2354E" w:rsidRPr="000261AD" w14:paraId="1C07ED51"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778114E8" w14:textId="7D92F1FE" w:rsidR="00D2354E" w:rsidRPr="005E63D4" w:rsidRDefault="00D2354E" w:rsidP="00157DEE">
            <w:pPr>
              <w:jc w:val="center"/>
              <w:rPr>
                <w:rFonts w:ascii="Arial Narrow" w:hAnsi="Arial Narrow"/>
                <w:sz w:val="20"/>
                <w:szCs w:val="20"/>
              </w:rPr>
            </w:pPr>
          </w:p>
        </w:tc>
        <w:tc>
          <w:tcPr>
            <w:tcW w:w="7745" w:type="dxa"/>
            <w:gridSpan w:val="6"/>
            <w:vAlign w:val="center"/>
          </w:tcPr>
          <w:p w14:paraId="2E0BF6CD" w14:textId="77777777" w:rsidR="00D2354E" w:rsidRPr="000261AD" w:rsidRDefault="00D2354E" w:rsidP="00157DEE">
            <w:pPr>
              <w:rPr>
                <w:rFonts w:ascii="Arial Narrow" w:hAnsi="Arial Narrow"/>
                <w:b/>
                <w:bCs/>
                <w:sz w:val="20"/>
                <w:szCs w:val="20"/>
              </w:rPr>
            </w:pPr>
            <w:r w:rsidRPr="000261AD">
              <w:rPr>
                <w:rFonts w:ascii="Arial Narrow" w:hAnsi="Arial Narrow"/>
                <w:sz w:val="20"/>
                <w:szCs w:val="20"/>
                <w14:ligatures w14:val="standardContextual"/>
              </w:rPr>
              <w:t>Patient must have received insufficient therapy with this drug for this condition under the Initial treatment restriction to complete</w:t>
            </w:r>
            <w:r>
              <w:rPr>
                <w:rFonts w:ascii="Arial Narrow" w:hAnsi="Arial Narrow"/>
                <w:sz w:val="20"/>
                <w:szCs w:val="20"/>
                <w14:ligatures w14:val="standardContextual"/>
              </w:rPr>
              <w:t xml:space="preserve"> </w:t>
            </w:r>
            <w:r w:rsidRPr="000261AD">
              <w:rPr>
                <w:rFonts w:ascii="Arial Narrow" w:hAnsi="Arial Narrow"/>
                <w:sz w:val="20"/>
                <w:szCs w:val="20"/>
                <w14:ligatures w14:val="standardContextual"/>
              </w:rPr>
              <w:t>16 weeks</w:t>
            </w:r>
            <w:r>
              <w:rPr>
                <w:rFonts w:ascii="Arial Narrow" w:hAnsi="Arial Narrow"/>
                <w:sz w:val="20"/>
                <w:szCs w:val="20"/>
                <w14:ligatures w14:val="standardContextual"/>
              </w:rPr>
              <w:t xml:space="preserve"> of</w:t>
            </w:r>
            <w:r w:rsidRPr="000261AD">
              <w:rPr>
                <w:rFonts w:ascii="Arial Narrow" w:hAnsi="Arial Narrow"/>
                <w:sz w:val="20"/>
                <w:szCs w:val="20"/>
                <w14:ligatures w14:val="standardContextual"/>
              </w:rPr>
              <w:t xml:space="preserve"> treatment.</w:t>
            </w:r>
          </w:p>
        </w:tc>
      </w:tr>
      <w:tr w:rsidR="00D2354E" w:rsidRPr="00936E19" w14:paraId="6416E520"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772803E8" w14:textId="77777777" w:rsidR="00D2354E" w:rsidRPr="00936E19" w:rsidRDefault="00D2354E" w:rsidP="00157DEE">
            <w:pPr>
              <w:jc w:val="center"/>
              <w:rPr>
                <w:rFonts w:ascii="Arial Narrow" w:hAnsi="Arial Narrow"/>
                <w:sz w:val="20"/>
                <w:szCs w:val="20"/>
              </w:rPr>
            </w:pPr>
          </w:p>
        </w:tc>
        <w:tc>
          <w:tcPr>
            <w:tcW w:w="7745" w:type="dxa"/>
            <w:gridSpan w:val="6"/>
            <w:vAlign w:val="center"/>
          </w:tcPr>
          <w:p w14:paraId="552AC00F" w14:textId="77777777" w:rsidR="00D2354E" w:rsidRPr="00936E19" w:rsidRDefault="00D2354E" w:rsidP="00157DEE">
            <w:pPr>
              <w:rPr>
                <w:rFonts w:ascii="Arial Narrow" w:hAnsi="Arial Narrow"/>
                <w:sz w:val="20"/>
                <w:szCs w:val="20"/>
              </w:rPr>
            </w:pPr>
            <w:r w:rsidRPr="00936E19">
              <w:rPr>
                <w:rFonts w:ascii="Arial Narrow" w:hAnsi="Arial Narrow"/>
                <w:b/>
                <w:bCs/>
                <w:sz w:val="20"/>
                <w:szCs w:val="20"/>
              </w:rPr>
              <w:t>AND</w:t>
            </w:r>
          </w:p>
        </w:tc>
      </w:tr>
      <w:tr w:rsidR="00D2354E" w:rsidRPr="00936E19" w14:paraId="3D78CA15"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D60E91F" w14:textId="095A8A73" w:rsidR="00D2354E" w:rsidRPr="00936E19" w:rsidRDefault="00D2354E" w:rsidP="00157DEE">
            <w:pPr>
              <w:jc w:val="center"/>
              <w:rPr>
                <w:rFonts w:ascii="Arial Narrow" w:hAnsi="Arial Narrow"/>
                <w:sz w:val="20"/>
                <w:szCs w:val="20"/>
              </w:rPr>
            </w:pPr>
          </w:p>
        </w:tc>
        <w:tc>
          <w:tcPr>
            <w:tcW w:w="7745" w:type="dxa"/>
            <w:gridSpan w:val="6"/>
            <w:vAlign w:val="center"/>
          </w:tcPr>
          <w:p w14:paraId="69DC24B3" w14:textId="77777777" w:rsidR="00D2354E" w:rsidRPr="00936E19" w:rsidRDefault="00D2354E" w:rsidP="00157DEE">
            <w:pPr>
              <w:rPr>
                <w:rFonts w:ascii="Arial Narrow" w:hAnsi="Arial Narrow"/>
                <w:sz w:val="20"/>
                <w:szCs w:val="20"/>
              </w:rPr>
            </w:pPr>
            <w:r w:rsidRPr="00936E19">
              <w:rPr>
                <w:rFonts w:ascii="Arial Narrow" w:hAnsi="Arial Narrow"/>
                <w:b/>
                <w:bCs/>
                <w:sz w:val="20"/>
                <w:szCs w:val="20"/>
              </w:rPr>
              <w:t>Clinical criteria:</w:t>
            </w:r>
          </w:p>
        </w:tc>
      </w:tr>
      <w:tr w:rsidR="00D2354E" w:rsidRPr="00936E19" w14:paraId="54DAF8E0"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5DED6669" w14:textId="717E03EA" w:rsidR="00D2354E" w:rsidRPr="00936E19" w:rsidRDefault="00D2354E" w:rsidP="00157DEE">
            <w:pPr>
              <w:jc w:val="center"/>
              <w:rPr>
                <w:rFonts w:ascii="Arial Narrow" w:hAnsi="Arial Narrow"/>
                <w:sz w:val="20"/>
                <w:szCs w:val="20"/>
              </w:rPr>
            </w:pPr>
          </w:p>
        </w:tc>
        <w:tc>
          <w:tcPr>
            <w:tcW w:w="7745" w:type="dxa"/>
            <w:gridSpan w:val="6"/>
            <w:vAlign w:val="center"/>
          </w:tcPr>
          <w:p w14:paraId="777EC1BA" w14:textId="77777777" w:rsidR="00D2354E" w:rsidRPr="00936E19" w:rsidRDefault="00D2354E" w:rsidP="00157DEE">
            <w:pPr>
              <w:rPr>
                <w:rFonts w:ascii="Arial Narrow" w:hAnsi="Arial Narrow"/>
                <w:sz w:val="20"/>
                <w:szCs w:val="20"/>
              </w:rPr>
            </w:pPr>
            <w:r w:rsidRPr="0071075D">
              <w:rPr>
                <w:rFonts w:ascii="Arial Narrow" w:hAnsi="Arial Narrow"/>
                <w:sz w:val="20"/>
                <w:szCs w:val="20"/>
              </w:rPr>
              <w:t>The treatment must provide no more than the balance of up to 16 weeks treatment available under the above restrictions.</w:t>
            </w:r>
          </w:p>
        </w:tc>
      </w:tr>
      <w:tr w:rsidR="00D2354E" w:rsidRPr="0071075D" w14:paraId="75E6FAF6"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F8A9066" w14:textId="0A69134F" w:rsidR="00D2354E" w:rsidRDefault="00D2354E" w:rsidP="00157DEE">
            <w:pPr>
              <w:jc w:val="center"/>
              <w:rPr>
                <w:rFonts w:ascii="Arial Narrow" w:hAnsi="Arial Narrow"/>
                <w:sz w:val="20"/>
                <w:szCs w:val="20"/>
              </w:rPr>
            </w:pPr>
          </w:p>
        </w:tc>
        <w:tc>
          <w:tcPr>
            <w:tcW w:w="7745" w:type="dxa"/>
            <w:gridSpan w:val="6"/>
            <w:vAlign w:val="center"/>
          </w:tcPr>
          <w:p w14:paraId="31D28FE4" w14:textId="77777777" w:rsidR="00D2354E" w:rsidRPr="0071075D" w:rsidRDefault="00D2354E" w:rsidP="00157DEE">
            <w:pPr>
              <w:rPr>
                <w:rFonts w:ascii="Arial Narrow" w:hAnsi="Arial Narrow"/>
                <w:sz w:val="20"/>
                <w:szCs w:val="20"/>
              </w:rPr>
            </w:pPr>
            <w:r w:rsidRPr="008864EE">
              <w:rPr>
                <w:rFonts w:ascii="Arial Narrow" w:hAnsi="Arial Narrow"/>
                <w:b/>
                <w:bCs/>
                <w:sz w:val="20"/>
                <w:szCs w:val="20"/>
              </w:rPr>
              <w:t>Treatment criteria:</w:t>
            </w:r>
          </w:p>
        </w:tc>
      </w:tr>
      <w:tr w:rsidR="00D2354E" w:rsidRPr="0071075D" w14:paraId="4C42329A"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3936A71A" w14:textId="7C16755E" w:rsidR="00D2354E" w:rsidRDefault="00D2354E" w:rsidP="00157DEE">
            <w:pPr>
              <w:jc w:val="center"/>
              <w:rPr>
                <w:rFonts w:ascii="Arial Narrow" w:hAnsi="Arial Narrow"/>
                <w:sz w:val="20"/>
                <w:szCs w:val="20"/>
              </w:rPr>
            </w:pPr>
          </w:p>
        </w:tc>
        <w:tc>
          <w:tcPr>
            <w:tcW w:w="7745" w:type="dxa"/>
            <w:gridSpan w:val="6"/>
            <w:vAlign w:val="center"/>
          </w:tcPr>
          <w:p w14:paraId="00B5747B" w14:textId="77777777" w:rsidR="00D2354E" w:rsidRPr="0071075D" w:rsidRDefault="00D2354E" w:rsidP="00157DEE">
            <w:pPr>
              <w:rPr>
                <w:rFonts w:ascii="Arial Narrow" w:hAnsi="Arial Narrow"/>
                <w:sz w:val="20"/>
                <w:szCs w:val="20"/>
              </w:rPr>
            </w:pPr>
            <w:r w:rsidRPr="001A015C">
              <w:rPr>
                <w:rFonts w:ascii="Arial Narrow" w:hAnsi="Arial Narrow"/>
                <w:sz w:val="20"/>
                <w:szCs w:val="20"/>
              </w:rPr>
              <w:t>Must be treated by a paediatric rheumatologist; or</w:t>
            </w:r>
          </w:p>
        </w:tc>
      </w:tr>
      <w:tr w:rsidR="00D2354E" w:rsidRPr="0071075D" w14:paraId="7EFDA9B0"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29C2653" w14:textId="04A195C8" w:rsidR="00D2354E" w:rsidRDefault="00D2354E" w:rsidP="00157DEE">
            <w:pPr>
              <w:jc w:val="center"/>
              <w:rPr>
                <w:rFonts w:ascii="Arial Narrow" w:hAnsi="Arial Narrow"/>
                <w:sz w:val="20"/>
                <w:szCs w:val="20"/>
              </w:rPr>
            </w:pPr>
          </w:p>
        </w:tc>
        <w:tc>
          <w:tcPr>
            <w:tcW w:w="7745" w:type="dxa"/>
            <w:gridSpan w:val="6"/>
            <w:vAlign w:val="center"/>
          </w:tcPr>
          <w:p w14:paraId="5B76FE11" w14:textId="77777777" w:rsidR="00D2354E" w:rsidRPr="0071075D" w:rsidRDefault="00D2354E" w:rsidP="00157DEE">
            <w:pPr>
              <w:rPr>
                <w:rFonts w:ascii="Arial Narrow" w:hAnsi="Arial Narrow"/>
                <w:sz w:val="20"/>
                <w:szCs w:val="20"/>
              </w:rPr>
            </w:pPr>
            <w:r w:rsidRPr="00A4647D">
              <w:rPr>
                <w:rFonts w:ascii="Arial Narrow" w:hAnsi="Arial Narrow"/>
                <w:sz w:val="20"/>
                <w:szCs w:val="20"/>
              </w:rPr>
              <w:t>Patient must be undergoing treatment under the supervision of a paediatric rheumatology treatment centre.</w:t>
            </w:r>
          </w:p>
        </w:tc>
      </w:tr>
      <w:tr w:rsidR="00D2354E" w:rsidRPr="00F63C29" w14:paraId="66295ACF"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6374BD7A" w14:textId="6FCD0AD4" w:rsidR="00D2354E" w:rsidRPr="008D7F13" w:rsidRDefault="00D2354E" w:rsidP="00157DEE">
            <w:pPr>
              <w:jc w:val="center"/>
              <w:textAlignment w:val="baseline"/>
              <w:rPr>
                <w:rFonts w:ascii="Open Sans" w:hAnsi="Open Sans" w:cs="Open Sans"/>
                <w:color w:val="333333"/>
                <w:sz w:val="22"/>
                <w:szCs w:val="22"/>
              </w:rPr>
            </w:pPr>
          </w:p>
        </w:tc>
        <w:tc>
          <w:tcPr>
            <w:tcW w:w="7745" w:type="dxa"/>
            <w:gridSpan w:val="6"/>
            <w:vAlign w:val="center"/>
          </w:tcPr>
          <w:p w14:paraId="1095E144" w14:textId="77777777" w:rsidR="00D2354E" w:rsidRPr="00857C11" w:rsidRDefault="00D2354E" w:rsidP="00157DEE">
            <w:pPr>
              <w:rPr>
                <w:rFonts w:ascii="Arial Narrow" w:hAnsi="Arial Narrow"/>
                <w:sz w:val="20"/>
                <w:szCs w:val="20"/>
              </w:rPr>
            </w:pPr>
            <w:r w:rsidRPr="00857C11">
              <w:rPr>
                <w:rFonts w:ascii="Arial Narrow" w:hAnsi="Arial Narrow"/>
                <w:b/>
                <w:bCs/>
                <w:sz w:val="20"/>
                <w:szCs w:val="20"/>
              </w:rPr>
              <w:t>Administrative Advice</w:t>
            </w:r>
            <w:r w:rsidRPr="00857C11">
              <w:rPr>
                <w:rFonts w:ascii="Arial Narrow" w:hAnsi="Arial Narrow"/>
                <w:sz w:val="20"/>
                <w:szCs w:val="20"/>
              </w:rPr>
              <w:t>:</w:t>
            </w:r>
          </w:p>
          <w:p w14:paraId="60EFAF6A" w14:textId="77777777" w:rsidR="00D2354E" w:rsidRPr="00F63C29" w:rsidRDefault="00D2354E" w:rsidP="00157DEE">
            <w:pPr>
              <w:rPr>
                <w:rFonts w:ascii="Arial Narrow" w:hAnsi="Arial Narrow"/>
                <w:sz w:val="20"/>
                <w:szCs w:val="20"/>
              </w:rPr>
            </w:pPr>
            <w:r w:rsidRPr="00857C1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r>
              <w:rPr>
                <w:rFonts w:ascii="Arial Narrow" w:hAnsi="Arial Narrow"/>
                <w:sz w:val="20"/>
                <w:szCs w:val="20"/>
              </w:rPr>
              <w:t>.</w:t>
            </w:r>
          </w:p>
        </w:tc>
      </w:tr>
    </w:tbl>
    <w:p w14:paraId="470B92DD" w14:textId="36E59F3D" w:rsidR="00F778FF" w:rsidRPr="00F37EE7" w:rsidRDefault="00F778FF" w:rsidP="003B286C">
      <w:pPr>
        <w:pStyle w:val="3-BodyText"/>
        <w:numPr>
          <w:ilvl w:val="0"/>
          <w:numId w:val="0"/>
        </w:numPr>
        <w:spacing w:before="120"/>
        <w:rPr>
          <w:b/>
          <w:bCs/>
          <w:i/>
          <w:snapToGrid w:val="0"/>
        </w:rPr>
      </w:pPr>
      <w:r w:rsidRPr="00F37EE7">
        <w:rPr>
          <w:rFonts w:cs="Arial"/>
          <w:b/>
          <w:bCs/>
          <w:i/>
        </w:rPr>
        <w:t>This restriction may be subject to further review. Should there be any changes made to the restriction the sponsor will be informed.</w:t>
      </w:r>
    </w:p>
    <w:p w14:paraId="0E4099A1" w14:textId="77777777" w:rsidR="00F778FF" w:rsidRPr="00907A47" w:rsidRDefault="00F778FF" w:rsidP="003B286C">
      <w:pPr>
        <w:pStyle w:val="3-BodyText"/>
        <w:numPr>
          <w:ilvl w:val="0"/>
          <w:numId w:val="0"/>
        </w:numPr>
        <w:spacing w:before="120"/>
        <w:rPr>
          <w:b/>
          <w:snapToGrid w:val="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24.1 Amend the authority requirements specified in section 15 for Enthesitis/spondylitis related juvenile idiopathic arthritis"/>
      </w:tblPr>
      <w:tblGrid>
        <w:gridCol w:w="1268"/>
        <w:gridCol w:w="2662"/>
        <w:gridCol w:w="810"/>
        <w:gridCol w:w="810"/>
        <w:gridCol w:w="810"/>
        <w:gridCol w:w="810"/>
        <w:gridCol w:w="1830"/>
      </w:tblGrid>
      <w:tr w:rsidR="00587214" w14:paraId="2C0E96F7" w14:textId="77777777" w:rsidTr="00157DEE">
        <w:trPr>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1EFDB0"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MEDICINAL PRODUCT</w:t>
            </w:r>
          </w:p>
          <w:p w14:paraId="4DF73236"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medicinal product pack</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4E2353"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PBS item code</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DFB99"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Max. qty packs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99EB42"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Max. qty units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3122C" w14:textId="1255BAC9" w:rsidR="00587214" w:rsidRDefault="004235D1"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of</w:t>
            </w:r>
          </w:p>
          <w:p w14:paraId="753D21F5"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Rpts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4CBD7F"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Available brands</w:t>
            </w:r>
          </w:p>
        </w:tc>
      </w:tr>
      <w:tr w:rsidR="00587214" w14:paraId="28626BAC" w14:textId="77777777" w:rsidTr="00157DEE">
        <w:trPr>
          <w:trHeight w:val="300"/>
        </w:trPr>
        <w:tc>
          <w:tcPr>
            <w:tcW w:w="9000" w:type="dxa"/>
            <w:gridSpan w:val="7"/>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C255CD"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w:t>
            </w:r>
          </w:p>
        </w:tc>
      </w:tr>
      <w:tr w:rsidR="00587214" w14:paraId="1B5A6CD0" w14:textId="77777777" w:rsidTr="00157DEE">
        <w:trPr>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962EC"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20 mg/0.2 mL injection, 2 x 0.2 mL syringes </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4F5D6"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B8077C"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03D360"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D0CD9C"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6CBB4E"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Humira</w:t>
            </w:r>
          </w:p>
        </w:tc>
      </w:tr>
      <w:tr w:rsidR="00587214" w14:paraId="5E0FBCEB" w14:textId="77777777" w:rsidTr="00157DEE">
        <w:trPr>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F90E88"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40 mg/0.4 mL injection, 2 x 0.4 mL pen devices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F4E05"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1151F"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A4111D"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3170FC"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D4B821" w14:textId="77777777" w:rsidR="00587214" w:rsidRDefault="00587214" w:rsidP="00157DEE">
            <w:pPr>
              <w:rPr>
                <w:rFonts w:ascii="Arial Narrow" w:eastAsia="Arial Narrow" w:hAnsi="Arial Narrow" w:cs="Arial Narrow"/>
                <w:color w:val="000000" w:themeColor="text1"/>
                <w:sz w:val="20"/>
                <w:szCs w:val="20"/>
                <w:lang w:val="en-GB"/>
              </w:rPr>
            </w:pPr>
            <w:r w:rsidRPr="2A26E699">
              <w:rPr>
                <w:rStyle w:val="eop"/>
                <w:rFonts w:ascii="Arial Narrow" w:eastAsia="Arial Narrow" w:hAnsi="Arial Narrow" w:cs="Arial Narrow"/>
                <w:color w:val="000000" w:themeColor="text1"/>
                <w:sz w:val="20"/>
                <w:szCs w:val="20"/>
              </w:rPr>
              <w:t>Humira</w:t>
            </w:r>
          </w:p>
          <w:p w14:paraId="293B2BE5" w14:textId="04CCE505" w:rsidR="00587214" w:rsidRDefault="00587214" w:rsidP="00157DEE">
            <w:pPr>
              <w:keepLines/>
              <w:rPr>
                <w:rFonts w:ascii="Arial Narrow" w:eastAsia="Arial Narrow" w:hAnsi="Arial Narrow" w:cs="Arial Narrow"/>
                <w:color w:val="000000" w:themeColor="text1"/>
                <w:sz w:val="20"/>
                <w:szCs w:val="20"/>
              </w:rPr>
            </w:pPr>
          </w:p>
        </w:tc>
      </w:tr>
      <w:tr w:rsidR="00587214" w14:paraId="753DA7ED" w14:textId="77777777" w:rsidTr="00157DEE">
        <w:trPr>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CF5D36"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40 mg/0.4 mL injection, 2 x 0.4 mL syringes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7B24A"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F9A46"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E3DA8"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021C8" w14:textId="77777777" w:rsidR="00587214" w:rsidRDefault="00587214"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B67CD5" w14:textId="77777777" w:rsidR="00587214" w:rsidRDefault="00587214" w:rsidP="00157DEE">
            <w:pPr>
              <w:rPr>
                <w:rStyle w:val="eop"/>
                <w:rFonts w:ascii="Arial Narrow" w:eastAsia="Arial Narrow" w:hAnsi="Arial Narrow" w:cs="Arial Narrow"/>
                <w:color w:val="000000" w:themeColor="text1"/>
                <w:sz w:val="20"/>
                <w:szCs w:val="20"/>
              </w:rPr>
            </w:pPr>
            <w:r w:rsidRPr="2A26E699">
              <w:rPr>
                <w:rStyle w:val="eop"/>
                <w:rFonts w:ascii="Arial Narrow" w:eastAsia="Arial Narrow" w:hAnsi="Arial Narrow" w:cs="Arial Narrow"/>
                <w:color w:val="000000" w:themeColor="text1"/>
                <w:sz w:val="20"/>
                <w:szCs w:val="20"/>
              </w:rPr>
              <w:t xml:space="preserve">Humira </w:t>
            </w:r>
          </w:p>
          <w:p w14:paraId="4E88E81E" w14:textId="1D7B239B" w:rsidR="00587214" w:rsidRDefault="00587214" w:rsidP="00157DEE">
            <w:pPr>
              <w:keepLines/>
              <w:rPr>
                <w:rFonts w:ascii="Arial Narrow" w:eastAsia="Arial Narrow" w:hAnsi="Arial Narrow" w:cs="Arial Narrow"/>
                <w:color w:val="000000" w:themeColor="text1"/>
                <w:sz w:val="20"/>
                <w:szCs w:val="20"/>
              </w:rPr>
            </w:pPr>
          </w:p>
        </w:tc>
      </w:tr>
      <w:tr w:rsidR="00587214" w14:paraId="408C21BB" w14:textId="77777777" w:rsidTr="00157DEE">
        <w:trPr>
          <w:trHeight w:val="300"/>
        </w:trPr>
        <w:tc>
          <w:tcPr>
            <w:tcW w:w="9000" w:type="dxa"/>
            <w:gridSpan w:val="7"/>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B0A05" w14:textId="77777777" w:rsidR="00587214" w:rsidRDefault="00587214" w:rsidP="00157DEE">
            <w:pPr>
              <w:rPr>
                <w:rFonts w:ascii="Arial Narrow" w:eastAsia="Arial Narrow" w:hAnsi="Arial Narrow" w:cs="Arial Narrow"/>
                <w:color w:val="000000" w:themeColor="text1"/>
                <w:sz w:val="20"/>
                <w:szCs w:val="20"/>
              </w:rPr>
            </w:pPr>
          </w:p>
        </w:tc>
      </w:tr>
      <w:tr w:rsidR="00587214" w14:paraId="526E852E" w14:textId="77777777" w:rsidTr="00157DEE">
        <w:trPr>
          <w:trHeight w:val="262"/>
        </w:trPr>
        <w:tc>
          <w:tcPr>
            <w:tcW w:w="1268"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5AF6DA73" w14:textId="77777777" w:rsidR="00587214" w:rsidRDefault="00587214" w:rsidP="00157DEE">
            <w:pPr>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Concept ID</w:t>
            </w:r>
          </w:p>
          <w:p w14:paraId="4B274D9C"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D93FBA"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Category / Program:</w:t>
            </w:r>
            <w:r w:rsidRPr="2A26E699">
              <w:rPr>
                <w:rFonts w:ascii="Arial Narrow" w:eastAsia="Arial Narrow" w:hAnsi="Arial Narrow" w:cs="Arial Narrow"/>
                <w:color w:val="000000" w:themeColor="text1"/>
                <w:sz w:val="20"/>
                <w:szCs w:val="20"/>
              </w:rPr>
              <w:t xml:space="preserve"> GENERAL - General Schedule (Code GE) </w:t>
            </w:r>
          </w:p>
        </w:tc>
      </w:tr>
      <w:tr w:rsidR="00587214" w14:paraId="34AA32DF" w14:textId="77777777" w:rsidTr="00157DEE">
        <w:trPr>
          <w:trHeight w:val="300"/>
        </w:trPr>
        <w:tc>
          <w:tcPr>
            <w:tcW w:w="1268" w:type="dxa"/>
            <w:vMerge/>
            <w:vAlign w:val="center"/>
          </w:tcPr>
          <w:p w14:paraId="74F821E8" w14:textId="77777777" w:rsidR="00587214" w:rsidRDefault="00587214" w:rsidP="00157DEE"/>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9A635"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Prescriber type: </w:t>
            </w:r>
            <w:r w:rsidRPr="2A26E699">
              <w:rPr>
                <w:rFonts w:ascii="Arial Narrow" w:eastAsia="Arial Narrow" w:hAnsi="Arial Narrow" w:cs="Arial Narrow"/>
                <w:color w:val="000000" w:themeColor="text1"/>
                <w:sz w:val="20"/>
                <w:szCs w:val="20"/>
              </w:rPr>
              <w:t xml:space="preserve">Medical Practitioners </w:t>
            </w:r>
          </w:p>
        </w:tc>
      </w:tr>
      <w:tr w:rsidR="00587214" w14:paraId="6CB4A8B6" w14:textId="77777777" w:rsidTr="00157DEE">
        <w:trPr>
          <w:trHeight w:val="300"/>
        </w:trPr>
        <w:tc>
          <w:tcPr>
            <w:tcW w:w="1268" w:type="dxa"/>
            <w:vMerge/>
            <w:vAlign w:val="center"/>
          </w:tcPr>
          <w:p w14:paraId="006E52FB" w14:textId="77777777" w:rsidR="00587214" w:rsidRDefault="00587214" w:rsidP="00157DEE"/>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7222FA"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Restriction type: </w:t>
            </w:r>
            <w:r w:rsidRPr="2A26E699">
              <w:rPr>
                <w:rFonts w:ascii="Arial Narrow" w:eastAsia="Arial Narrow" w:hAnsi="Arial Narrow" w:cs="Arial Narrow"/>
                <w:color w:val="000000" w:themeColor="text1"/>
                <w:sz w:val="20"/>
                <w:szCs w:val="20"/>
              </w:rPr>
              <w:t xml:space="preserve">Authority Required (STREAMLINED) </w:t>
            </w:r>
          </w:p>
        </w:tc>
      </w:tr>
      <w:tr w:rsidR="00587214" w14:paraId="79CD61C7"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9B935EE"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6CB99"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Prescribing rule level:  </w:t>
            </w:r>
          </w:p>
        </w:tc>
      </w:tr>
      <w:tr w:rsidR="00587214" w14:paraId="00A95B3E"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BA144" w14:textId="0FF34D02" w:rsidR="00587214" w:rsidRPr="00B26B9F" w:rsidRDefault="00587214" w:rsidP="00157DEE">
            <w:pPr>
              <w:jc w:val="center"/>
              <w:rPr>
                <w:rFonts w:ascii="Arial Narrow" w:hAnsi="Arial Narrow"/>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36A6CA" w14:textId="77777777" w:rsidR="00587214" w:rsidRPr="00B26B9F" w:rsidRDefault="00587214" w:rsidP="00157DEE">
            <w:pPr>
              <w:keepLines/>
              <w:rPr>
                <w:rFonts w:ascii="Arial Narrow" w:hAnsi="Arial Narrow"/>
                <w:b/>
                <w:bCs/>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No increase in the maximum number of repeats may be authorised.</w:t>
            </w:r>
          </w:p>
        </w:tc>
      </w:tr>
      <w:tr w:rsidR="00587214" w14:paraId="5140C0AA"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E146A" w14:textId="03DE0DA9"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21DDF"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Administrative Advice:</w:t>
            </w:r>
            <w:r w:rsidRPr="2A26E699">
              <w:rPr>
                <w:rFonts w:ascii="Arial Narrow" w:eastAsia="Arial Narrow" w:hAnsi="Arial Narrow" w:cs="Arial Narrow"/>
                <w:color w:val="000000" w:themeColor="text1"/>
                <w:sz w:val="20"/>
                <w:szCs w:val="20"/>
              </w:rPr>
              <w:t xml:space="preserve"> No increase in the maximum quantity or number of units may be authorised.</w:t>
            </w:r>
          </w:p>
        </w:tc>
      </w:tr>
      <w:tr w:rsidR="00587214" w14:paraId="4E8E6CF9"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12BB02BC" w14:textId="77777777" w:rsidR="00587214" w:rsidRDefault="00587214" w:rsidP="00157DEE">
            <w:pPr>
              <w:jc w:val="center"/>
              <w:rPr>
                <w:rFonts w:ascii="Arial Narrow" w:hAnsi="Arial Narrow"/>
                <w:sz w:val="20"/>
                <w:szCs w:val="20"/>
              </w:rPr>
            </w:pPr>
          </w:p>
          <w:p w14:paraId="2B64ABCB" w14:textId="2CFC21B0" w:rsidR="00587214" w:rsidRPr="2A26E699"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F637F" w14:textId="77777777" w:rsidR="00587214" w:rsidRPr="00B26B9F" w:rsidRDefault="00587214" w:rsidP="00157DEE">
            <w:pPr>
              <w:keepLines/>
              <w:rPr>
                <w:rFonts w:ascii="Arial Narrow" w:hAnsi="Arial Narrow"/>
                <w:b/>
                <w:bCs/>
                <w:sz w:val="20"/>
                <w:szCs w:val="20"/>
              </w:rPr>
            </w:pPr>
            <w:r w:rsidRPr="00B26B9F">
              <w:rPr>
                <w:rFonts w:ascii="Arial Narrow" w:hAnsi="Arial Narrow"/>
                <w:b/>
                <w:bCs/>
                <w:sz w:val="20"/>
                <w:szCs w:val="20"/>
              </w:rPr>
              <w:t>Administrative Advice:</w:t>
            </w:r>
          </w:p>
          <w:p w14:paraId="5F38F20A" w14:textId="77777777" w:rsidR="00587214" w:rsidRDefault="00587214" w:rsidP="00157DEE">
            <w:pPr>
              <w:keepLines/>
              <w:rPr>
                <w:rFonts w:ascii="Arial Narrow" w:hAnsi="Arial Narrow"/>
                <w:sz w:val="20"/>
                <w:szCs w:val="20"/>
              </w:rPr>
            </w:pPr>
            <w:r w:rsidRPr="00B26B9F">
              <w:rPr>
                <w:rFonts w:ascii="Arial Narrow" w:hAnsi="Arial Narrow"/>
                <w:sz w:val="20"/>
                <w:szCs w:val="20"/>
              </w:rPr>
              <w:t>Pharmaceutical benefits that have the form adalimumab 20 mg/0.2 mL syringes and pharmaceutical benefits that have the form adalimumab 20 mg/0.4 mL syringes are equivalent for the purposes of substitution</w:t>
            </w:r>
          </w:p>
          <w:p w14:paraId="26AA4532" w14:textId="77777777" w:rsidR="00587214" w:rsidRDefault="00587214" w:rsidP="00157DEE">
            <w:pPr>
              <w:keepLines/>
              <w:rPr>
                <w:rFonts w:ascii="Arial Narrow" w:hAnsi="Arial Narrow"/>
                <w:b/>
                <w:bCs/>
                <w:sz w:val="20"/>
                <w:szCs w:val="20"/>
              </w:rPr>
            </w:pPr>
          </w:p>
          <w:p w14:paraId="6D2D67A7" w14:textId="77777777" w:rsidR="00587214" w:rsidRDefault="00587214" w:rsidP="00157DEE">
            <w:pPr>
              <w:keepLines/>
              <w:rPr>
                <w:rFonts w:ascii="Arial Narrow" w:hAnsi="Arial Narrow"/>
                <w:sz w:val="20"/>
                <w:szCs w:val="20"/>
              </w:rPr>
            </w:pPr>
            <w:r w:rsidRPr="00B26B9F">
              <w:rPr>
                <w:rFonts w:ascii="Arial Narrow" w:hAnsi="Arial Narrow"/>
                <w:sz w:val="20"/>
                <w:szCs w:val="20"/>
              </w:rPr>
              <w:t>Pharmaceutical benefits that have the form adalimumab 40 mg/0.4 mL pen devices and pharmaceutical benefits that have the form adalimumab 40 mg/0.8 mL pen devices are equivalent for the purposes of substitution</w:t>
            </w:r>
          </w:p>
          <w:p w14:paraId="01EE5F5E" w14:textId="77777777" w:rsidR="00587214" w:rsidRDefault="00587214" w:rsidP="00157DEE">
            <w:pPr>
              <w:keepLines/>
              <w:rPr>
                <w:rFonts w:ascii="Arial Narrow" w:hAnsi="Arial Narrow"/>
                <w:sz w:val="20"/>
                <w:szCs w:val="20"/>
              </w:rPr>
            </w:pPr>
          </w:p>
          <w:p w14:paraId="30CD49A1" w14:textId="77777777" w:rsidR="00587214" w:rsidRPr="2A26E699" w:rsidRDefault="00587214" w:rsidP="00157DEE">
            <w:pPr>
              <w:keepLines/>
              <w:rPr>
                <w:rFonts w:ascii="Arial Narrow" w:eastAsia="Arial Narrow" w:hAnsi="Arial Narrow" w:cs="Arial Narrow"/>
                <w:b/>
                <w:bCs/>
                <w:color w:val="000000" w:themeColor="text1"/>
                <w:sz w:val="20"/>
                <w:szCs w:val="20"/>
              </w:rPr>
            </w:pPr>
            <w:r w:rsidRPr="00B26B9F">
              <w:rPr>
                <w:rFonts w:ascii="Arial Narrow" w:hAnsi="Arial Narrow"/>
                <w:sz w:val="20"/>
                <w:szCs w:val="20"/>
              </w:rPr>
              <w:t>Pharmaceutical benefits that have the form adalimumab 40 mg/0.4 mL syringes and pharmaceutical benefits that have the form adalimumab 40 mg/0.8 mL syringes are equivalent for the purposes of substitution</w:t>
            </w:r>
          </w:p>
        </w:tc>
      </w:tr>
      <w:tr w:rsidR="00587214" w14:paraId="44E5C3F9"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5572AAE9" w14:textId="4E69064C" w:rsidR="00587214" w:rsidRPr="00B26B9F" w:rsidRDefault="00587214" w:rsidP="00157DEE">
            <w:pPr>
              <w:jc w:val="center"/>
              <w:rPr>
                <w:rFonts w:ascii="Arial Narrow" w:hAnsi="Arial Narrow"/>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139300" w14:textId="77777777" w:rsidR="00587214" w:rsidRPr="00B26B9F" w:rsidRDefault="00587214" w:rsidP="00157DEE">
            <w:pPr>
              <w:keepLines/>
              <w:rPr>
                <w:rFonts w:ascii="Arial Narrow" w:hAnsi="Arial Narrow"/>
                <w:b/>
                <w:bCs/>
                <w:sz w:val="20"/>
                <w:szCs w:val="20"/>
              </w:rPr>
            </w:pPr>
            <w:r w:rsidRPr="00B26B9F">
              <w:rPr>
                <w:rFonts w:ascii="Arial Narrow" w:hAnsi="Arial Narrow"/>
                <w:b/>
                <w:bCs/>
                <w:sz w:val="20"/>
                <w:szCs w:val="20"/>
              </w:rPr>
              <w:t>Administrative Advice:</w:t>
            </w:r>
          </w:p>
          <w:p w14:paraId="28FB1F1F" w14:textId="77777777" w:rsidR="00587214" w:rsidRPr="00B26B9F" w:rsidRDefault="00587214" w:rsidP="00157DEE">
            <w:pPr>
              <w:keepLines/>
              <w:rPr>
                <w:rFonts w:ascii="Arial Narrow" w:hAnsi="Arial Narrow"/>
                <w:b/>
                <w:bCs/>
                <w:sz w:val="20"/>
                <w:szCs w:val="20"/>
              </w:rPr>
            </w:pPr>
            <w:r w:rsidRPr="00B26B9F">
              <w:rPr>
                <w:rFonts w:ascii="Arial Narrow" w:hAnsi="Arial Narrow"/>
                <w:sz w:val="20"/>
                <w:szCs w:val="20"/>
              </w:rPr>
              <w:t>Pharmaceutical benefits that have a pack size of 1 may be substituted for pharmaceutical benefits that have a pack size of 2, in combinations equivalent to the maximum quantity number of units.</w:t>
            </w:r>
          </w:p>
        </w:tc>
      </w:tr>
      <w:tr w:rsidR="00587214" w14:paraId="7A4447BC"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9C0DE2" w14:textId="2E2375A4" w:rsidR="00587214" w:rsidRDefault="00587214" w:rsidP="00157DEE">
            <w:pPr>
              <w:jc w:val="center"/>
              <w:rPr>
                <w:rFonts w:ascii="Arial Narrow" w:eastAsia="Arial Narrow" w:hAnsi="Arial Narrow" w:cs="Arial Narrow"/>
                <w:color w:val="000000" w:themeColor="text1"/>
                <w:sz w:val="20"/>
                <w:szCs w:val="20"/>
              </w:rPr>
            </w:pPr>
          </w:p>
          <w:p w14:paraId="26CD7C8E" w14:textId="2164DADD"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302B2E"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Administrative Advice:</w:t>
            </w:r>
          </w:p>
          <w:p w14:paraId="36F54426"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Any queries concerning the arrangements to prescribe may be directed to Services Australia on 1800 700 270 (hours of operation 8 a.m. to 5 p.m. Monday to Friday).</w:t>
            </w:r>
          </w:p>
        </w:tc>
      </w:tr>
      <w:tr w:rsidR="00587214" w14:paraId="2071F777"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2880E0A6" w14:textId="77777777" w:rsidR="00587214" w:rsidRDefault="00587214" w:rsidP="00157DEE">
            <w:pPr>
              <w:jc w:val="center"/>
              <w:rPr>
                <w:rFonts w:ascii="Arial Narrow" w:eastAsia="Arial Narrow" w:hAnsi="Arial Narrow" w:cs="Arial Narrow"/>
                <w:color w:val="333333"/>
                <w:sz w:val="20"/>
                <w:szCs w:val="20"/>
              </w:rPr>
            </w:pPr>
          </w:p>
        </w:tc>
        <w:tc>
          <w:tcPr>
            <w:tcW w:w="7732"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733702C3" w14:textId="3D4CE435"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Restriction Summary [new</w:t>
            </w:r>
            <w:r>
              <w:rPr>
                <w:rFonts w:ascii="Arial Narrow" w:eastAsia="Arial Narrow" w:hAnsi="Arial Narrow" w:cs="Arial Narrow"/>
                <w:b/>
                <w:bCs/>
                <w:color w:val="000000" w:themeColor="text1"/>
                <w:sz w:val="20"/>
                <w:szCs w:val="20"/>
              </w:rPr>
              <w:t>3</w:t>
            </w:r>
            <w:r w:rsidRPr="2A26E699">
              <w:rPr>
                <w:rFonts w:ascii="Arial Narrow" w:eastAsia="Arial Narrow" w:hAnsi="Arial Narrow" w:cs="Arial Narrow"/>
                <w:b/>
                <w:bCs/>
                <w:color w:val="000000" w:themeColor="text1"/>
                <w:sz w:val="20"/>
                <w:szCs w:val="20"/>
              </w:rPr>
              <w:t>] / Treatment of Concept: [new</w:t>
            </w:r>
            <w:r>
              <w:rPr>
                <w:rFonts w:ascii="Arial Narrow" w:eastAsia="Arial Narrow" w:hAnsi="Arial Narrow" w:cs="Arial Narrow"/>
                <w:b/>
                <w:bCs/>
                <w:color w:val="000000" w:themeColor="text1"/>
                <w:sz w:val="20"/>
                <w:szCs w:val="20"/>
              </w:rPr>
              <w:t>3</w:t>
            </w:r>
            <w:r w:rsidRPr="2A26E699">
              <w:rPr>
                <w:rFonts w:ascii="Arial Narrow" w:eastAsia="Arial Narrow" w:hAnsi="Arial Narrow" w:cs="Arial Narrow"/>
                <w:b/>
                <w:bCs/>
                <w:color w:val="000000" w:themeColor="text1"/>
                <w:sz w:val="20"/>
                <w:szCs w:val="20"/>
              </w:rPr>
              <w:t xml:space="preserve">A] </w:t>
            </w:r>
          </w:p>
        </w:tc>
      </w:tr>
      <w:tr w:rsidR="00587214" w14:paraId="737BE28F" w14:textId="77777777" w:rsidTr="00157DEE">
        <w:trPr>
          <w:trHeight w:val="300"/>
        </w:trPr>
        <w:tc>
          <w:tcPr>
            <w:tcW w:w="1268"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2F5730" w14:textId="77777777" w:rsidR="00587214" w:rsidRDefault="00587214" w:rsidP="00157DEE">
            <w:pPr>
              <w:keepLines/>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630A6CD"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Episodicity: </w:t>
            </w:r>
            <w:r w:rsidRPr="2A26E699">
              <w:rPr>
                <w:rFonts w:ascii="Arial Narrow" w:eastAsia="Arial Narrow" w:hAnsi="Arial Narrow" w:cs="Arial Narrow"/>
                <w:color w:val="000000" w:themeColor="text1"/>
                <w:sz w:val="20"/>
                <w:szCs w:val="20"/>
              </w:rPr>
              <w:t>[blank]</w:t>
            </w:r>
          </w:p>
        </w:tc>
      </w:tr>
      <w:tr w:rsidR="00587214" w14:paraId="63B88352" w14:textId="77777777" w:rsidTr="00157DEE">
        <w:trPr>
          <w:trHeight w:val="300"/>
        </w:trPr>
        <w:tc>
          <w:tcPr>
            <w:tcW w:w="1268" w:type="dxa"/>
            <w:vMerge/>
            <w:tcMar>
              <w:left w:w="105" w:type="dxa"/>
              <w:right w:w="105" w:type="dxa"/>
            </w:tcMar>
            <w:vAlign w:val="center"/>
          </w:tcPr>
          <w:p w14:paraId="72AF6ADA" w14:textId="77777777" w:rsidR="00587214" w:rsidRDefault="00587214" w:rsidP="00157DEE"/>
        </w:tc>
        <w:tc>
          <w:tcPr>
            <w:tcW w:w="7732" w:type="dxa"/>
            <w:gridSpan w:val="6"/>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EA32468"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Severity: </w:t>
            </w:r>
            <w:r w:rsidRPr="2A26E699">
              <w:rPr>
                <w:rFonts w:ascii="Arial Narrow" w:eastAsia="Arial Narrow" w:hAnsi="Arial Narrow" w:cs="Arial Narrow"/>
                <w:color w:val="000000" w:themeColor="text1"/>
                <w:sz w:val="20"/>
                <w:szCs w:val="20"/>
              </w:rPr>
              <w:t>[blank]</w:t>
            </w:r>
          </w:p>
        </w:tc>
      </w:tr>
      <w:tr w:rsidR="00587214" w14:paraId="5277C4E5" w14:textId="77777777" w:rsidTr="00157DEE">
        <w:trPr>
          <w:trHeight w:val="300"/>
        </w:trPr>
        <w:tc>
          <w:tcPr>
            <w:tcW w:w="1268" w:type="dxa"/>
            <w:vMerge/>
            <w:tcMar>
              <w:left w:w="105" w:type="dxa"/>
              <w:right w:w="105" w:type="dxa"/>
            </w:tcMar>
            <w:vAlign w:val="center"/>
          </w:tcPr>
          <w:p w14:paraId="3892BCF4" w14:textId="77777777" w:rsidR="00587214" w:rsidRDefault="00587214" w:rsidP="00157DEE"/>
        </w:tc>
        <w:tc>
          <w:tcPr>
            <w:tcW w:w="7732" w:type="dxa"/>
            <w:gridSpan w:val="6"/>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067A026"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Condition: </w:t>
            </w:r>
            <w:r w:rsidRPr="2A26E699">
              <w:rPr>
                <w:rFonts w:ascii="Arial Narrow" w:eastAsia="Arial Narrow" w:hAnsi="Arial Narrow" w:cs="Arial Narrow"/>
                <w:color w:val="000000" w:themeColor="text1"/>
                <w:sz w:val="20"/>
                <w:szCs w:val="20"/>
              </w:rPr>
              <w:t>Enthesitis/spondylitis related juvenile idiopathic arthritis</w:t>
            </w:r>
          </w:p>
        </w:tc>
      </w:tr>
      <w:tr w:rsidR="00587214" w14:paraId="7D111227"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C95F08" w14:textId="24E02BFC" w:rsidR="00587214" w:rsidRDefault="00587214" w:rsidP="00157DEE">
            <w:pPr>
              <w:keepLines/>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4F8794" w14:textId="77777777" w:rsidR="00587214" w:rsidRDefault="00587214"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Indication:</w:t>
            </w:r>
            <w:r w:rsidRPr="2A26E699">
              <w:rPr>
                <w:rFonts w:ascii="Arial Narrow" w:eastAsia="Arial Narrow" w:hAnsi="Arial Narrow" w:cs="Arial Narrow"/>
                <w:color w:val="000000" w:themeColor="text1"/>
                <w:sz w:val="20"/>
                <w:szCs w:val="20"/>
              </w:rPr>
              <w:t xml:space="preserve"> Enthesitis/spondylitis related juvenile idiopathic arthritis</w:t>
            </w:r>
          </w:p>
        </w:tc>
      </w:tr>
      <w:tr w:rsidR="00587214" w14:paraId="2402CF6A"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F256C2"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71C3A" w14:textId="4B28E8EC"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Treatment Phase:</w:t>
            </w:r>
            <w:r w:rsidRPr="2A26E699">
              <w:rPr>
                <w:rFonts w:ascii="Arial Narrow" w:eastAsia="Arial Narrow" w:hAnsi="Arial Narrow" w:cs="Arial Narrow"/>
                <w:color w:val="000000" w:themeColor="text1"/>
                <w:sz w:val="20"/>
                <w:szCs w:val="20"/>
              </w:rPr>
              <w:t xml:space="preserve"> </w:t>
            </w:r>
            <w:r>
              <w:rPr>
                <w:rFonts w:ascii="Arial Narrow" w:eastAsia="Arial Narrow" w:hAnsi="Arial Narrow" w:cs="Arial Narrow"/>
                <w:color w:val="000000" w:themeColor="text1"/>
                <w:sz w:val="20"/>
                <w:szCs w:val="20"/>
              </w:rPr>
              <w:t>C</w:t>
            </w:r>
            <w:r w:rsidRPr="2A26E699">
              <w:rPr>
                <w:rFonts w:ascii="Arial Narrow" w:eastAsia="Arial Narrow" w:hAnsi="Arial Narrow" w:cs="Arial Narrow"/>
                <w:color w:val="000000" w:themeColor="text1"/>
                <w:sz w:val="20"/>
                <w:szCs w:val="20"/>
              </w:rPr>
              <w:t xml:space="preserve">ontinuing treatment  </w:t>
            </w:r>
          </w:p>
        </w:tc>
      </w:tr>
      <w:tr w:rsidR="00587214" w14:paraId="6A331C3C"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DBD02E" w14:textId="47042EF9"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CE30CD"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Clinical criteria: </w:t>
            </w:r>
          </w:p>
        </w:tc>
      </w:tr>
      <w:tr w:rsidR="00587214" w14:paraId="4E559736"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F1C10" w14:textId="068AEACA"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46BBA" w14:textId="3D3953A2"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 xml:space="preserve">Patient must have previously received PBS-subsidised treatment with this drug for this condition </w:t>
            </w:r>
          </w:p>
        </w:tc>
      </w:tr>
      <w:tr w:rsidR="00587214" w14:paraId="12B13A69"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6C7E3"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7F1E10"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AND</w:t>
            </w:r>
          </w:p>
        </w:tc>
      </w:tr>
      <w:tr w:rsidR="00587214" w14:paraId="07453808"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A8585" w14:textId="1A5E032E"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0FBB5"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Clinical criteria:</w:t>
            </w:r>
          </w:p>
        </w:tc>
      </w:tr>
      <w:tr w:rsidR="00587214" w14:paraId="2D34BA3B"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34654" w14:textId="23ACAD3E"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DB991"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Patient must have demonstrated an adequate response to treatment with this drug.</w:t>
            </w:r>
          </w:p>
        </w:tc>
      </w:tr>
      <w:tr w:rsidR="00587214" w14:paraId="1CA061D1"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D93902"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6CD7D1"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AND </w:t>
            </w:r>
          </w:p>
        </w:tc>
      </w:tr>
      <w:tr w:rsidR="00587214" w14:paraId="46C0D6A0"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55030" w14:textId="327ED979"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72234B"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Clinical criteria: </w:t>
            </w:r>
          </w:p>
        </w:tc>
      </w:tr>
      <w:tr w:rsidR="00587214" w14:paraId="35102939"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6A4EB" w14:textId="4769C86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1C1B0" w14:textId="07F92A4E"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Patient must not receive more than 24 weeks of treatment per continuing treatment course authorised under this restriction</w:t>
            </w:r>
          </w:p>
        </w:tc>
      </w:tr>
      <w:tr w:rsidR="00587214" w14:paraId="2810EA35"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A3098" w14:textId="403A0244" w:rsidR="00587214" w:rsidRPr="2A26E699"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F71C99" w14:textId="77777777" w:rsidR="00587214" w:rsidRPr="2A26E699"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Treatment criteria:</w:t>
            </w:r>
          </w:p>
        </w:tc>
      </w:tr>
      <w:tr w:rsidR="00587214" w14:paraId="7907D3C4"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F5B7D1" w14:textId="0C75C54B" w:rsidR="00587214" w:rsidRPr="2A26E699"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9881F" w14:textId="77777777" w:rsidR="00587214" w:rsidRPr="2A26E699"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Must be treated by a paediatric rheumatologist; or</w:t>
            </w:r>
          </w:p>
        </w:tc>
      </w:tr>
      <w:tr w:rsidR="00587214" w14:paraId="3F663ACB"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4037C" w14:textId="1D1E98E1" w:rsidR="00587214" w:rsidRPr="2A26E699"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167A7E" w14:textId="77777777" w:rsidR="00587214" w:rsidRPr="2A26E699"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Patient must be undergoing treatment under the supervision of a paediatric rheumatology treatment centre.</w:t>
            </w:r>
          </w:p>
        </w:tc>
      </w:tr>
      <w:tr w:rsidR="00587214" w14:paraId="34B0028C"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EA63DF" w14:textId="39DB9FEB" w:rsidR="00587214" w:rsidRDefault="00587214" w:rsidP="00157DEE">
            <w:pPr>
              <w:jc w:val="center"/>
              <w:rPr>
                <w:rFonts w:ascii="Arial Narrow" w:eastAsia="Arial Narrow" w:hAnsi="Arial Narrow" w:cs="Arial Narrow"/>
                <w:color w:val="000000" w:themeColor="text1"/>
                <w:sz w:val="20"/>
                <w:szCs w:val="20"/>
              </w:rPr>
            </w:pPr>
          </w:p>
          <w:p w14:paraId="6E0651F4" w14:textId="77777777"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82E5B8"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Prescribing Instructions:</w:t>
            </w:r>
          </w:p>
          <w:p w14:paraId="4FB382DC" w14:textId="77777777" w:rsidR="00587214" w:rsidRDefault="00587214" w:rsidP="00157DEE">
            <w:pPr>
              <w:rPr>
                <w:rFonts w:ascii="Arial Narrow" w:eastAsia="Arial Narrow" w:hAnsi="Arial Narrow" w:cs="Arial Narrow"/>
                <w:color w:val="000000" w:themeColor="text1"/>
                <w:sz w:val="20"/>
                <w:szCs w:val="20"/>
              </w:rPr>
            </w:pPr>
            <w:r w:rsidRPr="5311C991">
              <w:rPr>
                <w:rFonts w:ascii="Arial Narrow" w:eastAsia="Arial Narrow" w:hAnsi="Arial Narrow" w:cs="Arial Narrow"/>
                <w:color w:val="000000" w:themeColor="text1"/>
                <w:sz w:val="20"/>
                <w:szCs w:val="20"/>
              </w:rPr>
              <w:t xml:space="preserve">An adequate response is defined as an improvement from baseline in the Juvenile </w:t>
            </w:r>
            <w:proofErr w:type="spellStart"/>
            <w:r w:rsidRPr="5311C991">
              <w:rPr>
                <w:rFonts w:ascii="Arial Narrow" w:eastAsia="Arial Narrow" w:hAnsi="Arial Narrow" w:cs="Arial Narrow"/>
                <w:color w:val="000000" w:themeColor="text1"/>
                <w:sz w:val="20"/>
                <w:szCs w:val="20"/>
              </w:rPr>
              <w:t>Spondyloarthritis</w:t>
            </w:r>
            <w:proofErr w:type="spellEnd"/>
            <w:r w:rsidRPr="5311C991">
              <w:rPr>
                <w:rFonts w:ascii="Arial Narrow" w:eastAsia="Arial Narrow" w:hAnsi="Arial Narrow" w:cs="Arial Narrow"/>
                <w:color w:val="000000" w:themeColor="text1"/>
                <w:sz w:val="20"/>
                <w:szCs w:val="20"/>
              </w:rPr>
              <w:t xml:space="preserve"> Disease Activity Index score by at least 30%.</w:t>
            </w:r>
          </w:p>
        </w:tc>
      </w:tr>
      <w:tr w:rsidR="00587214" w14:paraId="081DB2D3"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1E70B" w14:textId="3992CC58" w:rsidR="00587214" w:rsidRDefault="00587214" w:rsidP="00157DEE">
            <w:pPr>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 xml:space="preserve"> </w:t>
            </w: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E94B5E"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Prescribing Instructions: </w:t>
            </w:r>
          </w:p>
          <w:p w14:paraId="0BFD1BBC"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 xml:space="preserve">If a patient fails to demonstrate a response to treatment with this </w:t>
            </w:r>
            <w:proofErr w:type="gramStart"/>
            <w:r w:rsidRPr="2A26E699">
              <w:rPr>
                <w:rFonts w:ascii="Arial Narrow" w:eastAsia="Arial Narrow" w:hAnsi="Arial Narrow" w:cs="Arial Narrow"/>
                <w:color w:val="000000" w:themeColor="text1"/>
                <w:sz w:val="20"/>
                <w:szCs w:val="20"/>
              </w:rPr>
              <w:t>drug</w:t>
            </w:r>
            <w:proofErr w:type="gramEnd"/>
            <w:r w:rsidRPr="2A26E699">
              <w:rPr>
                <w:rFonts w:ascii="Arial Narrow" w:eastAsia="Arial Narrow" w:hAnsi="Arial Narrow" w:cs="Arial Narrow"/>
                <w:color w:val="000000" w:themeColor="text1"/>
                <w:sz w:val="20"/>
                <w:szCs w:val="20"/>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587214" w14:paraId="6391F624"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61EC9D" w14:textId="4FB61ADE" w:rsidR="00587214" w:rsidRDefault="00587214" w:rsidP="00157DEE">
            <w:pPr>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 xml:space="preserve"> </w:t>
            </w: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F4A6F"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Prescribing Instructions: </w:t>
            </w:r>
          </w:p>
          <w:p w14:paraId="3697407E"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 patient may re-trial this drug after a minimum of 2 years have elapsed between the date the last prescription for a PBS-subsidised biological medicine was approved and the date of the first application submitted for approval.</w:t>
            </w:r>
          </w:p>
        </w:tc>
      </w:tr>
      <w:tr w:rsidR="00587214" w14:paraId="3D017AF0" w14:textId="77777777" w:rsidTr="00157DE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9CB125" w14:textId="18319AC1" w:rsidR="00587214" w:rsidRDefault="00587214" w:rsidP="00157DEE">
            <w:pPr>
              <w:jc w:val="center"/>
              <w:rPr>
                <w:rFonts w:ascii="Arial Narrow" w:eastAsia="Arial Narrow" w:hAnsi="Arial Narrow" w:cs="Arial Narrow"/>
                <w:color w:val="000000" w:themeColor="text1"/>
                <w:sz w:val="20"/>
                <w:szCs w:val="20"/>
              </w:rPr>
            </w:pPr>
          </w:p>
        </w:tc>
        <w:tc>
          <w:tcPr>
            <w:tcW w:w="7732"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44D221"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xml:space="preserve">Prescribing Instructions: </w:t>
            </w:r>
          </w:p>
          <w:p w14:paraId="223DEEDE" w14:textId="77777777" w:rsidR="00587214" w:rsidRDefault="00587214" w:rsidP="00157DEE">
            <w:pP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tc>
      </w:tr>
    </w:tbl>
    <w:p w14:paraId="027F4990" w14:textId="03120EE2" w:rsidR="00F778FF" w:rsidRPr="00F37EE7" w:rsidRDefault="00F778FF" w:rsidP="00711BD0">
      <w:pPr>
        <w:pStyle w:val="3-BodyText"/>
        <w:numPr>
          <w:ilvl w:val="0"/>
          <w:numId w:val="0"/>
        </w:numPr>
        <w:spacing w:before="120"/>
        <w:rPr>
          <w:b/>
          <w:bCs/>
          <w:i/>
          <w:snapToGrid w:val="0"/>
        </w:rPr>
      </w:pPr>
      <w:r w:rsidRPr="00F37EE7">
        <w:rPr>
          <w:rFonts w:cs="Arial"/>
          <w:b/>
          <w:bCs/>
          <w:i/>
        </w:rPr>
        <w:t>This restriction may be subject to further review. Should there be any changes made to the restriction the sponsor will be informed.</w:t>
      </w:r>
    </w:p>
    <w:p w14:paraId="7499408F" w14:textId="77777777" w:rsidR="00F778FF" w:rsidRDefault="00F778FF" w:rsidP="00711BD0">
      <w:pPr>
        <w:pStyle w:val="3-BodyText"/>
        <w:numPr>
          <w:ilvl w:val="0"/>
          <w:numId w:val="0"/>
        </w:numPr>
        <w:spacing w:before="120"/>
        <w:rPr>
          <w:b/>
          <w:snapToGrid w:val="0"/>
        </w:rPr>
      </w:pPr>
    </w:p>
    <w:tbl>
      <w:tblPr>
        <w:tblW w:w="9021"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24.1 Amend the authority requirements specified in section 15 for Enthesitis/spondylitis related juvenile idiopathic arthritis"/>
      </w:tblPr>
      <w:tblGrid>
        <w:gridCol w:w="1276"/>
        <w:gridCol w:w="2654"/>
        <w:gridCol w:w="810"/>
        <w:gridCol w:w="810"/>
        <w:gridCol w:w="810"/>
        <w:gridCol w:w="810"/>
        <w:gridCol w:w="1830"/>
        <w:gridCol w:w="21"/>
      </w:tblGrid>
      <w:tr w:rsidR="001C21AC" w14:paraId="03D82B79" w14:textId="77777777" w:rsidTr="00157DEE">
        <w:trPr>
          <w:gridAfter w:val="1"/>
          <w:wAfter w:w="21" w:type="dxa"/>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AE0CB"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MEDICINAL PRODUCT</w:t>
            </w:r>
          </w:p>
          <w:p w14:paraId="0A6E81C6"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medicinal product pack</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753AFB"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PBS item code</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6495E9"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Max. qty packs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7E69B"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Max. qty units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B6B5C7" w14:textId="6092DC7E" w:rsidR="001C21AC" w:rsidRDefault="004235D1"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 of</w:t>
            </w:r>
          </w:p>
          <w:p w14:paraId="3A687B98"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Rpts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A4A10"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b/>
                <w:bCs/>
                <w:color w:val="000000" w:themeColor="text1"/>
                <w:sz w:val="20"/>
                <w:szCs w:val="20"/>
              </w:rPr>
              <w:t>Available brands</w:t>
            </w:r>
          </w:p>
        </w:tc>
      </w:tr>
      <w:tr w:rsidR="001C21AC" w14:paraId="380073AC" w14:textId="77777777" w:rsidTr="00157DEE">
        <w:trPr>
          <w:gridAfter w:val="1"/>
          <w:wAfter w:w="21" w:type="dxa"/>
          <w:trHeight w:val="300"/>
        </w:trPr>
        <w:tc>
          <w:tcPr>
            <w:tcW w:w="9000" w:type="dxa"/>
            <w:gridSpan w:val="7"/>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86467"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w:t>
            </w:r>
          </w:p>
        </w:tc>
      </w:tr>
      <w:tr w:rsidR="001C21AC" w14:paraId="1A888D80" w14:textId="77777777" w:rsidTr="00157DEE">
        <w:trPr>
          <w:gridAfter w:val="1"/>
          <w:wAfter w:w="21" w:type="dxa"/>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2666E"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20 mg/0.2 mL injection, 2 x 0.2 mL syringes </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02E60"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FFFD5A"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A755CA"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2F608"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F56DF8"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Humira</w:t>
            </w:r>
          </w:p>
        </w:tc>
      </w:tr>
      <w:tr w:rsidR="001C21AC" w14:paraId="4A8E51AB" w14:textId="77777777" w:rsidTr="00157DEE">
        <w:trPr>
          <w:gridAfter w:val="1"/>
          <w:wAfter w:w="21" w:type="dxa"/>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9EC00"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40 mg/0.4 mL injection, 2 x 0.4 mL pen devices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F8D86"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51922"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3203D1"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95A4A"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B0919" w14:textId="77777777" w:rsidR="001C21AC" w:rsidRDefault="001C21AC" w:rsidP="00157DEE">
            <w:pPr>
              <w:rPr>
                <w:rFonts w:ascii="Arial Narrow" w:eastAsia="Arial Narrow" w:hAnsi="Arial Narrow" w:cs="Arial Narrow"/>
                <w:color w:val="000000" w:themeColor="text1"/>
                <w:sz w:val="20"/>
                <w:szCs w:val="20"/>
                <w:lang w:val="en-GB"/>
              </w:rPr>
            </w:pPr>
            <w:r w:rsidRPr="2A26E699">
              <w:rPr>
                <w:rStyle w:val="eop"/>
                <w:rFonts w:ascii="Arial Narrow" w:eastAsia="Arial Narrow" w:hAnsi="Arial Narrow" w:cs="Arial Narrow"/>
                <w:color w:val="000000" w:themeColor="text1"/>
                <w:sz w:val="20"/>
                <w:szCs w:val="20"/>
              </w:rPr>
              <w:t>Humira</w:t>
            </w:r>
          </w:p>
          <w:p w14:paraId="5C6284D2" w14:textId="70B3B0EC" w:rsidR="001C21AC" w:rsidRDefault="001C21AC" w:rsidP="00157DEE">
            <w:pPr>
              <w:keepLines/>
              <w:rPr>
                <w:rFonts w:ascii="Arial Narrow" w:eastAsia="Arial Narrow" w:hAnsi="Arial Narrow" w:cs="Arial Narrow"/>
                <w:color w:val="000000" w:themeColor="text1"/>
                <w:sz w:val="20"/>
                <w:szCs w:val="20"/>
              </w:rPr>
            </w:pPr>
          </w:p>
        </w:tc>
      </w:tr>
      <w:tr w:rsidR="001C21AC" w14:paraId="3DB99B59" w14:textId="77777777" w:rsidTr="00157DEE">
        <w:trPr>
          <w:gridAfter w:val="1"/>
          <w:wAfter w:w="21" w:type="dxa"/>
          <w:trHeight w:val="300"/>
        </w:trPr>
        <w:tc>
          <w:tcPr>
            <w:tcW w:w="39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DFDDBE" w14:textId="77777777" w:rsidR="001C21AC" w:rsidRDefault="001C21AC" w:rsidP="00157DEE">
            <w:pPr>
              <w:keepLines/>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adalimumab 40 mg/0.4 mL injection, 2 x 0.4 mL syringes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AACF2"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NEW</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9A178"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146577"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55D25" w14:textId="77777777" w:rsidR="001C21AC" w:rsidRDefault="001C21AC" w:rsidP="00157DEE">
            <w:pPr>
              <w:keepLines/>
              <w:jc w:val="center"/>
              <w:rPr>
                <w:rFonts w:ascii="Arial Narrow" w:eastAsia="Arial Narrow" w:hAnsi="Arial Narrow" w:cs="Arial Narrow"/>
                <w:color w:val="000000" w:themeColor="text1"/>
                <w:sz w:val="20"/>
                <w:szCs w:val="20"/>
              </w:rPr>
            </w:pPr>
            <w:r w:rsidRPr="2A26E699">
              <w:rPr>
                <w:rFonts w:ascii="Arial Narrow" w:eastAsia="Arial Narrow" w:hAnsi="Arial Narrow" w:cs="Arial Narrow"/>
                <w:color w:val="000000" w:themeColor="text1"/>
                <w:sz w:val="20"/>
                <w:szCs w:val="20"/>
              </w:rPr>
              <w:t>5</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ED3EA" w14:textId="77777777" w:rsidR="001C21AC" w:rsidRDefault="001C21AC" w:rsidP="00157DEE">
            <w:pPr>
              <w:rPr>
                <w:rStyle w:val="eop"/>
                <w:rFonts w:ascii="Arial Narrow" w:eastAsia="Arial Narrow" w:hAnsi="Arial Narrow" w:cs="Arial Narrow"/>
                <w:color w:val="000000" w:themeColor="text1"/>
                <w:sz w:val="20"/>
                <w:szCs w:val="20"/>
              </w:rPr>
            </w:pPr>
            <w:r w:rsidRPr="2A26E699">
              <w:rPr>
                <w:rStyle w:val="eop"/>
                <w:rFonts w:ascii="Arial Narrow" w:eastAsia="Arial Narrow" w:hAnsi="Arial Narrow" w:cs="Arial Narrow"/>
                <w:color w:val="000000" w:themeColor="text1"/>
                <w:sz w:val="20"/>
                <w:szCs w:val="20"/>
              </w:rPr>
              <w:t xml:space="preserve">Humira </w:t>
            </w:r>
          </w:p>
          <w:p w14:paraId="50573C85" w14:textId="08F5E727" w:rsidR="001C21AC" w:rsidRDefault="001C21AC" w:rsidP="00157DEE">
            <w:pPr>
              <w:keepLines/>
              <w:rPr>
                <w:rFonts w:ascii="Arial Narrow" w:eastAsia="Arial Narrow" w:hAnsi="Arial Narrow" w:cs="Arial Narrow"/>
                <w:color w:val="000000" w:themeColor="text1"/>
                <w:sz w:val="20"/>
                <w:szCs w:val="20"/>
              </w:rPr>
            </w:pPr>
          </w:p>
        </w:tc>
      </w:tr>
      <w:tr w:rsidR="001C21AC" w:rsidRPr="2A26E699" w14:paraId="32A4FEB9" w14:textId="77777777" w:rsidTr="00157DEE">
        <w:trPr>
          <w:gridAfter w:val="1"/>
          <w:wAfter w:w="21" w:type="dxa"/>
          <w:trHeight w:val="300"/>
        </w:trPr>
        <w:tc>
          <w:tcPr>
            <w:tcW w:w="9000" w:type="dxa"/>
            <w:gridSpan w:val="7"/>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32DF15" w14:textId="77777777" w:rsidR="001C21AC" w:rsidRPr="2A26E699" w:rsidRDefault="001C21AC" w:rsidP="00157DEE">
            <w:pPr>
              <w:rPr>
                <w:rStyle w:val="normaltextrun"/>
                <w:rFonts w:ascii="Arial Narrow" w:eastAsia="Arial Narrow" w:hAnsi="Arial Narrow" w:cs="Arial Narrow"/>
                <w:color w:val="000000" w:themeColor="text1"/>
                <w:sz w:val="20"/>
                <w:szCs w:val="20"/>
              </w:rPr>
            </w:pPr>
          </w:p>
        </w:tc>
      </w:tr>
      <w:tr w:rsidR="001C21AC" w:rsidRPr="00101B3D" w14:paraId="5CA26A16"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restart"/>
            <w:tcBorders>
              <w:top w:val="single" w:sz="4" w:space="0" w:color="auto"/>
              <w:left w:val="single" w:sz="4" w:space="0" w:color="auto"/>
              <w:right w:val="single" w:sz="4" w:space="0" w:color="auto"/>
            </w:tcBorders>
            <w:vAlign w:val="center"/>
          </w:tcPr>
          <w:p w14:paraId="7ECCCDBA" w14:textId="77777777" w:rsidR="001C21AC" w:rsidRPr="00101B3D" w:rsidRDefault="001C21AC" w:rsidP="00157DEE">
            <w:pPr>
              <w:jc w:val="center"/>
              <w:rPr>
                <w:rFonts w:ascii="Arial Narrow" w:hAnsi="Arial Narrow"/>
                <w:color w:val="333333"/>
                <w:sz w:val="20"/>
                <w:szCs w:val="20"/>
              </w:rPr>
            </w:pPr>
            <w:r w:rsidRPr="00101B3D">
              <w:rPr>
                <w:rFonts w:ascii="Arial Narrow" w:hAnsi="Arial Narrow"/>
                <w:color w:val="333333"/>
                <w:sz w:val="20"/>
                <w:szCs w:val="20"/>
              </w:rPr>
              <w:t>Concept ID</w:t>
            </w:r>
          </w:p>
          <w:p w14:paraId="11FD6690" w14:textId="77777777" w:rsidR="001C21AC" w:rsidRPr="00101B3D" w:rsidRDefault="001C21AC" w:rsidP="00157DEE">
            <w:pPr>
              <w:jc w:val="center"/>
              <w:rPr>
                <w:rFonts w:ascii="Arial Narrow" w:hAnsi="Arial Narrow"/>
                <w:color w:val="333333"/>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1545DE1" w14:textId="77777777" w:rsidR="001C21AC" w:rsidRPr="00101B3D" w:rsidRDefault="001C21AC" w:rsidP="00157DEE">
            <w:pPr>
              <w:keepLines/>
              <w:rPr>
                <w:rFonts w:ascii="Arial Narrow" w:hAnsi="Arial Narrow"/>
                <w:b/>
                <w:bCs/>
                <w:sz w:val="20"/>
                <w:szCs w:val="20"/>
              </w:rPr>
            </w:pPr>
            <w:r w:rsidRPr="00736BC8">
              <w:rPr>
                <w:rFonts w:ascii="Arial Narrow" w:hAnsi="Arial Narrow" w:cs="Arial"/>
                <w:b/>
                <w:sz w:val="20"/>
                <w:szCs w:val="20"/>
              </w:rPr>
              <w:t>Category / Program:</w:t>
            </w:r>
            <w:r w:rsidRPr="00736BC8">
              <w:rPr>
                <w:rFonts w:ascii="Arial Narrow" w:hAnsi="Arial Narrow" w:cs="Arial"/>
                <w:sz w:val="20"/>
                <w:szCs w:val="20"/>
              </w:rPr>
              <w:t xml:space="preserve"> </w:t>
            </w:r>
            <w:r w:rsidRPr="00736BC8">
              <w:rPr>
                <w:rFonts w:ascii="Arial Narrow" w:eastAsia="Calibri" w:hAnsi="Arial Narrow" w:cs="Arial"/>
                <w:sz w:val="20"/>
                <w:szCs w:val="20"/>
              </w:rPr>
              <w:fldChar w:fldCharType="begin" w:fldLock="1">
                <w:ffData>
                  <w:name w:val=""/>
                  <w:enabled/>
                  <w:calcOnExit w:val="0"/>
                  <w:checkBox>
                    <w:sizeAuto/>
                    <w:default w:val="1"/>
                  </w:checkBox>
                </w:ffData>
              </w:fldChar>
            </w:r>
            <w:r w:rsidRPr="00736BC8">
              <w:rPr>
                <w:rFonts w:ascii="Arial Narrow" w:eastAsia="Calibri" w:hAnsi="Arial Narrow" w:cs="Arial"/>
                <w:sz w:val="20"/>
                <w:szCs w:val="20"/>
              </w:rPr>
              <w:instrText xml:space="preserve"> FORMCHECKBOX </w:instrText>
            </w:r>
            <w:r w:rsidRPr="00736BC8">
              <w:rPr>
                <w:rFonts w:ascii="Arial Narrow" w:eastAsia="Calibri" w:hAnsi="Arial Narrow" w:cs="Arial"/>
                <w:sz w:val="20"/>
                <w:szCs w:val="20"/>
              </w:rPr>
            </w:r>
            <w:r w:rsidRPr="00736BC8">
              <w:rPr>
                <w:rFonts w:ascii="Arial Narrow" w:eastAsia="Calibri" w:hAnsi="Arial Narrow" w:cs="Arial"/>
                <w:sz w:val="20"/>
                <w:szCs w:val="20"/>
              </w:rPr>
              <w:fldChar w:fldCharType="separate"/>
            </w:r>
            <w:r w:rsidRPr="00736BC8">
              <w:rPr>
                <w:rFonts w:ascii="Arial Narrow" w:eastAsia="Calibri" w:hAnsi="Arial Narrow" w:cs="Arial"/>
                <w:sz w:val="20"/>
                <w:szCs w:val="20"/>
              </w:rPr>
              <w:fldChar w:fldCharType="end"/>
            </w:r>
            <w:r w:rsidRPr="00736BC8">
              <w:rPr>
                <w:rFonts w:ascii="Arial Narrow" w:eastAsia="Calibri" w:hAnsi="Arial Narrow" w:cs="Arial"/>
                <w:sz w:val="20"/>
                <w:szCs w:val="20"/>
              </w:rPr>
              <w:t xml:space="preserve"> GENERAL - General Schedule (Code GE) </w:t>
            </w:r>
          </w:p>
        </w:tc>
      </w:tr>
      <w:tr w:rsidR="001C21AC" w:rsidRPr="00101B3D" w14:paraId="3ECD7A77"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ign w:val="center"/>
          </w:tcPr>
          <w:p w14:paraId="5DCCB6AA" w14:textId="77777777" w:rsidR="001C21AC" w:rsidRPr="00101B3D" w:rsidRDefault="001C21AC" w:rsidP="00157DEE">
            <w:pPr>
              <w:jc w:val="center"/>
              <w:rPr>
                <w:rFonts w:ascii="Arial Narrow" w:hAnsi="Arial Narrow"/>
                <w:color w:val="333333"/>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1888E73" w14:textId="77777777" w:rsidR="001C21AC" w:rsidRPr="00101B3D" w:rsidRDefault="001C21AC" w:rsidP="00157DEE">
            <w:pPr>
              <w:keepLines/>
              <w:rPr>
                <w:rFonts w:ascii="Arial Narrow" w:hAnsi="Arial Narrow"/>
                <w:b/>
                <w:bCs/>
                <w:sz w:val="20"/>
                <w:szCs w:val="20"/>
              </w:rPr>
            </w:pPr>
            <w:r w:rsidRPr="00736BC8">
              <w:rPr>
                <w:rFonts w:ascii="Arial Narrow" w:hAnsi="Arial Narrow" w:cs="Arial"/>
                <w:b/>
                <w:sz w:val="20"/>
                <w:szCs w:val="20"/>
              </w:rPr>
              <w:t xml:space="preserve">Prescriber type: </w:t>
            </w:r>
            <w:r w:rsidRPr="00736BC8">
              <w:rPr>
                <w:rFonts w:ascii="Arial Narrow" w:hAnsi="Arial Narrow" w:cs="Arial"/>
                <w:sz w:val="20"/>
                <w:szCs w:val="20"/>
              </w:rPr>
              <w:fldChar w:fldCharType="begin" w:fldLock="1">
                <w:ffData>
                  <w:name w:val=""/>
                  <w:enabled/>
                  <w:calcOnExit w:val="0"/>
                  <w:checkBox>
                    <w:sizeAuto/>
                    <w:default w:val="1"/>
                  </w:checkBox>
                </w:ffData>
              </w:fldChar>
            </w:r>
            <w:r w:rsidRPr="00736BC8">
              <w:rPr>
                <w:rFonts w:ascii="Arial Narrow" w:hAnsi="Arial Narrow" w:cs="Arial"/>
                <w:sz w:val="20"/>
                <w:szCs w:val="20"/>
              </w:rPr>
              <w:instrText xml:space="preserve"> FORMCHECKBOX </w:instrText>
            </w:r>
            <w:r w:rsidRPr="00736BC8">
              <w:rPr>
                <w:rFonts w:ascii="Arial Narrow" w:hAnsi="Arial Narrow" w:cs="Arial"/>
                <w:sz w:val="20"/>
                <w:szCs w:val="20"/>
              </w:rPr>
            </w:r>
            <w:r w:rsidRPr="00736BC8">
              <w:rPr>
                <w:rFonts w:ascii="Arial Narrow" w:hAnsi="Arial Narrow" w:cs="Arial"/>
                <w:sz w:val="20"/>
                <w:szCs w:val="20"/>
              </w:rPr>
              <w:fldChar w:fldCharType="separate"/>
            </w:r>
            <w:r w:rsidRPr="00736BC8">
              <w:rPr>
                <w:rFonts w:ascii="Arial Narrow" w:hAnsi="Arial Narrow" w:cs="Arial"/>
                <w:sz w:val="20"/>
                <w:szCs w:val="20"/>
              </w:rPr>
              <w:fldChar w:fldCharType="end"/>
            </w:r>
            <w:r w:rsidRPr="00736BC8">
              <w:rPr>
                <w:rFonts w:ascii="Arial Narrow" w:hAnsi="Arial Narrow" w:cs="Arial"/>
                <w:sz w:val="20"/>
                <w:szCs w:val="20"/>
              </w:rPr>
              <w:t xml:space="preserve">Medical Practitioners </w:t>
            </w:r>
          </w:p>
        </w:tc>
      </w:tr>
      <w:tr w:rsidR="001C21AC" w:rsidRPr="00101B3D" w14:paraId="25F180C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ign w:val="center"/>
          </w:tcPr>
          <w:p w14:paraId="6BDFF2E8" w14:textId="77777777" w:rsidR="001C21AC" w:rsidRPr="00101B3D" w:rsidRDefault="001C21AC" w:rsidP="00157DEE">
            <w:pPr>
              <w:jc w:val="center"/>
              <w:rPr>
                <w:rFonts w:ascii="Arial Narrow" w:hAnsi="Arial Narrow"/>
                <w:color w:val="333333"/>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97699A8" w14:textId="3748318F" w:rsidR="001C21AC" w:rsidRPr="00101B3D" w:rsidRDefault="001C21AC" w:rsidP="00157DEE">
            <w:pPr>
              <w:keepLines/>
              <w:rPr>
                <w:rFonts w:ascii="Arial Narrow" w:hAnsi="Arial Narrow"/>
                <w:b/>
                <w:bCs/>
                <w:sz w:val="20"/>
                <w:szCs w:val="20"/>
              </w:rPr>
            </w:pPr>
            <w:r w:rsidRPr="00101B3D">
              <w:rPr>
                <w:rFonts w:ascii="Arial Narrow" w:hAnsi="Arial Narrow"/>
                <w:b/>
                <w:bCs/>
                <w:sz w:val="20"/>
                <w:szCs w:val="20"/>
              </w:rPr>
              <w:t xml:space="preserve">Restriction type: </w:t>
            </w:r>
            <w:r w:rsidRPr="00736BC8">
              <w:rPr>
                <w:rFonts w:ascii="Arial Narrow" w:eastAsia="Calibri" w:hAnsi="Arial Narrow" w:cs="Arial"/>
                <w:sz w:val="20"/>
                <w:szCs w:val="20"/>
              </w:rPr>
              <w:fldChar w:fldCharType="begin" w:fldLock="1">
                <w:ffData>
                  <w:name w:val=""/>
                  <w:enabled/>
                  <w:calcOnExit w:val="0"/>
                  <w:checkBox>
                    <w:sizeAuto/>
                    <w:default w:val="1"/>
                  </w:checkBox>
                </w:ffData>
              </w:fldChar>
            </w:r>
            <w:r w:rsidRPr="00736BC8">
              <w:rPr>
                <w:rFonts w:ascii="Arial Narrow" w:eastAsia="Calibri" w:hAnsi="Arial Narrow" w:cs="Arial"/>
                <w:sz w:val="20"/>
                <w:szCs w:val="20"/>
              </w:rPr>
              <w:instrText xml:space="preserve"> FORMCHECKBOX </w:instrText>
            </w:r>
            <w:r w:rsidRPr="00736BC8">
              <w:rPr>
                <w:rFonts w:ascii="Arial Narrow" w:eastAsia="Calibri" w:hAnsi="Arial Narrow" w:cs="Arial"/>
                <w:sz w:val="20"/>
                <w:szCs w:val="20"/>
              </w:rPr>
            </w:r>
            <w:r w:rsidRPr="00736BC8">
              <w:rPr>
                <w:rFonts w:ascii="Arial Narrow" w:eastAsia="Calibri" w:hAnsi="Arial Narrow" w:cs="Arial"/>
                <w:sz w:val="20"/>
                <w:szCs w:val="20"/>
              </w:rPr>
              <w:fldChar w:fldCharType="separate"/>
            </w:r>
            <w:r w:rsidRPr="00736BC8">
              <w:rPr>
                <w:rFonts w:ascii="Arial Narrow" w:eastAsia="Calibri" w:hAnsi="Arial Narrow" w:cs="Arial"/>
                <w:sz w:val="20"/>
                <w:szCs w:val="20"/>
              </w:rPr>
              <w:fldChar w:fldCharType="end"/>
            </w:r>
            <w:r w:rsidRPr="00736BC8">
              <w:rPr>
                <w:rFonts w:ascii="Arial Narrow" w:eastAsia="Calibri" w:hAnsi="Arial Narrow" w:cs="Arial"/>
                <w:sz w:val="20"/>
                <w:szCs w:val="20"/>
              </w:rPr>
              <w:t>Authority Required (</w:t>
            </w:r>
            <w:r>
              <w:rPr>
                <w:rFonts w:ascii="Arial Narrow" w:eastAsia="Calibri" w:hAnsi="Arial Narrow" w:cs="Arial"/>
                <w:sz w:val="20"/>
                <w:szCs w:val="20"/>
              </w:rPr>
              <w:t>Telephone/Online PBS Authorities</w:t>
            </w:r>
            <w:r w:rsidRPr="00736BC8">
              <w:rPr>
                <w:rFonts w:ascii="Arial Narrow" w:eastAsia="Calibri" w:hAnsi="Arial Narrow" w:cs="Arial"/>
                <w:sz w:val="20"/>
                <w:szCs w:val="20"/>
              </w:rPr>
              <w:t>)</w:t>
            </w:r>
          </w:p>
        </w:tc>
      </w:tr>
      <w:tr w:rsidR="001C21AC" w:rsidRPr="00101B3D" w14:paraId="188F158F"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Align w:val="center"/>
          </w:tcPr>
          <w:p w14:paraId="3CE4FA80" w14:textId="420AAB5D" w:rsidR="001C21AC" w:rsidRPr="00101B3D" w:rsidRDefault="001C21AC" w:rsidP="00157DEE">
            <w:pPr>
              <w:jc w:val="center"/>
              <w:rPr>
                <w:rFonts w:ascii="Arial Narrow" w:hAnsi="Arial Narrow"/>
                <w:color w:val="333333"/>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76AD58B" w14:textId="77777777" w:rsidR="001C21AC" w:rsidRPr="00101B3D" w:rsidRDefault="001C21AC" w:rsidP="00157DEE">
            <w:pPr>
              <w:keepLines/>
              <w:rPr>
                <w:rFonts w:ascii="Arial Narrow" w:hAnsi="Arial Narrow"/>
                <w:b/>
                <w:bCs/>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No increase in the maximum number of repeats may be authorised.</w:t>
            </w:r>
          </w:p>
        </w:tc>
      </w:tr>
      <w:tr w:rsidR="001C21AC" w:rsidRPr="00101B3D" w14:paraId="5293B91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Align w:val="center"/>
          </w:tcPr>
          <w:p w14:paraId="443ABD2E" w14:textId="2E5CF30A" w:rsidR="001C21AC" w:rsidRPr="00101B3D" w:rsidRDefault="001C21AC" w:rsidP="00157DEE">
            <w:pPr>
              <w:jc w:val="center"/>
              <w:rPr>
                <w:rFonts w:ascii="Arial Narrow" w:hAnsi="Arial Narrow"/>
                <w:color w:val="333333"/>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C786A53" w14:textId="77777777" w:rsidR="001C21AC" w:rsidRPr="00101B3D" w:rsidRDefault="001C21AC" w:rsidP="00157DEE">
            <w:pPr>
              <w:keepLines/>
              <w:rPr>
                <w:rFonts w:ascii="Arial Narrow" w:hAnsi="Arial Narrow"/>
                <w:b/>
                <w:bCs/>
                <w:sz w:val="20"/>
                <w:szCs w:val="20"/>
              </w:rPr>
            </w:pPr>
            <w:r w:rsidRPr="2A26E699">
              <w:rPr>
                <w:rFonts w:ascii="Arial Narrow" w:eastAsia="Arial Narrow" w:hAnsi="Arial Narrow" w:cs="Arial Narrow"/>
                <w:b/>
                <w:bCs/>
                <w:color w:val="000000" w:themeColor="text1"/>
                <w:sz w:val="20"/>
                <w:szCs w:val="20"/>
              </w:rPr>
              <w:t>Administrative Advice:</w:t>
            </w:r>
            <w:r w:rsidRPr="2A26E699">
              <w:rPr>
                <w:rFonts w:ascii="Arial Narrow" w:eastAsia="Arial Narrow" w:hAnsi="Arial Narrow" w:cs="Arial Narrow"/>
                <w:color w:val="000000" w:themeColor="text1"/>
                <w:sz w:val="20"/>
                <w:szCs w:val="20"/>
              </w:rPr>
              <w:t xml:space="preserve"> No increase in the maximum quantity or number of units may be authorised.</w:t>
            </w:r>
          </w:p>
        </w:tc>
      </w:tr>
      <w:tr w:rsidR="001C21AC" w:rsidRPr="2A26E699" w14:paraId="32813B02"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PrEx>
        <w:trPr>
          <w:cantSplit/>
          <w:trHeight w:val="55"/>
        </w:trPr>
        <w:tc>
          <w:tcPr>
            <w:tcW w:w="1276" w:type="dxa"/>
          </w:tcPr>
          <w:p w14:paraId="0831418A" w14:textId="3EE4A1D2" w:rsidR="001C21AC" w:rsidRDefault="001C21AC" w:rsidP="00157DEE">
            <w:pPr>
              <w:jc w:val="center"/>
              <w:rPr>
                <w:rFonts w:ascii="Arial Narrow" w:hAnsi="Arial Narrow"/>
                <w:sz w:val="20"/>
                <w:szCs w:val="20"/>
              </w:rPr>
            </w:pPr>
          </w:p>
          <w:p w14:paraId="64AC00DB" w14:textId="6420D14D" w:rsidR="001C21AC" w:rsidRDefault="001C21AC" w:rsidP="00157DEE">
            <w:pPr>
              <w:jc w:val="center"/>
              <w:rPr>
                <w:rFonts w:ascii="Arial Narrow" w:hAnsi="Arial Narrow"/>
                <w:sz w:val="20"/>
                <w:szCs w:val="20"/>
              </w:rPr>
            </w:pPr>
          </w:p>
          <w:p w14:paraId="4A7D0A14" w14:textId="77777777" w:rsidR="001C21AC" w:rsidRDefault="001C21AC" w:rsidP="00157DEE">
            <w:pPr>
              <w:jc w:val="center"/>
              <w:rPr>
                <w:rFonts w:ascii="Arial Narrow" w:hAnsi="Arial Narrow"/>
                <w:sz w:val="20"/>
                <w:szCs w:val="20"/>
              </w:rPr>
            </w:pPr>
          </w:p>
          <w:p w14:paraId="39F87ABB" w14:textId="5F4C1557" w:rsidR="001C21AC" w:rsidRPr="2A26E699" w:rsidRDefault="001C21AC" w:rsidP="00157DEE">
            <w:pPr>
              <w:jc w:val="center"/>
              <w:rPr>
                <w:rFonts w:ascii="Arial Narrow" w:eastAsia="Arial Narrow" w:hAnsi="Arial Narrow" w:cs="Arial Narrow"/>
                <w:color w:val="000000" w:themeColor="text1"/>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C892D21" w14:textId="77777777" w:rsidR="001C21AC" w:rsidRPr="00B26B9F" w:rsidRDefault="001C21AC" w:rsidP="00157DEE">
            <w:pPr>
              <w:keepLines/>
              <w:rPr>
                <w:rFonts w:ascii="Arial Narrow" w:hAnsi="Arial Narrow"/>
                <w:b/>
                <w:bCs/>
                <w:sz w:val="20"/>
                <w:szCs w:val="20"/>
              </w:rPr>
            </w:pPr>
            <w:r w:rsidRPr="00B26B9F">
              <w:rPr>
                <w:rFonts w:ascii="Arial Narrow" w:hAnsi="Arial Narrow"/>
                <w:b/>
                <w:bCs/>
                <w:sz w:val="20"/>
                <w:szCs w:val="20"/>
              </w:rPr>
              <w:t>Administrative Advice:</w:t>
            </w:r>
          </w:p>
          <w:p w14:paraId="059512A0" w14:textId="77777777" w:rsidR="001C21AC" w:rsidRDefault="001C21AC" w:rsidP="00157DEE">
            <w:pPr>
              <w:keepLines/>
              <w:rPr>
                <w:rFonts w:ascii="Arial Narrow" w:hAnsi="Arial Narrow"/>
                <w:sz w:val="20"/>
                <w:szCs w:val="20"/>
              </w:rPr>
            </w:pPr>
            <w:r w:rsidRPr="00B26B9F">
              <w:rPr>
                <w:rFonts w:ascii="Arial Narrow" w:hAnsi="Arial Narrow"/>
                <w:sz w:val="20"/>
                <w:szCs w:val="20"/>
              </w:rPr>
              <w:t>Pharmaceutical benefits that have the form adalimumab 20 mg/0.2 mL syringes and pharmaceutical benefits that have the form adalimumab 20 mg/0.4 mL syringes are equivalent for the purposes of substitution</w:t>
            </w:r>
          </w:p>
          <w:p w14:paraId="42F82A1D" w14:textId="77777777" w:rsidR="001C21AC" w:rsidRDefault="001C21AC" w:rsidP="00157DEE">
            <w:pPr>
              <w:keepLines/>
              <w:rPr>
                <w:rFonts w:ascii="Arial Narrow" w:hAnsi="Arial Narrow"/>
                <w:b/>
                <w:bCs/>
                <w:sz w:val="20"/>
                <w:szCs w:val="20"/>
              </w:rPr>
            </w:pPr>
          </w:p>
          <w:p w14:paraId="457477E5" w14:textId="77777777" w:rsidR="001C21AC" w:rsidRDefault="001C21AC" w:rsidP="00157DEE">
            <w:pPr>
              <w:keepLines/>
              <w:rPr>
                <w:rFonts w:ascii="Arial Narrow" w:hAnsi="Arial Narrow"/>
                <w:sz w:val="20"/>
                <w:szCs w:val="20"/>
              </w:rPr>
            </w:pPr>
            <w:r w:rsidRPr="00B26B9F">
              <w:rPr>
                <w:rFonts w:ascii="Arial Narrow" w:hAnsi="Arial Narrow"/>
                <w:sz w:val="20"/>
                <w:szCs w:val="20"/>
              </w:rPr>
              <w:t>Pharmaceutical benefits that have the form adalimumab 40 mg/0.4 mL pen devices and pharmaceutical benefits that have the form adalimumab 40 mg/0.8 mL pen devices are equivalent for the purposes of substitution</w:t>
            </w:r>
          </w:p>
          <w:p w14:paraId="20287279" w14:textId="77777777" w:rsidR="001C21AC" w:rsidRDefault="001C21AC" w:rsidP="00157DEE">
            <w:pPr>
              <w:keepLines/>
              <w:rPr>
                <w:rFonts w:ascii="Arial Narrow" w:hAnsi="Arial Narrow"/>
                <w:sz w:val="20"/>
                <w:szCs w:val="20"/>
              </w:rPr>
            </w:pPr>
          </w:p>
          <w:p w14:paraId="4ABC3D1C" w14:textId="77777777" w:rsidR="001C21AC" w:rsidRPr="2A26E699" w:rsidRDefault="001C21AC" w:rsidP="00157DEE">
            <w:pPr>
              <w:keepLines/>
              <w:rPr>
                <w:rFonts w:ascii="Arial Narrow" w:eastAsia="Arial Narrow" w:hAnsi="Arial Narrow" w:cs="Arial Narrow"/>
                <w:b/>
                <w:bCs/>
                <w:color w:val="000000" w:themeColor="text1"/>
                <w:sz w:val="20"/>
                <w:szCs w:val="20"/>
              </w:rPr>
            </w:pPr>
            <w:r w:rsidRPr="00B26B9F">
              <w:rPr>
                <w:rFonts w:ascii="Arial Narrow" w:hAnsi="Arial Narrow"/>
                <w:sz w:val="20"/>
                <w:szCs w:val="20"/>
              </w:rPr>
              <w:t>Pharmaceutical benefits that have the form adalimumab 40 mg/0.4 mL syringes and pharmaceutical benefits that have the form adalimumab 40 mg/0.8 mL syringes are equivalent for the purposes of substitution</w:t>
            </w:r>
          </w:p>
        </w:tc>
      </w:tr>
      <w:tr w:rsidR="001C21AC" w:rsidRPr="2A26E699" w14:paraId="6CE7254B"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PrEx>
        <w:trPr>
          <w:cantSplit/>
          <w:trHeight w:val="55"/>
        </w:trPr>
        <w:tc>
          <w:tcPr>
            <w:tcW w:w="1276" w:type="dxa"/>
          </w:tcPr>
          <w:p w14:paraId="73A87A7B" w14:textId="596FE864" w:rsidR="001C21AC" w:rsidRPr="2A26E699" w:rsidRDefault="001C21AC" w:rsidP="00157DEE">
            <w:pPr>
              <w:jc w:val="center"/>
              <w:rPr>
                <w:rFonts w:ascii="Arial Narrow" w:eastAsia="Arial Narrow" w:hAnsi="Arial Narrow" w:cs="Arial Narrow"/>
                <w:color w:val="000000" w:themeColor="text1"/>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216FACE2" w14:textId="77777777" w:rsidR="001C21AC" w:rsidRPr="00B26B9F" w:rsidRDefault="001C21AC" w:rsidP="00157DEE">
            <w:pPr>
              <w:keepLines/>
              <w:rPr>
                <w:rFonts w:ascii="Arial Narrow" w:hAnsi="Arial Narrow"/>
                <w:b/>
                <w:bCs/>
                <w:sz w:val="20"/>
                <w:szCs w:val="20"/>
              </w:rPr>
            </w:pPr>
            <w:r w:rsidRPr="00B26B9F">
              <w:rPr>
                <w:rFonts w:ascii="Arial Narrow" w:hAnsi="Arial Narrow"/>
                <w:b/>
                <w:bCs/>
                <w:sz w:val="20"/>
                <w:szCs w:val="20"/>
              </w:rPr>
              <w:t>Administrative Advice:</w:t>
            </w:r>
          </w:p>
          <w:p w14:paraId="544818AA" w14:textId="77777777" w:rsidR="001C21AC" w:rsidRPr="2A26E699" w:rsidRDefault="001C21AC" w:rsidP="00157DEE">
            <w:pPr>
              <w:keepLines/>
              <w:rPr>
                <w:rFonts w:ascii="Arial Narrow" w:eastAsia="Arial Narrow" w:hAnsi="Arial Narrow" w:cs="Arial Narrow"/>
                <w:b/>
                <w:bCs/>
                <w:color w:val="000000" w:themeColor="text1"/>
                <w:sz w:val="20"/>
                <w:szCs w:val="20"/>
              </w:rPr>
            </w:pPr>
            <w:r w:rsidRPr="00B26B9F">
              <w:rPr>
                <w:rFonts w:ascii="Arial Narrow" w:hAnsi="Arial Narrow"/>
                <w:sz w:val="20"/>
                <w:szCs w:val="20"/>
              </w:rPr>
              <w:t>Pharmaceutical benefits that have a pack size of 1 may be substituted for pharmaceutical benefits that have a pack size of 2, in combinations equivalent to the maximum quantity number of units.</w:t>
            </w:r>
          </w:p>
        </w:tc>
      </w:tr>
      <w:tr w:rsidR="001C21AC" w:rsidRPr="2A26E699" w14:paraId="095A6CA8"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Align w:val="center"/>
          </w:tcPr>
          <w:p w14:paraId="7A8EB1E4" w14:textId="35331973" w:rsidR="001C21AC" w:rsidRPr="2A26E699" w:rsidRDefault="001C21AC" w:rsidP="00157DEE">
            <w:pPr>
              <w:jc w:val="center"/>
              <w:rPr>
                <w:rFonts w:ascii="Arial Narrow" w:eastAsia="Arial Narrow" w:hAnsi="Arial Narrow" w:cs="Arial Narrow"/>
                <w:color w:val="000000" w:themeColor="text1"/>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F4B7D93" w14:textId="77777777" w:rsidR="001C21AC" w:rsidRPr="00AA666B" w:rsidRDefault="001C21AC" w:rsidP="00157DEE">
            <w:pPr>
              <w:keepLines/>
              <w:rPr>
                <w:rFonts w:ascii="Arial Narrow" w:hAnsi="Arial Narrow"/>
                <w:sz w:val="20"/>
                <w:szCs w:val="20"/>
              </w:rPr>
            </w:pPr>
            <w:r w:rsidRPr="00AA666B">
              <w:rPr>
                <w:rFonts w:ascii="Arial Narrow" w:hAnsi="Arial Narrow"/>
                <w:b/>
                <w:bCs/>
                <w:sz w:val="20"/>
                <w:szCs w:val="20"/>
              </w:rPr>
              <w:t>Administrative Advice:</w:t>
            </w:r>
            <w:r w:rsidRPr="00AA666B">
              <w:rPr>
                <w:rFonts w:ascii="Arial Narrow" w:hAnsi="Arial Narrow"/>
                <w:sz w:val="20"/>
                <w:szCs w:val="20"/>
              </w:rPr>
              <w:t xml:space="preserve"> </w:t>
            </w:r>
          </w:p>
          <w:p w14:paraId="1E1D5316" w14:textId="77777777" w:rsidR="001C21AC" w:rsidRPr="00AA666B" w:rsidRDefault="001C21AC" w:rsidP="00157DEE">
            <w:pPr>
              <w:keepLines/>
              <w:rPr>
                <w:rFonts w:ascii="Arial Narrow" w:hAnsi="Arial Narrow"/>
                <w:b/>
                <w:bCs/>
                <w:sz w:val="20"/>
                <w:szCs w:val="20"/>
              </w:rPr>
            </w:pPr>
            <w:r w:rsidRPr="00AA666B">
              <w:rPr>
                <w:rFonts w:ascii="Arial Narrow" w:hAnsi="Arial Narrow"/>
                <w:b/>
                <w:bCs/>
                <w:sz w:val="20"/>
                <w:szCs w:val="20"/>
              </w:rPr>
              <w:t>Biosimilar prescribing policy</w:t>
            </w:r>
          </w:p>
          <w:p w14:paraId="66092EEF" w14:textId="77777777" w:rsidR="001C21AC" w:rsidRPr="2A26E699" w:rsidRDefault="001C21AC" w:rsidP="00157DEE">
            <w:pPr>
              <w:keepLines/>
              <w:rPr>
                <w:rFonts w:ascii="Arial Narrow" w:eastAsia="Arial Narrow" w:hAnsi="Arial Narrow" w:cs="Arial Narrow"/>
                <w:b/>
                <w:bCs/>
                <w:color w:val="000000" w:themeColor="text1"/>
                <w:sz w:val="20"/>
                <w:szCs w:val="20"/>
              </w:rPr>
            </w:pPr>
            <w:r w:rsidRPr="00AA666B">
              <w:rPr>
                <w:rFonts w:ascii="Arial Narrow" w:hAnsi="Arial Narrow"/>
                <w:sz w:val="20"/>
                <w:szCs w:val="20"/>
              </w:rPr>
              <w:t>Prescribing of a biosimilar brand where available is encouraged for treatment naïve patients.</w:t>
            </w:r>
          </w:p>
        </w:tc>
      </w:tr>
      <w:tr w:rsidR="001C21AC" w:rsidRPr="2A26E699" w14:paraId="1ECB1A66"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Align w:val="center"/>
          </w:tcPr>
          <w:p w14:paraId="6D0716BC" w14:textId="04641172" w:rsidR="001C21AC" w:rsidRPr="2A26E699" w:rsidRDefault="001C21AC" w:rsidP="00157DEE">
            <w:pPr>
              <w:jc w:val="center"/>
              <w:rPr>
                <w:rFonts w:ascii="Arial Narrow" w:eastAsia="Arial Narrow" w:hAnsi="Arial Narrow" w:cs="Arial Narrow"/>
                <w:color w:val="000000" w:themeColor="text1"/>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40022DB" w14:textId="77777777" w:rsidR="001C21AC" w:rsidRPr="00AA666B" w:rsidRDefault="001C21AC" w:rsidP="00157DEE">
            <w:pPr>
              <w:keepLines/>
              <w:rPr>
                <w:rFonts w:ascii="Arial Narrow" w:hAnsi="Arial Narrow"/>
                <w:b/>
                <w:bCs/>
                <w:sz w:val="20"/>
                <w:szCs w:val="20"/>
              </w:rPr>
            </w:pPr>
            <w:r w:rsidRPr="00AA666B">
              <w:rPr>
                <w:rFonts w:ascii="Arial Narrow" w:hAnsi="Arial Narrow"/>
                <w:b/>
                <w:bCs/>
                <w:sz w:val="20"/>
                <w:szCs w:val="20"/>
              </w:rPr>
              <w:t xml:space="preserve">Administrative Advice: </w:t>
            </w:r>
          </w:p>
          <w:p w14:paraId="54460F70" w14:textId="77777777" w:rsidR="001C21AC" w:rsidRPr="2A26E699" w:rsidRDefault="001C21AC" w:rsidP="00157DEE">
            <w:pPr>
              <w:keepLines/>
              <w:rPr>
                <w:rFonts w:ascii="Arial Narrow" w:eastAsia="Arial Narrow" w:hAnsi="Arial Narrow" w:cs="Arial Narrow"/>
                <w:b/>
                <w:bCs/>
                <w:color w:val="000000" w:themeColor="text1"/>
                <w:sz w:val="20"/>
                <w:szCs w:val="20"/>
              </w:rPr>
            </w:pPr>
            <w:r w:rsidRPr="00AA666B">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1C21AC" w14:paraId="019B7C92"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shd w:val="clear" w:color="auto" w:fill="BFBFBF" w:themeFill="background1" w:themeFillShade="BF"/>
            <w:vAlign w:val="center"/>
          </w:tcPr>
          <w:p w14:paraId="70C0854E" w14:textId="77777777" w:rsidR="001C21AC" w:rsidRDefault="001C21AC" w:rsidP="00157DEE">
            <w:pPr>
              <w:jc w:val="center"/>
              <w:rPr>
                <w:rFonts w:ascii="Arial Narrow" w:hAnsi="Arial Narrow"/>
                <w:color w:val="333333"/>
                <w:sz w:val="20"/>
                <w:szCs w:val="20"/>
              </w:rPr>
            </w:pPr>
          </w:p>
        </w:tc>
        <w:tc>
          <w:tcPr>
            <w:tcW w:w="7745" w:type="dxa"/>
            <w:gridSpan w:val="7"/>
            <w:shd w:val="clear" w:color="auto" w:fill="BFBFBF" w:themeFill="background1" w:themeFillShade="BF"/>
            <w:vAlign w:val="center"/>
          </w:tcPr>
          <w:p w14:paraId="24C701C4" w14:textId="1C766380" w:rsidR="001C21AC" w:rsidRDefault="001C21AC" w:rsidP="00157DEE">
            <w:pPr>
              <w:keepLines/>
              <w:rPr>
                <w:rFonts w:ascii="Arial Narrow" w:hAnsi="Arial Narrow"/>
                <w:b/>
                <w:bCs/>
                <w:sz w:val="20"/>
                <w:szCs w:val="20"/>
              </w:rPr>
            </w:pPr>
            <w:r w:rsidRPr="2A26E699">
              <w:rPr>
                <w:rFonts w:ascii="Arial Narrow" w:hAnsi="Arial Narrow"/>
                <w:b/>
                <w:bCs/>
                <w:sz w:val="20"/>
                <w:szCs w:val="20"/>
              </w:rPr>
              <w:t>Restriction Summary [new</w:t>
            </w:r>
            <w:r>
              <w:rPr>
                <w:rFonts w:ascii="Arial Narrow" w:hAnsi="Arial Narrow"/>
                <w:b/>
                <w:bCs/>
                <w:sz w:val="20"/>
                <w:szCs w:val="20"/>
              </w:rPr>
              <w:t>4</w:t>
            </w:r>
            <w:r w:rsidRPr="2A26E699">
              <w:rPr>
                <w:rFonts w:ascii="Arial Narrow" w:hAnsi="Arial Narrow"/>
                <w:b/>
                <w:bCs/>
                <w:sz w:val="20"/>
                <w:szCs w:val="20"/>
              </w:rPr>
              <w:t>] / Treatment of Concept: [new</w:t>
            </w:r>
            <w:r>
              <w:rPr>
                <w:rFonts w:ascii="Arial Narrow" w:hAnsi="Arial Narrow"/>
                <w:b/>
                <w:bCs/>
                <w:sz w:val="20"/>
                <w:szCs w:val="20"/>
              </w:rPr>
              <w:t>4</w:t>
            </w:r>
            <w:r w:rsidRPr="2A26E699">
              <w:rPr>
                <w:rFonts w:ascii="Arial Narrow" w:hAnsi="Arial Narrow"/>
                <w:b/>
                <w:bCs/>
                <w:sz w:val="20"/>
                <w:szCs w:val="20"/>
              </w:rPr>
              <w:t xml:space="preserve">A] </w:t>
            </w:r>
          </w:p>
        </w:tc>
      </w:tr>
      <w:tr w:rsidR="001C21AC" w:rsidRPr="2A26E699" w14:paraId="39264857" w14:textId="77777777" w:rsidTr="00E83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restart"/>
            <w:vAlign w:val="center"/>
          </w:tcPr>
          <w:p w14:paraId="4506A1A4" w14:textId="77777777" w:rsidR="001C21AC" w:rsidRDefault="001C21AC" w:rsidP="00157DEE">
            <w:pPr>
              <w:jc w:val="center"/>
              <w:rPr>
                <w:rFonts w:ascii="Arial Narrow" w:hAnsi="Arial Narrow"/>
                <w:color w:val="333333"/>
                <w:sz w:val="20"/>
                <w:szCs w:val="20"/>
              </w:rPr>
            </w:pPr>
          </w:p>
        </w:tc>
        <w:tc>
          <w:tcPr>
            <w:tcW w:w="7745" w:type="dxa"/>
            <w:gridSpan w:val="7"/>
            <w:vAlign w:val="center"/>
          </w:tcPr>
          <w:p w14:paraId="2A73D7B0" w14:textId="77777777" w:rsidR="001C21AC" w:rsidRPr="2A26E699" w:rsidRDefault="001C21AC" w:rsidP="00157DEE">
            <w:pPr>
              <w:keepLines/>
              <w:rPr>
                <w:rFonts w:ascii="Arial Narrow" w:hAnsi="Arial Narrow"/>
                <w:b/>
                <w:bCs/>
                <w:sz w:val="20"/>
                <w:szCs w:val="20"/>
              </w:rPr>
            </w:pPr>
            <w:r w:rsidRPr="2A26E699">
              <w:rPr>
                <w:rFonts w:ascii="Arial Narrow" w:eastAsia="Arial Narrow" w:hAnsi="Arial Narrow" w:cs="Arial Narrow"/>
                <w:b/>
                <w:bCs/>
                <w:color w:val="000000" w:themeColor="text1"/>
                <w:sz w:val="20"/>
                <w:szCs w:val="20"/>
              </w:rPr>
              <w:t xml:space="preserve">Episodicity: </w:t>
            </w:r>
            <w:r w:rsidRPr="2A26E699">
              <w:rPr>
                <w:rFonts w:ascii="Arial Narrow" w:eastAsia="Arial Narrow" w:hAnsi="Arial Narrow" w:cs="Arial Narrow"/>
                <w:color w:val="000000" w:themeColor="text1"/>
                <w:sz w:val="20"/>
                <w:szCs w:val="20"/>
              </w:rPr>
              <w:t>[blank]</w:t>
            </w:r>
          </w:p>
        </w:tc>
      </w:tr>
      <w:tr w:rsidR="001C21AC" w:rsidRPr="2A26E699" w14:paraId="76B159D3" w14:textId="77777777" w:rsidTr="00E83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ign w:val="center"/>
          </w:tcPr>
          <w:p w14:paraId="0CB1FD70" w14:textId="77777777" w:rsidR="001C21AC" w:rsidRDefault="001C21AC" w:rsidP="00157DEE">
            <w:pPr>
              <w:jc w:val="center"/>
              <w:rPr>
                <w:rFonts w:ascii="Arial Narrow" w:hAnsi="Arial Narrow"/>
                <w:color w:val="333333"/>
                <w:sz w:val="20"/>
                <w:szCs w:val="20"/>
              </w:rPr>
            </w:pPr>
          </w:p>
        </w:tc>
        <w:tc>
          <w:tcPr>
            <w:tcW w:w="7745" w:type="dxa"/>
            <w:gridSpan w:val="7"/>
            <w:vAlign w:val="center"/>
          </w:tcPr>
          <w:p w14:paraId="23545E46" w14:textId="77777777" w:rsidR="001C21AC" w:rsidRPr="2A26E699" w:rsidRDefault="001C21AC" w:rsidP="00157DEE">
            <w:pPr>
              <w:keepLines/>
              <w:rPr>
                <w:rFonts w:ascii="Arial Narrow" w:hAnsi="Arial Narrow"/>
                <w:b/>
                <w:bCs/>
                <w:sz w:val="20"/>
                <w:szCs w:val="20"/>
              </w:rPr>
            </w:pPr>
            <w:r w:rsidRPr="2A26E699">
              <w:rPr>
                <w:rFonts w:ascii="Arial Narrow" w:eastAsia="Arial Narrow" w:hAnsi="Arial Narrow" w:cs="Arial Narrow"/>
                <w:b/>
                <w:bCs/>
                <w:color w:val="000000" w:themeColor="text1"/>
                <w:sz w:val="20"/>
                <w:szCs w:val="20"/>
              </w:rPr>
              <w:t xml:space="preserve">Severity: </w:t>
            </w:r>
            <w:r w:rsidRPr="2A26E699">
              <w:rPr>
                <w:rFonts w:ascii="Arial Narrow" w:eastAsia="Arial Narrow" w:hAnsi="Arial Narrow" w:cs="Arial Narrow"/>
                <w:color w:val="000000" w:themeColor="text1"/>
                <w:sz w:val="20"/>
                <w:szCs w:val="20"/>
              </w:rPr>
              <w:t>[blank]</w:t>
            </w:r>
          </w:p>
        </w:tc>
      </w:tr>
      <w:tr w:rsidR="001C21AC" w:rsidRPr="2A26E699" w14:paraId="356445E9" w14:textId="77777777" w:rsidTr="00E83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55"/>
        </w:trPr>
        <w:tc>
          <w:tcPr>
            <w:tcW w:w="1276" w:type="dxa"/>
            <w:vMerge/>
            <w:vAlign w:val="center"/>
          </w:tcPr>
          <w:p w14:paraId="0CCFEEEA" w14:textId="77777777" w:rsidR="001C21AC" w:rsidRDefault="001C21AC" w:rsidP="00157DEE">
            <w:pPr>
              <w:jc w:val="center"/>
              <w:rPr>
                <w:rFonts w:ascii="Arial Narrow" w:hAnsi="Arial Narrow"/>
                <w:color w:val="333333"/>
                <w:sz w:val="20"/>
                <w:szCs w:val="20"/>
              </w:rPr>
            </w:pPr>
          </w:p>
        </w:tc>
        <w:tc>
          <w:tcPr>
            <w:tcW w:w="7745" w:type="dxa"/>
            <w:gridSpan w:val="7"/>
            <w:vAlign w:val="center"/>
          </w:tcPr>
          <w:p w14:paraId="200D32D8" w14:textId="77777777" w:rsidR="001C21AC" w:rsidRPr="2A26E699" w:rsidRDefault="001C21AC" w:rsidP="00157DEE">
            <w:pPr>
              <w:keepLines/>
              <w:rPr>
                <w:rFonts w:ascii="Arial Narrow" w:hAnsi="Arial Narrow"/>
                <w:b/>
                <w:bCs/>
                <w:sz w:val="20"/>
                <w:szCs w:val="20"/>
              </w:rPr>
            </w:pPr>
            <w:r w:rsidRPr="2A26E699">
              <w:rPr>
                <w:rFonts w:ascii="Arial Narrow" w:eastAsia="Arial Narrow" w:hAnsi="Arial Narrow" w:cs="Arial Narrow"/>
                <w:b/>
                <w:bCs/>
                <w:color w:val="000000" w:themeColor="text1"/>
                <w:sz w:val="20"/>
                <w:szCs w:val="20"/>
              </w:rPr>
              <w:t xml:space="preserve">Condition: </w:t>
            </w:r>
            <w:r w:rsidRPr="2A26E699">
              <w:rPr>
                <w:rFonts w:ascii="Arial Narrow" w:eastAsia="Arial Narrow" w:hAnsi="Arial Narrow" w:cs="Arial Narrow"/>
                <w:color w:val="000000" w:themeColor="text1"/>
                <w:sz w:val="20"/>
                <w:szCs w:val="20"/>
              </w:rPr>
              <w:t>Enthesitis/spondylitis related juvenile idiopathic arthritis</w:t>
            </w:r>
          </w:p>
        </w:tc>
      </w:tr>
      <w:tr w:rsidR="001C21AC" w14:paraId="2713224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233"/>
        </w:trPr>
        <w:tc>
          <w:tcPr>
            <w:tcW w:w="1276" w:type="dxa"/>
            <w:vAlign w:val="center"/>
          </w:tcPr>
          <w:p w14:paraId="62DAD362" w14:textId="0DFDEC87" w:rsidR="001C21AC" w:rsidRDefault="001C21AC" w:rsidP="00157DEE">
            <w:pPr>
              <w:keepLines/>
              <w:jc w:val="center"/>
              <w:rPr>
                <w:rFonts w:ascii="Arial Narrow" w:hAnsi="Arial Narrow"/>
                <w:sz w:val="20"/>
                <w:szCs w:val="20"/>
              </w:rPr>
            </w:pPr>
          </w:p>
        </w:tc>
        <w:tc>
          <w:tcPr>
            <w:tcW w:w="7745" w:type="dxa"/>
            <w:gridSpan w:val="7"/>
            <w:vAlign w:val="center"/>
          </w:tcPr>
          <w:p w14:paraId="7FEC4B56" w14:textId="77777777" w:rsidR="001C21AC" w:rsidRDefault="001C21AC" w:rsidP="00157DEE">
            <w:pPr>
              <w:keepLines/>
              <w:rPr>
                <w:rFonts w:ascii="Arial Narrow" w:hAnsi="Arial Narrow"/>
                <w:sz w:val="20"/>
                <w:szCs w:val="20"/>
              </w:rPr>
            </w:pPr>
            <w:r w:rsidRPr="2A26E699">
              <w:rPr>
                <w:rFonts w:ascii="Arial Narrow" w:hAnsi="Arial Narrow"/>
                <w:b/>
                <w:bCs/>
                <w:sz w:val="20"/>
                <w:szCs w:val="20"/>
              </w:rPr>
              <w:t>Indication:</w:t>
            </w:r>
            <w:r w:rsidRPr="2A26E699">
              <w:rPr>
                <w:rFonts w:ascii="Arial Narrow" w:hAnsi="Arial Narrow"/>
                <w:sz w:val="20"/>
                <w:szCs w:val="20"/>
              </w:rPr>
              <w:t xml:space="preserve"> Enthesitis/spondylitis related juvenile idiopathic arthritis</w:t>
            </w:r>
          </w:p>
        </w:tc>
      </w:tr>
      <w:tr w:rsidR="001C21AC" w14:paraId="3019C15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2417816C" w14:textId="77777777" w:rsidR="001C21AC" w:rsidRDefault="001C21AC" w:rsidP="00157DEE">
            <w:pPr>
              <w:jc w:val="center"/>
              <w:rPr>
                <w:rFonts w:ascii="Arial Narrow" w:hAnsi="Arial Narrow"/>
                <w:sz w:val="20"/>
                <w:szCs w:val="20"/>
              </w:rPr>
            </w:pPr>
          </w:p>
        </w:tc>
        <w:tc>
          <w:tcPr>
            <w:tcW w:w="7745" w:type="dxa"/>
            <w:gridSpan w:val="7"/>
            <w:vAlign w:val="center"/>
          </w:tcPr>
          <w:p w14:paraId="34CCCE79" w14:textId="77777777" w:rsidR="001C21AC" w:rsidRDefault="001C21AC" w:rsidP="00157DEE">
            <w:pPr>
              <w:rPr>
                <w:rFonts w:ascii="Arial Narrow" w:hAnsi="Arial Narrow"/>
                <w:sz w:val="20"/>
                <w:szCs w:val="20"/>
              </w:rPr>
            </w:pPr>
            <w:r w:rsidRPr="2A26E699">
              <w:rPr>
                <w:rFonts w:ascii="Arial Narrow" w:hAnsi="Arial Narrow"/>
                <w:b/>
                <w:bCs/>
                <w:sz w:val="20"/>
                <w:szCs w:val="20"/>
              </w:rPr>
              <w:t>Treatment Phase:</w:t>
            </w:r>
            <w:r w:rsidRPr="2A26E699">
              <w:rPr>
                <w:rFonts w:ascii="Arial Narrow" w:hAnsi="Arial Narrow"/>
                <w:sz w:val="20"/>
                <w:szCs w:val="20"/>
              </w:rPr>
              <w:t xml:space="preserve"> Transitioning from non-PBS to PBS-subsidised treatment - Grandfather arrangements</w:t>
            </w:r>
          </w:p>
        </w:tc>
      </w:tr>
      <w:tr w:rsidR="001C21AC" w14:paraId="1824C7FB"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6719ED3B" w14:textId="6167ADAA" w:rsidR="001C21AC" w:rsidRDefault="001C21AC" w:rsidP="00157DEE">
            <w:pPr>
              <w:jc w:val="center"/>
              <w:rPr>
                <w:rFonts w:ascii="Arial Narrow" w:hAnsi="Arial Narrow"/>
                <w:sz w:val="20"/>
                <w:szCs w:val="20"/>
              </w:rPr>
            </w:pPr>
          </w:p>
        </w:tc>
        <w:tc>
          <w:tcPr>
            <w:tcW w:w="7745" w:type="dxa"/>
            <w:gridSpan w:val="7"/>
            <w:vAlign w:val="center"/>
          </w:tcPr>
          <w:p w14:paraId="68AEE219" w14:textId="77777777" w:rsidR="001C21AC" w:rsidRDefault="001C21AC" w:rsidP="00157DEE">
            <w:pPr>
              <w:rPr>
                <w:rFonts w:ascii="Arial Narrow" w:hAnsi="Arial Narrow"/>
                <w:sz w:val="20"/>
                <w:szCs w:val="20"/>
              </w:rPr>
            </w:pPr>
            <w:r w:rsidRPr="2A26E699">
              <w:rPr>
                <w:rFonts w:ascii="Arial Narrow" w:hAnsi="Arial Narrow"/>
                <w:b/>
                <w:bCs/>
                <w:sz w:val="20"/>
                <w:szCs w:val="20"/>
              </w:rPr>
              <w:t>Treatment criteria:</w:t>
            </w:r>
          </w:p>
        </w:tc>
      </w:tr>
      <w:tr w:rsidR="001C21AC" w14:paraId="21F5233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6189511" w14:textId="617E3C8E" w:rsidR="001C21AC" w:rsidRDefault="001C21AC" w:rsidP="00157DEE">
            <w:pPr>
              <w:jc w:val="center"/>
              <w:rPr>
                <w:rFonts w:ascii="Arial Narrow" w:hAnsi="Arial Narrow"/>
                <w:sz w:val="20"/>
                <w:szCs w:val="20"/>
              </w:rPr>
            </w:pPr>
          </w:p>
        </w:tc>
        <w:tc>
          <w:tcPr>
            <w:tcW w:w="7745" w:type="dxa"/>
            <w:gridSpan w:val="7"/>
            <w:vAlign w:val="center"/>
          </w:tcPr>
          <w:p w14:paraId="081B7F73" w14:textId="77777777" w:rsidR="001C21AC" w:rsidRDefault="001C21AC" w:rsidP="00157DEE">
            <w:pPr>
              <w:rPr>
                <w:rFonts w:ascii="Arial Narrow" w:hAnsi="Arial Narrow"/>
                <w:sz w:val="20"/>
                <w:szCs w:val="20"/>
              </w:rPr>
            </w:pPr>
            <w:r w:rsidRPr="2A26E699">
              <w:rPr>
                <w:rFonts w:ascii="Arial Narrow" w:hAnsi="Arial Narrow"/>
                <w:sz w:val="20"/>
                <w:szCs w:val="20"/>
              </w:rPr>
              <w:t>Must be treated by a paediatric rheumatologist; or</w:t>
            </w:r>
          </w:p>
        </w:tc>
      </w:tr>
      <w:tr w:rsidR="001C21AC" w14:paraId="772B2CB1"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453BC0E" w14:textId="42E5FFB5" w:rsidR="001C21AC" w:rsidRDefault="001C21AC" w:rsidP="00157DEE">
            <w:pPr>
              <w:jc w:val="center"/>
              <w:rPr>
                <w:rFonts w:ascii="Arial Narrow" w:hAnsi="Arial Narrow"/>
                <w:sz w:val="20"/>
                <w:szCs w:val="20"/>
              </w:rPr>
            </w:pPr>
          </w:p>
        </w:tc>
        <w:tc>
          <w:tcPr>
            <w:tcW w:w="7745" w:type="dxa"/>
            <w:gridSpan w:val="7"/>
            <w:vAlign w:val="center"/>
          </w:tcPr>
          <w:p w14:paraId="2B625A33" w14:textId="77777777" w:rsidR="001C21AC" w:rsidRDefault="001C21AC" w:rsidP="00157DEE">
            <w:pPr>
              <w:rPr>
                <w:rFonts w:ascii="Arial Narrow" w:hAnsi="Arial Narrow"/>
                <w:sz w:val="20"/>
                <w:szCs w:val="20"/>
              </w:rPr>
            </w:pPr>
            <w:r w:rsidRPr="2A26E699">
              <w:rPr>
                <w:rFonts w:ascii="Arial Narrow" w:hAnsi="Arial Narrow"/>
                <w:sz w:val="20"/>
                <w:szCs w:val="20"/>
              </w:rPr>
              <w:t>Must be treated by a rheumatologist; or</w:t>
            </w:r>
          </w:p>
        </w:tc>
      </w:tr>
      <w:tr w:rsidR="001C21AC" w14:paraId="0BB0236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4E5E7E28" w14:textId="0C8FA0B8" w:rsidR="001C21AC" w:rsidRDefault="001C21AC" w:rsidP="00157DEE">
            <w:pPr>
              <w:jc w:val="center"/>
              <w:rPr>
                <w:rFonts w:ascii="Arial Narrow" w:hAnsi="Arial Narrow"/>
                <w:sz w:val="20"/>
                <w:szCs w:val="20"/>
              </w:rPr>
            </w:pPr>
          </w:p>
        </w:tc>
        <w:tc>
          <w:tcPr>
            <w:tcW w:w="7745" w:type="dxa"/>
            <w:gridSpan w:val="7"/>
            <w:vAlign w:val="center"/>
          </w:tcPr>
          <w:p w14:paraId="1A1AA81D" w14:textId="77777777" w:rsidR="001C21AC" w:rsidRDefault="001C21AC" w:rsidP="00157DEE">
            <w:pPr>
              <w:rPr>
                <w:rFonts w:ascii="Arial Narrow" w:hAnsi="Arial Narrow"/>
                <w:sz w:val="20"/>
                <w:szCs w:val="20"/>
              </w:rPr>
            </w:pPr>
            <w:r w:rsidRPr="2A26E699">
              <w:rPr>
                <w:rFonts w:ascii="Arial Narrow" w:hAnsi="Arial Narrow"/>
                <w:sz w:val="20"/>
                <w:szCs w:val="20"/>
              </w:rPr>
              <w:t>Patient must be undergoing treatment under the supervision of a paediatric rheumatology treatment centre.</w:t>
            </w:r>
          </w:p>
        </w:tc>
      </w:tr>
      <w:tr w:rsidR="001C21AC" w14:paraId="66D5316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7F49CE3F" w14:textId="7D155DC6" w:rsidR="001C21AC" w:rsidRDefault="001C21AC" w:rsidP="00157DEE">
            <w:pPr>
              <w:jc w:val="center"/>
              <w:rPr>
                <w:rFonts w:ascii="Arial Narrow" w:hAnsi="Arial Narrow"/>
                <w:sz w:val="20"/>
                <w:szCs w:val="20"/>
              </w:rPr>
            </w:pPr>
          </w:p>
        </w:tc>
        <w:tc>
          <w:tcPr>
            <w:tcW w:w="7745" w:type="dxa"/>
            <w:gridSpan w:val="7"/>
            <w:vAlign w:val="center"/>
          </w:tcPr>
          <w:p w14:paraId="4D7A45D1" w14:textId="77777777" w:rsidR="001C21AC" w:rsidRDefault="001C21AC" w:rsidP="00157DEE">
            <w:pPr>
              <w:rPr>
                <w:rFonts w:ascii="Arial Narrow" w:hAnsi="Arial Narrow"/>
                <w:sz w:val="20"/>
                <w:szCs w:val="20"/>
              </w:rPr>
            </w:pPr>
            <w:r w:rsidRPr="2A26E699">
              <w:rPr>
                <w:rFonts w:ascii="Arial Narrow" w:hAnsi="Arial Narrow"/>
                <w:b/>
                <w:bCs/>
                <w:sz w:val="20"/>
                <w:szCs w:val="20"/>
              </w:rPr>
              <w:t xml:space="preserve">Clinical criteria: </w:t>
            </w:r>
          </w:p>
        </w:tc>
      </w:tr>
      <w:tr w:rsidR="001C21AC" w14:paraId="400CEC9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1BD41089" w14:textId="37BB7834" w:rsidR="001C21AC" w:rsidRDefault="001C21AC" w:rsidP="00157DEE">
            <w:pPr>
              <w:jc w:val="center"/>
              <w:rPr>
                <w:rFonts w:ascii="Arial Narrow" w:hAnsi="Arial Narrow"/>
                <w:sz w:val="20"/>
                <w:szCs w:val="20"/>
              </w:rPr>
            </w:pPr>
          </w:p>
        </w:tc>
        <w:tc>
          <w:tcPr>
            <w:tcW w:w="7745" w:type="dxa"/>
            <w:gridSpan w:val="7"/>
            <w:vAlign w:val="center"/>
          </w:tcPr>
          <w:p w14:paraId="318B1763" w14:textId="77777777" w:rsidR="001C21AC" w:rsidRDefault="001C21AC" w:rsidP="00157DEE">
            <w:pPr>
              <w:rPr>
                <w:rFonts w:ascii="Arial Narrow" w:hAnsi="Arial Narrow"/>
                <w:sz w:val="20"/>
                <w:szCs w:val="20"/>
              </w:rPr>
            </w:pPr>
            <w:r w:rsidRPr="2A26E699">
              <w:rPr>
                <w:rFonts w:ascii="Arial Narrow" w:hAnsi="Arial Narrow"/>
                <w:sz w:val="20"/>
                <w:szCs w:val="20"/>
              </w:rPr>
              <w:t>Patient must have received non-PBS-subsidised treatment with this drug for this PBS indication prior to [PBS listing date].</w:t>
            </w:r>
          </w:p>
        </w:tc>
      </w:tr>
      <w:tr w:rsidR="001C21AC" w14:paraId="25871FE9"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4ADDE6A0" w14:textId="77777777" w:rsidR="001C21AC" w:rsidRDefault="001C21AC" w:rsidP="00157DEE">
            <w:pPr>
              <w:jc w:val="center"/>
              <w:rPr>
                <w:rFonts w:ascii="Arial Narrow" w:hAnsi="Arial Narrow"/>
                <w:sz w:val="20"/>
                <w:szCs w:val="20"/>
              </w:rPr>
            </w:pPr>
          </w:p>
        </w:tc>
        <w:tc>
          <w:tcPr>
            <w:tcW w:w="7745" w:type="dxa"/>
            <w:gridSpan w:val="7"/>
            <w:vAlign w:val="center"/>
          </w:tcPr>
          <w:p w14:paraId="3DE56CAE" w14:textId="77777777" w:rsidR="001C21AC" w:rsidRDefault="001C21AC" w:rsidP="00157DEE">
            <w:pPr>
              <w:rPr>
                <w:rFonts w:ascii="Arial Narrow" w:hAnsi="Arial Narrow"/>
                <w:sz w:val="20"/>
                <w:szCs w:val="20"/>
              </w:rPr>
            </w:pPr>
            <w:r w:rsidRPr="2A26E699">
              <w:rPr>
                <w:rFonts w:ascii="Arial Narrow" w:hAnsi="Arial Narrow"/>
                <w:b/>
                <w:bCs/>
                <w:sz w:val="20"/>
                <w:szCs w:val="20"/>
              </w:rPr>
              <w:t>AND</w:t>
            </w:r>
          </w:p>
        </w:tc>
      </w:tr>
      <w:tr w:rsidR="001C21AC" w14:paraId="093BF81F"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4BDFF92C" w14:textId="2DFF45B9" w:rsidR="001C21AC" w:rsidRDefault="001C21AC" w:rsidP="00157DEE">
            <w:pPr>
              <w:jc w:val="center"/>
              <w:rPr>
                <w:rFonts w:ascii="Arial Narrow" w:hAnsi="Arial Narrow"/>
                <w:sz w:val="20"/>
                <w:szCs w:val="20"/>
              </w:rPr>
            </w:pPr>
          </w:p>
        </w:tc>
        <w:tc>
          <w:tcPr>
            <w:tcW w:w="7745" w:type="dxa"/>
            <w:gridSpan w:val="7"/>
            <w:vAlign w:val="center"/>
          </w:tcPr>
          <w:p w14:paraId="6A66EA6B" w14:textId="77777777" w:rsidR="001C21AC" w:rsidRDefault="001C21AC" w:rsidP="00157DEE">
            <w:pPr>
              <w:rPr>
                <w:rFonts w:ascii="Arial Narrow" w:hAnsi="Arial Narrow"/>
                <w:sz w:val="20"/>
                <w:szCs w:val="20"/>
              </w:rPr>
            </w:pPr>
            <w:r w:rsidRPr="2A26E699">
              <w:rPr>
                <w:rFonts w:ascii="Arial Narrow" w:hAnsi="Arial Narrow"/>
                <w:b/>
                <w:bCs/>
                <w:sz w:val="20"/>
                <w:szCs w:val="20"/>
              </w:rPr>
              <w:t xml:space="preserve">Clinical criteria: </w:t>
            </w:r>
          </w:p>
        </w:tc>
      </w:tr>
      <w:tr w:rsidR="001C21AC" w14:paraId="2F3E07A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CAA6A4B" w14:textId="35229416" w:rsidR="001C21AC" w:rsidRDefault="001C21AC" w:rsidP="00157DEE">
            <w:pPr>
              <w:jc w:val="center"/>
              <w:rPr>
                <w:rFonts w:ascii="Arial Narrow" w:hAnsi="Arial Narrow"/>
                <w:sz w:val="20"/>
                <w:szCs w:val="20"/>
              </w:rPr>
            </w:pPr>
          </w:p>
        </w:tc>
        <w:tc>
          <w:tcPr>
            <w:tcW w:w="7745" w:type="dxa"/>
            <w:gridSpan w:val="7"/>
            <w:vAlign w:val="center"/>
          </w:tcPr>
          <w:p w14:paraId="10BC9F75" w14:textId="77777777" w:rsidR="001C21AC" w:rsidRDefault="001C21AC" w:rsidP="00157DEE">
            <w:pPr>
              <w:rPr>
                <w:rFonts w:ascii="Arial Narrow" w:hAnsi="Arial Narrow"/>
                <w:sz w:val="20"/>
                <w:szCs w:val="20"/>
              </w:rPr>
            </w:pPr>
            <w:r w:rsidRPr="2A26E699">
              <w:rPr>
                <w:rFonts w:ascii="Arial Narrow" w:hAnsi="Arial Narrow"/>
                <w:sz w:val="20"/>
                <w:szCs w:val="20"/>
              </w:rPr>
              <w:t xml:space="preserve">Patient must have, prior to initiating treatment with this drug for this condition,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w:t>
            </w:r>
            <w:proofErr w:type="spellStart"/>
            <w:r w:rsidRPr="2A26E699">
              <w:rPr>
                <w:rFonts w:ascii="Arial Narrow" w:hAnsi="Arial Narrow"/>
                <w:sz w:val="20"/>
                <w:szCs w:val="20"/>
              </w:rPr>
              <w:t>spondyloarthritis</w:t>
            </w:r>
            <w:proofErr w:type="spellEnd"/>
            <w:r w:rsidRPr="2A26E699">
              <w:rPr>
                <w:rFonts w:ascii="Arial Narrow" w:hAnsi="Arial Narrow"/>
                <w:sz w:val="20"/>
                <w:szCs w:val="20"/>
              </w:rPr>
              <w:t xml:space="preserve"> in a first-degree relative</w:t>
            </w:r>
          </w:p>
        </w:tc>
      </w:tr>
      <w:tr w:rsidR="001C21AC" w14:paraId="1D0CA61A"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79B925DA" w14:textId="77777777" w:rsidR="001C21AC" w:rsidRDefault="001C21AC" w:rsidP="00157DEE">
            <w:pPr>
              <w:jc w:val="center"/>
              <w:rPr>
                <w:rFonts w:ascii="Arial Narrow" w:hAnsi="Arial Narrow"/>
                <w:sz w:val="20"/>
                <w:szCs w:val="20"/>
              </w:rPr>
            </w:pPr>
          </w:p>
        </w:tc>
        <w:tc>
          <w:tcPr>
            <w:tcW w:w="7745" w:type="dxa"/>
            <w:gridSpan w:val="7"/>
            <w:vAlign w:val="center"/>
          </w:tcPr>
          <w:p w14:paraId="4EEE0A44" w14:textId="77777777" w:rsidR="001C21AC" w:rsidRDefault="001C21AC" w:rsidP="00157DEE">
            <w:pPr>
              <w:rPr>
                <w:rFonts w:ascii="Arial Narrow" w:hAnsi="Arial Narrow" w:cs="Arial Narrow"/>
                <w:sz w:val="20"/>
                <w:szCs w:val="20"/>
              </w:rPr>
            </w:pPr>
            <w:r w:rsidRPr="2A26E699">
              <w:rPr>
                <w:rFonts w:ascii="Arial Narrow" w:hAnsi="Arial Narrow"/>
                <w:b/>
                <w:bCs/>
                <w:sz w:val="20"/>
                <w:szCs w:val="20"/>
              </w:rPr>
              <w:t xml:space="preserve">AND </w:t>
            </w:r>
          </w:p>
        </w:tc>
      </w:tr>
      <w:tr w:rsidR="001C21AC" w14:paraId="6D2740E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094CED4B" w14:textId="0A97ED95" w:rsidR="001C21AC" w:rsidRDefault="001C21AC" w:rsidP="00157DEE">
            <w:pPr>
              <w:jc w:val="center"/>
              <w:rPr>
                <w:rFonts w:ascii="Arial Narrow" w:hAnsi="Arial Narrow"/>
                <w:sz w:val="20"/>
                <w:szCs w:val="20"/>
              </w:rPr>
            </w:pPr>
          </w:p>
        </w:tc>
        <w:tc>
          <w:tcPr>
            <w:tcW w:w="7745" w:type="dxa"/>
            <w:gridSpan w:val="7"/>
            <w:vAlign w:val="center"/>
          </w:tcPr>
          <w:p w14:paraId="67381269" w14:textId="77777777" w:rsidR="001C21AC" w:rsidRDefault="001C21AC" w:rsidP="00157DEE">
            <w:pPr>
              <w:rPr>
                <w:rFonts w:ascii="Arial Narrow" w:hAnsi="Arial Narrow" w:cs="Arial Narrow"/>
                <w:b/>
                <w:bCs/>
                <w:sz w:val="20"/>
                <w:szCs w:val="20"/>
              </w:rPr>
            </w:pPr>
            <w:r w:rsidRPr="2A26E699">
              <w:rPr>
                <w:rFonts w:ascii="Arial Narrow" w:hAnsi="Arial Narrow"/>
                <w:b/>
                <w:bCs/>
                <w:sz w:val="20"/>
                <w:szCs w:val="20"/>
              </w:rPr>
              <w:t xml:space="preserve">Clinical criteria: </w:t>
            </w:r>
          </w:p>
        </w:tc>
      </w:tr>
      <w:tr w:rsidR="001C21AC" w14:paraId="5D822468"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15F0BF73" w14:textId="01821B97" w:rsidR="001C21AC" w:rsidRDefault="001C21AC" w:rsidP="00157DEE">
            <w:pPr>
              <w:jc w:val="center"/>
              <w:rPr>
                <w:rFonts w:ascii="Arial Narrow" w:hAnsi="Arial Narrow"/>
                <w:sz w:val="20"/>
                <w:szCs w:val="20"/>
              </w:rPr>
            </w:pPr>
          </w:p>
        </w:tc>
        <w:tc>
          <w:tcPr>
            <w:tcW w:w="7745" w:type="dxa"/>
            <w:gridSpan w:val="7"/>
            <w:vAlign w:val="center"/>
          </w:tcPr>
          <w:p w14:paraId="4FED4BCF" w14:textId="77777777" w:rsidR="001C21AC" w:rsidRDefault="001C21AC" w:rsidP="00157DEE">
            <w:pPr>
              <w:rPr>
                <w:rFonts w:ascii="Arial Narrow" w:hAnsi="Arial Narrow" w:cs="Arial Narrow"/>
                <w:sz w:val="20"/>
                <w:szCs w:val="20"/>
              </w:rPr>
            </w:pPr>
            <w:r w:rsidRPr="2A26E699">
              <w:rPr>
                <w:rFonts w:ascii="Arial Narrow" w:hAnsi="Arial Narrow"/>
                <w:sz w:val="20"/>
                <w:szCs w:val="20"/>
              </w:rPr>
              <w:t>Patient must have, prior to initiating treatment with this drug for this condition,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1C21AC" w14:paraId="23C44308"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64BB8C4F" w14:textId="776914A4" w:rsidR="001C21AC" w:rsidRDefault="001C21AC" w:rsidP="00157DEE">
            <w:pPr>
              <w:jc w:val="center"/>
              <w:rPr>
                <w:rFonts w:ascii="Arial Narrow" w:hAnsi="Arial Narrow"/>
                <w:sz w:val="20"/>
                <w:szCs w:val="20"/>
              </w:rPr>
            </w:pPr>
          </w:p>
        </w:tc>
        <w:tc>
          <w:tcPr>
            <w:tcW w:w="7745" w:type="dxa"/>
            <w:gridSpan w:val="7"/>
            <w:vAlign w:val="center"/>
          </w:tcPr>
          <w:p w14:paraId="0A02AD6F" w14:textId="77777777" w:rsidR="001C21AC" w:rsidRDefault="001C21AC" w:rsidP="00157DEE">
            <w:pPr>
              <w:rPr>
                <w:rFonts w:ascii="Arial Narrow" w:hAnsi="Arial Narrow" w:cs="Arial Narrow"/>
                <w:sz w:val="20"/>
                <w:szCs w:val="20"/>
              </w:rPr>
            </w:pPr>
            <w:r w:rsidRPr="2A26E699">
              <w:rPr>
                <w:rFonts w:ascii="Arial Narrow" w:hAnsi="Arial Narrow"/>
                <w:sz w:val="20"/>
                <w:szCs w:val="20"/>
              </w:rPr>
              <w:t>Patient must have, prior to initiating treatment with this drug for this condition,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p>
        </w:tc>
      </w:tr>
      <w:tr w:rsidR="001C21AC" w14:paraId="7705E459"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3B4C5D3A" w14:textId="77777777" w:rsidR="001C21AC" w:rsidRDefault="001C21AC" w:rsidP="00157DEE">
            <w:pPr>
              <w:jc w:val="center"/>
              <w:rPr>
                <w:rFonts w:ascii="Arial Narrow" w:hAnsi="Arial Narrow"/>
                <w:sz w:val="20"/>
                <w:szCs w:val="20"/>
              </w:rPr>
            </w:pPr>
          </w:p>
        </w:tc>
        <w:tc>
          <w:tcPr>
            <w:tcW w:w="7745" w:type="dxa"/>
            <w:gridSpan w:val="7"/>
            <w:vAlign w:val="center"/>
          </w:tcPr>
          <w:p w14:paraId="7BA1534E" w14:textId="77777777" w:rsidR="001C21AC" w:rsidRDefault="001C21AC" w:rsidP="00157DEE">
            <w:pPr>
              <w:rPr>
                <w:rFonts w:ascii="Arial Narrow" w:hAnsi="Arial Narrow"/>
                <w:sz w:val="20"/>
                <w:szCs w:val="20"/>
              </w:rPr>
            </w:pPr>
            <w:r w:rsidRPr="2A26E699">
              <w:rPr>
                <w:rFonts w:ascii="Arial Narrow" w:hAnsi="Arial Narrow"/>
                <w:b/>
                <w:bCs/>
                <w:sz w:val="20"/>
                <w:szCs w:val="20"/>
              </w:rPr>
              <w:t>AND</w:t>
            </w:r>
          </w:p>
        </w:tc>
      </w:tr>
      <w:tr w:rsidR="001C21AC" w14:paraId="68F5879E"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381624D7" w14:textId="1549DEE7" w:rsidR="001C21AC" w:rsidRDefault="001C21AC" w:rsidP="00157DEE">
            <w:pPr>
              <w:jc w:val="center"/>
              <w:rPr>
                <w:rFonts w:ascii="Arial Narrow" w:hAnsi="Arial Narrow"/>
                <w:sz w:val="20"/>
                <w:szCs w:val="20"/>
              </w:rPr>
            </w:pPr>
          </w:p>
        </w:tc>
        <w:tc>
          <w:tcPr>
            <w:tcW w:w="7745" w:type="dxa"/>
            <w:gridSpan w:val="7"/>
            <w:vAlign w:val="center"/>
          </w:tcPr>
          <w:p w14:paraId="44902558" w14:textId="77777777" w:rsidR="001C21AC" w:rsidRDefault="001C21AC" w:rsidP="00157DEE">
            <w:pPr>
              <w:rPr>
                <w:rFonts w:ascii="Arial Narrow" w:hAnsi="Arial Narrow"/>
                <w:sz w:val="20"/>
                <w:szCs w:val="20"/>
              </w:rPr>
            </w:pPr>
            <w:r w:rsidRPr="2A26E699">
              <w:rPr>
                <w:rFonts w:ascii="Arial Narrow" w:hAnsi="Arial Narrow"/>
                <w:b/>
                <w:bCs/>
                <w:sz w:val="20"/>
                <w:szCs w:val="20"/>
              </w:rPr>
              <w:t>Clinical criteria:</w:t>
            </w:r>
          </w:p>
        </w:tc>
      </w:tr>
      <w:tr w:rsidR="001C21AC" w14:paraId="4B80EC51"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2E60B2C2" w14:textId="4DF90495" w:rsidR="001C21AC" w:rsidRDefault="001C21AC" w:rsidP="00157DEE">
            <w:pPr>
              <w:jc w:val="center"/>
              <w:rPr>
                <w:rFonts w:ascii="Arial Narrow" w:hAnsi="Arial Narrow"/>
                <w:sz w:val="20"/>
                <w:szCs w:val="20"/>
              </w:rPr>
            </w:pPr>
          </w:p>
        </w:tc>
        <w:tc>
          <w:tcPr>
            <w:tcW w:w="7745" w:type="dxa"/>
            <w:gridSpan w:val="7"/>
            <w:vAlign w:val="center"/>
          </w:tcPr>
          <w:p w14:paraId="4EB687B4" w14:textId="77777777" w:rsidR="001C21AC" w:rsidRDefault="001C21AC" w:rsidP="00157DEE">
            <w:pPr>
              <w:rPr>
                <w:rFonts w:ascii="Arial Narrow" w:hAnsi="Arial Narrow"/>
                <w:sz w:val="20"/>
                <w:szCs w:val="20"/>
              </w:rPr>
            </w:pPr>
            <w:r w:rsidRPr="2A26E699">
              <w:rPr>
                <w:rFonts w:ascii="Arial Narrow" w:hAnsi="Arial Narrow"/>
                <w:sz w:val="20"/>
                <w:szCs w:val="20"/>
              </w:rPr>
              <w:t>Patient must have demonstrated an adequate response to treatment with this drug.</w:t>
            </w:r>
          </w:p>
        </w:tc>
      </w:tr>
      <w:tr w:rsidR="001C21AC" w14:paraId="57FB90DF"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2BF6B6CB" w14:textId="77777777" w:rsidR="001C21AC" w:rsidRDefault="001C21AC" w:rsidP="00157DEE">
            <w:pPr>
              <w:jc w:val="center"/>
              <w:rPr>
                <w:rFonts w:ascii="Arial Narrow" w:hAnsi="Arial Narrow"/>
                <w:sz w:val="20"/>
                <w:szCs w:val="20"/>
              </w:rPr>
            </w:pPr>
          </w:p>
        </w:tc>
        <w:tc>
          <w:tcPr>
            <w:tcW w:w="7745" w:type="dxa"/>
            <w:gridSpan w:val="7"/>
            <w:vAlign w:val="center"/>
          </w:tcPr>
          <w:p w14:paraId="32CF5BA5" w14:textId="77777777" w:rsidR="001C21AC" w:rsidRDefault="001C21AC" w:rsidP="00157DEE">
            <w:pPr>
              <w:rPr>
                <w:rFonts w:ascii="Arial Narrow" w:hAnsi="Arial Narrow"/>
                <w:sz w:val="20"/>
                <w:szCs w:val="20"/>
              </w:rPr>
            </w:pPr>
            <w:r w:rsidRPr="2A26E699">
              <w:rPr>
                <w:rFonts w:ascii="Arial Narrow" w:hAnsi="Arial Narrow"/>
                <w:b/>
                <w:bCs/>
                <w:sz w:val="20"/>
                <w:szCs w:val="20"/>
              </w:rPr>
              <w:t>AND</w:t>
            </w:r>
          </w:p>
        </w:tc>
      </w:tr>
      <w:tr w:rsidR="001C21AC" w14:paraId="1BDCC90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68F1A33C" w14:textId="6531989A" w:rsidR="001C21AC" w:rsidRDefault="001C21AC" w:rsidP="00157DEE">
            <w:pPr>
              <w:jc w:val="center"/>
              <w:rPr>
                <w:rFonts w:ascii="Arial Narrow" w:hAnsi="Arial Narrow"/>
                <w:sz w:val="20"/>
                <w:szCs w:val="20"/>
              </w:rPr>
            </w:pPr>
          </w:p>
        </w:tc>
        <w:tc>
          <w:tcPr>
            <w:tcW w:w="7745" w:type="dxa"/>
            <w:gridSpan w:val="7"/>
            <w:vAlign w:val="center"/>
          </w:tcPr>
          <w:p w14:paraId="1910280A" w14:textId="77777777" w:rsidR="001C21AC" w:rsidRDefault="001C21AC" w:rsidP="00157DEE">
            <w:pPr>
              <w:rPr>
                <w:rFonts w:ascii="Arial Narrow" w:hAnsi="Arial Narrow"/>
                <w:sz w:val="20"/>
                <w:szCs w:val="20"/>
              </w:rPr>
            </w:pPr>
            <w:r w:rsidRPr="2A26E699">
              <w:rPr>
                <w:rFonts w:ascii="Arial Narrow" w:hAnsi="Arial Narrow"/>
                <w:b/>
                <w:bCs/>
                <w:sz w:val="20"/>
                <w:szCs w:val="20"/>
              </w:rPr>
              <w:t>Clinical criteria:</w:t>
            </w:r>
          </w:p>
        </w:tc>
      </w:tr>
      <w:tr w:rsidR="001C21AC" w14:paraId="413108DD"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00199ACB" w14:textId="3AB828EF" w:rsidR="001C21AC" w:rsidRDefault="001C21AC" w:rsidP="00157DEE">
            <w:pPr>
              <w:jc w:val="center"/>
              <w:rPr>
                <w:rFonts w:ascii="Arial Narrow" w:hAnsi="Arial Narrow"/>
                <w:sz w:val="20"/>
                <w:szCs w:val="20"/>
              </w:rPr>
            </w:pPr>
          </w:p>
        </w:tc>
        <w:tc>
          <w:tcPr>
            <w:tcW w:w="7745" w:type="dxa"/>
            <w:gridSpan w:val="7"/>
            <w:vAlign w:val="center"/>
          </w:tcPr>
          <w:p w14:paraId="71541185" w14:textId="77777777" w:rsidR="001C21AC" w:rsidRDefault="001C21AC" w:rsidP="00157DEE">
            <w:pPr>
              <w:rPr>
                <w:rFonts w:ascii="Arial Narrow" w:hAnsi="Arial Narrow"/>
                <w:sz w:val="20"/>
                <w:szCs w:val="20"/>
              </w:rPr>
            </w:pPr>
            <w:r w:rsidRPr="2A26E699">
              <w:rPr>
                <w:rFonts w:ascii="Arial Narrow" w:hAnsi="Arial Narrow"/>
                <w:sz w:val="20"/>
                <w:szCs w:val="20"/>
              </w:rPr>
              <w:t>Patient must not receive more than 24 weeks of treatment under this restriction.</w:t>
            </w:r>
          </w:p>
        </w:tc>
      </w:tr>
      <w:tr w:rsidR="001C21AC" w:rsidRPr="2A26E699" w14:paraId="71A3C697"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112DDCFB" w14:textId="46071C42" w:rsidR="001C21AC" w:rsidRPr="2A26E699" w:rsidRDefault="001C21AC" w:rsidP="00157DEE">
            <w:pPr>
              <w:jc w:val="center"/>
              <w:rPr>
                <w:rFonts w:ascii="Arial Narrow" w:hAnsi="Arial Narrow"/>
                <w:sz w:val="20"/>
                <w:szCs w:val="20"/>
              </w:rPr>
            </w:pPr>
          </w:p>
        </w:tc>
        <w:tc>
          <w:tcPr>
            <w:tcW w:w="7745" w:type="dxa"/>
            <w:gridSpan w:val="7"/>
            <w:vAlign w:val="center"/>
          </w:tcPr>
          <w:p w14:paraId="278342BB" w14:textId="77777777" w:rsidR="001C21AC" w:rsidRPr="2A26E699" w:rsidRDefault="001C21AC" w:rsidP="00157DEE">
            <w:pPr>
              <w:rPr>
                <w:rFonts w:ascii="Arial Narrow" w:hAnsi="Arial Narrow"/>
                <w:sz w:val="20"/>
                <w:szCs w:val="20"/>
              </w:rPr>
            </w:pPr>
            <w:r w:rsidRPr="2A26E699">
              <w:rPr>
                <w:rFonts w:ascii="Arial Narrow" w:hAnsi="Arial Narrow"/>
                <w:b/>
                <w:bCs/>
                <w:sz w:val="20"/>
                <w:szCs w:val="20"/>
              </w:rPr>
              <w:t>Treatment criteria:</w:t>
            </w:r>
          </w:p>
        </w:tc>
      </w:tr>
      <w:tr w:rsidR="001C21AC" w:rsidRPr="2A26E699" w14:paraId="0A6AB84E"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330673B6" w14:textId="19D3FC1A" w:rsidR="001C21AC" w:rsidRPr="2A26E699" w:rsidRDefault="001C21AC" w:rsidP="00157DEE">
            <w:pPr>
              <w:jc w:val="center"/>
              <w:rPr>
                <w:rFonts w:ascii="Arial Narrow" w:hAnsi="Arial Narrow"/>
                <w:sz w:val="20"/>
                <w:szCs w:val="20"/>
              </w:rPr>
            </w:pPr>
          </w:p>
        </w:tc>
        <w:tc>
          <w:tcPr>
            <w:tcW w:w="7745" w:type="dxa"/>
            <w:gridSpan w:val="7"/>
            <w:vAlign w:val="center"/>
          </w:tcPr>
          <w:p w14:paraId="1991D37A" w14:textId="77777777" w:rsidR="001C21AC" w:rsidRPr="2A26E699" w:rsidRDefault="001C21AC" w:rsidP="00157DEE">
            <w:pPr>
              <w:rPr>
                <w:rFonts w:ascii="Arial Narrow" w:hAnsi="Arial Narrow"/>
                <w:sz w:val="20"/>
                <w:szCs w:val="20"/>
              </w:rPr>
            </w:pPr>
            <w:r w:rsidRPr="2A26E699">
              <w:rPr>
                <w:rFonts w:ascii="Arial Narrow" w:hAnsi="Arial Narrow"/>
                <w:sz w:val="20"/>
                <w:szCs w:val="20"/>
              </w:rPr>
              <w:t>Must be treated by a paediatric rheumatologist; or</w:t>
            </w:r>
          </w:p>
        </w:tc>
      </w:tr>
      <w:tr w:rsidR="001C21AC" w:rsidRPr="2A26E699" w14:paraId="4A23B3C7"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3B2D38AA" w14:textId="747B290A" w:rsidR="001C21AC" w:rsidRPr="2A26E699" w:rsidRDefault="001C21AC" w:rsidP="00157DEE">
            <w:pPr>
              <w:jc w:val="center"/>
              <w:rPr>
                <w:rFonts w:ascii="Arial Narrow" w:hAnsi="Arial Narrow"/>
                <w:sz w:val="20"/>
                <w:szCs w:val="20"/>
              </w:rPr>
            </w:pPr>
          </w:p>
        </w:tc>
        <w:tc>
          <w:tcPr>
            <w:tcW w:w="7745" w:type="dxa"/>
            <w:gridSpan w:val="7"/>
            <w:vAlign w:val="center"/>
          </w:tcPr>
          <w:p w14:paraId="50E3B1AA" w14:textId="77777777" w:rsidR="001C21AC" w:rsidRPr="2A26E699" w:rsidRDefault="001C21AC" w:rsidP="00157DEE">
            <w:pPr>
              <w:rPr>
                <w:rFonts w:ascii="Arial Narrow" w:hAnsi="Arial Narrow"/>
                <w:sz w:val="20"/>
                <w:szCs w:val="20"/>
              </w:rPr>
            </w:pPr>
            <w:r w:rsidRPr="2A26E699">
              <w:rPr>
                <w:rFonts w:ascii="Arial Narrow" w:hAnsi="Arial Narrow"/>
                <w:sz w:val="20"/>
                <w:szCs w:val="20"/>
              </w:rPr>
              <w:t>Must be treated by a rheumatologist; or</w:t>
            </w:r>
          </w:p>
        </w:tc>
      </w:tr>
      <w:tr w:rsidR="001C21AC" w:rsidRPr="2A26E699" w14:paraId="74C21A7E"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6B4BE25" w14:textId="33E25C4B" w:rsidR="001C21AC" w:rsidRPr="2A26E699" w:rsidRDefault="001C21AC" w:rsidP="00157DEE">
            <w:pPr>
              <w:jc w:val="center"/>
              <w:rPr>
                <w:rFonts w:ascii="Arial Narrow" w:hAnsi="Arial Narrow"/>
                <w:sz w:val="20"/>
                <w:szCs w:val="20"/>
              </w:rPr>
            </w:pPr>
          </w:p>
        </w:tc>
        <w:tc>
          <w:tcPr>
            <w:tcW w:w="7745" w:type="dxa"/>
            <w:gridSpan w:val="7"/>
            <w:vAlign w:val="center"/>
          </w:tcPr>
          <w:p w14:paraId="6EEF7E03" w14:textId="77777777" w:rsidR="001C21AC" w:rsidRPr="2A26E699" w:rsidRDefault="001C21AC" w:rsidP="00157DEE">
            <w:pPr>
              <w:rPr>
                <w:rFonts w:ascii="Arial Narrow" w:hAnsi="Arial Narrow"/>
                <w:sz w:val="20"/>
                <w:szCs w:val="20"/>
              </w:rPr>
            </w:pPr>
            <w:r w:rsidRPr="2A26E699">
              <w:rPr>
                <w:rFonts w:ascii="Arial Narrow" w:hAnsi="Arial Narrow"/>
                <w:sz w:val="20"/>
                <w:szCs w:val="20"/>
              </w:rPr>
              <w:t>Patient must be undergoing treatment under the supervision of a paediatric rheumatology treatment centre.</w:t>
            </w:r>
          </w:p>
        </w:tc>
      </w:tr>
      <w:tr w:rsidR="001C21AC" w14:paraId="4C0A0E99"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57F5912" w14:textId="0DFB863C" w:rsidR="001C21AC" w:rsidRDefault="001C21AC" w:rsidP="00157DEE">
            <w:pPr>
              <w:jc w:val="center"/>
              <w:rPr>
                <w:rFonts w:ascii="Arial Narrow" w:hAnsi="Arial Narrow"/>
                <w:sz w:val="20"/>
                <w:szCs w:val="20"/>
              </w:rPr>
            </w:pPr>
          </w:p>
        </w:tc>
        <w:tc>
          <w:tcPr>
            <w:tcW w:w="7745" w:type="dxa"/>
            <w:gridSpan w:val="7"/>
            <w:vAlign w:val="center"/>
          </w:tcPr>
          <w:p w14:paraId="1188E6C7" w14:textId="77777777" w:rsidR="001C21AC" w:rsidRDefault="001C21AC" w:rsidP="00157DEE">
            <w:pPr>
              <w:rPr>
                <w:rFonts w:ascii="Arial Narrow" w:hAnsi="Arial Narrow"/>
                <w:b/>
                <w:bCs/>
                <w:sz w:val="20"/>
                <w:szCs w:val="20"/>
              </w:rPr>
            </w:pPr>
            <w:r w:rsidRPr="2A26E699">
              <w:rPr>
                <w:rFonts w:ascii="Arial Narrow" w:hAnsi="Arial Narrow"/>
                <w:b/>
                <w:bCs/>
                <w:sz w:val="20"/>
                <w:szCs w:val="20"/>
              </w:rPr>
              <w:t>Population criteria:</w:t>
            </w:r>
          </w:p>
        </w:tc>
      </w:tr>
      <w:tr w:rsidR="001C21AC" w14:paraId="559EE875"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38DEE72A" w14:textId="05596F3C" w:rsidR="001C21AC" w:rsidRDefault="001C21AC" w:rsidP="00157DEE">
            <w:pPr>
              <w:jc w:val="center"/>
              <w:rPr>
                <w:rFonts w:ascii="Arial Narrow" w:hAnsi="Arial Narrow"/>
                <w:sz w:val="20"/>
                <w:szCs w:val="20"/>
              </w:rPr>
            </w:pPr>
          </w:p>
        </w:tc>
        <w:tc>
          <w:tcPr>
            <w:tcW w:w="7745" w:type="dxa"/>
            <w:gridSpan w:val="7"/>
            <w:vAlign w:val="center"/>
          </w:tcPr>
          <w:p w14:paraId="5A56F918" w14:textId="77777777" w:rsidR="001C21AC" w:rsidRDefault="001C21AC" w:rsidP="00157DEE">
            <w:pPr>
              <w:rPr>
                <w:rFonts w:ascii="Arial Narrow" w:hAnsi="Arial Narrow"/>
                <w:b/>
                <w:bCs/>
                <w:sz w:val="20"/>
                <w:szCs w:val="20"/>
              </w:rPr>
            </w:pPr>
            <w:r w:rsidRPr="2A26E699">
              <w:rPr>
                <w:rFonts w:ascii="Arial Narrow" w:hAnsi="Arial Narrow"/>
                <w:sz w:val="20"/>
                <w:szCs w:val="20"/>
              </w:rPr>
              <w:t>Patient must be under 18 years of age prior to commencement of this drug for this condition.</w:t>
            </w:r>
          </w:p>
        </w:tc>
      </w:tr>
      <w:tr w:rsidR="001C21AC" w14:paraId="506CD2EE"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1A8AE5D7" w14:textId="13337272" w:rsidR="001C21AC" w:rsidRDefault="001C21AC" w:rsidP="00157DEE">
            <w:pPr>
              <w:jc w:val="center"/>
              <w:rPr>
                <w:rFonts w:ascii="Arial Narrow" w:hAnsi="Arial Narrow"/>
                <w:sz w:val="20"/>
                <w:szCs w:val="20"/>
              </w:rPr>
            </w:pPr>
          </w:p>
        </w:tc>
        <w:tc>
          <w:tcPr>
            <w:tcW w:w="7745" w:type="dxa"/>
            <w:gridSpan w:val="7"/>
            <w:vAlign w:val="center"/>
          </w:tcPr>
          <w:p w14:paraId="5DA03BD3" w14:textId="77777777" w:rsidR="001C21AC" w:rsidRDefault="001C21AC" w:rsidP="00157DEE">
            <w:pPr>
              <w:rPr>
                <w:rFonts w:ascii="Arial Narrow" w:hAnsi="Arial Narrow"/>
                <w:b/>
                <w:bCs/>
                <w:sz w:val="20"/>
                <w:szCs w:val="20"/>
              </w:rPr>
            </w:pPr>
            <w:r w:rsidRPr="2A26E699">
              <w:rPr>
                <w:rFonts w:ascii="Arial Narrow" w:hAnsi="Arial Narrow"/>
                <w:b/>
                <w:bCs/>
                <w:sz w:val="20"/>
                <w:szCs w:val="20"/>
              </w:rPr>
              <w:t>Prescribing Instructions:</w:t>
            </w:r>
          </w:p>
          <w:p w14:paraId="6723FBDF" w14:textId="77777777" w:rsidR="001C21AC" w:rsidRDefault="001C21AC" w:rsidP="00157DEE">
            <w:pPr>
              <w:rPr>
                <w:rFonts w:ascii="Arial Narrow" w:hAnsi="Arial Narrow"/>
                <w:sz w:val="20"/>
                <w:szCs w:val="20"/>
              </w:rPr>
            </w:pPr>
            <w:r w:rsidRPr="2A26E699">
              <w:rPr>
                <w:rFonts w:ascii="Arial Narrow" w:hAnsi="Arial Narrow"/>
                <w:sz w:val="20"/>
                <w:szCs w:val="20"/>
              </w:rPr>
              <w:t>The application must include details of the NSAIDs trialled, their doses and duration of treatment.</w:t>
            </w:r>
          </w:p>
          <w:p w14:paraId="6A827B44" w14:textId="77777777" w:rsidR="001C21AC" w:rsidRDefault="001C21AC" w:rsidP="00157DEE">
            <w:pPr>
              <w:rPr>
                <w:rFonts w:ascii="Arial Narrow" w:hAnsi="Arial Narrow"/>
                <w:sz w:val="20"/>
                <w:szCs w:val="20"/>
              </w:rPr>
            </w:pPr>
            <w:r w:rsidRPr="2A26E699">
              <w:rPr>
                <w:rFonts w:ascii="Arial Narrow" w:hAnsi="Arial Narrow"/>
                <w:sz w:val="20"/>
                <w:szCs w:val="20"/>
              </w:rPr>
              <w:t>If the NSAID dose is less than the maximum recommended dose in the relevant TGA-approved Product Information, the application must include the reason a higher dose cannot be used.</w:t>
            </w:r>
          </w:p>
          <w:p w14:paraId="2ABFD711" w14:textId="77777777" w:rsidR="001C21AC" w:rsidRDefault="001C21AC" w:rsidP="00157DEE">
            <w:pPr>
              <w:rPr>
                <w:rFonts w:ascii="Arial Narrow" w:hAnsi="Arial Narrow"/>
                <w:sz w:val="20"/>
                <w:szCs w:val="20"/>
              </w:rPr>
            </w:pPr>
            <w:r w:rsidRPr="2A26E699">
              <w:rPr>
                <w:rFonts w:ascii="Arial Narrow" w:hAnsi="Arial Narrow"/>
                <w:sz w:val="20"/>
                <w:szCs w:val="20"/>
              </w:rPr>
              <w:t>If treatment with NSAIDs is contraindicated according to the relevant TGA-approved Product Information, the application must provide details of the contraindication.</w:t>
            </w:r>
          </w:p>
          <w:p w14:paraId="1CAA6837" w14:textId="77777777" w:rsidR="001C21AC" w:rsidRDefault="001C21AC" w:rsidP="00157DEE">
            <w:pPr>
              <w:rPr>
                <w:rFonts w:ascii="Arial Narrow" w:hAnsi="Arial Narrow"/>
                <w:b/>
                <w:bCs/>
                <w:sz w:val="20"/>
                <w:szCs w:val="20"/>
              </w:rPr>
            </w:pPr>
            <w:r w:rsidRPr="2A26E699">
              <w:rPr>
                <w:rFonts w:ascii="Arial Narrow" w:hAnsi="Arial Narrow"/>
                <w:sz w:val="20"/>
                <w:szCs w:val="20"/>
              </w:rPr>
              <w:t>If intolerance to NSAID treatment develops during the relevant period of use which is of a severity to necessitate permanent treatment withdrawal, the application must provide details of the nature and severity of this intolerance.</w:t>
            </w:r>
          </w:p>
        </w:tc>
      </w:tr>
      <w:tr w:rsidR="001C21AC" w14:paraId="6DC4B963"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79E4E334" w14:textId="5BA7A21C" w:rsidR="001C21AC" w:rsidRDefault="001C21AC" w:rsidP="00157DEE">
            <w:pPr>
              <w:jc w:val="center"/>
              <w:rPr>
                <w:rFonts w:ascii="Arial Narrow" w:hAnsi="Arial Narrow"/>
                <w:sz w:val="20"/>
                <w:szCs w:val="20"/>
              </w:rPr>
            </w:pPr>
          </w:p>
        </w:tc>
        <w:tc>
          <w:tcPr>
            <w:tcW w:w="7745" w:type="dxa"/>
            <w:gridSpan w:val="7"/>
            <w:vAlign w:val="center"/>
          </w:tcPr>
          <w:p w14:paraId="5CED2D90" w14:textId="77777777" w:rsidR="001C21AC" w:rsidRDefault="001C21AC" w:rsidP="00157DEE">
            <w:pPr>
              <w:rPr>
                <w:rFonts w:ascii="Arial Narrow" w:hAnsi="Arial Narrow"/>
                <w:b/>
                <w:bCs/>
                <w:sz w:val="20"/>
                <w:szCs w:val="20"/>
              </w:rPr>
            </w:pPr>
            <w:r w:rsidRPr="2A26E699">
              <w:rPr>
                <w:rFonts w:ascii="Arial Narrow" w:hAnsi="Arial Narrow"/>
                <w:b/>
                <w:bCs/>
                <w:sz w:val="20"/>
                <w:szCs w:val="20"/>
              </w:rPr>
              <w:t>Prescribing Instructions:</w:t>
            </w:r>
          </w:p>
          <w:p w14:paraId="11F9C7E7" w14:textId="77777777" w:rsidR="001C21AC" w:rsidRDefault="001C21AC" w:rsidP="00157DEE">
            <w:pPr>
              <w:rPr>
                <w:rFonts w:ascii="Arial Narrow" w:hAnsi="Arial Narrow"/>
                <w:sz w:val="20"/>
                <w:szCs w:val="20"/>
              </w:rPr>
            </w:pPr>
            <w:r w:rsidRPr="2A26E699">
              <w:rPr>
                <w:rFonts w:ascii="Arial Narrow" w:hAnsi="Arial Narrow"/>
                <w:sz w:val="20"/>
                <w:szCs w:val="20"/>
              </w:rPr>
              <w:t>The following criteria indicate failure to achieve an adequate response and must be demonstrated at the time of the initial application:</w:t>
            </w:r>
          </w:p>
          <w:p w14:paraId="3676B38C" w14:textId="77777777" w:rsidR="001C21AC" w:rsidRDefault="001C21AC" w:rsidP="00157DEE">
            <w:pPr>
              <w:rPr>
                <w:rFonts w:ascii="Arial Narrow" w:hAnsi="Arial Narrow"/>
                <w:sz w:val="20"/>
                <w:szCs w:val="20"/>
              </w:rPr>
            </w:pPr>
            <w:r w:rsidRPr="2A26E699">
              <w:rPr>
                <w:rFonts w:ascii="Arial Narrow" w:hAnsi="Arial Narrow"/>
                <w:sz w:val="20"/>
                <w:szCs w:val="20"/>
              </w:rPr>
              <w:t xml:space="preserve">(a) a Juvenile </w:t>
            </w:r>
            <w:proofErr w:type="spellStart"/>
            <w:r w:rsidRPr="2A26E699">
              <w:rPr>
                <w:rFonts w:ascii="Arial Narrow" w:hAnsi="Arial Narrow"/>
                <w:sz w:val="20"/>
                <w:szCs w:val="20"/>
              </w:rPr>
              <w:t>Spondyloarthritis</w:t>
            </w:r>
            <w:proofErr w:type="spellEnd"/>
            <w:r w:rsidRPr="2A26E699">
              <w:rPr>
                <w:rFonts w:ascii="Arial Narrow" w:hAnsi="Arial Narrow"/>
                <w:sz w:val="20"/>
                <w:szCs w:val="20"/>
              </w:rPr>
              <w:t xml:space="preserve"> Disease Activity Index score greater than 2; or</w:t>
            </w:r>
          </w:p>
          <w:p w14:paraId="02D2D868" w14:textId="5B0D4C6B" w:rsidR="001C21AC" w:rsidRDefault="001C21AC" w:rsidP="00157DEE">
            <w:pPr>
              <w:rPr>
                <w:rFonts w:ascii="Arial Narrow" w:hAnsi="Arial Narrow"/>
                <w:sz w:val="20"/>
                <w:szCs w:val="20"/>
              </w:rPr>
            </w:pPr>
            <w:r w:rsidRPr="2A26E699">
              <w:rPr>
                <w:rFonts w:ascii="Arial Narrow" w:hAnsi="Arial Narrow"/>
                <w:sz w:val="20"/>
                <w:szCs w:val="20"/>
              </w:rPr>
              <w:t xml:space="preserve">(b) </w:t>
            </w:r>
            <w:r w:rsidR="00E83F37">
              <w:rPr>
                <w:rFonts w:ascii="Arial Narrow" w:hAnsi="Arial Narrow"/>
                <w:sz w:val="20"/>
                <w:szCs w:val="20"/>
              </w:rPr>
              <w:t>p</w:t>
            </w:r>
            <w:r w:rsidRPr="2A26E699">
              <w:rPr>
                <w:rFonts w:ascii="Arial Narrow" w:hAnsi="Arial Narrow"/>
                <w:sz w:val="20"/>
                <w:szCs w:val="20"/>
              </w:rPr>
              <w:t>ersistent symptoms of axial spondylitis or sacroiliitis with prior confirmatory Magnetic Resonance Imaging (MRI) assessed by a clinician experienced with juvenile spondyloarthropathy.</w:t>
            </w:r>
          </w:p>
        </w:tc>
      </w:tr>
      <w:tr w:rsidR="001C21AC" w14:paraId="56D2ED6D"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9EB6360" w14:textId="4902ED47" w:rsidR="001C21AC" w:rsidRDefault="001C21AC" w:rsidP="00157DEE">
            <w:pPr>
              <w:jc w:val="center"/>
              <w:rPr>
                <w:rFonts w:ascii="Arial Narrow" w:hAnsi="Arial Narrow"/>
                <w:sz w:val="20"/>
                <w:szCs w:val="20"/>
              </w:rPr>
            </w:pPr>
          </w:p>
        </w:tc>
        <w:tc>
          <w:tcPr>
            <w:tcW w:w="7745" w:type="dxa"/>
            <w:gridSpan w:val="7"/>
            <w:vAlign w:val="center"/>
          </w:tcPr>
          <w:p w14:paraId="36504732" w14:textId="77777777" w:rsidR="001C21AC" w:rsidRDefault="001C21AC" w:rsidP="00157DEE">
            <w:pPr>
              <w:rPr>
                <w:rFonts w:ascii="Arial Narrow" w:hAnsi="Arial Narrow"/>
                <w:sz w:val="20"/>
                <w:szCs w:val="20"/>
              </w:rPr>
            </w:pPr>
            <w:r w:rsidRPr="2A26E699">
              <w:rPr>
                <w:rFonts w:ascii="Arial Narrow" w:hAnsi="Arial Narrow"/>
                <w:b/>
                <w:bCs/>
                <w:sz w:val="20"/>
                <w:szCs w:val="20"/>
              </w:rPr>
              <w:t xml:space="preserve">Prescribing Instructions: </w:t>
            </w:r>
          </w:p>
          <w:p w14:paraId="40C82387" w14:textId="77777777" w:rsidR="001C21AC" w:rsidRDefault="001C21AC" w:rsidP="00157DEE">
            <w:pPr>
              <w:rPr>
                <w:rFonts w:ascii="Arial Narrow" w:hAnsi="Arial Narrow"/>
                <w:sz w:val="20"/>
                <w:szCs w:val="20"/>
              </w:rPr>
            </w:pPr>
            <w:r w:rsidRPr="2A26E699">
              <w:rPr>
                <w:rFonts w:ascii="Arial Narrow" w:hAnsi="Arial Narrow"/>
                <w:sz w:val="20"/>
                <w:szCs w:val="20"/>
              </w:rPr>
              <w:t>The following must be provided at the time of application and documented in the patient's medical records:</w:t>
            </w:r>
          </w:p>
          <w:p w14:paraId="5907CE21" w14:textId="55A530FE" w:rsidR="001C21AC" w:rsidRDefault="001C21AC" w:rsidP="00157DEE">
            <w:pPr>
              <w:rPr>
                <w:rFonts w:ascii="Arial Narrow" w:hAnsi="Arial Narrow"/>
                <w:sz w:val="20"/>
                <w:szCs w:val="20"/>
              </w:rPr>
            </w:pPr>
            <w:r w:rsidRPr="2A26E699">
              <w:rPr>
                <w:rFonts w:ascii="Arial Narrow" w:hAnsi="Arial Narrow"/>
                <w:sz w:val="20"/>
                <w:szCs w:val="20"/>
              </w:rPr>
              <w:t xml:space="preserve">(i) a baseline Juvenile </w:t>
            </w:r>
            <w:proofErr w:type="spellStart"/>
            <w:r w:rsidRPr="2A26E699">
              <w:rPr>
                <w:rFonts w:ascii="Arial Narrow" w:hAnsi="Arial Narrow"/>
                <w:sz w:val="20"/>
                <w:szCs w:val="20"/>
              </w:rPr>
              <w:t>Spondyloarthritis</w:t>
            </w:r>
            <w:proofErr w:type="spellEnd"/>
            <w:r w:rsidRPr="2A26E699">
              <w:rPr>
                <w:rFonts w:ascii="Arial Narrow" w:hAnsi="Arial Narrow"/>
                <w:sz w:val="20"/>
                <w:szCs w:val="20"/>
              </w:rPr>
              <w:t xml:space="preserve"> Disease Activity Index score</w:t>
            </w:r>
            <w:r w:rsidR="00E83F37">
              <w:rPr>
                <w:rFonts w:ascii="Arial Narrow" w:hAnsi="Arial Narrow"/>
                <w:sz w:val="20"/>
                <w:szCs w:val="20"/>
              </w:rPr>
              <w:t>,</w:t>
            </w:r>
          </w:p>
          <w:p w14:paraId="1B7BAAE5" w14:textId="7D98D0A0" w:rsidR="001C21AC" w:rsidRDefault="001C21AC" w:rsidP="00157DEE">
            <w:pPr>
              <w:rPr>
                <w:rFonts w:ascii="Arial Narrow" w:hAnsi="Arial Narrow"/>
                <w:sz w:val="20"/>
                <w:szCs w:val="20"/>
              </w:rPr>
            </w:pPr>
            <w:r w:rsidRPr="2A26E699">
              <w:rPr>
                <w:rFonts w:ascii="Arial Narrow" w:hAnsi="Arial Narrow"/>
                <w:sz w:val="20"/>
                <w:szCs w:val="20"/>
              </w:rPr>
              <w:t xml:space="preserve">(ii) the current Juvenile </w:t>
            </w:r>
            <w:proofErr w:type="spellStart"/>
            <w:r w:rsidRPr="2A26E699">
              <w:rPr>
                <w:rFonts w:ascii="Arial Narrow" w:hAnsi="Arial Narrow"/>
                <w:sz w:val="20"/>
                <w:szCs w:val="20"/>
              </w:rPr>
              <w:t>Spondyloarthritis</w:t>
            </w:r>
            <w:proofErr w:type="spellEnd"/>
            <w:r w:rsidRPr="2A26E699">
              <w:rPr>
                <w:rFonts w:ascii="Arial Narrow" w:hAnsi="Arial Narrow"/>
                <w:sz w:val="20"/>
                <w:szCs w:val="20"/>
              </w:rPr>
              <w:t xml:space="preserve"> Disease Activity Index score</w:t>
            </w:r>
            <w:r w:rsidR="00E83F37">
              <w:rPr>
                <w:rFonts w:ascii="Arial Narrow" w:hAnsi="Arial Narrow"/>
                <w:sz w:val="20"/>
                <w:szCs w:val="20"/>
              </w:rPr>
              <w:t>,</w:t>
            </w:r>
          </w:p>
          <w:p w14:paraId="7257E409" w14:textId="51D48F38" w:rsidR="001C21AC" w:rsidRDefault="001C21AC" w:rsidP="00157DEE">
            <w:pPr>
              <w:rPr>
                <w:rFonts w:ascii="Arial Narrow" w:hAnsi="Arial Narrow"/>
                <w:sz w:val="20"/>
                <w:szCs w:val="20"/>
              </w:rPr>
            </w:pPr>
            <w:r w:rsidRPr="2A26E699">
              <w:rPr>
                <w:rFonts w:ascii="Arial Narrow" w:hAnsi="Arial Narrow"/>
                <w:sz w:val="20"/>
                <w:szCs w:val="20"/>
              </w:rPr>
              <w:t xml:space="preserve">(iii) </w:t>
            </w:r>
            <w:r w:rsidR="00E83F37">
              <w:rPr>
                <w:rFonts w:ascii="Arial Narrow" w:hAnsi="Arial Narrow"/>
                <w:sz w:val="20"/>
                <w:szCs w:val="20"/>
              </w:rPr>
              <w:t>i</w:t>
            </w:r>
            <w:r w:rsidRPr="2A26E699">
              <w:rPr>
                <w:rFonts w:ascii="Arial Narrow" w:hAnsi="Arial Narrow"/>
                <w:sz w:val="20"/>
                <w:szCs w:val="20"/>
              </w:rPr>
              <w:t>f applicable, details (name of the report provider, date of the report and unique identifying number/code that links report to the individual patient) of the magnetic resonance imaging demonstrating inflammatory spondylitis or sacroiliitis</w:t>
            </w:r>
            <w:r w:rsidR="00E83F37">
              <w:rPr>
                <w:rFonts w:ascii="Arial Narrow" w:hAnsi="Arial Narrow"/>
                <w:sz w:val="20"/>
                <w:szCs w:val="20"/>
              </w:rPr>
              <w:t>,</w:t>
            </w:r>
            <w:r w:rsidRPr="2A26E699">
              <w:rPr>
                <w:rFonts w:ascii="Arial Narrow" w:hAnsi="Arial Narrow"/>
                <w:sz w:val="20"/>
                <w:szCs w:val="20"/>
              </w:rPr>
              <w:t xml:space="preserve"> and</w:t>
            </w:r>
          </w:p>
          <w:p w14:paraId="30D42D19" w14:textId="7FF986BC" w:rsidR="001C21AC" w:rsidRDefault="001C21AC" w:rsidP="00157DEE">
            <w:pPr>
              <w:rPr>
                <w:rFonts w:ascii="Arial Narrow" w:hAnsi="Arial Narrow"/>
                <w:b/>
                <w:bCs/>
                <w:sz w:val="20"/>
                <w:szCs w:val="20"/>
              </w:rPr>
            </w:pPr>
            <w:r w:rsidRPr="2A26E699">
              <w:rPr>
                <w:rFonts w:ascii="Arial Narrow" w:hAnsi="Arial Narrow"/>
                <w:sz w:val="20"/>
                <w:szCs w:val="20"/>
              </w:rPr>
              <w:t xml:space="preserve">(iv) </w:t>
            </w:r>
            <w:r w:rsidR="00E83F37">
              <w:rPr>
                <w:rFonts w:ascii="Arial Narrow" w:hAnsi="Arial Narrow"/>
                <w:sz w:val="20"/>
                <w:szCs w:val="20"/>
              </w:rPr>
              <w:t>i</w:t>
            </w:r>
            <w:r w:rsidRPr="2A26E699">
              <w:rPr>
                <w:rFonts w:ascii="Arial Narrow" w:hAnsi="Arial Narrow"/>
                <w:sz w:val="20"/>
                <w:szCs w:val="20"/>
              </w:rPr>
              <w:t xml:space="preserve">f applicable, details (name of the report provider, date of the report and unique identifying number/code that links report to the individual patient) demonstrating the presence of HLA-B27. </w:t>
            </w:r>
          </w:p>
        </w:tc>
      </w:tr>
      <w:tr w:rsidR="001C21AC" w14:paraId="7906037D"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00A2E9BC" w14:textId="77777777" w:rsidR="001C21AC" w:rsidRDefault="001C21AC" w:rsidP="00594AC4">
            <w:pPr>
              <w:jc w:val="center"/>
              <w:rPr>
                <w:rFonts w:ascii="Arial Narrow" w:hAnsi="Arial Narrow"/>
                <w:sz w:val="20"/>
                <w:szCs w:val="20"/>
              </w:rPr>
            </w:pPr>
          </w:p>
        </w:tc>
        <w:tc>
          <w:tcPr>
            <w:tcW w:w="7745" w:type="dxa"/>
            <w:gridSpan w:val="7"/>
            <w:vAlign w:val="center"/>
          </w:tcPr>
          <w:p w14:paraId="04ED891F" w14:textId="77777777" w:rsidR="001C21AC" w:rsidRDefault="001C21AC" w:rsidP="00157DEE">
            <w:pPr>
              <w:rPr>
                <w:rFonts w:ascii="Arial Narrow" w:hAnsi="Arial Narrow"/>
                <w:b/>
                <w:bCs/>
                <w:sz w:val="20"/>
                <w:szCs w:val="20"/>
              </w:rPr>
            </w:pPr>
            <w:r w:rsidRPr="5311C991">
              <w:rPr>
                <w:rFonts w:ascii="Arial Narrow" w:hAnsi="Arial Narrow"/>
                <w:b/>
                <w:bCs/>
                <w:sz w:val="20"/>
                <w:szCs w:val="20"/>
              </w:rPr>
              <w:t>Prescribing Instructions:</w:t>
            </w:r>
          </w:p>
          <w:p w14:paraId="27B22A1B" w14:textId="77777777" w:rsidR="001C21AC" w:rsidRDefault="001C21AC" w:rsidP="00157DEE">
            <w:pPr>
              <w:rPr>
                <w:rFonts w:ascii="Arial Narrow" w:hAnsi="Arial Narrow"/>
                <w:b/>
                <w:bCs/>
                <w:sz w:val="20"/>
                <w:szCs w:val="20"/>
              </w:rPr>
            </w:pPr>
            <w:r w:rsidRPr="5311C991">
              <w:rPr>
                <w:rFonts w:ascii="Arial Narrow" w:hAnsi="Arial Narrow"/>
                <w:sz w:val="20"/>
                <w:szCs w:val="20"/>
              </w:rPr>
              <w:t xml:space="preserve">An adequate response is defined as an improvement from baseline in the Juvenile </w:t>
            </w:r>
            <w:proofErr w:type="spellStart"/>
            <w:r w:rsidRPr="5311C991">
              <w:rPr>
                <w:rFonts w:ascii="Arial Narrow" w:hAnsi="Arial Narrow"/>
                <w:sz w:val="20"/>
                <w:szCs w:val="20"/>
              </w:rPr>
              <w:t>Spondyloarthritis</w:t>
            </w:r>
            <w:proofErr w:type="spellEnd"/>
            <w:r w:rsidRPr="5311C991">
              <w:rPr>
                <w:rFonts w:ascii="Arial Narrow" w:hAnsi="Arial Narrow"/>
                <w:sz w:val="20"/>
                <w:szCs w:val="20"/>
              </w:rPr>
              <w:t xml:space="preserve"> Disease Activity Index score by at least 30%.</w:t>
            </w:r>
          </w:p>
        </w:tc>
      </w:tr>
      <w:tr w:rsidR="001C21AC" w14:paraId="10064400"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76C0BD5E" w14:textId="730EE6F0" w:rsidR="001C21AC" w:rsidRDefault="001C21AC" w:rsidP="00157DEE">
            <w:pPr>
              <w:jc w:val="center"/>
              <w:rPr>
                <w:rFonts w:ascii="Arial Narrow" w:hAnsi="Arial Narrow"/>
                <w:sz w:val="20"/>
                <w:szCs w:val="20"/>
              </w:rPr>
            </w:pPr>
          </w:p>
        </w:tc>
        <w:tc>
          <w:tcPr>
            <w:tcW w:w="7745" w:type="dxa"/>
            <w:gridSpan w:val="7"/>
            <w:vAlign w:val="center"/>
          </w:tcPr>
          <w:p w14:paraId="5B2DB768" w14:textId="77777777" w:rsidR="001C21AC" w:rsidRDefault="001C21AC" w:rsidP="00157DEE">
            <w:pPr>
              <w:rPr>
                <w:rFonts w:ascii="Arial Narrow" w:hAnsi="Arial Narrow"/>
                <w:b/>
                <w:bCs/>
                <w:sz w:val="20"/>
                <w:szCs w:val="20"/>
              </w:rPr>
            </w:pPr>
            <w:r w:rsidRPr="2A26E699">
              <w:rPr>
                <w:rFonts w:ascii="Arial Narrow" w:hAnsi="Arial Narrow"/>
                <w:b/>
                <w:bCs/>
                <w:sz w:val="20"/>
                <w:szCs w:val="20"/>
              </w:rPr>
              <w:t>Prescribing Instructions</w:t>
            </w:r>
          </w:p>
          <w:p w14:paraId="03E1FF28" w14:textId="77777777" w:rsidR="001C21AC" w:rsidRDefault="001C21AC" w:rsidP="00157DEE">
            <w:pPr>
              <w:rPr>
                <w:rFonts w:ascii="Arial Narrow" w:hAnsi="Arial Narrow"/>
                <w:sz w:val="20"/>
                <w:szCs w:val="20"/>
              </w:rPr>
            </w:pPr>
            <w:r w:rsidRPr="2A26E699">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1C21AC" w14:paraId="32548A92"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B6B7CC1" w14:textId="1DBE73B6" w:rsidR="001C21AC" w:rsidRDefault="001C21AC" w:rsidP="00157DEE">
            <w:pPr>
              <w:jc w:val="center"/>
              <w:rPr>
                <w:rFonts w:ascii="Arial Narrow" w:hAnsi="Arial Narrow"/>
                <w:sz w:val="20"/>
                <w:szCs w:val="20"/>
              </w:rPr>
            </w:pPr>
          </w:p>
        </w:tc>
        <w:tc>
          <w:tcPr>
            <w:tcW w:w="7745" w:type="dxa"/>
            <w:gridSpan w:val="7"/>
            <w:vAlign w:val="center"/>
          </w:tcPr>
          <w:p w14:paraId="459DE043" w14:textId="77777777" w:rsidR="001C21AC" w:rsidRDefault="001C21AC" w:rsidP="00157DEE">
            <w:pPr>
              <w:rPr>
                <w:rFonts w:ascii="Arial Narrow" w:hAnsi="Arial Narrow"/>
                <w:b/>
                <w:bCs/>
                <w:sz w:val="20"/>
                <w:szCs w:val="20"/>
              </w:rPr>
            </w:pPr>
            <w:r w:rsidRPr="2A26E699">
              <w:rPr>
                <w:rFonts w:ascii="Arial Narrow" w:hAnsi="Arial Narrow"/>
                <w:b/>
                <w:bCs/>
                <w:sz w:val="20"/>
                <w:szCs w:val="20"/>
              </w:rPr>
              <w:t>Prescribing Instructions</w:t>
            </w:r>
          </w:p>
          <w:p w14:paraId="54B1569C" w14:textId="77777777" w:rsidR="001C21AC" w:rsidRDefault="001C21AC" w:rsidP="00157DEE">
            <w:pPr>
              <w:rPr>
                <w:rFonts w:ascii="Arial Narrow" w:hAnsi="Arial Narrow"/>
                <w:b/>
                <w:bCs/>
                <w:sz w:val="20"/>
                <w:szCs w:val="20"/>
              </w:rPr>
            </w:pPr>
            <w:r w:rsidRPr="2A26E699">
              <w:rPr>
                <w:rFonts w:ascii="Arial Narrow" w:hAnsi="Arial Narrow"/>
                <w:sz w:val="20"/>
                <w:szCs w:val="20"/>
              </w:rPr>
              <w:t>Where a response assessment is not conducted within these timeframes, the patient will be deemed to have failed to respond to treatment with this drug.</w:t>
            </w:r>
          </w:p>
        </w:tc>
      </w:tr>
      <w:tr w:rsidR="001C21AC" w14:paraId="0B17E652"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7054CC17" w14:textId="2E69BD99" w:rsidR="001C21AC" w:rsidRDefault="001C21AC" w:rsidP="00157DEE">
            <w:pPr>
              <w:jc w:val="center"/>
              <w:rPr>
                <w:rFonts w:ascii="Arial Narrow" w:hAnsi="Arial Narrow"/>
                <w:sz w:val="20"/>
                <w:szCs w:val="20"/>
              </w:rPr>
            </w:pPr>
          </w:p>
        </w:tc>
        <w:tc>
          <w:tcPr>
            <w:tcW w:w="7745" w:type="dxa"/>
            <w:gridSpan w:val="7"/>
            <w:vAlign w:val="center"/>
          </w:tcPr>
          <w:p w14:paraId="00269262" w14:textId="77777777" w:rsidR="001C21AC" w:rsidRDefault="001C21AC" w:rsidP="00157DEE">
            <w:pPr>
              <w:rPr>
                <w:rFonts w:ascii="Arial Narrow" w:hAnsi="Arial Narrow"/>
                <w:sz w:val="20"/>
                <w:szCs w:val="20"/>
              </w:rPr>
            </w:pPr>
            <w:r w:rsidRPr="2A26E699">
              <w:rPr>
                <w:rFonts w:ascii="Arial Narrow" w:hAnsi="Arial Narrow"/>
                <w:b/>
                <w:bCs/>
                <w:sz w:val="20"/>
                <w:szCs w:val="20"/>
              </w:rPr>
              <w:t xml:space="preserve">Prescribing Instructions: </w:t>
            </w:r>
          </w:p>
          <w:p w14:paraId="62CA6F2C" w14:textId="77777777" w:rsidR="001C21AC" w:rsidRDefault="001C21AC" w:rsidP="00157DEE">
            <w:pPr>
              <w:rPr>
                <w:rFonts w:ascii="Arial Narrow" w:hAnsi="Arial Narrow"/>
                <w:b/>
                <w:bCs/>
                <w:sz w:val="20"/>
                <w:szCs w:val="20"/>
              </w:rPr>
            </w:pPr>
            <w:r w:rsidRPr="2A26E699">
              <w:rPr>
                <w:rFonts w:ascii="Arial Narrow" w:hAnsi="Arial Narrow"/>
                <w:sz w:val="20"/>
                <w:szCs w:val="20"/>
              </w:rPr>
              <w:t xml:space="preserve">If a patient fails to demonstrate a response to treatment with this </w:t>
            </w:r>
            <w:proofErr w:type="gramStart"/>
            <w:r w:rsidRPr="2A26E699">
              <w:rPr>
                <w:rFonts w:ascii="Arial Narrow" w:hAnsi="Arial Narrow"/>
                <w:sz w:val="20"/>
                <w:szCs w:val="20"/>
              </w:rPr>
              <w:t>drug</w:t>
            </w:r>
            <w:proofErr w:type="gramEnd"/>
            <w:r w:rsidRPr="2A26E699">
              <w:rPr>
                <w:rFonts w:ascii="Arial Narrow" w:hAnsi="Arial Narrow"/>
                <w:sz w:val="20"/>
                <w:szCs w:val="20"/>
              </w:rPr>
              <w:t xml:space="preserve">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1C21AC" w14:paraId="16E118D6"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2EEB98E7" w14:textId="299B5E11" w:rsidR="001C21AC" w:rsidRDefault="001C21AC" w:rsidP="00157DEE">
            <w:pPr>
              <w:jc w:val="center"/>
              <w:rPr>
                <w:rFonts w:ascii="Arial Narrow" w:hAnsi="Arial Narrow"/>
                <w:sz w:val="20"/>
                <w:szCs w:val="20"/>
              </w:rPr>
            </w:pPr>
          </w:p>
        </w:tc>
        <w:tc>
          <w:tcPr>
            <w:tcW w:w="7745" w:type="dxa"/>
            <w:gridSpan w:val="7"/>
            <w:vAlign w:val="center"/>
          </w:tcPr>
          <w:p w14:paraId="1F55A9D7" w14:textId="77777777" w:rsidR="001C21AC" w:rsidRDefault="001C21AC" w:rsidP="00157DEE">
            <w:pPr>
              <w:rPr>
                <w:rFonts w:ascii="Arial Narrow" w:hAnsi="Arial Narrow"/>
                <w:b/>
                <w:bCs/>
                <w:sz w:val="20"/>
                <w:szCs w:val="20"/>
              </w:rPr>
            </w:pPr>
            <w:r w:rsidRPr="2A26E699">
              <w:rPr>
                <w:rFonts w:ascii="Arial Narrow" w:hAnsi="Arial Narrow"/>
                <w:b/>
                <w:bCs/>
                <w:sz w:val="20"/>
                <w:szCs w:val="20"/>
              </w:rPr>
              <w:t>Administrative Advice:</w:t>
            </w:r>
          </w:p>
          <w:p w14:paraId="3461615E" w14:textId="77777777" w:rsidR="001C21AC" w:rsidRDefault="001C21AC" w:rsidP="00157DEE">
            <w:pPr>
              <w:rPr>
                <w:rFonts w:ascii="Arial Narrow" w:hAnsi="Arial Narrow"/>
                <w:b/>
                <w:bCs/>
                <w:sz w:val="20"/>
                <w:szCs w:val="20"/>
              </w:rPr>
            </w:pPr>
            <w:r w:rsidRPr="2A26E699">
              <w:rPr>
                <w:rFonts w:ascii="Arial Narrow" w:hAnsi="Arial Narrow"/>
                <w:sz w:val="20"/>
                <w:szCs w:val="20"/>
              </w:rPr>
              <w:t>Details of the toxicities, including severity, which will be accepted for the purposes of administering this restriction can be found on the Services Australia website at www.servicesaustralia.gov.au</w:t>
            </w:r>
          </w:p>
        </w:tc>
      </w:tr>
      <w:tr w:rsidR="001C21AC" w14:paraId="466185FD"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54827A5F" w14:textId="48747097" w:rsidR="001C21AC" w:rsidRDefault="001C21AC" w:rsidP="00157DEE">
            <w:pPr>
              <w:jc w:val="center"/>
              <w:rPr>
                <w:rFonts w:ascii="Arial Narrow" w:hAnsi="Arial Narrow"/>
                <w:sz w:val="20"/>
                <w:szCs w:val="20"/>
              </w:rPr>
            </w:pPr>
          </w:p>
        </w:tc>
        <w:tc>
          <w:tcPr>
            <w:tcW w:w="7745" w:type="dxa"/>
            <w:gridSpan w:val="7"/>
            <w:vAlign w:val="center"/>
          </w:tcPr>
          <w:p w14:paraId="2C9D63EE" w14:textId="77777777" w:rsidR="001C21AC" w:rsidRDefault="001C21AC" w:rsidP="00157DEE">
            <w:pPr>
              <w:rPr>
                <w:rFonts w:ascii="Arial Narrow" w:hAnsi="Arial Narrow"/>
                <w:b/>
                <w:bCs/>
                <w:sz w:val="20"/>
                <w:szCs w:val="20"/>
              </w:rPr>
            </w:pPr>
            <w:r w:rsidRPr="2A26E699">
              <w:rPr>
                <w:rFonts w:ascii="Arial Narrow" w:hAnsi="Arial Narrow"/>
                <w:b/>
                <w:bCs/>
                <w:sz w:val="20"/>
                <w:szCs w:val="20"/>
              </w:rPr>
              <w:t>Administrative Advice:</w:t>
            </w:r>
          </w:p>
          <w:p w14:paraId="2D0F7E00" w14:textId="41C46CD2" w:rsidR="001C21AC" w:rsidRDefault="001C21AC" w:rsidP="00157DEE">
            <w:pPr>
              <w:rPr>
                <w:rFonts w:ascii="Arial Narrow" w:hAnsi="Arial Narrow"/>
                <w:sz w:val="20"/>
                <w:szCs w:val="20"/>
              </w:rPr>
            </w:pPr>
            <w:r w:rsidRPr="2A26E699">
              <w:rPr>
                <w:rFonts w:ascii="Arial Narrow" w:hAnsi="Arial Narrow"/>
                <w:sz w:val="20"/>
                <w:szCs w:val="20"/>
              </w:rPr>
              <w:t xml:space="preserve">Patients may qualify for PBS-subsidised treatment under this restriction once only. For continuing PBS-subsidised treatment, a 'Grandfathered' patient must qualify under the </w:t>
            </w:r>
            <w:r w:rsidR="00E83F37">
              <w:rPr>
                <w:rFonts w:ascii="Arial Narrow" w:hAnsi="Arial Narrow"/>
                <w:sz w:val="20"/>
                <w:szCs w:val="20"/>
              </w:rPr>
              <w:t>‘</w:t>
            </w:r>
            <w:r w:rsidRPr="2A26E699">
              <w:rPr>
                <w:rFonts w:ascii="Arial Narrow" w:hAnsi="Arial Narrow"/>
                <w:sz w:val="20"/>
                <w:szCs w:val="20"/>
              </w:rPr>
              <w:t>Continuing treatment' criteria.</w:t>
            </w:r>
          </w:p>
        </w:tc>
      </w:tr>
      <w:tr w:rsidR="001C21AC" w14:paraId="7CF50FEC"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265E1966" w14:textId="36103676" w:rsidR="001C21AC" w:rsidRDefault="001C21AC" w:rsidP="00157DEE">
            <w:pPr>
              <w:jc w:val="center"/>
              <w:rPr>
                <w:rFonts w:ascii="Arial Narrow" w:hAnsi="Arial Narrow"/>
                <w:sz w:val="20"/>
                <w:szCs w:val="20"/>
              </w:rPr>
            </w:pPr>
          </w:p>
        </w:tc>
        <w:tc>
          <w:tcPr>
            <w:tcW w:w="7745" w:type="dxa"/>
            <w:gridSpan w:val="7"/>
            <w:vAlign w:val="center"/>
          </w:tcPr>
          <w:p w14:paraId="03011368" w14:textId="77777777" w:rsidR="001C21AC" w:rsidRDefault="001C21AC" w:rsidP="00157DEE">
            <w:pPr>
              <w:rPr>
                <w:rFonts w:ascii="Arial Narrow" w:hAnsi="Arial Narrow"/>
                <w:b/>
                <w:bCs/>
                <w:sz w:val="20"/>
                <w:szCs w:val="20"/>
              </w:rPr>
            </w:pPr>
            <w:r w:rsidRPr="2A26E699">
              <w:rPr>
                <w:rFonts w:ascii="Arial Narrow" w:hAnsi="Arial Narrow"/>
                <w:b/>
                <w:bCs/>
                <w:sz w:val="20"/>
                <w:szCs w:val="20"/>
              </w:rPr>
              <w:t>Administrative Advice:</w:t>
            </w:r>
          </w:p>
          <w:p w14:paraId="5B523CD8" w14:textId="77777777" w:rsidR="001C21AC" w:rsidRDefault="001C21AC" w:rsidP="00157DEE">
            <w:pPr>
              <w:rPr>
                <w:rFonts w:ascii="Arial Narrow" w:hAnsi="Arial Narrow"/>
                <w:sz w:val="20"/>
                <w:szCs w:val="20"/>
              </w:rPr>
            </w:pPr>
            <w:r w:rsidRPr="2A26E699">
              <w:rPr>
                <w:rFonts w:ascii="Arial Narrow" w:hAnsi="Arial Narrow"/>
                <w:sz w:val="20"/>
                <w:szCs w:val="20"/>
              </w:rPr>
              <w:t>This grandfather restriction will cease to operate from 12 months after the date specified in the clinical criteria.</w:t>
            </w:r>
          </w:p>
        </w:tc>
      </w:tr>
      <w:tr w:rsidR="001C21AC" w:rsidRPr="2A26E699" w:rsidDel="00FF2045" w14:paraId="0F0F5217" w14:textId="77777777" w:rsidTr="0015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300"/>
        </w:trPr>
        <w:tc>
          <w:tcPr>
            <w:tcW w:w="1276" w:type="dxa"/>
            <w:vAlign w:val="center"/>
          </w:tcPr>
          <w:p w14:paraId="1A09D849" w14:textId="3498DCF4" w:rsidR="001C21AC" w:rsidRPr="2A26E699" w:rsidDel="00FF2045" w:rsidRDefault="001C21AC" w:rsidP="00157DEE">
            <w:pPr>
              <w:jc w:val="center"/>
              <w:rPr>
                <w:rFonts w:ascii="Arial Narrow" w:hAnsi="Arial Narrow" w:cs="Open Sans"/>
                <w:sz w:val="20"/>
                <w:szCs w:val="20"/>
              </w:rPr>
            </w:pPr>
          </w:p>
        </w:tc>
        <w:tc>
          <w:tcPr>
            <w:tcW w:w="7745" w:type="dxa"/>
            <w:gridSpan w:val="7"/>
            <w:vAlign w:val="center"/>
          </w:tcPr>
          <w:p w14:paraId="06BB1734" w14:textId="77777777" w:rsidR="001C21AC" w:rsidRPr="00857C11" w:rsidRDefault="001C21AC" w:rsidP="00157DEE">
            <w:pPr>
              <w:rPr>
                <w:rFonts w:ascii="Arial Narrow" w:hAnsi="Arial Narrow"/>
                <w:sz w:val="20"/>
                <w:szCs w:val="20"/>
              </w:rPr>
            </w:pPr>
            <w:r w:rsidRPr="00857C11">
              <w:rPr>
                <w:rFonts w:ascii="Arial Narrow" w:hAnsi="Arial Narrow"/>
                <w:b/>
                <w:bCs/>
                <w:sz w:val="20"/>
                <w:szCs w:val="20"/>
              </w:rPr>
              <w:t>Administrative Advice</w:t>
            </w:r>
            <w:r w:rsidRPr="00857C11">
              <w:rPr>
                <w:rFonts w:ascii="Arial Narrow" w:hAnsi="Arial Narrow"/>
                <w:sz w:val="20"/>
                <w:szCs w:val="20"/>
              </w:rPr>
              <w:t>:</w:t>
            </w:r>
          </w:p>
          <w:p w14:paraId="5275DF96" w14:textId="77777777" w:rsidR="001C21AC" w:rsidRPr="2A26E699" w:rsidDel="00FF2045" w:rsidRDefault="001C21AC" w:rsidP="00157DEE">
            <w:pPr>
              <w:rPr>
                <w:rFonts w:ascii="Arial Narrow" w:hAnsi="Arial Narrow"/>
                <w:b/>
                <w:bCs/>
                <w:sz w:val="20"/>
                <w:szCs w:val="20"/>
              </w:rPr>
            </w:pPr>
            <w:r w:rsidRPr="00857C1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r>
              <w:rPr>
                <w:rFonts w:ascii="Arial Narrow" w:hAnsi="Arial Narrow"/>
                <w:sz w:val="20"/>
                <w:szCs w:val="20"/>
              </w:rPr>
              <w:t>.</w:t>
            </w:r>
          </w:p>
        </w:tc>
      </w:tr>
    </w:tbl>
    <w:p w14:paraId="09D329AC" w14:textId="77777777" w:rsidR="00F778FF" w:rsidRPr="00F37EE7" w:rsidRDefault="00F778FF" w:rsidP="00F778FF">
      <w:pPr>
        <w:pStyle w:val="3-BodyText"/>
        <w:numPr>
          <w:ilvl w:val="0"/>
          <w:numId w:val="0"/>
        </w:numPr>
        <w:spacing w:before="120"/>
        <w:rPr>
          <w:b/>
          <w:bCs/>
          <w:i/>
          <w:snapToGrid w:val="0"/>
        </w:rPr>
      </w:pPr>
      <w:r w:rsidRPr="00F37EE7">
        <w:rPr>
          <w:rFonts w:cs="Arial"/>
          <w:b/>
          <w:bCs/>
          <w:i/>
        </w:rPr>
        <w:t>This restriction may be subject to further review. Should there be any changes made to the restriction the sponsor will be informed.</w:t>
      </w:r>
    </w:p>
    <w:p w14:paraId="5BD646A4" w14:textId="77777777" w:rsidR="00711BD0" w:rsidRDefault="00711BD0" w:rsidP="00711BD0">
      <w:pPr>
        <w:pStyle w:val="3-BodyText"/>
        <w:numPr>
          <w:ilvl w:val="0"/>
          <w:numId w:val="0"/>
        </w:numPr>
        <w:spacing w:before="120"/>
        <w:rPr>
          <w:bCs/>
          <w:snapToGrid w:val="0"/>
        </w:rPr>
      </w:pPr>
    </w:p>
    <w:p w14:paraId="122E006E" w14:textId="77777777" w:rsidR="00F778FF" w:rsidRDefault="00F778FF" w:rsidP="00711BD0">
      <w:pPr>
        <w:pStyle w:val="3-BodyText"/>
        <w:numPr>
          <w:ilvl w:val="0"/>
          <w:numId w:val="0"/>
        </w:numPr>
        <w:spacing w:before="120"/>
        <w:rPr>
          <w:bCs/>
          <w:snapToGrid w:val="0"/>
        </w:rPr>
      </w:pPr>
    </w:p>
    <w:p w14:paraId="7A2BA45E" w14:textId="04AC0A88" w:rsidR="00DE1367" w:rsidRPr="00A236F3" w:rsidRDefault="00DE1367" w:rsidP="00A236F3">
      <w:pPr>
        <w:pStyle w:val="3-BodyText"/>
        <w:numPr>
          <w:ilvl w:val="1"/>
          <w:numId w:val="2"/>
        </w:numPr>
        <w:spacing w:before="120"/>
        <w:rPr>
          <w:b/>
          <w:snapToGrid w:val="0"/>
        </w:rPr>
      </w:pPr>
      <w:r w:rsidRPr="006A5ECB">
        <w:rPr>
          <w:snapToGrid w:val="0"/>
        </w:rPr>
        <w:t>A</w:t>
      </w:r>
      <w:r w:rsidRPr="006A7C03">
        <w:rPr>
          <w:snapToGrid w:val="0"/>
        </w:rPr>
        <w:t xml:space="preserve">dd new </w:t>
      </w:r>
      <w:r w:rsidR="00A236F3">
        <w:rPr>
          <w:snapToGrid w:val="0"/>
        </w:rPr>
        <w:t>grandfather listing for</w:t>
      </w:r>
      <w:r w:rsidR="00A236F3">
        <w:rPr>
          <w:b/>
          <w:snapToGrid w:val="0"/>
        </w:rPr>
        <w:t xml:space="preserve"> </w:t>
      </w:r>
      <w:r w:rsidR="00217045" w:rsidRPr="00A236F3">
        <w:rPr>
          <w:snapToGrid w:val="0"/>
        </w:rPr>
        <w:t>Severe active juvenile idiopathic arthritis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d new grandfather listing for Severe active juvenile idiopathic arthritis"/>
      </w:tblPr>
      <w:tblGrid>
        <w:gridCol w:w="1276"/>
        <w:gridCol w:w="2662"/>
        <w:gridCol w:w="876"/>
        <w:gridCol w:w="747"/>
        <w:gridCol w:w="811"/>
        <w:gridCol w:w="812"/>
        <w:gridCol w:w="1837"/>
      </w:tblGrid>
      <w:tr w:rsidR="00471A27" w:rsidRPr="00446E53" w14:paraId="6F818C69" w14:textId="77777777" w:rsidTr="00157DEE">
        <w:trPr>
          <w:cantSplit/>
          <w:trHeight w:val="20"/>
        </w:trPr>
        <w:tc>
          <w:tcPr>
            <w:tcW w:w="3938" w:type="dxa"/>
            <w:gridSpan w:val="2"/>
            <w:vAlign w:val="center"/>
          </w:tcPr>
          <w:p w14:paraId="74FFFCB9" w14:textId="77777777" w:rsidR="00471A27" w:rsidRPr="00446E53" w:rsidRDefault="00471A27" w:rsidP="00157DEE">
            <w:pPr>
              <w:keepLines/>
              <w:rPr>
                <w:rFonts w:ascii="Arial Narrow" w:hAnsi="Arial Narrow" w:cs="Arial"/>
                <w:b/>
                <w:bCs/>
                <w:sz w:val="20"/>
                <w:szCs w:val="20"/>
              </w:rPr>
            </w:pPr>
            <w:r w:rsidRPr="00446E53">
              <w:rPr>
                <w:rFonts w:ascii="Arial Narrow" w:hAnsi="Arial Narrow" w:cs="Arial"/>
                <w:b/>
                <w:bCs/>
                <w:sz w:val="20"/>
                <w:szCs w:val="20"/>
              </w:rPr>
              <w:t>MEDICINAL PRODUCT</w:t>
            </w:r>
          </w:p>
          <w:p w14:paraId="1B8F3D2B" w14:textId="77777777" w:rsidR="00471A27" w:rsidRPr="00446E53" w:rsidRDefault="00471A27" w:rsidP="00157DEE">
            <w:pPr>
              <w:keepLines/>
              <w:rPr>
                <w:rFonts w:ascii="Arial Narrow" w:hAnsi="Arial Narrow" w:cs="Arial"/>
                <w:b/>
                <w:sz w:val="20"/>
                <w:szCs w:val="20"/>
              </w:rPr>
            </w:pPr>
            <w:r w:rsidRPr="00446E53">
              <w:rPr>
                <w:rFonts w:ascii="Arial Narrow" w:hAnsi="Arial Narrow" w:cs="Arial"/>
                <w:b/>
                <w:bCs/>
                <w:sz w:val="20"/>
                <w:szCs w:val="20"/>
              </w:rPr>
              <w:t>medicinal product pack</w:t>
            </w:r>
          </w:p>
        </w:tc>
        <w:tc>
          <w:tcPr>
            <w:tcW w:w="876" w:type="dxa"/>
            <w:vAlign w:val="center"/>
          </w:tcPr>
          <w:p w14:paraId="612A6D1E" w14:textId="77777777" w:rsidR="00471A27" w:rsidRPr="00446E53" w:rsidRDefault="00471A27" w:rsidP="00157DEE">
            <w:pPr>
              <w:keepLines/>
              <w:jc w:val="center"/>
              <w:rPr>
                <w:rFonts w:ascii="Arial Narrow" w:hAnsi="Arial Narrow" w:cs="Arial"/>
                <w:b/>
                <w:sz w:val="20"/>
                <w:szCs w:val="20"/>
              </w:rPr>
            </w:pPr>
            <w:r w:rsidRPr="00446E53">
              <w:rPr>
                <w:rFonts w:ascii="Arial Narrow" w:hAnsi="Arial Narrow" w:cs="Arial"/>
                <w:b/>
                <w:sz w:val="20"/>
                <w:szCs w:val="20"/>
              </w:rPr>
              <w:t>PBS item code</w:t>
            </w:r>
          </w:p>
        </w:tc>
        <w:tc>
          <w:tcPr>
            <w:tcW w:w="747" w:type="dxa"/>
            <w:vAlign w:val="center"/>
          </w:tcPr>
          <w:p w14:paraId="33A8F137" w14:textId="77777777" w:rsidR="00471A27" w:rsidRPr="00446E53" w:rsidRDefault="00471A27" w:rsidP="00157DEE">
            <w:pPr>
              <w:keepLines/>
              <w:jc w:val="center"/>
              <w:rPr>
                <w:rFonts w:ascii="Arial Narrow" w:hAnsi="Arial Narrow" w:cs="Arial"/>
                <w:b/>
                <w:sz w:val="20"/>
                <w:szCs w:val="20"/>
              </w:rPr>
            </w:pPr>
            <w:r w:rsidRPr="00446E53">
              <w:rPr>
                <w:rFonts w:ascii="Arial Narrow" w:hAnsi="Arial Narrow" w:cs="Arial"/>
                <w:b/>
                <w:sz w:val="20"/>
                <w:szCs w:val="20"/>
              </w:rPr>
              <w:t>Max. qty packs</w:t>
            </w:r>
          </w:p>
        </w:tc>
        <w:tc>
          <w:tcPr>
            <w:tcW w:w="811" w:type="dxa"/>
            <w:vAlign w:val="center"/>
          </w:tcPr>
          <w:p w14:paraId="733A923C" w14:textId="77777777" w:rsidR="00471A27" w:rsidRPr="00446E53" w:rsidRDefault="00471A27" w:rsidP="00157DEE">
            <w:pPr>
              <w:keepLines/>
              <w:jc w:val="center"/>
              <w:rPr>
                <w:rFonts w:ascii="Arial Narrow" w:hAnsi="Arial Narrow" w:cs="Arial"/>
                <w:b/>
                <w:sz w:val="20"/>
                <w:szCs w:val="20"/>
              </w:rPr>
            </w:pPr>
            <w:r w:rsidRPr="00446E53">
              <w:rPr>
                <w:rFonts w:ascii="Arial Narrow" w:hAnsi="Arial Narrow" w:cs="Arial"/>
                <w:b/>
                <w:sz w:val="20"/>
                <w:szCs w:val="20"/>
              </w:rPr>
              <w:t>Max. qty units</w:t>
            </w:r>
          </w:p>
        </w:tc>
        <w:tc>
          <w:tcPr>
            <w:tcW w:w="812" w:type="dxa"/>
            <w:vAlign w:val="center"/>
          </w:tcPr>
          <w:p w14:paraId="2908FE09" w14:textId="127A6518" w:rsidR="00471A27" w:rsidRPr="00446E53" w:rsidRDefault="004235D1" w:rsidP="00157DEE">
            <w:pPr>
              <w:keepLines/>
              <w:jc w:val="center"/>
              <w:rPr>
                <w:rFonts w:ascii="Arial Narrow" w:hAnsi="Arial Narrow" w:cs="Arial"/>
                <w:b/>
                <w:sz w:val="20"/>
                <w:szCs w:val="20"/>
              </w:rPr>
            </w:pPr>
            <w:r w:rsidRPr="00446E53">
              <w:rPr>
                <w:rFonts w:ascii="Arial Narrow" w:hAnsi="Arial Narrow" w:cs="Arial"/>
                <w:b/>
                <w:sz w:val="20"/>
                <w:szCs w:val="20"/>
              </w:rPr>
              <w:t>№. of</w:t>
            </w:r>
          </w:p>
          <w:p w14:paraId="59066B05" w14:textId="77777777" w:rsidR="00471A27" w:rsidRPr="00446E53" w:rsidRDefault="00471A27" w:rsidP="00157DEE">
            <w:pPr>
              <w:keepLines/>
              <w:jc w:val="center"/>
              <w:rPr>
                <w:rFonts w:ascii="Arial Narrow" w:hAnsi="Arial Narrow" w:cs="Arial"/>
                <w:b/>
                <w:sz w:val="20"/>
                <w:szCs w:val="20"/>
              </w:rPr>
            </w:pPr>
            <w:r w:rsidRPr="00446E53">
              <w:rPr>
                <w:rFonts w:ascii="Arial Narrow" w:hAnsi="Arial Narrow" w:cs="Arial"/>
                <w:b/>
                <w:sz w:val="20"/>
                <w:szCs w:val="20"/>
              </w:rPr>
              <w:t>Rpts</w:t>
            </w:r>
          </w:p>
        </w:tc>
        <w:tc>
          <w:tcPr>
            <w:tcW w:w="1837" w:type="dxa"/>
            <w:vAlign w:val="center"/>
          </w:tcPr>
          <w:p w14:paraId="66449128" w14:textId="77777777" w:rsidR="00471A27" w:rsidRPr="00446E53" w:rsidRDefault="00471A27" w:rsidP="00157DEE">
            <w:pPr>
              <w:keepLines/>
              <w:rPr>
                <w:rFonts w:ascii="Arial Narrow" w:hAnsi="Arial Narrow" w:cs="Arial"/>
                <w:b/>
                <w:sz w:val="20"/>
                <w:szCs w:val="20"/>
                <w:lang w:val="fr-FR"/>
              </w:rPr>
            </w:pPr>
            <w:r w:rsidRPr="00446E53">
              <w:rPr>
                <w:rFonts w:ascii="Arial Narrow" w:hAnsi="Arial Narrow" w:cs="Arial"/>
                <w:b/>
                <w:sz w:val="20"/>
                <w:szCs w:val="20"/>
              </w:rPr>
              <w:t>Available brands</w:t>
            </w:r>
          </w:p>
        </w:tc>
      </w:tr>
      <w:tr w:rsidR="00471A27" w:rsidRPr="00446E53" w14:paraId="5CB9492F" w14:textId="77777777" w:rsidTr="00157DEE">
        <w:trPr>
          <w:cantSplit/>
          <w:trHeight w:val="20"/>
        </w:trPr>
        <w:tc>
          <w:tcPr>
            <w:tcW w:w="9021" w:type="dxa"/>
            <w:gridSpan w:val="7"/>
            <w:vAlign w:val="center"/>
          </w:tcPr>
          <w:p w14:paraId="57F49307" w14:textId="77777777" w:rsidR="00471A27" w:rsidRPr="00446E53" w:rsidRDefault="00471A27" w:rsidP="00157DEE">
            <w:pPr>
              <w:keepLines/>
              <w:rPr>
                <w:rFonts w:ascii="Arial Narrow" w:hAnsi="Arial Narrow" w:cs="Arial"/>
                <w:sz w:val="20"/>
                <w:szCs w:val="20"/>
              </w:rPr>
            </w:pPr>
            <w:r w:rsidRPr="00A73176">
              <w:rPr>
                <w:rFonts w:ascii="Arial Narrow" w:hAnsi="Arial Narrow" w:cs="Arial"/>
                <w:sz w:val="20"/>
                <w:szCs w:val="20"/>
              </w:rPr>
              <w:t>ADALIMUMAB</w:t>
            </w:r>
          </w:p>
        </w:tc>
      </w:tr>
      <w:tr w:rsidR="00471A27" w:rsidRPr="00AD375D" w14:paraId="1B9CB092" w14:textId="77777777" w:rsidTr="00157DEE">
        <w:trPr>
          <w:cantSplit/>
          <w:trHeight w:val="20"/>
        </w:trPr>
        <w:tc>
          <w:tcPr>
            <w:tcW w:w="3938" w:type="dxa"/>
            <w:gridSpan w:val="2"/>
            <w:vAlign w:val="center"/>
          </w:tcPr>
          <w:p w14:paraId="4B398184" w14:textId="77777777" w:rsidR="00471A27" w:rsidRPr="00446E53" w:rsidRDefault="00471A27" w:rsidP="00157DEE">
            <w:pPr>
              <w:keepLines/>
              <w:rPr>
                <w:rFonts w:ascii="Arial Narrow" w:hAnsi="Arial Narrow" w:cs="Arial"/>
                <w:sz w:val="20"/>
                <w:szCs w:val="20"/>
              </w:rPr>
            </w:pPr>
            <w:r w:rsidRPr="00144D2D">
              <w:rPr>
                <w:rFonts w:ascii="Arial Narrow" w:hAnsi="Arial Narrow" w:cs="Arial"/>
                <w:sz w:val="20"/>
                <w:szCs w:val="20"/>
              </w:rPr>
              <w:t>adalimumab 20 mg/0.2 mL injection, 2 x 0.2 mL syringes</w:t>
            </w:r>
          </w:p>
        </w:tc>
        <w:tc>
          <w:tcPr>
            <w:tcW w:w="876" w:type="dxa"/>
            <w:vAlign w:val="center"/>
          </w:tcPr>
          <w:p w14:paraId="782A7EF0" w14:textId="77777777" w:rsidR="00471A27" w:rsidRPr="00471A27" w:rsidRDefault="00471A27" w:rsidP="00157DEE">
            <w:pPr>
              <w:keepLines/>
              <w:jc w:val="center"/>
              <w:rPr>
                <w:rFonts w:ascii="Arial Narrow" w:hAnsi="Arial Narrow" w:cs="Arial"/>
                <w:sz w:val="20"/>
                <w:szCs w:val="20"/>
              </w:rPr>
            </w:pPr>
            <w:r w:rsidRPr="00471A27">
              <w:rPr>
                <w:rFonts w:ascii="Arial Narrow" w:hAnsi="Arial Narrow" w:cs="Arial"/>
                <w:sz w:val="20"/>
                <w:szCs w:val="20"/>
              </w:rPr>
              <w:t>NEW</w:t>
            </w:r>
          </w:p>
        </w:tc>
        <w:tc>
          <w:tcPr>
            <w:tcW w:w="747" w:type="dxa"/>
            <w:vAlign w:val="center"/>
          </w:tcPr>
          <w:p w14:paraId="1154C32A" w14:textId="77777777" w:rsidR="00471A27" w:rsidRPr="00446E53" w:rsidRDefault="00471A27" w:rsidP="00157DEE">
            <w:pPr>
              <w:keepLines/>
              <w:jc w:val="center"/>
              <w:rPr>
                <w:rFonts w:ascii="Arial Narrow" w:hAnsi="Arial Narrow" w:cs="Arial"/>
                <w:color w:val="FF0000"/>
                <w:sz w:val="20"/>
                <w:szCs w:val="20"/>
              </w:rPr>
            </w:pPr>
            <w:r w:rsidRPr="00144D2D">
              <w:rPr>
                <w:rFonts w:ascii="Arial Narrow" w:hAnsi="Arial Narrow" w:cs="Arial"/>
                <w:sz w:val="20"/>
                <w:szCs w:val="20"/>
              </w:rPr>
              <w:t>1</w:t>
            </w:r>
          </w:p>
        </w:tc>
        <w:tc>
          <w:tcPr>
            <w:tcW w:w="811" w:type="dxa"/>
            <w:vAlign w:val="center"/>
          </w:tcPr>
          <w:p w14:paraId="7BCFCD0A" w14:textId="77777777" w:rsidR="00471A27" w:rsidRPr="00446E53" w:rsidRDefault="00471A27" w:rsidP="00157DEE">
            <w:pPr>
              <w:keepLines/>
              <w:jc w:val="center"/>
              <w:rPr>
                <w:rFonts w:ascii="Arial Narrow" w:hAnsi="Arial Narrow" w:cs="Arial"/>
                <w:color w:val="FF0000"/>
                <w:sz w:val="20"/>
                <w:szCs w:val="20"/>
              </w:rPr>
            </w:pPr>
            <w:r w:rsidRPr="00144D2D">
              <w:rPr>
                <w:rFonts w:ascii="Arial Narrow" w:hAnsi="Arial Narrow" w:cs="Arial"/>
                <w:sz w:val="20"/>
                <w:szCs w:val="20"/>
              </w:rPr>
              <w:t>2</w:t>
            </w:r>
          </w:p>
        </w:tc>
        <w:tc>
          <w:tcPr>
            <w:tcW w:w="812" w:type="dxa"/>
            <w:vAlign w:val="center"/>
          </w:tcPr>
          <w:p w14:paraId="6DF9EDF8" w14:textId="77777777" w:rsidR="00471A27" w:rsidRPr="00446E53" w:rsidRDefault="00471A27" w:rsidP="00157DEE">
            <w:pPr>
              <w:keepLines/>
              <w:jc w:val="center"/>
              <w:rPr>
                <w:rFonts w:ascii="Arial Narrow" w:hAnsi="Arial Narrow" w:cs="Arial"/>
                <w:color w:val="FF0000"/>
                <w:sz w:val="20"/>
                <w:szCs w:val="20"/>
              </w:rPr>
            </w:pPr>
            <w:r>
              <w:rPr>
                <w:rFonts w:ascii="Arial Narrow" w:hAnsi="Arial Narrow" w:cs="Arial"/>
                <w:sz w:val="20"/>
                <w:szCs w:val="20"/>
              </w:rPr>
              <w:t>5</w:t>
            </w:r>
          </w:p>
        </w:tc>
        <w:tc>
          <w:tcPr>
            <w:tcW w:w="1837" w:type="dxa"/>
            <w:vAlign w:val="center"/>
          </w:tcPr>
          <w:p w14:paraId="282B2E51" w14:textId="77777777" w:rsidR="00471A27" w:rsidRPr="00AD375D" w:rsidRDefault="00471A27" w:rsidP="00157DEE">
            <w:pPr>
              <w:keepLines/>
              <w:rPr>
                <w:rFonts w:ascii="Arial Narrow" w:hAnsi="Arial Narrow" w:cs="Arial"/>
                <w:color w:val="FF0000"/>
                <w:sz w:val="20"/>
                <w:szCs w:val="20"/>
              </w:rPr>
            </w:pPr>
            <w:r w:rsidRPr="00144D2D">
              <w:rPr>
                <w:rFonts w:ascii="Arial Narrow" w:hAnsi="Arial Narrow" w:cs="Arial"/>
                <w:sz w:val="20"/>
                <w:szCs w:val="20"/>
              </w:rPr>
              <w:t>Humira</w:t>
            </w:r>
          </w:p>
        </w:tc>
      </w:tr>
      <w:tr w:rsidR="00471A27" w14:paraId="3C3A0DF5" w14:textId="77777777" w:rsidTr="0072777C">
        <w:trPr>
          <w:cantSplit/>
          <w:trHeight w:val="539"/>
        </w:trPr>
        <w:tc>
          <w:tcPr>
            <w:tcW w:w="3938" w:type="dxa"/>
            <w:gridSpan w:val="2"/>
            <w:vAlign w:val="center"/>
          </w:tcPr>
          <w:p w14:paraId="7B968F43" w14:textId="77777777" w:rsidR="00471A27" w:rsidRPr="00144D2D" w:rsidRDefault="00471A27" w:rsidP="00157DEE">
            <w:pPr>
              <w:keepLines/>
              <w:rPr>
                <w:rFonts w:ascii="Arial Narrow" w:hAnsi="Arial Narrow" w:cs="Arial"/>
                <w:sz w:val="20"/>
                <w:szCs w:val="20"/>
              </w:rPr>
            </w:pPr>
            <w:r w:rsidRPr="00144D2D">
              <w:rPr>
                <w:rFonts w:ascii="Arial Narrow" w:hAnsi="Arial Narrow" w:cs="Arial"/>
                <w:sz w:val="20"/>
                <w:szCs w:val="20"/>
              </w:rPr>
              <w:t>adalimumab 40 mg/0.4 mL injection, 2 x 0.4 mL pen devices</w:t>
            </w:r>
          </w:p>
        </w:tc>
        <w:tc>
          <w:tcPr>
            <w:tcW w:w="876" w:type="dxa"/>
          </w:tcPr>
          <w:p w14:paraId="5A030722" w14:textId="77777777" w:rsidR="00471A27" w:rsidRPr="00471A27" w:rsidRDefault="00471A27" w:rsidP="00157DEE">
            <w:pPr>
              <w:keepLines/>
              <w:jc w:val="center"/>
              <w:rPr>
                <w:rFonts w:ascii="Arial Narrow" w:hAnsi="Arial Narrow" w:cs="Arial"/>
                <w:sz w:val="20"/>
                <w:szCs w:val="20"/>
              </w:rPr>
            </w:pPr>
          </w:p>
          <w:p w14:paraId="41357EB0" w14:textId="77777777" w:rsidR="00471A27" w:rsidRPr="00471A27" w:rsidRDefault="00471A27" w:rsidP="00157DEE">
            <w:pPr>
              <w:keepLines/>
              <w:jc w:val="center"/>
              <w:rPr>
                <w:rFonts w:ascii="Arial Narrow" w:hAnsi="Arial Narrow" w:cs="Arial"/>
                <w:sz w:val="20"/>
                <w:szCs w:val="20"/>
              </w:rPr>
            </w:pPr>
          </w:p>
          <w:p w14:paraId="3C4A0FE3" w14:textId="77777777" w:rsidR="00471A27" w:rsidRPr="00471A27" w:rsidRDefault="00471A27" w:rsidP="00157DEE">
            <w:pPr>
              <w:keepLines/>
              <w:jc w:val="center"/>
              <w:rPr>
                <w:rFonts w:ascii="Arial Narrow" w:hAnsi="Arial Narrow" w:cs="Arial"/>
                <w:sz w:val="20"/>
                <w:szCs w:val="20"/>
              </w:rPr>
            </w:pPr>
            <w:r w:rsidRPr="00471A27">
              <w:rPr>
                <w:rFonts w:ascii="Arial Narrow" w:hAnsi="Arial Narrow" w:cs="Arial"/>
                <w:sz w:val="20"/>
                <w:szCs w:val="20"/>
              </w:rPr>
              <w:t>NEW</w:t>
            </w:r>
          </w:p>
        </w:tc>
        <w:tc>
          <w:tcPr>
            <w:tcW w:w="747" w:type="dxa"/>
            <w:vAlign w:val="center"/>
          </w:tcPr>
          <w:p w14:paraId="00504B2A" w14:textId="77777777" w:rsidR="00471A27" w:rsidRPr="00144D2D" w:rsidRDefault="00471A27" w:rsidP="00157DEE">
            <w:pPr>
              <w:keepLines/>
              <w:jc w:val="center"/>
              <w:rPr>
                <w:rFonts w:ascii="Arial Narrow" w:hAnsi="Arial Narrow" w:cs="Arial"/>
                <w:sz w:val="20"/>
                <w:szCs w:val="20"/>
              </w:rPr>
            </w:pPr>
            <w:r w:rsidRPr="00144D2D">
              <w:rPr>
                <w:rFonts w:ascii="Arial Narrow" w:hAnsi="Arial Narrow" w:cs="Arial"/>
                <w:sz w:val="20"/>
                <w:szCs w:val="20"/>
              </w:rPr>
              <w:t>1</w:t>
            </w:r>
          </w:p>
        </w:tc>
        <w:tc>
          <w:tcPr>
            <w:tcW w:w="811" w:type="dxa"/>
            <w:vAlign w:val="center"/>
          </w:tcPr>
          <w:p w14:paraId="2360399D" w14:textId="77777777" w:rsidR="00471A27" w:rsidRPr="00144D2D" w:rsidRDefault="00471A27" w:rsidP="00157DEE">
            <w:pPr>
              <w:keepLines/>
              <w:jc w:val="center"/>
              <w:rPr>
                <w:rFonts w:ascii="Arial Narrow" w:hAnsi="Arial Narrow" w:cs="Arial"/>
                <w:sz w:val="20"/>
                <w:szCs w:val="20"/>
              </w:rPr>
            </w:pPr>
            <w:r w:rsidRPr="00144D2D">
              <w:rPr>
                <w:rFonts w:ascii="Arial Narrow" w:hAnsi="Arial Narrow" w:cs="Arial"/>
                <w:sz w:val="20"/>
                <w:szCs w:val="20"/>
              </w:rPr>
              <w:t>2</w:t>
            </w:r>
          </w:p>
        </w:tc>
        <w:tc>
          <w:tcPr>
            <w:tcW w:w="812" w:type="dxa"/>
            <w:vAlign w:val="center"/>
          </w:tcPr>
          <w:p w14:paraId="3D8F0E15" w14:textId="77777777" w:rsidR="00471A27" w:rsidRPr="00144D2D" w:rsidRDefault="00471A27" w:rsidP="00157DEE">
            <w:pPr>
              <w:keepLines/>
              <w:jc w:val="center"/>
              <w:rPr>
                <w:rFonts w:ascii="Arial Narrow" w:hAnsi="Arial Narrow" w:cs="Arial"/>
                <w:sz w:val="20"/>
                <w:szCs w:val="20"/>
              </w:rPr>
            </w:pPr>
            <w:r>
              <w:rPr>
                <w:rFonts w:ascii="Arial Narrow" w:hAnsi="Arial Narrow" w:cs="Arial"/>
                <w:sz w:val="20"/>
                <w:szCs w:val="20"/>
              </w:rPr>
              <w:t>5</w:t>
            </w:r>
          </w:p>
        </w:tc>
        <w:tc>
          <w:tcPr>
            <w:tcW w:w="1837" w:type="dxa"/>
            <w:vAlign w:val="center"/>
          </w:tcPr>
          <w:p w14:paraId="35FFFC4A" w14:textId="77777777" w:rsidR="00471A27" w:rsidRDefault="00471A27" w:rsidP="00157DEE">
            <w:pPr>
              <w:rPr>
                <w:rFonts w:ascii="Arial Narrow" w:hAnsi="Arial Narrow"/>
                <w:color w:val="333333"/>
                <w:sz w:val="20"/>
                <w:szCs w:val="20"/>
              </w:rPr>
            </w:pPr>
            <w:r>
              <w:rPr>
                <w:rFonts w:ascii="Arial Narrow" w:hAnsi="Arial Narrow"/>
                <w:color w:val="333333"/>
                <w:sz w:val="20"/>
                <w:szCs w:val="20"/>
              </w:rPr>
              <w:t>Humira</w:t>
            </w:r>
          </w:p>
          <w:p w14:paraId="67D6F320" w14:textId="18CD9525" w:rsidR="00471A27" w:rsidRDefault="00471A27" w:rsidP="00157DEE">
            <w:pPr>
              <w:rPr>
                <w:rFonts w:ascii="Arial Narrow" w:hAnsi="Arial Narrow"/>
                <w:color w:val="333333"/>
                <w:sz w:val="20"/>
                <w:szCs w:val="20"/>
              </w:rPr>
            </w:pPr>
          </w:p>
        </w:tc>
      </w:tr>
      <w:tr w:rsidR="00471A27" w:rsidRPr="00144D2D" w14:paraId="1E747EA8" w14:textId="77777777" w:rsidTr="00157DEE">
        <w:trPr>
          <w:cantSplit/>
          <w:trHeight w:val="20"/>
        </w:trPr>
        <w:tc>
          <w:tcPr>
            <w:tcW w:w="3938" w:type="dxa"/>
            <w:gridSpan w:val="2"/>
            <w:vAlign w:val="center"/>
          </w:tcPr>
          <w:p w14:paraId="1A364919" w14:textId="77777777" w:rsidR="00471A27" w:rsidRPr="00144D2D" w:rsidRDefault="00471A27" w:rsidP="00157DEE">
            <w:pPr>
              <w:keepLines/>
              <w:rPr>
                <w:rFonts w:ascii="Arial Narrow" w:hAnsi="Arial Narrow" w:cs="Arial"/>
                <w:sz w:val="20"/>
                <w:szCs w:val="20"/>
              </w:rPr>
            </w:pPr>
            <w:r w:rsidRPr="00144D2D">
              <w:rPr>
                <w:rFonts w:ascii="Arial Narrow" w:hAnsi="Arial Narrow" w:cs="Arial"/>
                <w:sz w:val="20"/>
                <w:szCs w:val="20"/>
              </w:rPr>
              <w:t>adalimumab 40 mg/0.4 mL injection, 2 x 0.4 mL syringes</w:t>
            </w:r>
          </w:p>
        </w:tc>
        <w:tc>
          <w:tcPr>
            <w:tcW w:w="876" w:type="dxa"/>
          </w:tcPr>
          <w:p w14:paraId="2F9EF66F" w14:textId="77777777" w:rsidR="00471A27" w:rsidRPr="00471A27" w:rsidRDefault="00471A27" w:rsidP="00157DEE">
            <w:pPr>
              <w:keepLines/>
              <w:jc w:val="center"/>
              <w:rPr>
                <w:rFonts w:ascii="Arial Narrow" w:hAnsi="Arial Narrow" w:cs="Arial"/>
                <w:sz w:val="20"/>
                <w:szCs w:val="20"/>
              </w:rPr>
            </w:pPr>
          </w:p>
          <w:p w14:paraId="0060DC91" w14:textId="77777777" w:rsidR="00471A27" w:rsidRPr="00471A27" w:rsidRDefault="00471A27" w:rsidP="00157DEE">
            <w:pPr>
              <w:keepLines/>
              <w:jc w:val="center"/>
              <w:rPr>
                <w:rFonts w:ascii="Arial Narrow" w:hAnsi="Arial Narrow" w:cs="Arial"/>
                <w:sz w:val="20"/>
                <w:szCs w:val="20"/>
              </w:rPr>
            </w:pPr>
            <w:r w:rsidRPr="00471A27">
              <w:rPr>
                <w:rFonts w:ascii="Arial Narrow" w:hAnsi="Arial Narrow" w:cs="Arial"/>
                <w:sz w:val="20"/>
                <w:szCs w:val="20"/>
              </w:rPr>
              <w:t>NEW</w:t>
            </w:r>
          </w:p>
        </w:tc>
        <w:tc>
          <w:tcPr>
            <w:tcW w:w="747" w:type="dxa"/>
            <w:vAlign w:val="center"/>
          </w:tcPr>
          <w:p w14:paraId="1EFA4ACB" w14:textId="77777777" w:rsidR="00471A27" w:rsidRPr="00144D2D" w:rsidRDefault="00471A27" w:rsidP="00157DEE">
            <w:pPr>
              <w:keepLines/>
              <w:jc w:val="center"/>
              <w:rPr>
                <w:rFonts w:ascii="Arial Narrow" w:hAnsi="Arial Narrow" w:cs="Arial"/>
                <w:sz w:val="20"/>
                <w:szCs w:val="20"/>
              </w:rPr>
            </w:pPr>
            <w:r w:rsidRPr="00144D2D">
              <w:rPr>
                <w:rFonts w:ascii="Arial Narrow" w:hAnsi="Arial Narrow" w:cs="Arial"/>
                <w:sz w:val="20"/>
                <w:szCs w:val="20"/>
              </w:rPr>
              <w:t>1</w:t>
            </w:r>
          </w:p>
        </w:tc>
        <w:tc>
          <w:tcPr>
            <w:tcW w:w="811" w:type="dxa"/>
            <w:vAlign w:val="center"/>
          </w:tcPr>
          <w:p w14:paraId="0314165B" w14:textId="77777777" w:rsidR="00471A27" w:rsidRPr="00144D2D" w:rsidRDefault="00471A27" w:rsidP="00157DEE">
            <w:pPr>
              <w:keepLines/>
              <w:jc w:val="center"/>
              <w:rPr>
                <w:rFonts w:ascii="Arial Narrow" w:hAnsi="Arial Narrow" w:cs="Arial"/>
                <w:sz w:val="20"/>
                <w:szCs w:val="20"/>
              </w:rPr>
            </w:pPr>
            <w:r w:rsidRPr="00144D2D">
              <w:rPr>
                <w:rFonts w:ascii="Arial Narrow" w:hAnsi="Arial Narrow" w:cs="Arial"/>
                <w:sz w:val="20"/>
                <w:szCs w:val="20"/>
              </w:rPr>
              <w:t>2</w:t>
            </w:r>
          </w:p>
        </w:tc>
        <w:tc>
          <w:tcPr>
            <w:tcW w:w="812" w:type="dxa"/>
            <w:vAlign w:val="center"/>
          </w:tcPr>
          <w:p w14:paraId="34AA634C" w14:textId="77777777" w:rsidR="00471A27" w:rsidRPr="00144D2D" w:rsidRDefault="00471A27" w:rsidP="00157DEE">
            <w:pPr>
              <w:keepLines/>
              <w:jc w:val="center"/>
              <w:rPr>
                <w:rFonts w:ascii="Arial Narrow" w:hAnsi="Arial Narrow" w:cs="Arial"/>
                <w:sz w:val="20"/>
                <w:szCs w:val="20"/>
              </w:rPr>
            </w:pPr>
            <w:r>
              <w:rPr>
                <w:rFonts w:ascii="Arial Narrow" w:hAnsi="Arial Narrow" w:cs="Arial"/>
                <w:sz w:val="20"/>
                <w:szCs w:val="20"/>
              </w:rPr>
              <w:t>5</w:t>
            </w:r>
          </w:p>
        </w:tc>
        <w:tc>
          <w:tcPr>
            <w:tcW w:w="1837" w:type="dxa"/>
            <w:vAlign w:val="center"/>
          </w:tcPr>
          <w:p w14:paraId="0B60A4E8" w14:textId="77777777" w:rsidR="00471A27" w:rsidRDefault="00471A27" w:rsidP="00157DEE">
            <w:pPr>
              <w:rPr>
                <w:rFonts w:ascii="Arial Narrow" w:hAnsi="Arial Narrow"/>
                <w:color w:val="333333"/>
                <w:sz w:val="20"/>
                <w:szCs w:val="20"/>
              </w:rPr>
            </w:pPr>
            <w:r>
              <w:rPr>
                <w:rFonts w:ascii="Arial Narrow" w:hAnsi="Arial Narrow"/>
                <w:color w:val="333333"/>
                <w:sz w:val="20"/>
                <w:szCs w:val="20"/>
              </w:rPr>
              <w:t>Humira</w:t>
            </w:r>
          </w:p>
          <w:p w14:paraId="2D3D29AC" w14:textId="128D50D4" w:rsidR="00471A27" w:rsidRPr="00144D2D" w:rsidRDefault="00471A27" w:rsidP="00157DEE">
            <w:pPr>
              <w:keepLines/>
              <w:rPr>
                <w:rFonts w:ascii="Arial Narrow" w:hAnsi="Arial Narrow" w:cs="Arial"/>
                <w:sz w:val="20"/>
                <w:szCs w:val="20"/>
              </w:rPr>
            </w:pPr>
          </w:p>
        </w:tc>
      </w:tr>
      <w:tr w:rsidR="00471A27" w:rsidRPr="00446E53" w14:paraId="7558841A" w14:textId="77777777" w:rsidTr="00157DEE">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49D46CA3" w14:textId="77777777" w:rsidR="00471A27" w:rsidRPr="00446E53" w:rsidRDefault="00471A27" w:rsidP="00157DEE">
            <w:pPr>
              <w:rPr>
                <w:rFonts w:ascii="Arial Narrow" w:hAnsi="Arial Narrow" w:cs="Arial"/>
                <w:sz w:val="20"/>
                <w:szCs w:val="20"/>
              </w:rPr>
            </w:pPr>
          </w:p>
        </w:tc>
      </w:tr>
      <w:tr w:rsidR="00471A27" w:rsidRPr="00446E53" w14:paraId="1FDDB64C" w14:textId="77777777" w:rsidTr="00157DEE">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5FD0BFF2" w14:textId="77777777" w:rsidR="00471A27" w:rsidRPr="00446E53" w:rsidRDefault="00471A27" w:rsidP="00157DEE">
            <w:pPr>
              <w:jc w:val="center"/>
              <w:rPr>
                <w:rFonts w:ascii="Arial Narrow" w:hAnsi="Arial Narrow" w:cs="Arial"/>
                <w:sz w:val="20"/>
                <w:szCs w:val="20"/>
              </w:rPr>
            </w:pPr>
            <w:r w:rsidRPr="00446E53">
              <w:rPr>
                <w:rFonts w:ascii="Arial Narrow" w:hAnsi="Arial Narrow" w:cs="Arial"/>
                <w:b/>
                <w:sz w:val="20"/>
                <w:szCs w:val="20"/>
              </w:rPr>
              <w:t>Concept ID</w:t>
            </w:r>
          </w:p>
          <w:p w14:paraId="66609355" w14:textId="77777777" w:rsidR="00471A27" w:rsidRPr="00446E53" w:rsidRDefault="00471A27" w:rsidP="00157DEE">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011DB7" w14:textId="77777777" w:rsidR="00471A27" w:rsidRPr="00446E53" w:rsidRDefault="00471A27" w:rsidP="00157DEE">
            <w:pPr>
              <w:keepLines/>
              <w:rPr>
                <w:rFonts w:ascii="Arial Narrow" w:hAnsi="Arial Narrow" w:cs="Arial"/>
                <w:sz w:val="20"/>
                <w:szCs w:val="20"/>
              </w:rPr>
            </w:pPr>
            <w:r w:rsidRPr="000F1D45">
              <w:rPr>
                <w:rFonts w:ascii="Arial Narrow" w:hAnsi="Arial Narrow" w:cs="Arial"/>
                <w:b/>
                <w:sz w:val="20"/>
                <w:szCs w:val="20"/>
                <w14:ligatures w14:val="standardContextual"/>
              </w:rPr>
              <w:t>Category / Program:</w:t>
            </w:r>
            <w:r w:rsidRPr="000F1D45">
              <w:rPr>
                <w:rFonts w:ascii="Arial Narrow" w:hAnsi="Arial Narrow" w:cs="Arial"/>
                <w:color w:val="FF0000"/>
                <w:sz w:val="20"/>
                <w:szCs w:val="20"/>
                <w14:ligatures w14:val="standardContextual"/>
              </w:rPr>
              <w:t xml:space="preserve"> </w:t>
            </w:r>
            <w:r w:rsidRPr="000F1D45">
              <w:rPr>
                <w:rFonts w:ascii="Arial Narrow" w:eastAsia="Calibri" w:hAnsi="Arial Narrow" w:cs="Arial"/>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cs="Arial"/>
                <w:sz w:val="20"/>
                <w:szCs w:val="20"/>
                <w14:ligatures w14:val="standardContextual"/>
              </w:rPr>
              <w:instrText xml:space="preserve"> FORMCHECKBOX </w:instrText>
            </w:r>
            <w:r w:rsidRPr="000F1D45">
              <w:rPr>
                <w:rFonts w:ascii="Arial Narrow" w:eastAsia="Calibri" w:hAnsi="Arial Narrow" w:cs="Arial"/>
                <w:sz w:val="20"/>
                <w:szCs w:val="20"/>
                <w14:ligatures w14:val="standardContextual"/>
              </w:rPr>
            </w:r>
            <w:r w:rsidRPr="000F1D45">
              <w:rPr>
                <w:rFonts w:ascii="Arial Narrow" w:eastAsia="Calibri" w:hAnsi="Arial Narrow" w:cs="Arial"/>
                <w:sz w:val="20"/>
                <w:szCs w:val="20"/>
                <w14:ligatures w14:val="standardContextual"/>
              </w:rPr>
              <w:fldChar w:fldCharType="separate"/>
            </w:r>
            <w:r w:rsidRPr="000F1D45">
              <w:rPr>
                <w:rFonts w:ascii="Arial Narrow" w:eastAsia="Calibri" w:hAnsi="Arial Narrow" w:cs="Arial"/>
                <w:sz w:val="20"/>
                <w:szCs w:val="20"/>
                <w14:ligatures w14:val="standardContextual"/>
              </w:rPr>
              <w:fldChar w:fldCharType="end"/>
            </w:r>
            <w:r w:rsidRPr="000F1D45">
              <w:rPr>
                <w:rFonts w:ascii="Arial Narrow" w:eastAsia="Calibri" w:hAnsi="Arial Narrow" w:cs="Arial"/>
                <w:sz w:val="20"/>
                <w:szCs w:val="20"/>
                <w14:ligatures w14:val="standardContextual"/>
              </w:rPr>
              <w:t xml:space="preserve"> Section 100 – Highly Specialised Drugs Program – Public (Code HB) / Private (Code HS)</w:t>
            </w:r>
          </w:p>
        </w:tc>
      </w:tr>
      <w:tr w:rsidR="00471A27" w:rsidRPr="00446E53" w14:paraId="2A7FB47B"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17A739A9" w14:textId="77777777" w:rsidR="00471A27" w:rsidRPr="00446E53" w:rsidRDefault="00471A27"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5BB6C7" w14:textId="77777777" w:rsidR="00471A27" w:rsidRPr="00446E53" w:rsidRDefault="00471A27" w:rsidP="00157DEE">
            <w:pPr>
              <w:keepLines/>
              <w:rPr>
                <w:rFonts w:ascii="Arial Narrow" w:hAnsi="Arial Narrow" w:cs="Arial"/>
                <w:b/>
                <w:sz w:val="20"/>
                <w:szCs w:val="20"/>
              </w:rPr>
            </w:pPr>
            <w:r w:rsidRPr="00736BC8">
              <w:rPr>
                <w:rFonts w:ascii="Arial Narrow" w:hAnsi="Arial Narrow" w:cs="Arial"/>
                <w:b/>
                <w:sz w:val="20"/>
                <w:szCs w:val="20"/>
              </w:rPr>
              <w:t xml:space="preserve">Prescriber type: </w:t>
            </w:r>
            <w:r w:rsidRPr="00736BC8">
              <w:rPr>
                <w:rFonts w:ascii="Arial Narrow" w:hAnsi="Arial Narrow" w:cs="Arial"/>
                <w:sz w:val="20"/>
                <w:szCs w:val="20"/>
              </w:rPr>
              <w:fldChar w:fldCharType="begin" w:fldLock="1">
                <w:ffData>
                  <w:name w:val=""/>
                  <w:enabled/>
                  <w:calcOnExit w:val="0"/>
                  <w:checkBox>
                    <w:sizeAuto/>
                    <w:default w:val="1"/>
                  </w:checkBox>
                </w:ffData>
              </w:fldChar>
            </w:r>
            <w:r w:rsidRPr="00736BC8">
              <w:rPr>
                <w:rFonts w:ascii="Arial Narrow" w:hAnsi="Arial Narrow" w:cs="Arial"/>
                <w:sz w:val="20"/>
                <w:szCs w:val="20"/>
              </w:rPr>
              <w:instrText xml:space="preserve"> FORMCHECKBOX </w:instrText>
            </w:r>
            <w:r w:rsidRPr="00736BC8">
              <w:rPr>
                <w:rFonts w:ascii="Arial Narrow" w:hAnsi="Arial Narrow" w:cs="Arial"/>
                <w:sz w:val="20"/>
                <w:szCs w:val="20"/>
              </w:rPr>
            </w:r>
            <w:r w:rsidRPr="00736BC8">
              <w:rPr>
                <w:rFonts w:ascii="Arial Narrow" w:hAnsi="Arial Narrow" w:cs="Arial"/>
                <w:sz w:val="20"/>
                <w:szCs w:val="20"/>
              </w:rPr>
              <w:fldChar w:fldCharType="separate"/>
            </w:r>
            <w:r w:rsidRPr="00736BC8">
              <w:rPr>
                <w:rFonts w:ascii="Arial Narrow" w:hAnsi="Arial Narrow" w:cs="Arial"/>
                <w:sz w:val="20"/>
                <w:szCs w:val="20"/>
              </w:rPr>
              <w:fldChar w:fldCharType="end"/>
            </w:r>
            <w:r w:rsidRPr="00736BC8">
              <w:rPr>
                <w:rFonts w:ascii="Arial Narrow" w:hAnsi="Arial Narrow" w:cs="Arial"/>
                <w:sz w:val="20"/>
                <w:szCs w:val="20"/>
              </w:rPr>
              <w:t xml:space="preserve">Medical Practitioners </w:t>
            </w:r>
          </w:p>
        </w:tc>
      </w:tr>
      <w:tr w:rsidR="00471A27" w:rsidRPr="00446E53" w14:paraId="797633AA"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003B9167" w14:textId="77777777" w:rsidR="00471A27" w:rsidRPr="00446E53" w:rsidRDefault="00471A27"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45D12C" w14:textId="77777777" w:rsidR="00471A27" w:rsidRPr="00446E53" w:rsidRDefault="00471A27" w:rsidP="00157DEE">
            <w:pPr>
              <w:keepLines/>
              <w:rPr>
                <w:rFonts w:ascii="Arial Narrow" w:eastAsia="Calibri" w:hAnsi="Arial Narrow" w:cs="Arial"/>
                <w:color w:val="FF0000"/>
                <w:sz w:val="20"/>
                <w:szCs w:val="20"/>
              </w:rPr>
            </w:pPr>
            <w:r w:rsidRPr="00736BC8">
              <w:rPr>
                <w:rFonts w:ascii="Arial Narrow" w:hAnsi="Arial Narrow" w:cs="Arial"/>
                <w:b/>
                <w:sz w:val="20"/>
                <w:szCs w:val="20"/>
              </w:rPr>
              <w:t xml:space="preserve">Restriction type: </w:t>
            </w:r>
            <w:r w:rsidRPr="00736BC8">
              <w:rPr>
                <w:rFonts w:ascii="Arial Narrow" w:eastAsia="Calibri" w:hAnsi="Arial Narrow" w:cs="Arial"/>
                <w:sz w:val="20"/>
                <w:szCs w:val="20"/>
              </w:rPr>
              <w:fldChar w:fldCharType="begin" w:fldLock="1">
                <w:ffData>
                  <w:name w:val=""/>
                  <w:enabled/>
                  <w:calcOnExit w:val="0"/>
                  <w:checkBox>
                    <w:sizeAuto/>
                    <w:default w:val="1"/>
                  </w:checkBox>
                </w:ffData>
              </w:fldChar>
            </w:r>
            <w:r w:rsidRPr="00736BC8">
              <w:rPr>
                <w:rFonts w:ascii="Arial Narrow" w:eastAsia="Calibri" w:hAnsi="Arial Narrow" w:cs="Arial"/>
                <w:sz w:val="20"/>
                <w:szCs w:val="20"/>
              </w:rPr>
              <w:instrText xml:space="preserve"> FORMCHECKBOX </w:instrText>
            </w:r>
            <w:r w:rsidRPr="00736BC8">
              <w:rPr>
                <w:rFonts w:ascii="Arial Narrow" w:eastAsia="Calibri" w:hAnsi="Arial Narrow" w:cs="Arial"/>
                <w:sz w:val="20"/>
                <w:szCs w:val="20"/>
              </w:rPr>
            </w:r>
            <w:r w:rsidRPr="00736BC8">
              <w:rPr>
                <w:rFonts w:ascii="Arial Narrow" w:eastAsia="Calibri" w:hAnsi="Arial Narrow" w:cs="Arial"/>
                <w:sz w:val="20"/>
                <w:szCs w:val="20"/>
              </w:rPr>
              <w:fldChar w:fldCharType="separate"/>
            </w:r>
            <w:r w:rsidRPr="00736BC8">
              <w:rPr>
                <w:rFonts w:ascii="Arial Narrow" w:eastAsia="Calibri" w:hAnsi="Arial Narrow" w:cs="Arial"/>
                <w:sz w:val="20"/>
                <w:szCs w:val="20"/>
              </w:rPr>
              <w:fldChar w:fldCharType="end"/>
            </w:r>
            <w:r w:rsidRPr="00736BC8">
              <w:rPr>
                <w:rFonts w:ascii="Arial Narrow" w:eastAsia="Calibri" w:hAnsi="Arial Narrow" w:cs="Arial"/>
                <w:sz w:val="20"/>
                <w:szCs w:val="20"/>
              </w:rPr>
              <w:t>Authority Required (</w:t>
            </w:r>
            <w:r>
              <w:rPr>
                <w:rFonts w:ascii="Arial Narrow" w:eastAsia="Calibri" w:hAnsi="Arial Narrow" w:cs="Arial"/>
                <w:sz w:val="20"/>
                <w:szCs w:val="20"/>
              </w:rPr>
              <w:t>telephone/online PBS Authorities system)</w:t>
            </w:r>
          </w:p>
        </w:tc>
      </w:tr>
      <w:tr w:rsidR="00471A27" w:rsidRPr="00C73B40" w14:paraId="76D1C27C" w14:textId="77777777" w:rsidTr="00157DEE">
        <w:tblPrEx>
          <w:tblCellMar>
            <w:top w:w="15" w:type="dxa"/>
            <w:bottom w:w="15" w:type="dxa"/>
          </w:tblCellMar>
          <w:tblLook w:val="04A0" w:firstRow="1" w:lastRow="0" w:firstColumn="1" w:lastColumn="0" w:noHBand="0" w:noVBand="1"/>
        </w:tblPrEx>
        <w:trPr>
          <w:trHeight w:val="20"/>
        </w:trPr>
        <w:tc>
          <w:tcPr>
            <w:tcW w:w="1276" w:type="dxa"/>
            <w:vMerge/>
          </w:tcPr>
          <w:p w14:paraId="46A8EF31" w14:textId="77777777" w:rsidR="00471A27" w:rsidRPr="00446E53" w:rsidRDefault="00471A27"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ED11D3" w14:textId="77777777" w:rsidR="00471A27" w:rsidRPr="00C73B40" w:rsidRDefault="00471A27" w:rsidP="00157DEE">
            <w:pPr>
              <w:keepLines/>
              <w:rPr>
                <w:rFonts w:ascii="Arial Narrow" w:hAnsi="Arial Narrow" w:cs="Arial"/>
                <w:b/>
                <w:sz w:val="20"/>
                <w:szCs w:val="20"/>
              </w:rPr>
            </w:pPr>
            <w:r w:rsidRPr="00C73B40">
              <w:rPr>
                <w:rFonts w:ascii="Arial Narrow" w:hAnsi="Arial Narrow" w:cs="Arial"/>
                <w:b/>
                <w:sz w:val="20"/>
                <w:szCs w:val="20"/>
                <w14:ligatures w14:val="standardContextual"/>
              </w:rPr>
              <w:t xml:space="preserve">Authority type: </w:t>
            </w:r>
            <w:r w:rsidRPr="00C73B40">
              <w:rPr>
                <w:rFonts w:ascii="Arial Narrow" w:eastAsia="Calibri" w:hAnsi="Arial Narrow" w:cs="Arial"/>
                <w:sz w:val="20"/>
                <w:szCs w:val="20"/>
                <w14:ligatures w14:val="standardContextual"/>
              </w:rPr>
              <w:fldChar w:fldCharType="begin" w:fldLock="1">
                <w:ffData>
                  <w:name w:val=""/>
                  <w:enabled/>
                  <w:calcOnExit w:val="0"/>
                  <w:checkBox>
                    <w:sizeAuto/>
                    <w:default w:val="1"/>
                  </w:checkBox>
                </w:ffData>
              </w:fldChar>
            </w:r>
            <w:r w:rsidRPr="00C73B40">
              <w:rPr>
                <w:rFonts w:ascii="Arial Narrow" w:eastAsia="Calibri" w:hAnsi="Arial Narrow" w:cs="Arial"/>
                <w:sz w:val="20"/>
                <w:szCs w:val="20"/>
                <w14:ligatures w14:val="standardContextual"/>
              </w:rPr>
              <w:instrText xml:space="preserve"> FORMCHECKBOX </w:instrText>
            </w:r>
            <w:r w:rsidRPr="00C73B40">
              <w:rPr>
                <w:rFonts w:ascii="Arial Narrow" w:eastAsia="Calibri" w:hAnsi="Arial Narrow" w:cs="Arial"/>
                <w:sz w:val="20"/>
                <w:szCs w:val="20"/>
                <w14:ligatures w14:val="standardContextual"/>
              </w:rPr>
            </w:r>
            <w:r w:rsidRPr="00C73B40">
              <w:rPr>
                <w:rFonts w:ascii="Arial Narrow" w:eastAsia="Calibri" w:hAnsi="Arial Narrow" w:cs="Arial"/>
                <w:sz w:val="20"/>
                <w:szCs w:val="20"/>
                <w14:ligatures w14:val="standardContextual"/>
              </w:rPr>
              <w:fldChar w:fldCharType="separate"/>
            </w:r>
            <w:r w:rsidRPr="00C73B40">
              <w:rPr>
                <w:rFonts w:ascii="Arial Narrow" w:eastAsia="Calibri" w:hAnsi="Arial Narrow" w:cs="Arial"/>
                <w:sz w:val="20"/>
                <w:szCs w:val="20"/>
                <w14:ligatures w14:val="standardContextual"/>
              </w:rPr>
              <w:fldChar w:fldCharType="end"/>
            </w:r>
            <w:r w:rsidRPr="00C73B40">
              <w:rPr>
                <w:rFonts w:ascii="Arial Narrow" w:eastAsia="Calibri" w:hAnsi="Arial Narrow" w:cs="Arial"/>
                <w:sz w:val="20"/>
                <w:szCs w:val="20"/>
                <w14:ligatures w14:val="standardContextual"/>
              </w:rPr>
              <w:t xml:space="preserve"> Complex Authority Required (CAR)</w:t>
            </w:r>
          </w:p>
        </w:tc>
      </w:tr>
      <w:tr w:rsidR="00471A27" w:rsidRPr="00446E53" w14:paraId="3CCA0567" w14:textId="77777777" w:rsidTr="00157DEE">
        <w:tblPrEx>
          <w:tblCellMar>
            <w:top w:w="15" w:type="dxa"/>
            <w:bottom w:w="15" w:type="dxa"/>
          </w:tblCellMar>
          <w:tblLook w:val="04A0" w:firstRow="1" w:lastRow="0" w:firstColumn="1" w:lastColumn="0" w:noHBand="0" w:noVBand="1"/>
        </w:tblPrEx>
        <w:trPr>
          <w:trHeight w:val="164"/>
        </w:trPr>
        <w:tc>
          <w:tcPr>
            <w:tcW w:w="1276" w:type="dxa"/>
            <w:tcBorders>
              <w:left w:val="single" w:sz="4" w:space="0" w:color="auto"/>
              <w:bottom w:val="single" w:sz="4" w:space="0" w:color="auto"/>
              <w:right w:val="single" w:sz="4" w:space="0" w:color="auto"/>
            </w:tcBorders>
          </w:tcPr>
          <w:p w14:paraId="681F1265" w14:textId="77777777" w:rsidR="00471A27" w:rsidRPr="00446E53" w:rsidRDefault="00471A27"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119692" w14:textId="77777777" w:rsidR="00471A27" w:rsidRPr="00446E53" w:rsidRDefault="00471A27" w:rsidP="00157DEE">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471A27" w:rsidRPr="0049472F" w14:paraId="25D84C95"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2D3E1A42" w14:textId="2DC0C79C" w:rsidR="00471A27" w:rsidRPr="00446E53" w:rsidRDefault="00471A27" w:rsidP="00157D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8227A6" w14:textId="77777777" w:rsidR="00471A27" w:rsidRDefault="00471A27" w:rsidP="00157DEE">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1637E4B2" w14:textId="77777777" w:rsidR="00471A27" w:rsidRPr="006D6B39" w:rsidRDefault="00471A27" w:rsidP="00157DEE">
            <w:pPr>
              <w:rPr>
                <w:rFonts w:ascii="Arial Narrow" w:hAnsi="Arial Narrow"/>
                <w:color w:val="333333"/>
                <w:sz w:val="20"/>
                <w:szCs w:val="20"/>
              </w:rPr>
            </w:pPr>
            <w:r w:rsidRPr="006D6B39">
              <w:rPr>
                <w:rFonts w:ascii="Arial Narrow" w:hAnsi="Arial Narrow"/>
                <w:b/>
                <w:bCs/>
                <w:color w:val="333333"/>
                <w:sz w:val="20"/>
                <w:szCs w:val="20"/>
              </w:rPr>
              <w:t>TREATMENT OF PATIENTS WITH SEVERE ACTIVE JUVENILE IDIOPATHIC ARTHRITIS</w:t>
            </w:r>
          </w:p>
          <w:p w14:paraId="794D4EE3" w14:textId="237CB38A" w:rsidR="00471A27" w:rsidRPr="0049472F" w:rsidRDefault="00471A27" w:rsidP="00157DEE">
            <w:pPr>
              <w:rPr>
                <w:rFonts w:ascii="Arial Narrow" w:hAnsi="Arial Narrow"/>
                <w:color w:val="333333"/>
                <w:sz w:val="20"/>
                <w:szCs w:val="20"/>
              </w:rPr>
            </w:pPr>
            <w:r>
              <w:rPr>
                <w:rFonts w:ascii="Arial Narrow" w:hAnsi="Arial Narrow"/>
                <w:color w:val="333333"/>
                <w:sz w:val="20"/>
                <w:szCs w:val="20"/>
              </w:rPr>
              <w:t>(For conciseness, see below for the Overarching Note AA)</w:t>
            </w:r>
          </w:p>
        </w:tc>
      </w:tr>
      <w:tr w:rsidR="00471A27" w:rsidRPr="00B26B9F" w14:paraId="0C8C020E"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75FEBC2E" w14:textId="57B677AF" w:rsidR="00471A27" w:rsidRPr="00B26B9F" w:rsidRDefault="00471A27"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861890" w14:textId="77777777" w:rsidR="00471A27" w:rsidRPr="00B26B9F" w:rsidRDefault="00471A27" w:rsidP="00157DEE">
            <w:pPr>
              <w:keepLines/>
              <w:rPr>
                <w:rFonts w:ascii="Arial Narrow" w:hAnsi="Arial Narrow"/>
                <w:b/>
                <w:bCs/>
                <w:color w:val="333333"/>
                <w:sz w:val="20"/>
                <w:szCs w:val="20"/>
              </w:rPr>
            </w:pPr>
            <w:r w:rsidRPr="00B26B9F">
              <w:rPr>
                <w:rFonts w:ascii="Arial Narrow" w:hAnsi="Arial Narrow"/>
                <w:b/>
                <w:bCs/>
                <w:color w:val="333333"/>
                <w:sz w:val="20"/>
                <w:szCs w:val="20"/>
              </w:rPr>
              <w:t>Administrative Advice:</w:t>
            </w:r>
          </w:p>
          <w:p w14:paraId="5B691CDC" w14:textId="77777777" w:rsidR="00471A27" w:rsidRPr="00B26B9F" w:rsidRDefault="00471A27" w:rsidP="00157DEE">
            <w:pPr>
              <w:keepLines/>
              <w:rPr>
                <w:rFonts w:ascii="Arial Narrow" w:hAnsi="Arial Narrow"/>
                <w:b/>
                <w:bCs/>
                <w:color w:val="333333"/>
                <w:sz w:val="20"/>
                <w:szCs w:val="20"/>
              </w:rPr>
            </w:pPr>
            <w:r w:rsidRPr="00B26B9F">
              <w:rPr>
                <w:rFonts w:ascii="Arial Narrow" w:hAnsi="Arial Narrow"/>
                <w:b/>
                <w:bCs/>
                <w:color w:val="333333"/>
                <w:sz w:val="20"/>
                <w:szCs w:val="20"/>
              </w:rPr>
              <w:t>Biosimilar prescribing policy</w:t>
            </w:r>
          </w:p>
          <w:p w14:paraId="6A8507E0" w14:textId="77777777" w:rsidR="00471A27" w:rsidRPr="00B26B9F" w:rsidRDefault="00471A27" w:rsidP="00157DEE">
            <w:pPr>
              <w:keepLines/>
              <w:rPr>
                <w:rFonts w:ascii="Arial Narrow" w:hAnsi="Arial Narrow"/>
                <w:color w:val="333333"/>
                <w:sz w:val="20"/>
                <w:szCs w:val="20"/>
              </w:rPr>
            </w:pPr>
            <w:r w:rsidRPr="00B26B9F">
              <w:rPr>
                <w:rFonts w:ascii="Arial Narrow" w:hAnsi="Arial Narrow"/>
                <w:color w:val="333333"/>
                <w:sz w:val="20"/>
                <w:szCs w:val="20"/>
              </w:rPr>
              <w:t>Prescribing of a biosimilar brand where available is encouraged for treatment naive patients.</w:t>
            </w:r>
          </w:p>
        </w:tc>
      </w:tr>
      <w:tr w:rsidR="00471A27" w:rsidRPr="00B26B9F" w14:paraId="50503EC6"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72379937" w14:textId="0E1A6C20" w:rsidR="00471A27" w:rsidRPr="00B26B9F" w:rsidRDefault="00471A27"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FDD3C8" w14:textId="77777777" w:rsidR="00471A27" w:rsidRPr="00B26B9F" w:rsidRDefault="00471A27" w:rsidP="00157DEE">
            <w:pPr>
              <w:keepLines/>
              <w:rPr>
                <w:rFonts w:ascii="Arial Narrow" w:hAnsi="Arial Narrow"/>
                <w:b/>
                <w:bCs/>
                <w:color w:val="333333"/>
                <w:sz w:val="20"/>
                <w:szCs w:val="20"/>
              </w:rPr>
            </w:pPr>
            <w:r w:rsidRPr="00B26B9F">
              <w:rPr>
                <w:rFonts w:ascii="Arial Narrow" w:hAnsi="Arial Narrow"/>
                <w:b/>
                <w:bCs/>
                <w:color w:val="333333"/>
                <w:sz w:val="20"/>
                <w:szCs w:val="20"/>
              </w:rPr>
              <w:t>Administrative Advice:</w:t>
            </w:r>
          </w:p>
          <w:p w14:paraId="79B282C8" w14:textId="77777777" w:rsidR="00471A27" w:rsidRPr="00B26B9F" w:rsidRDefault="00471A27" w:rsidP="00157DEE">
            <w:pPr>
              <w:keepLines/>
              <w:rPr>
                <w:rFonts w:ascii="Arial Narrow" w:hAnsi="Arial Narrow"/>
                <w:color w:val="333333"/>
                <w:sz w:val="20"/>
                <w:szCs w:val="20"/>
              </w:rPr>
            </w:pPr>
            <w:r w:rsidRPr="00B26B9F">
              <w:rPr>
                <w:rFonts w:ascii="Arial Narrow"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471A27" w:rsidRPr="00B26B9F" w14:paraId="6F05750C"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6BF69E19" w14:textId="77777777" w:rsidR="00471A27" w:rsidRPr="00B26B9F" w:rsidRDefault="00471A27" w:rsidP="00594AC4">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1C2488" w14:textId="77777777" w:rsidR="00471A27" w:rsidRPr="00B26B9F" w:rsidRDefault="00471A27" w:rsidP="00157DEE">
            <w:pPr>
              <w:keepLines/>
              <w:rPr>
                <w:rFonts w:ascii="Arial Narrow" w:hAnsi="Arial Narrow"/>
                <w:b/>
                <w:bCs/>
                <w:sz w:val="20"/>
                <w:szCs w:val="20"/>
              </w:rPr>
            </w:pPr>
            <w:r w:rsidRPr="00B26B9F">
              <w:rPr>
                <w:rFonts w:ascii="Arial Narrow" w:hAnsi="Arial Narrow"/>
                <w:b/>
                <w:bCs/>
                <w:sz w:val="20"/>
                <w:szCs w:val="20"/>
              </w:rPr>
              <w:t>Administrative Advice:</w:t>
            </w:r>
          </w:p>
          <w:p w14:paraId="25B27490" w14:textId="77777777" w:rsidR="00471A27" w:rsidRDefault="00471A27" w:rsidP="00157DEE">
            <w:pPr>
              <w:keepLines/>
              <w:rPr>
                <w:rFonts w:ascii="Arial Narrow" w:hAnsi="Arial Narrow"/>
                <w:sz w:val="20"/>
                <w:szCs w:val="20"/>
              </w:rPr>
            </w:pPr>
            <w:r w:rsidRPr="00B26B9F">
              <w:rPr>
                <w:rFonts w:ascii="Arial Narrow" w:hAnsi="Arial Narrow"/>
                <w:sz w:val="20"/>
                <w:szCs w:val="20"/>
              </w:rPr>
              <w:t>Pharmaceutical benefits that have the form adalimumab 20 mg/0.2 mL syringes and pharmaceutical benefits that have the form adalimumab 20 mg/0.4 mL syringes are equivalent for the purposes of substitution</w:t>
            </w:r>
          </w:p>
          <w:p w14:paraId="4A2E753B" w14:textId="77777777" w:rsidR="00471A27" w:rsidRDefault="00471A27" w:rsidP="00157DEE">
            <w:pPr>
              <w:keepLines/>
              <w:rPr>
                <w:rFonts w:ascii="Arial Narrow" w:hAnsi="Arial Narrow"/>
                <w:b/>
                <w:bCs/>
                <w:sz w:val="20"/>
                <w:szCs w:val="20"/>
              </w:rPr>
            </w:pPr>
          </w:p>
          <w:p w14:paraId="735425C2" w14:textId="77777777" w:rsidR="00471A27" w:rsidRDefault="00471A27" w:rsidP="00157DEE">
            <w:pPr>
              <w:keepLines/>
              <w:rPr>
                <w:rFonts w:ascii="Arial Narrow" w:hAnsi="Arial Narrow"/>
                <w:sz w:val="20"/>
                <w:szCs w:val="20"/>
              </w:rPr>
            </w:pPr>
            <w:r w:rsidRPr="00B26B9F">
              <w:rPr>
                <w:rFonts w:ascii="Arial Narrow" w:hAnsi="Arial Narrow"/>
                <w:sz w:val="20"/>
                <w:szCs w:val="20"/>
              </w:rPr>
              <w:t>Pharmaceutical benefits that have the form adalimumab 40 mg/0.4 mL pen devices and pharmaceutical benefits that have the form adalimumab 40 mg/0.8 mL pen devices are equivalent for the purposes of substitution</w:t>
            </w:r>
          </w:p>
          <w:p w14:paraId="7E396EB2" w14:textId="77777777" w:rsidR="00471A27" w:rsidRDefault="00471A27" w:rsidP="00157DEE">
            <w:pPr>
              <w:keepLines/>
              <w:rPr>
                <w:rFonts w:ascii="Arial Narrow" w:hAnsi="Arial Narrow"/>
                <w:sz w:val="20"/>
                <w:szCs w:val="20"/>
              </w:rPr>
            </w:pPr>
          </w:p>
          <w:p w14:paraId="7C58A02A" w14:textId="77777777" w:rsidR="00471A27" w:rsidRPr="00B26B9F" w:rsidRDefault="00471A27" w:rsidP="00157DEE">
            <w:pPr>
              <w:keepLines/>
              <w:rPr>
                <w:rFonts w:ascii="Arial Narrow" w:hAnsi="Arial Narrow"/>
                <w:b/>
                <w:bCs/>
                <w:color w:val="333333"/>
                <w:sz w:val="20"/>
                <w:szCs w:val="20"/>
              </w:rPr>
            </w:pPr>
            <w:r w:rsidRPr="00B26B9F">
              <w:rPr>
                <w:rFonts w:ascii="Arial Narrow" w:hAnsi="Arial Narrow"/>
                <w:sz w:val="20"/>
                <w:szCs w:val="20"/>
              </w:rPr>
              <w:t>Pharmaceutical benefits that have the form adalimumab 40 mg/0.4 mL syringes and pharmaceutical benefits that have the form adalimumab 40 mg/0.8 mL syringes are equivalent for the purposes of substitution</w:t>
            </w:r>
          </w:p>
        </w:tc>
      </w:tr>
      <w:tr w:rsidR="00471A27" w:rsidRPr="00B26B9F" w14:paraId="5D8DB4EB"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tcPr>
          <w:p w14:paraId="1FADDC7A" w14:textId="45A87CB2" w:rsidR="00471A27" w:rsidRPr="00B26B9F" w:rsidRDefault="00471A27" w:rsidP="00157DEE">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EFE89E" w14:textId="77777777" w:rsidR="00471A27" w:rsidRPr="00B26B9F" w:rsidRDefault="00471A27" w:rsidP="00157DEE">
            <w:pPr>
              <w:keepLines/>
              <w:rPr>
                <w:rFonts w:ascii="Arial Narrow" w:hAnsi="Arial Narrow"/>
                <w:b/>
                <w:bCs/>
                <w:sz w:val="20"/>
                <w:szCs w:val="20"/>
              </w:rPr>
            </w:pPr>
            <w:r w:rsidRPr="00B26B9F">
              <w:rPr>
                <w:rFonts w:ascii="Arial Narrow" w:hAnsi="Arial Narrow"/>
                <w:b/>
                <w:bCs/>
                <w:sz w:val="20"/>
                <w:szCs w:val="20"/>
              </w:rPr>
              <w:t>Administrative Advice:</w:t>
            </w:r>
          </w:p>
          <w:p w14:paraId="6DBBED5B" w14:textId="77777777" w:rsidR="00471A27" w:rsidRPr="00B26B9F" w:rsidRDefault="00471A27" w:rsidP="00157DEE">
            <w:pPr>
              <w:keepLines/>
              <w:rPr>
                <w:rFonts w:ascii="Arial Narrow" w:hAnsi="Arial Narrow"/>
                <w:sz w:val="20"/>
                <w:szCs w:val="20"/>
              </w:rPr>
            </w:pPr>
            <w:r w:rsidRPr="00B26B9F">
              <w:rPr>
                <w:rFonts w:ascii="Arial Narrow" w:hAnsi="Arial Narrow"/>
                <w:sz w:val="20"/>
                <w:szCs w:val="20"/>
              </w:rPr>
              <w:t>Pharmaceutical benefits that have a pack size of 1 may be substituted for pharmaceutical benefits that have a pack size of 2, in combinations equivalent to the maximum quantity number of units.</w:t>
            </w:r>
          </w:p>
        </w:tc>
      </w:tr>
      <w:tr w:rsidR="00471A27" w:rsidRPr="00E374A2" w14:paraId="57DC8D70"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vAlign w:val="center"/>
          </w:tcPr>
          <w:p w14:paraId="206274C3" w14:textId="6BC48A09" w:rsidR="00471A27" w:rsidRPr="000F1D45" w:rsidRDefault="00471A27" w:rsidP="00157DEE">
            <w:pPr>
              <w:jc w:val="center"/>
              <w:rPr>
                <w:rFonts w:ascii="Arial Narrow" w:hAnsi="Arial Narrow"/>
                <w:sz w:val="20"/>
                <w:szCs w:val="20"/>
                <w14:ligatures w14:val="standardContextual"/>
              </w:rPr>
            </w:pPr>
          </w:p>
          <w:p w14:paraId="7C262B10" w14:textId="6DF05F25" w:rsidR="00471A27" w:rsidRPr="00575028" w:rsidRDefault="00471A27" w:rsidP="00157DEE">
            <w:pPr>
              <w:jc w:val="center"/>
              <w:rPr>
                <w:rFonts w:ascii="Arial Narrow" w:hAnsi="Arial Narrow"/>
                <w:i/>
                <w:iCs/>
                <w:color w:val="00B0F0"/>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4EF6ED" w14:textId="77777777" w:rsidR="00471A27" w:rsidRPr="000F1D45" w:rsidRDefault="00471A27" w:rsidP="00157DEE">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7363D483" w14:textId="77777777" w:rsidR="00471A27" w:rsidRPr="00E374A2" w:rsidRDefault="00471A27" w:rsidP="00157DEE">
            <w:pPr>
              <w:rPr>
                <w:rFonts w:ascii="Arial Narrow" w:hAnsi="Arial Narrow"/>
                <w:color w:val="00B0F0"/>
                <w:sz w:val="20"/>
                <w:szCs w:val="20"/>
              </w:rPr>
            </w:pPr>
            <w:r w:rsidRPr="000F1D45">
              <w:rPr>
                <w:rFonts w:ascii="Arial Narrow" w:hAnsi="Arial Narrow" w:cs="Open Sans"/>
                <w:color w:val="333333"/>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71A27" w:rsidRPr="009C00B8" w14:paraId="45FF1272" w14:textId="77777777" w:rsidTr="00157DEE">
        <w:tblPrEx>
          <w:tblCellMar>
            <w:top w:w="15" w:type="dxa"/>
            <w:bottom w:w="15" w:type="dxa"/>
          </w:tblCellMar>
          <w:tblLook w:val="04A0" w:firstRow="1" w:lastRow="0" w:firstColumn="1" w:lastColumn="0" w:noHBand="0" w:noVBand="1"/>
        </w:tblPrEx>
        <w:trPr>
          <w:trHeight w:val="20"/>
        </w:trPr>
        <w:tc>
          <w:tcPr>
            <w:tcW w:w="1276" w:type="dxa"/>
            <w:tcBorders>
              <w:left w:val="single" w:sz="4" w:space="0" w:color="auto"/>
              <w:bottom w:val="single" w:sz="4" w:space="0" w:color="auto"/>
              <w:right w:val="single" w:sz="4" w:space="0" w:color="auto"/>
            </w:tcBorders>
            <w:shd w:val="clear" w:color="auto" w:fill="BFBFBF" w:themeFill="background1" w:themeFillShade="BF"/>
          </w:tcPr>
          <w:p w14:paraId="432AF899" w14:textId="77777777" w:rsidR="00471A27" w:rsidRPr="00446E53" w:rsidRDefault="00471A27" w:rsidP="00157D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8FE989" w14:textId="1C31D287" w:rsidR="00471A27" w:rsidRPr="009C00B8" w:rsidRDefault="00471A27" w:rsidP="00157DEE">
            <w:pPr>
              <w:keepLines/>
              <w:rPr>
                <w:rFonts w:ascii="Arial Narrow" w:hAnsi="Arial Narrow"/>
                <w:b/>
                <w:bCs/>
                <w:color w:val="333333"/>
                <w:sz w:val="20"/>
                <w:szCs w:val="20"/>
              </w:rPr>
            </w:pPr>
            <w:r w:rsidRPr="008A71E9">
              <w:rPr>
                <w:rFonts w:ascii="Arial Narrow" w:hAnsi="Arial Narrow"/>
                <w:b/>
                <w:sz w:val="20"/>
                <w:szCs w:val="20"/>
              </w:rPr>
              <w:t xml:space="preserve">Restriction Summary </w:t>
            </w:r>
            <w:r w:rsidR="004240B4">
              <w:rPr>
                <w:rFonts w:ascii="Arial Narrow" w:hAnsi="Arial Narrow"/>
                <w:b/>
                <w:sz w:val="20"/>
                <w:szCs w:val="20"/>
              </w:rPr>
              <w:t>[n</w:t>
            </w:r>
            <w:r w:rsidR="00A236F3">
              <w:rPr>
                <w:rFonts w:ascii="Arial Narrow" w:hAnsi="Arial Narrow"/>
                <w:b/>
                <w:sz w:val="20"/>
                <w:szCs w:val="20"/>
              </w:rPr>
              <w:t>ew</w:t>
            </w:r>
            <w:r w:rsidR="004240B4">
              <w:rPr>
                <w:rFonts w:ascii="Arial Narrow" w:hAnsi="Arial Narrow"/>
                <w:b/>
                <w:sz w:val="20"/>
                <w:szCs w:val="20"/>
              </w:rPr>
              <w:t>5]</w:t>
            </w:r>
            <w:r w:rsidRPr="008A71E9">
              <w:rPr>
                <w:rFonts w:ascii="Arial Narrow" w:hAnsi="Arial Narrow"/>
                <w:b/>
                <w:sz w:val="20"/>
                <w:szCs w:val="20"/>
              </w:rPr>
              <w:t xml:space="preserve"> / Treatment of Concept: </w:t>
            </w:r>
            <w:r w:rsidR="004240B4">
              <w:rPr>
                <w:rFonts w:ascii="Arial Narrow" w:hAnsi="Arial Narrow"/>
                <w:b/>
                <w:sz w:val="20"/>
                <w:szCs w:val="20"/>
              </w:rPr>
              <w:t>[n</w:t>
            </w:r>
            <w:r w:rsidR="00A236F3">
              <w:rPr>
                <w:rFonts w:ascii="Arial Narrow" w:hAnsi="Arial Narrow"/>
                <w:b/>
                <w:sz w:val="20"/>
                <w:szCs w:val="20"/>
              </w:rPr>
              <w:t>ew</w:t>
            </w:r>
            <w:r w:rsidR="004240B4">
              <w:rPr>
                <w:rFonts w:ascii="Arial Narrow" w:hAnsi="Arial Narrow"/>
                <w:b/>
                <w:sz w:val="20"/>
                <w:szCs w:val="20"/>
              </w:rPr>
              <w:t>5A]</w:t>
            </w:r>
          </w:p>
        </w:tc>
      </w:tr>
      <w:tr w:rsidR="00471A27" w:rsidRPr="00446E53" w14:paraId="3CFFBCAF" w14:textId="77777777" w:rsidTr="00157DEE">
        <w:tblPrEx>
          <w:tblCellMar>
            <w:top w:w="15" w:type="dxa"/>
            <w:bottom w:w="15" w:type="dxa"/>
          </w:tblCellMar>
          <w:tblLook w:val="04A0" w:firstRow="1" w:lastRow="0" w:firstColumn="1" w:lastColumn="0" w:noHBand="0" w:noVBand="1"/>
        </w:tblPrEx>
        <w:trPr>
          <w:cantSplit/>
          <w:trHeight w:val="20"/>
        </w:trPr>
        <w:tc>
          <w:tcPr>
            <w:tcW w:w="1276" w:type="dxa"/>
            <w:hideMark/>
          </w:tcPr>
          <w:p w14:paraId="65738BE9" w14:textId="0710736D" w:rsidR="00471A27" w:rsidRPr="0002318E" w:rsidRDefault="00471A27" w:rsidP="00157DEE">
            <w:pPr>
              <w:keepLines/>
              <w:jc w:val="center"/>
              <w:rPr>
                <w:rFonts w:ascii="Arial Narrow" w:hAnsi="Arial Narrow"/>
                <w:sz w:val="20"/>
                <w:szCs w:val="20"/>
              </w:rPr>
            </w:pPr>
          </w:p>
        </w:tc>
        <w:tc>
          <w:tcPr>
            <w:tcW w:w="7745" w:type="dxa"/>
            <w:gridSpan w:val="6"/>
            <w:vAlign w:val="center"/>
            <w:hideMark/>
          </w:tcPr>
          <w:p w14:paraId="1CCB4416" w14:textId="77777777" w:rsidR="00471A27" w:rsidRPr="00446E53" w:rsidRDefault="00471A27" w:rsidP="00157DEE">
            <w:pPr>
              <w:keepLines/>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sidRPr="00F224F2">
              <w:rPr>
                <w:rFonts w:ascii="Arial Narrow" w:hAnsi="Arial Narrow"/>
                <w:color w:val="333333"/>
                <w:sz w:val="20"/>
                <w:szCs w:val="20"/>
              </w:rPr>
              <w:t>Severe active juvenile idiopathic arthritis</w:t>
            </w:r>
          </w:p>
        </w:tc>
      </w:tr>
      <w:tr w:rsidR="00471A27" w:rsidRPr="00446E53" w14:paraId="6CF405E2" w14:textId="77777777" w:rsidTr="00157DEE">
        <w:tblPrEx>
          <w:tblCellMar>
            <w:top w:w="15" w:type="dxa"/>
            <w:bottom w:w="15" w:type="dxa"/>
          </w:tblCellMar>
          <w:tblLook w:val="04A0" w:firstRow="1" w:lastRow="0" w:firstColumn="1" w:lastColumn="0" w:noHBand="0" w:noVBand="1"/>
        </w:tblPrEx>
        <w:trPr>
          <w:cantSplit/>
          <w:trHeight w:val="20"/>
        </w:trPr>
        <w:tc>
          <w:tcPr>
            <w:tcW w:w="1276" w:type="dxa"/>
            <w:hideMark/>
          </w:tcPr>
          <w:p w14:paraId="39F6645C" w14:textId="77777777" w:rsidR="00471A27" w:rsidRPr="0002318E" w:rsidRDefault="00471A27" w:rsidP="00157DEE">
            <w:pPr>
              <w:jc w:val="center"/>
              <w:rPr>
                <w:rFonts w:ascii="Arial Narrow" w:hAnsi="Arial Narrow"/>
                <w:sz w:val="20"/>
                <w:szCs w:val="20"/>
              </w:rPr>
            </w:pPr>
          </w:p>
        </w:tc>
        <w:tc>
          <w:tcPr>
            <w:tcW w:w="7745" w:type="dxa"/>
            <w:gridSpan w:val="6"/>
            <w:vAlign w:val="center"/>
            <w:hideMark/>
          </w:tcPr>
          <w:p w14:paraId="3C74EEA5" w14:textId="77777777" w:rsidR="00471A27" w:rsidRPr="00446E53" w:rsidRDefault="00471A27" w:rsidP="00157DEE">
            <w:pPr>
              <w:rPr>
                <w:rFonts w:ascii="Arial Narrow" w:hAnsi="Arial Narrow"/>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sidRPr="2A26E699">
              <w:rPr>
                <w:rFonts w:ascii="Arial Narrow" w:hAnsi="Arial Narrow"/>
                <w:sz w:val="20"/>
                <w:szCs w:val="20"/>
              </w:rPr>
              <w:t>Transitioning from non-PBS to PBS-subsidised treatment - Grandfather arrangements</w:t>
            </w:r>
          </w:p>
        </w:tc>
      </w:tr>
      <w:tr w:rsidR="00471A27" w:rsidRPr="00446E53" w14:paraId="62F321B4" w14:textId="77777777" w:rsidTr="00157DEE">
        <w:tblPrEx>
          <w:tblCellMar>
            <w:top w:w="15" w:type="dxa"/>
            <w:bottom w:w="15" w:type="dxa"/>
          </w:tblCellMar>
          <w:tblLook w:val="04A0" w:firstRow="1" w:lastRow="0" w:firstColumn="1" w:lastColumn="0" w:noHBand="0" w:noVBand="1"/>
        </w:tblPrEx>
        <w:trPr>
          <w:cantSplit/>
          <w:trHeight w:val="20"/>
        </w:trPr>
        <w:tc>
          <w:tcPr>
            <w:tcW w:w="1276" w:type="dxa"/>
            <w:hideMark/>
          </w:tcPr>
          <w:p w14:paraId="6892960D" w14:textId="1D28C416" w:rsidR="00471A27" w:rsidRPr="0002318E" w:rsidRDefault="00471A27" w:rsidP="00157DEE">
            <w:pPr>
              <w:jc w:val="center"/>
              <w:rPr>
                <w:rFonts w:ascii="Arial Narrow" w:hAnsi="Arial Narrow"/>
                <w:sz w:val="20"/>
                <w:szCs w:val="20"/>
              </w:rPr>
            </w:pPr>
          </w:p>
        </w:tc>
        <w:tc>
          <w:tcPr>
            <w:tcW w:w="7745" w:type="dxa"/>
            <w:gridSpan w:val="6"/>
            <w:vAlign w:val="center"/>
            <w:hideMark/>
          </w:tcPr>
          <w:p w14:paraId="5A9360BD" w14:textId="77777777" w:rsidR="00471A27" w:rsidRPr="00446E53" w:rsidRDefault="00471A27" w:rsidP="00157DEE">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471A27" w:rsidRPr="00446E53" w14:paraId="198D237C" w14:textId="77777777" w:rsidTr="00157DEE">
        <w:tblPrEx>
          <w:tblCellMar>
            <w:top w:w="15" w:type="dxa"/>
            <w:bottom w:w="15" w:type="dxa"/>
          </w:tblCellMar>
          <w:tblLook w:val="04A0" w:firstRow="1" w:lastRow="0" w:firstColumn="1" w:lastColumn="0" w:noHBand="0" w:noVBand="1"/>
        </w:tblPrEx>
        <w:trPr>
          <w:cantSplit/>
          <w:trHeight w:val="20"/>
        </w:trPr>
        <w:tc>
          <w:tcPr>
            <w:tcW w:w="1276" w:type="dxa"/>
            <w:vAlign w:val="center"/>
          </w:tcPr>
          <w:p w14:paraId="2460D793" w14:textId="3FF74F44" w:rsidR="00471A27" w:rsidRPr="00446E53" w:rsidRDefault="00471A27" w:rsidP="00157DEE">
            <w:pPr>
              <w:jc w:val="center"/>
              <w:rPr>
                <w:rFonts w:ascii="Arial Narrow" w:hAnsi="Arial Narrow"/>
                <w:color w:val="333333"/>
                <w:sz w:val="20"/>
                <w:szCs w:val="20"/>
              </w:rPr>
            </w:pPr>
          </w:p>
        </w:tc>
        <w:tc>
          <w:tcPr>
            <w:tcW w:w="7745" w:type="dxa"/>
            <w:gridSpan w:val="6"/>
            <w:vAlign w:val="center"/>
            <w:hideMark/>
          </w:tcPr>
          <w:p w14:paraId="323AEC6F" w14:textId="77777777" w:rsidR="00471A27" w:rsidRPr="00446E53" w:rsidRDefault="00471A27" w:rsidP="00157DEE">
            <w:pPr>
              <w:rPr>
                <w:rFonts w:ascii="Arial Narrow" w:hAnsi="Arial Narrow"/>
                <w:color w:val="333333"/>
                <w:sz w:val="20"/>
                <w:szCs w:val="20"/>
              </w:rPr>
            </w:pPr>
            <w:r w:rsidRPr="2A26E699">
              <w:rPr>
                <w:rFonts w:ascii="Arial Narrow" w:hAnsi="Arial Narrow"/>
                <w:sz w:val="20"/>
                <w:szCs w:val="20"/>
              </w:rPr>
              <w:t>Patient must have received non-PBS-subsidised treatment with this drug for this PBS indication prior to [PBS listing date].</w:t>
            </w:r>
          </w:p>
        </w:tc>
      </w:tr>
      <w:tr w:rsidR="00471A27" w:rsidRPr="00446E53" w14:paraId="5E27AC75"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5697189F" w14:textId="77777777" w:rsidR="00471A27" w:rsidRPr="00446E53" w:rsidRDefault="00471A27" w:rsidP="00157DEE">
            <w:pPr>
              <w:jc w:val="center"/>
              <w:rPr>
                <w:rFonts w:ascii="Arial Narrow" w:hAnsi="Arial Narrow"/>
                <w:color w:val="333333"/>
                <w:sz w:val="20"/>
                <w:szCs w:val="20"/>
              </w:rPr>
            </w:pPr>
          </w:p>
        </w:tc>
        <w:tc>
          <w:tcPr>
            <w:tcW w:w="7745" w:type="dxa"/>
            <w:gridSpan w:val="6"/>
            <w:vAlign w:val="center"/>
            <w:hideMark/>
          </w:tcPr>
          <w:p w14:paraId="7D987E06" w14:textId="77777777" w:rsidR="00471A27" w:rsidRPr="00446E53" w:rsidRDefault="00471A27" w:rsidP="00157DEE">
            <w:pPr>
              <w:rPr>
                <w:rFonts w:ascii="Arial Narrow" w:hAnsi="Arial Narrow"/>
                <w:color w:val="333333"/>
                <w:sz w:val="20"/>
                <w:szCs w:val="20"/>
              </w:rPr>
            </w:pPr>
            <w:r w:rsidRPr="00446E53">
              <w:rPr>
                <w:rFonts w:ascii="Arial Narrow" w:hAnsi="Arial Narrow"/>
                <w:b/>
                <w:bCs/>
                <w:color w:val="333333"/>
                <w:sz w:val="20"/>
                <w:szCs w:val="20"/>
              </w:rPr>
              <w:t>AND</w:t>
            </w:r>
          </w:p>
        </w:tc>
      </w:tr>
      <w:tr w:rsidR="00471A27" w:rsidRPr="00446E53" w14:paraId="5BB279B7"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30FDD25" w14:textId="0DA8C44A" w:rsidR="00471A27" w:rsidRPr="00FD7365" w:rsidRDefault="00471A27" w:rsidP="00157DEE">
            <w:pPr>
              <w:jc w:val="center"/>
              <w:rPr>
                <w:rFonts w:ascii="Arial Narrow" w:hAnsi="Arial Narrow"/>
                <w:sz w:val="20"/>
                <w:szCs w:val="20"/>
              </w:rPr>
            </w:pPr>
          </w:p>
        </w:tc>
        <w:tc>
          <w:tcPr>
            <w:tcW w:w="7745" w:type="dxa"/>
            <w:gridSpan w:val="6"/>
            <w:vAlign w:val="center"/>
            <w:hideMark/>
          </w:tcPr>
          <w:p w14:paraId="02A3A9B7" w14:textId="77777777" w:rsidR="00471A27" w:rsidRPr="00446E53" w:rsidRDefault="00471A27" w:rsidP="00157DE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471A27" w:rsidRPr="00727ABD" w14:paraId="3F33B645"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68F45013" w14:textId="1E7F0388" w:rsidR="00471A27" w:rsidRPr="00FD7365" w:rsidRDefault="00471A27" w:rsidP="00157DEE">
            <w:pPr>
              <w:jc w:val="center"/>
              <w:rPr>
                <w:rFonts w:ascii="Arial Narrow" w:hAnsi="Arial Narrow"/>
                <w:sz w:val="20"/>
                <w:szCs w:val="20"/>
              </w:rPr>
            </w:pPr>
          </w:p>
        </w:tc>
        <w:tc>
          <w:tcPr>
            <w:tcW w:w="7745" w:type="dxa"/>
            <w:gridSpan w:val="6"/>
            <w:vAlign w:val="center"/>
          </w:tcPr>
          <w:p w14:paraId="7FB0DDA3" w14:textId="77777777" w:rsidR="00471A27" w:rsidRPr="00727ABD" w:rsidRDefault="00471A27" w:rsidP="00157DEE">
            <w:pPr>
              <w:rPr>
                <w:rFonts w:ascii="Arial Narrow" w:hAnsi="Arial Narrow"/>
                <w:sz w:val="20"/>
                <w:szCs w:val="20"/>
              </w:rPr>
            </w:pPr>
            <w:r w:rsidRPr="00163CFE">
              <w:rPr>
                <w:rFonts w:ascii="Arial Narrow" w:hAnsi="Arial Narrow"/>
                <w:sz w:val="20"/>
                <w:szCs w:val="20"/>
              </w:rPr>
              <w:t>Patient must have</w:t>
            </w:r>
            <w:r>
              <w:rPr>
                <w:rFonts w:ascii="Arial Narrow" w:hAnsi="Arial Narrow"/>
                <w:sz w:val="20"/>
                <w:szCs w:val="20"/>
              </w:rPr>
              <w:t xml:space="preserve">, </w:t>
            </w:r>
            <w:r w:rsidRPr="2A26E699">
              <w:rPr>
                <w:rFonts w:ascii="Arial Narrow" w:hAnsi="Arial Narrow"/>
                <w:sz w:val="20"/>
                <w:szCs w:val="20"/>
              </w:rPr>
              <w:t xml:space="preserve">prior to initiating treatment with this drug for this </w:t>
            </w:r>
            <w:r>
              <w:rPr>
                <w:rFonts w:ascii="Arial Narrow" w:hAnsi="Arial Narrow"/>
                <w:sz w:val="20"/>
                <w:szCs w:val="20"/>
              </w:rPr>
              <w:t>condition</w:t>
            </w:r>
            <w:r w:rsidRPr="2A26E699">
              <w:rPr>
                <w:rFonts w:ascii="Arial Narrow" w:hAnsi="Arial Narrow"/>
                <w:sz w:val="20"/>
                <w:szCs w:val="20"/>
              </w:rPr>
              <w:t xml:space="preserve">, </w:t>
            </w:r>
            <w:r w:rsidRPr="00163CFE">
              <w:rPr>
                <w:rFonts w:ascii="Arial Narrow" w:hAnsi="Arial Narrow"/>
                <w:sz w:val="20"/>
                <w:szCs w:val="20"/>
              </w:rPr>
              <w:t>demonstrated severe intolerance of, or toxicity due to, methotrexate; or</w:t>
            </w:r>
          </w:p>
        </w:tc>
      </w:tr>
      <w:tr w:rsidR="00471A27" w:rsidRPr="00727ABD" w14:paraId="3E922D2D"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DE438E1" w14:textId="09B7382D" w:rsidR="00471A27" w:rsidRDefault="00471A27" w:rsidP="00157DEE">
            <w:pPr>
              <w:jc w:val="center"/>
              <w:rPr>
                <w:rFonts w:ascii="Arial Narrow" w:hAnsi="Arial Narrow"/>
                <w:sz w:val="20"/>
                <w:szCs w:val="20"/>
              </w:rPr>
            </w:pPr>
          </w:p>
        </w:tc>
        <w:tc>
          <w:tcPr>
            <w:tcW w:w="7745" w:type="dxa"/>
            <w:gridSpan w:val="6"/>
            <w:vAlign w:val="center"/>
          </w:tcPr>
          <w:p w14:paraId="7766D1F9" w14:textId="77777777" w:rsidR="00471A27" w:rsidRPr="00727ABD" w:rsidRDefault="00471A27" w:rsidP="00157DEE">
            <w:pPr>
              <w:rPr>
                <w:rFonts w:ascii="Arial Narrow" w:hAnsi="Arial Narrow"/>
                <w:sz w:val="20"/>
                <w:szCs w:val="20"/>
              </w:rPr>
            </w:pPr>
            <w:r w:rsidRPr="000F1D45">
              <w:rPr>
                <w:rFonts w:ascii="Arial Narrow" w:hAnsi="Arial Narrow"/>
                <w:sz w:val="20"/>
                <w:szCs w:val="20"/>
                <w14:ligatures w14:val="standardContextual"/>
              </w:rPr>
              <w:t>Patient must have</w:t>
            </w:r>
            <w:r>
              <w:rPr>
                <w:rFonts w:ascii="Arial Narrow" w:hAnsi="Arial Narrow"/>
                <w:sz w:val="20"/>
                <w:szCs w:val="20"/>
                <w14:ligatures w14:val="standardContextual"/>
              </w:rPr>
              <w:t xml:space="preserve">, </w:t>
            </w:r>
            <w:r w:rsidRPr="2A26E699">
              <w:rPr>
                <w:rFonts w:ascii="Arial Narrow" w:hAnsi="Arial Narrow"/>
                <w:sz w:val="20"/>
                <w:szCs w:val="20"/>
              </w:rPr>
              <w:t xml:space="preserve">prior to initiating treatment with this drug for this condition, </w:t>
            </w:r>
            <w:r w:rsidRPr="000F1D45">
              <w:rPr>
                <w:rFonts w:ascii="Arial Narrow" w:hAnsi="Arial Narrow"/>
                <w:sz w:val="20"/>
                <w:szCs w:val="20"/>
                <w14:ligatures w14:val="standardContextual"/>
              </w:rPr>
              <w:t>demonstrated failure to achieve an adequate response to 1 or more of the following treatment regimens: (i) oral or parenteral methotrexate at a dose of at le</w:t>
            </w:r>
            <w:r w:rsidRPr="00A236F3">
              <w:rPr>
                <w:rFonts w:ascii="Arial Narrow" w:hAnsi="Arial Narrow"/>
                <w:color w:val="000000" w:themeColor="text1"/>
                <w:sz w:val="20"/>
                <w:szCs w:val="20"/>
                <w14:ligatures w14:val="standardContextual"/>
              </w:rPr>
              <w:t xml:space="preserve">ast </w:t>
            </w:r>
            <w:r w:rsidRPr="00A236F3">
              <w:rPr>
                <w:rFonts w:ascii="Arial Narrow" w:hAnsi="Arial Narrow"/>
                <w:i/>
                <w:color w:val="000000" w:themeColor="text1"/>
                <w:sz w:val="20"/>
                <w:szCs w:val="20"/>
                <w14:ligatures w14:val="standardContextual"/>
              </w:rPr>
              <w:t xml:space="preserve">15 </w:t>
            </w:r>
            <w:r w:rsidRPr="00A236F3">
              <w:rPr>
                <w:rFonts w:ascii="Arial Narrow" w:hAnsi="Arial Narrow"/>
                <w:color w:val="000000" w:themeColor="text1"/>
                <w:sz w:val="20"/>
                <w:szCs w:val="20"/>
                <w14:ligatures w14:val="standardContextual"/>
              </w:rPr>
              <w:t xml:space="preserve">mg </w:t>
            </w:r>
            <w:r w:rsidRPr="000F1D45">
              <w:rPr>
                <w:rFonts w:ascii="Arial Narrow" w:hAnsi="Arial Narrow"/>
                <w:sz w:val="20"/>
                <w:szCs w:val="20"/>
                <w14:ligatures w14:val="standardContextual"/>
              </w:rPr>
              <w:t>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w:t>
            </w:r>
          </w:p>
        </w:tc>
      </w:tr>
      <w:tr w:rsidR="00471A27" w:rsidRPr="000F1D45" w14:paraId="2630F52F"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08DBEA99" w14:textId="77777777" w:rsidR="00471A27" w:rsidRDefault="00471A27" w:rsidP="00157DEE">
            <w:pPr>
              <w:jc w:val="center"/>
              <w:rPr>
                <w:rFonts w:ascii="Arial Narrow" w:hAnsi="Arial Narrow"/>
                <w:sz w:val="20"/>
                <w:szCs w:val="20"/>
              </w:rPr>
            </w:pPr>
          </w:p>
        </w:tc>
        <w:tc>
          <w:tcPr>
            <w:tcW w:w="7745" w:type="dxa"/>
            <w:gridSpan w:val="6"/>
            <w:vAlign w:val="center"/>
          </w:tcPr>
          <w:p w14:paraId="77C39B7D" w14:textId="77777777" w:rsidR="00471A27" w:rsidRPr="000F1D45" w:rsidRDefault="00471A27" w:rsidP="00157DEE">
            <w:pPr>
              <w:rPr>
                <w:rFonts w:ascii="Arial Narrow" w:hAnsi="Arial Narrow"/>
                <w:sz w:val="20"/>
                <w:szCs w:val="20"/>
                <w14:ligatures w14:val="standardContextual"/>
              </w:rPr>
            </w:pPr>
            <w:r w:rsidRPr="00446E53">
              <w:rPr>
                <w:rFonts w:ascii="Arial Narrow" w:hAnsi="Arial Narrow"/>
                <w:b/>
                <w:bCs/>
                <w:color w:val="333333"/>
                <w:sz w:val="20"/>
                <w:szCs w:val="20"/>
              </w:rPr>
              <w:t>AND</w:t>
            </w:r>
          </w:p>
        </w:tc>
      </w:tr>
      <w:tr w:rsidR="00471A27" w:rsidRPr="000F1D45" w14:paraId="3FD8E891"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F3ADFC5" w14:textId="54F2B990" w:rsidR="00471A27" w:rsidRDefault="00471A27" w:rsidP="00157DEE">
            <w:pPr>
              <w:jc w:val="center"/>
              <w:rPr>
                <w:rFonts w:ascii="Arial Narrow" w:hAnsi="Arial Narrow"/>
                <w:sz w:val="20"/>
                <w:szCs w:val="20"/>
              </w:rPr>
            </w:pPr>
          </w:p>
        </w:tc>
        <w:tc>
          <w:tcPr>
            <w:tcW w:w="7745" w:type="dxa"/>
            <w:gridSpan w:val="6"/>
            <w:vAlign w:val="center"/>
          </w:tcPr>
          <w:p w14:paraId="50A75E49" w14:textId="77777777" w:rsidR="00471A27" w:rsidRPr="000F1D45" w:rsidRDefault="00471A27" w:rsidP="00157DEE">
            <w:pPr>
              <w:rPr>
                <w:rFonts w:ascii="Arial Narrow" w:hAnsi="Arial Narrow"/>
                <w:sz w:val="20"/>
                <w:szCs w:val="20"/>
                <w14:ligatures w14:val="standardContextual"/>
              </w:rPr>
            </w:pPr>
            <w:r w:rsidRPr="00446E53">
              <w:rPr>
                <w:rFonts w:ascii="Arial Narrow" w:hAnsi="Arial Narrow"/>
                <w:b/>
                <w:bCs/>
                <w:color w:val="333333"/>
                <w:sz w:val="20"/>
                <w:szCs w:val="20"/>
              </w:rPr>
              <w:t>Clinical criteria:</w:t>
            </w:r>
          </w:p>
        </w:tc>
      </w:tr>
      <w:tr w:rsidR="00471A27" w:rsidRPr="000F1D45" w14:paraId="26053863"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F5ED88A" w14:textId="7EC5B162" w:rsidR="00471A27" w:rsidRDefault="00471A27" w:rsidP="00157DEE">
            <w:pPr>
              <w:jc w:val="center"/>
              <w:rPr>
                <w:rFonts w:ascii="Arial Narrow" w:hAnsi="Arial Narrow"/>
                <w:sz w:val="20"/>
                <w:szCs w:val="20"/>
              </w:rPr>
            </w:pPr>
          </w:p>
        </w:tc>
        <w:tc>
          <w:tcPr>
            <w:tcW w:w="7745" w:type="dxa"/>
            <w:gridSpan w:val="6"/>
            <w:vAlign w:val="center"/>
          </w:tcPr>
          <w:p w14:paraId="74A62C7A" w14:textId="77777777" w:rsidR="00471A27" w:rsidRPr="000F1D45" w:rsidRDefault="00471A27" w:rsidP="00157DEE">
            <w:pPr>
              <w:rPr>
                <w:rFonts w:ascii="Arial Narrow" w:hAnsi="Arial Narrow"/>
                <w:sz w:val="20"/>
                <w:szCs w:val="20"/>
                <w14:ligatures w14:val="standardContextual"/>
              </w:rPr>
            </w:pPr>
            <w:r w:rsidRPr="00E90644">
              <w:rPr>
                <w:rFonts w:ascii="Arial Narrow" w:hAnsi="Arial Narrow"/>
                <w:color w:val="333333"/>
                <w:sz w:val="20"/>
                <w:szCs w:val="20"/>
              </w:rPr>
              <w:t>Patient must have demonstrated an adequate response to treatment with this drug</w:t>
            </w:r>
          </w:p>
        </w:tc>
      </w:tr>
      <w:tr w:rsidR="00471A27" w:rsidRPr="00446E53" w14:paraId="4C3DEB42"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150EF61" w14:textId="77777777" w:rsidR="00471A27" w:rsidRPr="00446E53" w:rsidRDefault="00471A27" w:rsidP="00157DEE">
            <w:pPr>
              <w:jc w:val="center"/>
              <w:rPr>
                <w:rFonts w:ascii="Arial Narrow" w:hAnsi="Arial Narrow"/>
                <w:color w:val="333333"/>
                <w:sz w:val="20"/>
                <w:szCs w:val="20"/>
              </w:rPr>
            </w:pPr>
          </w:p>
        </w:tc>
        <w:tc>
          <w:tcPr>
            <w:tcW w:w="7745" w:type="dxa"/>
            <w:gridSpan w:val="6"/>
            <w:vAlign w:val="center"/>
            <w:hideMark/>
          </w:tcPr>
          <w:p w14:paraId="08FC25AC" w14:textId="77777777" w:rsidR="00471A27" w:rsidRPr="00446E53" w:rsidRDefault="00471A27" w:rsidP="00157DEE">
            <w:pPr>
              <w:rPr>
                <w:rFonts w:ascii="Arial Narrow" w:hAnsi="Arial Narrow"/>
                <w:color w:val="333333"/>
                <w:sz w:val="20"/>
                <w:szCs w:val="20"/>
              </w:rPr>
            </w:pPr>
            <w:r w:rsidRPr="00446E53">
              <w:rPr>
                <w:rFonts w:ascii="Arial Narrow" w:hAnsi="Arial Narrow"/>
                <w:b/>
                <w:bCs/>
                <w:color w:val="333333"/>
                <w:sz w:val="20"/>
                <w:szCs w:val="20"/>
              </w:rPr>
              <w:t>AND</w:t>
            </w:r>
          </w:p>
        </w:tc>
      </w:tr>
      <w:tr w:rsidR="00471A27" w:rsidRPr="00446E53" w14:paraId="70E6434A"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E773085" w14:textId="01330846" w:rsidR="00471A27" w:rsidRPr="00C65922" w:rsidRDefault="00471A27" w:rsidP="00157DEE">
            <w:pPr>
              <w:jc w:val="center"/>
              <w:rPr>
                <w:rFonts w:ascii="Arial Narrow" w:hAnsi="Arial Narrow"/>
                <w:sz w:val="20"/>
                <w:szCs w:val="20"/>
              </w:rPr>
            </w:pPr>
          </w:p>
        </w:tc>
        <w:tc>
          <w:tcPr>
            <w:tcW w:w="7745" w:type="dxa"/>
            <w:gridSpan w:val="6"/>
            <w:vAlign w:val="center"/>
            <w:hideMark/>
          </w:tcPr>
          <w:p w14:paraId="3D8D4D96" w14:textId="77777777" w:rsidR="00471A27" w:rsidRPr="00446E53" w:rsidRDefault="00471A27" w:rsidP="00157DE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471A27" w:rsidRPr="00163CFE" w14:paraId="76342B16"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4CB058E1" w14:textId="1DD108B9" w:rsidR="00471A27" w:rsidRPr="00C65922" w:rsidRDefault="00471A27" w:rsidP="00157DEE">
            <w:pPr>
              <w:jc w:val="center"/>
              <w:rPr>
                <w:rFonts w:ascii="Arial Narrow" w:hAnsi="Arial Narrow"/>
                <w:sz w:val="20"/>
                <w:szCs w:val="20"/>
              </w:rPr>
            </w:pPr>
          </w:p>
        </w:tc>
        <w:tc>
          <w:tcPr>
            <w:tcW w:w="7745" w:type="dxa"/>
            <w:gridSpan w:val="6"/>
            <w:vAlign w:val="center"/>
          </w:tcPr>
          <w:p w14:paraId="244E9844" w14:textId="77777777" w:rsidR="00471A27" w:rsidRPr="00163CFE" w:rsidRDefault="00471A27" w:rsidP="00157DEE">
            <w:pPr>
              <w:rPr>
                <w:rFonts w:ascii="Arial Narrow" w:hAnsi="Arial Narrow"/>
                <w:color w:val="333333"/>
                <w:sz w:val="20"/>
                <w:szCs w:val="20"/>
              </w:rPr>
            </w:pPr>
            <w:r w:rsidRPr="00163CFE">
              <w:rPr>
                <w:rFonts w:ascii="Arial Narrow" w:hAnsi="Arial Narrow"/>
                <w:color w:val="333333"/>
                <w:sz w:val="20"/>
                <w:szCs w:val="20"/>
              </w:rPr>
              <w:t xml:space="preserve">Patient must not receive more than </w:t>
            </w:r>
            <w:r>
              <w:rPr>
                <w:rFonts w:ascii="Arial Narrow" w:hAnsi="Arial Narrow"/>
                <w:color w:val="333333"/>
                <w:sz w:val="20"/>
                <w:szCs w:val="20"/>
              </w:rPr>
              <w:t>24</w:t>
            </w:r>
            <w:r w:rsidRPr="00163CFE">
              <w:rPr>
                <w:rFonts w:ascii="Arial Narrow" w:hAnsi="Arial Narrow"/>
                <w:color w:val="333333"/>
                <w:sz w:val="20"/>
                <w:szCs w:val="20"/>
              </w:rPr>
              <w:t xml:space="preserve"> weeks of treatment under this restriction</w:t>
            </w:r>
          </w:p>
        </w:tc>
      </w:tr>
      <w:tr w:rsidR="00471A27" w:rsidRPr="00446E53" w14:paraId="4D74F0B8"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4A65E8A6" w14:textId="774869E3" w:rsidR="00471A27" w:rsidRPr="007B1066" w:rsidRDefault="00471A27" w:rsidP="00157DEE">
            <w:pPr>
              <w:jc w:val="center"/>
              <w:rPr>
                <w:rFonts w:ascii="Arial Narrow" w:hAnsi="Arial Narrow"/>
                <w:sz w:val="20"/>
                <w:szCs w:val="20"/>
              </w:rPr>
            </w:pPr>
          </w:p>
        </w:tc>
        <w:tc>
          <w:tcPr>
            <w:tcW w:w="7745" w:type="dxa"/>
            <w:gridSpan w:val="6"/>
            <w:vAlign w:val="center"/>
          </w:tcPr>
          <w:p w14:paraId="429AF34F" w14:textId="77777777" w:rsidR="00471A27" w:rsidRPr="00446E53" w:rsidRDefault="00471A27" w:rsidP="00157DEE">
            <w:pPr>
              <w:autoSpaceDE w:val="0"/>
              <w:autoSpaceDN w:val="0"/>
              <w:adjustRightInd w:val="0"/>
              <w:rPr>
                <w:rFonts w:ascii="Arial Narrow" w:hAnsi="Arial Narrow" w:cs="Arial Narrow"/>
                <w:iCs/>
                <w:color w:val="FF0000"/>
                <w:sz w:val="20"/>
                <w:szCs w:val="20"/>
              </w:rPr>
            </w:pPr>
            <w:r w:rsidRPr="00446E53">
              <w:rPr>
                <w:rFonts w:ascii="Arial Narrow" w:hAnsi="Arial Narrow"/>
                <w:b/>
                <w:bCs/>
                <w:color w:val="333333"/>
                <w:sz w:val="20"/>
                <w:szCs w:val="20"/>
              </w:rPr>
              <w:t>Treatment criteria:</w:t>
            </w:r>
          </w:p>
        </w:tc>
      </w:tr>
      <w:tr w:rsidR="00471A27" w:rsidRPr="00ED0F2E" w14:paraId="0D775ED9"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1A43A693" w14:textId="30131626" w:rsidR="00471A27" w:rsidRPr="007B1066" w:rsidRDefault="00471A27" w:rsidP="00157DEE">
            <w:pPr>
              <w:jc w:val="center"/>
              <w:rPr>
                <w:rFonts w:ascii="Arial Narrow" w:hAnsi="Arial Narrow"/>
                <w:sz w:val="20"/>
                <w:szCs w:val="20"/>
              </w:rPr>
            </w:pPr>
          </w:p>
        </w:tc>
        <w:tc>
          <w:tcPr>
            <w:tcW w:w="7745" w:type="dxa"/>
            <w:gridSpan w:val="6"/>
            <w:vAlign w:val="center"/>
          </w:tcPr>
          <w:p w14:paraId="305A262D" w14:textId="77777777" w:rsidR="00471A27" w:rsidRPr="00ED0F2E" w:rsidRDefault="00471A27" w:rsidP="00157DEE">
            <w:pPr>
              <w:autoSpaceDE w:val="0"/>
              <w:autoSpaceDN w:val="0"/>
              <w:adjustRightInd w:val="0"/>
              <w:rPr>
                <w:rFonts w:ascii="Arial Narrow" w:hAnsi="Arial Narrow" w:cs="Arial Narrow"/>
                <w:iCs/>
                <w:sz w:val="20"/>
                <w:szCs w:val="20"/>
              </w:rPr>
            </w:pPr>
            <w:r w:rsidRPr="007E0FA6">
              <w:rPr>
                <w:rFonts w:ascii="Arial Narrow" w:hAnsi="Arial Narrow" w:cs="Arial Narrow"/>
                <w:iCs/>
                <w:sz w:val="20"/>
                <w:szCs w:val="20"/>
              </w:rPr>
              <w:t>Must be treated by a paediatric rheumatologist; or</w:t>
            </w:r>
          </w:p>
        </w:tc>
      </w:tr>
      <w:tr w:rsidR="00471A27" w:rsidRPr="00ED0F2E" w14:paraId="17B106AB"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77E5DC9" w14:textId="67458898" w:rsidR="00471A27" w:rsidRPr="007B1066" w:rsidRDefault="00471A27" w:rsidP="00157DEE">
            <w:pPr>
              <w:jc w:val="center"/>
              <w:rPr>
                <w:rFonts w:ascii="Arial Narrow" w:hAnsi="Arial Narrow"/>
                <w:sz w:val="20"/>
                <w:szCs w:val="20"/>
              </w:rPr>
            </w:pPr>
          </w:p>
        </w:tc>
        <w:tc>
          <w:tcPr>
            <w:tcW w:w="7745" w:type="dxa"/>
            <w:gridSpan w:val="6"/>
            <w:vAlign w:val="center"/>
          </w:tcPr>
          <w:p w14:paraId="05E0AF48" w14:textId="77777777" w:rsidR="00471A27" w:rsidRPr="00ED0F2E" w:rsidRDefault="00471A27" w:rsidP="00157DEE">
            <w:pPr>
              <w:autoSpaceDE w:val="0"/>
              <w:autoSpaceDN w:val="0"/>
              <w:adjustRightInd w:val="0"/>
              <w:rPr>
                <w:rFonts w:ascii="Arial Narrow" w:hAnsi="Arial Narrow" w:cs="Arial Narrow"/>
                <w:iCs/>
                <w:sz w:val="20"/>
                <w:szCs w:val="20"/>
              </w:rPr>
            </w:pPr>
            <w:r w:rsidRPr="007E0FA6">
              <w:rPr>
                <w:rFonts w:ascii="Arial Narrow" w:hAnsi="Arial Narrow" w:cs="Arial Narrow"/>
                <w:iCs/>
                <w:sz w:val="20"/>
                <w:szCs w:val="20"/>
              </w:rPr>
              <w:t>Patient must be undergoing treatment under the supervision of a paediatric rheumatology treatment centre</w:t>
            </w:r>
          </w:p>
        </w:tc>
      </w:tr>
      <w:tr w:rsidR="00471A27" w:rsidRPr="00446E53" w14:paraId="388173CC"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D5999B8" w14:textId="7196126C" w:rsidR="00471A27" w:rsidRPr="00446E53" w:rsidRDefault="00471A27" w:rsidP="00157DEE">
            <w:pPr>
              <w:jc w:val="center"/>
              <w:rPr>
                <w:rFonts w:ascii="Arial Narrow" w:hAnsi="Arial Narrow"/>
                <w:color w:val="333333"/>
                <w:sz w:val="20"/>
                <w:szCs w:val="20"/>
              </w:rPr>
            </w:pPr>
          </w:p>
        </w:tc>
        <w:tc>
          <w:tcPr>
            <w:tcW w:w="7745" w:type="dxa"/>
            <w:gridSpan w:val="6"/>
            <w:vAlign w:val="center"/>
          </w:tcPr>
          <w:p w14:paraId="716B329C" w14:textId="77777777" w:rsidR="00471A27" w:rsidRPr="00446E53" w:rsidRDefault="00471A27" w:rsidP="00157DEE">
            <w:pPr>
              <w:rPr>
                <w:rFonts w:ascii="Arial Narrow" w:hAnsi="Arial Narrow"/>
                <w:b/>
                <w:bCs/>
                <w:color w:val="333333"/>
                <w:sz w:val="20"/>
                <w:szCs w:val="20"/>
              </w:rPr>
            </w:pPr>
            <w:r w:rsidRPr="00446E53">
              <w:rPr>
                <w:rFonts w:ascii="Arial Narrow" w:hAnsi="Arial Narrow"/>
                <w:b/>
                <w:bCs/>
                <w:color w:val="333333"/>
                <w:sz w:val="20"/>
                <w:szCs w:val="20"/>
              </w:rPr>
              <w:t>Population criteria:</w:t>
            </w:r>
          </w:p>
        </w:tc>
      </w:tr>
      <w:tr w:rsidR="00471A27" w:rsidRPr="00446E53" w14:paraId="1249DD6B"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59442CF4" w14:textId="254DA5F5" w:rsidR="00471A27" w:rsidRPr="002F2B9D" w:rsidRDefault="00471A27" w:rsidP="00157DEE">
            <w:pPr>
              <w:jc w:val="center"/>
              <w:rPr>
                <w:rFonts w:ascii="Arial Narrow" w:hAnsi="Arial Narrow"/>
                <w:sz w:val="20"/>
                <w:szCs w:val="20"/>
              </w:rPr>
            </w:pPr>
          </w:p>
        </w:tc>
        <w:tc>
          <w:tcPr>
            <w:tcW w:w="7745" w:type="dxa"/>
            <w:gridSpan w:val="6"/>
            <w:vAlign w:val="center"/>
          </w:tcPr>
          <w:p w14:paraId="277D704C" w14:textId="77777777" w:rsidR="00471A27" w:rsidRPr="00446E53" w:rsidRDefault="00471A27" w:rsidP="00157DEE">
            <w:pPr>
              <w:rPr>
                <w:rFonts w:ascii="Arial Narrow" w:hAnsi="Arial Narrow"/>
                <w:color w:val="333333"/>
                <w:sz w:val="20"/>
                <w:szCs w:val="20"/>
              </w:rPr>
            </w:pPr>
            <w:r w:rsidRPr="00E13E18">
              <w:rPr>
                <w:rFonts w:ascii="Arial Narrow" w:hAnsi="Arial Narrow"/>
                <w:color w:val="333333"/>
                <w:sz w:val="20"/>
                <w:szCs w:val="20"/>
              </w:rPr>
              <w:t>Patient must be under 18 years of age</w:t>
            </w:r>
            <w:r w:rsidRPr="2A26E699">
              <w:rPr>
                <w:rFonts w:ascii="Arial Narrow" w:hAnsi="Arial Narrow"/>
                <w:sz w:val="20"/>
                <w:szCs w:val="20"/>
              </w:rPr>
              <w:t xml:space="preserve"> prior to commencement of this drug for this condition.</w:t>
            </w:r>
          </w:p>
        </w:tc>
      </w:tr>
      <w:tr w:rsidR="00471A27" w:rsidRPr="00047E2D" w14:paraId="27E10E3C"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36C00220" w14:textId="2EE4710F" w:rsidR="00471A27" w:rsidRPr="0013386F" w:rsidRDefault="00471A27" w:rsidP="00157DEE">
            <w:pPr>
              <w:jc w:val="center"/>
              <w:textAlignment w:val="baseline"/>
              <w:rPr>
                <w:rFonts w:ascii="Arial Narrow" w:hAnsi="Arial Narrow" w:cs="Open Sans"/>
                <w:sz w:val="20"/>
                <w:szCs w:val="20"/>
              </w:rPr>
            </w:pPr>
          </w:p>
        </w:tc>
        <w:tc>
          <w:tcPr>
            <w:tcW w:w="7745" w:type="dxa"/>
            <w:gridSpan w:val="6"/>
            <w:vAlign w:val="center"/>
            <w:hideMark/>
          </w:tcPr>
          <w:p w14:paraId="7F1E5E90" w14:textId="77777777" w:rsidR="00471A27" w:rsidRDefault="00471A27" w:rsidP="00157DEE">
            <w:r w:rsidRPr="003C5A76">
              <w:rPr>
                <w:rFonts w:ascii="Arial Narrow" w:hAnsi="Arial Narrow"/>
                <w:b/>
                <w:bCs/>
                <w:sz w:val="20"/>
                <w:szCs w:val="20"/>
              </w:rPr>
              <w:t>Prescribing Instructions:</w:t>
            </w:r>
            <w:r w:rsidRPr="003C5A76">
              <w:t xml:space="preserve"> </w:t>
            </w:r>
          </w:p>
          <w:p w14:paraId="4B1EAB74" w14:textId="77777777" w:rsidR="00471A27" w:rsidRPr="00047E2D" w:rsidRDefault="00471A27" w:rsidP="00157DEE">
            <w:pPr>
              <w:rPr>
                <w:rFonts w:ascii="Arial Narrow" w:hAnsi="Arial Narrow"/>
                <w:sz w:val="20"/>
                <w:szCs w:val="20"/>
              </w:rPr>
            </w:pPr>
            <w:r w:rsidRPr="00B26F72">
              <w:rPr>
                <w:rFonts w:ascii="Arial Narrow" w:hAnsi="Arial Narrow"/>
                <w:sz w:val="20"/>
                <w:szCs w:val="20"/>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p w14:paraId="72A465C4" w14:textId="77777777" w:rsidR="00471A27" w:rsidRPr="00047E2D" w:rsidRDefault="00471A27" w:rsidP="00157DEE">
            <w:pPr>
              <w:rPr>
                <w:rFonts w:ascii="Arial Narrow" w:hAnsi="Arial Narrow"/>
                <w:sz w:val="20"/>
                <w:szCs w:val="20"/>
              </w:rPr>
            </w:pPr>
          </w:p>
        </w:tc>
      </w:tr>
      <w:tr w:rsidR="00471A27" w:rsidRPr="00446E53" w14:paraId="0412860E"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FEBDB5A" w14:textId="0CD22A1D" w:rsidR="00471A27" w:rsidRDefault="00471A27" w:rsidP="00157DEE">
            <w:pPr>
              <w:jc w:val="center"/>
              <w:rPr>
                <w:rFonts w:ascii="Arial Narrow" w:hAnsi="Arial Narrow"/>
                <w:color w:val="333333"/>
                <w:sz w:val="20"/>
                <w:szCs w:val="20"/>
              </w:rPr>
            </w:pPr>
          </w:p>
        </w:tc>
        <w:tc>
          <w:tcPr>
            <w:tcW w:w="7745" w:type="dxa"/>
            <w:gridSpan w:val="6"/>
            <w:vAlign w:val="center"/>
          </w:tcPr>
          <w:p w14:paraId="164AF772" w14:textId="77777777" w:rsidR="00471A27" w:rsidRDefault="00471A27" w:rsidP="00157DEE">
            <w:pPr>
              <w:rPr>
                <w:rFonts w:ascii="Arial Narrow" w:hAnsi="Arial Narrow"/>
                <w:b/>
                <w:bCs/>
                <w:color w:val="333333"/>
                <w:sz w:val="20"/>
                <w:szCs w:val="20"/>
              </w:rPr>
            </w:pPr>
            <w:r w:rsidRPr="006E4A5C">
              <w:rPr>
                <w:rFonts w:ascii="Arial Narrow" w:hAnsi="Arial Narrow"/>
                <w:b/>
                <w:bCs/>
                <w:color w:val="333333"/>
                <w:sz w:val="20"/>
                <w:szCs w:val="20"/>
              </w:rPr>
              <w:t>Prescribing Instructions:</w:t>
            </w:r>
          </w:p>
          <w:p w14:paraId="55038BAE" w14:textId="77777777" w:rsidR="00471A27" w:rsidRPr="00446E53" w:rsidRDefault="00471A27" w:rsidP="00157DEE">
            <w:pPr>
              <w:rPr>
                <w:rFonts w:ascii="Arial Narrow" w:hAnsi="Arial Narrow"/>
                <w:bCs/>
                <w:color w:val="333333"/>
                <w:sz w:val="20"/>
                <w:szCs w:val="20"/>
              </w:rPr>
            </w:pPr>
            <w:r w:rsidRPr="00B26F72">
              <w:rPr>
                <w:rFonts w:ascii="Arial Narrow" w:hAnsi="Arial Narrow"/>
                <w:bCs/>
                <w:color w:val="333333"/>
                <w:sz w:val="20"/>
                <w:szCs w:val="20"/>
              </w:rPr>
              <w:t>Toxicity due to methotrexate is defined as evidence of hepatotoxicity with repeated elevations of transaminases, bone marrow suppression temporally related to methotrexate use, pneumonitis, or serious sepsis.</w:t>
            </w:r>
          </w:p>
        </w:tc>
      </w:tr>
      <w:tr w:rsidR="00471A27" w:rsidRPr="006B6D83" w14:paraId="42EAFE66"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55AD7384" w14:textId="75A64FF5" w:rsidR="00471A27" w:rsidRPr="006B6D83" w:rsidRDefault="00471A27" w:rsidP="00157DEE">
            <w:pPr>
              <w:jc w:val="center"/>
              <w:rPr>
                <w:rFonts w:ascii="Arial Narrow" w:hAnsi="Arial Narrow"/>
                <w:sz w:val="20"/>
                <w:szCs w:val="20"/>
              </w:rPr>
            </w:pPr>
          </w:p>
          <w:p w14:paraId="7A358423" w14:textId="77777777" w:rsidR="00471A27" w:rsidRPr="006B6D83" w:rsidRDefault="00471A27" w:rsidP="00157DEE">
            <w:pPr>
              <w:jc w:val="center"/>
              <w:rPr>
                <w:rFonts w:ascii="Arial Narrow" w:hAnsi="Arial Narrow"/>
                <w:sz w:val="20"/>
                <w:szCs w:val="20"/>
              </w:rPr>
            </w:pPr>
          </w:p>
        </w:tc>
        <w:tc>
          <w:tcPr>
            <w:tcW w:w="7745" w:type="dxa"/>
            <w:gridSpan w:val="6"/>
            <w:vAlign w:val="center"/>
          </w:tcPr>
          <w:p w14:paraId="721B3636" w14:textId="77777777" w:rsidR="00471A27" w:rsidRPr="006B6D83" w:rsidRDefault="00471A27" w:rsidP="00157DEE">
            <w:pPr>
              <w:rPr>
                <w:rFonts w:ascii="Arial Narrow" w:hAnsi="Arial Narrow"/>
                <w:b/>
                <w:bCs/>
                <w:sz w:val="20"/>
                <w:szCs w:val="20"/>
                <w14:ligatures w14:val="standardContextual"/>
              </w:rPr>
            </w:pPr>
            <w:r w:rsidRPr="006B6D83">
              <w:rPr>
                <w:rFonts w:ascii="Arial Narrow" w:hAnsi="Arial Narrow"/>
                <w:b/>
                <w:bCs/>
                <w:sz w:val="20"/>
                <w:szCs w:val="20"/>
                <w14:ligatures w14:val="standardContextual"/>
              </w:rPr>
              <w:t xml:space="preserve">Prescribing Instructions: </w:t>
            </w:r>
          </w:p>
          <w:p w14:paraId="18FBAD6E"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The following criteria indicate failure to achieve an adequate response and must be demonstrated in all patients at the time of the initial application:</w:t>
            </w:r>
          </w:p>
          <w:p w14:paraId="0A391986"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(a) an active joint count of at least 10 active (swollen and tender) joints; or</w:t>
            </w:r>
          </w:p>
          <w:p w14:paraId="4B94E4DF"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(b) an active joint count of at least 2, affecting the following joints: elbow, wrist, knee, ankle, shoulder, and hip; or</w:t>
            </w:r>
          </w:p>
          <w:p w14:paraId="2A1D2BE2"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(c) active arthritis affecting the cervical spine or temporomandibular joint; or</w:t>
            </w:r>
          </w:p>
          <w:p w14:paraId="3C295405"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(d) at least 2 separate episodes of oral or intra-articular corticosteroids use within 12 months to control flares of disease; or</w:t>
            </w:r>
          </w:p>
          <w:p w14:paraId="18891245"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(e) development/worsening of erosive disease due to active arthritis.</w:t>
            </w:r>
          </w:p>
          <w:p w14:paraId="5D8E9B5C" w14:textId="77777777" w:rsidR="00471A27" w:rsidRPr="006B6D83" w:rsidRDefault="00471A27" w:rsidP="00157DEE">
            <w:pPr>
              <w:rPr>
                <w:rFonts w:ascii="Arial Narrow" w:hAnsi="Arial Narrow"/>
                <w:b/>
                <w:bCs/>
                <w:sz w:val="20"/>
                <w:szCs w:val="20"/>
              </w:rPr>
            </w:pPr>
            <w:r w:rsidRPr="006B6D83">
              <w:rPr>
                <w:rFonts w:ascii="Arial Narrow" w:hAnsi="Arial Narrow"/>
                <w:sz w:val="20"/>
                <w:szCs w:val="20"/>
                <w14:ligatures w14:val="standardContextual"/>
              </w:rPr>
              <w:t>The assessment of response to prior treatment must be documented in the patient's medical records.</w:t>
            </w:r>
          </w:p>
        </w:tc>
      </w:tr>
      <w:tr w:rsidR="00471A27" w:rsidRPr="006B6D83" w14:paraId="5512A0EF"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4C2E710F" w14:textId="08565767" w:rsidR="00471A27" w:rsidRPr="006B6D83" w:rsidRDefault="00471A27" w:rsidP="00157DEE">
            <w:pPr>
              <w:jc w:val="center"/>
              <w:rPr>
                <w:rFonts w:ascii="Arial Narrow" w:hAnsi="Arial Narrow"/>
                <w:sz w:val="20"/>
                <w:szCs w:val="20"/>
              </w:rPr>
            </w:pPr>
          </w:p>
          <w:p w14:paraId="2CB43CC5" w14:textId="77777777" w:rsidR="00471A27" w:rsidRPr="006B6D83" w:rsidRDefault="00471A27" w:rsidP="00157DEE">
            <w:pPr>
              <w:jc w:val="center"/>
              <w:rPr>
                <w:rFonts w:ascii="Arial Narrow" w:hAnsi="Arial Narrow"/>
                <w:sz w:val="20"/>
                <w:szCs w:val="20"/>
              </w:rPr>
            </w:pPr>
          </w:p>
        </w:tc>
        <w:tc>
          <w:tcPr>
            <w:tcW w:w="7745" w:type="dxa"/>
            <w:gridSpan w:val="6"/>
            <w:vAlign w:val="center"/>
          </w:tcPr>
          <w:p w14:paraId="198C0FC2" w14:textId="77777777" w:rsidR="00471A27" w:rsidRPr="006B6D83" w:rsidRDefault="00471A27" w:rsidP="00157DEE">
            <w:pPr>
              <w:rPr>
                <w:rFonts w:ascii="Arial Narrow" w:hAnsi="Arial Narrow"/>
                <w:b/>
                <w:bCs/>
                <w:sz w:val="20"/>
                <w:szCs w:val="20"/>
                <w14:ligatures w14:val="standardContextual"/>
              </w:rPr>
            </w:pPr>
            <w:r w:rsidRPr="006B6D83">
              <w:rPr>
                <w:rFonts w:ascii="Arial Narrow" w:hAnsi="Arial Narrow"/>
                <w:b/>
                <w:bCs/>
                <w:sz w:val="20"/>
                <w:szCs w:val="20"/>
                <w14:ligatures w14:val="standardContextual"/>
              </w:rPr>
              <w:t xml:space="preserve">Prescribing Instructions: </w:t>
            </w:r>
          </w:p>
          <w:p w14:paraId="2D45562D" w14:textId="77777777" w:rsidR="00471A27" w:rsidRPr="006B6D83" w:rsidRDefault="00471A27" w:rsidP="00157DEE">
            <w:pPr>
              <w:rPr>
                <w:rFonts w:ascii="Arial Narrow" w:hAnsi="Arial Narrow"/>
                <w:bCs/>
                <w:sz w:val="20"/>
                <w:szCs w:val="20"/>
                <w14:ligatures w14:val="standardContextual"/>
              </w:rPr>
            </w:pPr>
            <w:r w:rsidRPr="006B6D83">
              <w:rPr>
                <w:rFonts w:ascii="Arial Narrow" w:hAnsi="Arial Narrow"/>
                <w:bCs/>
                <w:sz w:val="20"/>
                <w:szCs w:val="20"/>
                <w14:ligatures w14:val="standardContextual"/>
              </w:rPr>
              <w:t>An adequate response to treatment is defined as:</w:t>
            </w:r>
          </w:p>
          <w:p w14:paraId="5807C7E0" w14:textId="77777777" w:rsidR="00471A27" w:rsidRPr="006B6D83" w:rsidRDefault="00471A27" w:rsidP="00157DEE">
            <w:pPr>
              <w:rPr>
                <w:rFonts w:ascii="Arial Narrow" w:hAnsi="Arial Narrow"/>
                <w:bCs/>
                <w:sz w:val="20"/>
                <w:szCs w:val="20"/>
                <w14:ligatures w14:val="standardContextual"/>
              </w:rPr>
            </w:pPr>
            <w:r w:rsidRPr="006B6D83">
              <w:rPr>
                <w:rFonts w:ascii="Arial Narrow" w:hAnsi="Arial Narrow"/>
                <w:bCs/>
                <w:sz w:val="20"/>
                <w:szCs w:val="20"/>
                <w14:ligatures w14:val="standardContextual"/>
              </w:rPr>
              <w:t>(a) a reduction in the total active (swollen and tender) joint count by at least 50% from baseline, where baseline is at least 10 active joints; or</w:t>
            </w:r>
          </w:p>
          <w:p w14:paraId="3D8BB9D0" w14:textId="77777777" w:rsidR="00471A27" w:rsidRPr="006B6D83" w:rsidRDefault="00471A27" w:rsidP="00157DEE">
            <w:pPr>
              <w:rPr>
                <w:rFonts w:ascii="Arial Narrow" w:hAnsi="Arial Narrow"/>
                <w:bCs/>
                <w:sz w:val="20"/>
                <w:szCs w:val="20"/>
                <w14:ligatures w14:val="standardContextual"/>
              </w:rPr>
            </w:pPr>
            <w:r w:rsidRPr="006B6D83">
              <w:rPr>
                <w:rFonts w:ascii="Arial Narrow" w:hAnsi="Arial Narrow"/>
                <w:bCs/>
                <w:sz w:val="20"/>
                <w:szCs w:val="20"/>
                <w14:ligatures w14:val="standardContextual"/>
              </w:rPr>
              <w:t>(b) a reduction in the number of the following active joints, from at least 2, by at least 50%: elbow, wrist, knee, ankle, shoulder, and hip; or</w:t>
            </w:r>
          </w:p>
          <w:p w14:paraId="34642772"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(c)</w:t>
            </w:r>
            <w:r w:rsidRPr="006B6D83">
              <w:rPr>
                <w14:ligatures w14:val="standardContextual"/>
              </w:rPr>
              <w:t xml:space="preserve"> </w:t>
            </w:r>
            <w:r w:rsidRPr="006B6D83">
              <w:rPr>
                <w:rFonts w:ascii="Arial Narrow" w:hAnsi="Arial Narrow"/>
                <w:sz w:val="20"/>
                <w:szCs w:val="20"/>
                <w14:ligatures w14:val="standardContextual"/>
              </w:rPr>
              <w:t>an improvement from baseline by at least 50% in the signs and symptoms attributable to active arthritis affecting the cervical spine or temporomandibular joint; or</w:t>
            </w:r>
          </w:p>
          <w:p w14:paraId="014A13D0" w14:textId="77777777" w:rsidR="00471A27" w:rsidRPr="006B6D83" w:rsidRDefault="00471A27" w:rsidP="00157DEE">
            <w:pPr>
              <w:rPr>
                <w:rFonts w:ascii="Arial Narrow" w:hAnsi="Arial Narrow"/>
                <w:sz w:val="20"/>
                <w:szCs w:val="20"/>
                <w14:ligatures w14:val="standardContextual"/>
              </w:rPr>
            </w:pPr>
            <w:r w:rsidRPr="006B6D83">
              <w:rPr>
                <w:rFonts w:ascii="Arial Narrow" w:hAnsi="Arial Narrow"/>
                <w:sz w:val="20"/>
                <w:szCs w:val="20"/>
                <w14:ligatures w14:val="standardContextual"/>
              </w:rPr>
              <w:t>(d) a 50% reduction from baseline on the frequency of oral or intra-articular corticosteroids use to control flares of disease associated with active arthritis; or</w:t>
            </w:r>
          </w:p>
          <w:p w14:paraId="11E6CC69" w14:textId="77777777" w:rsidR="00471A27" w:rsidRPr="006B6D83" w:rsidRDefault="00471A27" w:rsidP="00157DEE">
            <w:pPr>
              <w:rPr>
                <w:rFonts w:ascii="Arial Narrow" w:hAnsi="Arial Narrow"/>
                <w:bCs/>
                <w:sz w:val="20"/>
                <w:szCs w:val="20"/>
                <w14:ligatures w14:val="standardContextual"/>
              </w:rPr>
            </w:pPr>
            <w:r w:rsidRPr="006B6D83">
              <w:rPr>
                <w:rFonts w:ascii="Arial Narrow" w:hAnsi="Arial Narrow"/>
                <w:sz w:val="20"/>
                <w:szCs w:val="20"/>
                <w14:ligatures w14:val="standardContextual"/>
              </w:rPr>
              <w:t>(e) an improvement from baseline by at least 50% in the signs and symptoms attributable to active arthritis affecting joint(s) with erosive disease.</w:t>
            </w:r>
          </w:p>
          <w:p w14:paraId="5E3C9450" w14:textId="77777777" w:rsidR="00471A27" w:rsidRPr="006B6D83" w:rsidRDefault="00471A27" w:rsidP="00157DEE">
            <w:pPr>
              <w:rPr>
                <w:rFonts w:ascii="Arial Narrow" w:hAnsi="Arial Narrow"/>
                <w:b/>
                <w:bCs/>
                <w:sz w:val="20"/>
                <w:szCs w:val="20"/>
                <w14:ligatures w14:val="standardContextual"/>
              </w:rPr>
            </w:pPr>
            <w:r w:rsidRPr="006B6D83">
              <w:rPr>
                <w:rFonts w:ascii="Arial Narrow" w:hAnsi="Arial Narrow"/>
                <w:bCs/>
                <w:sz w:val="20"/>
                <w:szCs w:val="20"/>
                <w14:ligatures w14:val="standardContextual"/>
              </w:rPr>
              <w:t>The assessment of response to treatment must be documented in the patient's medical records.</w:t>
            </w:r>
          </w:p>
        </w:tc>
      </w:tr>
      <w:tr w:rsidR="00471A27" w:rsidRPr="00B65575" w14:paraId="5D254764"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46B4C724" w14:textId="7363C562" w:rsidR="00471A27" w:rsidRDefault="00471A27" w:rsidP="00157DEE">
            <w:pPr>
              <w:jc w:val="center"/>
              <w:rPr>
                <w:rFonts w:ascii="Arial Narrow" w:hAnsi="Arial Narrow"/>
                <w:color w:val="333333"/>
                <w:sz w:val="20"/>
                <w:szCs w:val="20"/>
              </w:rPr>
            </w:pPr>
          </w:p>
        </w:tc>
        <w:tc>
          <w:tcPr>
            <w:tcW w:w="7745" w:type="dxa"/>
            <w:gridSpan w:val="6"/>
            <w:vAlign w:val="center"/>
          </w:tcPr>
          <w:p w14:paraId="20489383" w14:textId="77777777" w:rsidR="00471A27" w:rsidRPr="00B65575" w:rsidRDefault="00471A27" w:rsidP="00157DEE">
            <w:pPr>
              <w:rPr>
                <w:rFonts w:ascii="Arial Narrow" w:hAnsi="Arial Narrow"/>
                <w:b/>
                <w:bCs/>
                <w:color w:val="333333"/>
                <w:sz w:val="20"/>
                <w:szCs w:val="20"/>
              </w:rPr>
            </w:pPr>
            <w:r w:rsidRPr="00B65575">
              <w:rPr>
                <w:rFonts w:ascii="Arial Narrow" w:hAnsi="Arial Narrow"/>
                <w:b/>
                <w:bCs/>
                <w:color w:val="333333"/>
                <w:sz w:val="20"/>
                <w:szCs w:val="20"/>
              </w:rPr>
              <w:t>Prescribing Instructions:</w:t>
            </w:r>
          </w:p>
          <w:p w14:paraId="1B4FBD7E" w14:textId="77777777" w:rsidR="00471A27" w:rsidRPr="00B65575" w:rsidRDefault="00471A27" w:rsidP="00157DEE">
            <w:pPr>
              <w:rPr>
                <w:rFonts w:ascii="Arial Narrow" w:hAnsi="Arial Narrow"/>
                <w:color w:val="333333"/>
                <w:sz w:val="20"/>
                <w:szCs w:val="20"/>
              </w:rPr>
            </w:pPr>
            <w:r w:rsidRPr="00B65575">
              <w:rPr>
                <w:rFonts w:ascii="Arial Narrow" w:hAnsi="Arial Narrow"/>
                <w:color w:val="333333"/>
                <w:sz w:val="20"/>
                <w:szCs w:val="20"/>
              </w:rPr>
              <w:t>The joint count assessment must be performed preferably whilst still on DMARD treatment, but no longer than 4 weeks following cessation of the most recent prior treatment.</w:t>
            </w:r>
          </w:p>
        </w:tc>
      </w:tr>
      <w:tr w:rsidR="00471A27" w:rsidRPr="00B37DF4" w14:paraId="0979FF8C"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A309F24" w14:textId="55983EEE" w:rsidR="00471A27" w:rsidRDefault="00471A27" w:rsidP="00157DEE">
            <w:pPr>
              <w:jc w:val="center"/>
              <w:rPr>
                <w:rFonts w:ascii="Arial Narrow" w:hAnsi="Arial Narrow"/>
                <w:color w:val="333333"/>
                <w:sz w:val="20"/>
                <w:szCs w:val="20"/>
              </w:rPr>
            </w:pPr>
          </w:p>
        </w:tc>
        <w:tc>
          <w:tcPr>
            <w:tcW w:w="7745" w:type="dxa"/>
            <w:gridSpan w:val="6"/>
            <w:vAlign w:val="center"/>
          </w:tcPr>
          <w:p w14:paraId="365623C9" w14:textId="77777777" w:rsidR="00471A27" w:rsidRPr="00B65575" w:rsidRDefault="00471A27" w:rsidP="00157DEE">
            <w:pPr>
              <w:rPr>
                <w:rFonts w:ascii="Arial Narrow" w:hAnsi="Arial Narrow"/>
                <w:b/>
                <w:bCs/>
                <w:color w:val="333333"/>
                <w:sz w:val="20"/>
                <w:szCs w:val="20"/>
              </w:rPr>
            </w:pPr>
            <w:r w:rsidRPr="00B65575">
              <w:rPr>
                <w:rFonts w:ascii="Arial Narrow" w:hAnsi="Arial Narrow"/>
                <w:b/>
                <w:bCs/>
                <w:color w:val="333333"/>
                <w:sz w:val="20"/>
                <w:szCs w:val="20"/>
              </w:rPr>
              <w:t>Prescribing Instructions:</w:t>
            </w:r>
          </w:p>
          <w:p w14:paraId="21A7ABAA" w14:textId="77777777" w:rsidR="00471A27" w:rsidRPr="00B65575" w:rsidRDefault="00471A27" w:rsidP="00157DEE">
            <w:pPr>
              <w:rPr>
                <w:rFonts w:ascii="Arial Narrow" w:hAnsi="Arial Narrow"/>
                <w:color w:val="333333"/>
                <w:sz w:val="20"/>
                <w:szCs w:val="20"/>
              </w:rPr>
            </w:pPr>
            <w:r w:rsidRPr="00B65575">
              <w:rPr>
                <w:rFonts w:ascii="Arial Narrow" w:hAnsi="Arial Narrow"/>
                <w:color w:val="333333"/>
                <w:sz w:val="20"/>
                <w:szCs w:val="20"/>
              </w:rPr>
              <w:t>The following information must be provided by the prescriber at the time of application and documented in the patient's medical records:</w:t>
            </w:r>
          </w:p>
          <w:p w14:paraId="387163D6" w14:textId="77777777" w:rsidR="00471A27" w:rsidRPr="00B65575" w:rsidRDefault="00471A27" w:rsidP="00157DEE">
            <w:pPr>
              <w:rPr>
                <w:rFonts w:ascii="Arial Narrow" w:hAnsi="Arial Narrow"/>
                <w:color w:val="333333"/>
                <w:sz w:val="20"/>
                <w:szCs w:val="20"/>
              </w:rPr>
            </w:pPr>
            <w:r w:rsidRPr="00B65575">
              <w:rPr>
                <w:rFonts w:ascii="Arial Narrow" w:hAnsi="Arial Narrow"/>
                <w:color w:val="333333"/>
                <w:sz w:val="20"/>
                <w:szCs w:val="20"/>
              </w:rPr>
              <w:t>(a) the date of assessment of severe active juvenile idiopathic arthritis; and</w:t>
            </w:r>
          </w:p>
          <w:p w14:paraId="710FE2BA" w14:textId="77777777" w:rsidR="00471A27" w:rsidRPr="00B37DF4" w:rsidRDefault="00471A27" w:rsidP="00157DEE">
            <w:pPr>
              <w:rPr>
                <w:rFonts w:ascii="Arial Narrow" w:hAnsi="Arial Narrow"/>
                <w:b/>
                <w:bCs/>
                <w:color w:val="333333"/>
                <w:sz w:val="20"/>
                <w:szCs w:val="20"/>
              </w:rPr>
            </w:pPr>
            <w:r w:rsidRPr="00B65575">
              <w:rPr>
                <w:rFonts w:ascii="Arial Narrow" w:hAnsi="Arial Narrow"/>
                <w:color w:val="333333"/>
                <w:sz w:val="20"/>
                <w:szCs w:val="20"/>
              </w:rPr>
              <w:t>(b) details of prior treatment including dose and duration of treatment.</w:t>
            </w:r>
          </w:p>
        </w:tc>
      </w:tr>
      <w:tr w:rsidR="00471A27" w:rsidRPr="00B65575" w14:paraId="1A88AAC3"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284D48A5" w14:textId="4CB313E4" w:rsidR="00471A27" w:rsidRDefault="00471A27" w:rsidP="00157DEE">
            <w:pPr>
              <w:jc w:val="center"/>
              <w:rPr>
                <w:rFonts w:ascii="Arial Narrow" w:hAnsi="Arial Narrow"/>
                <w:color w:val="333333"/>
                <w:sz w:val="20"/>
                <w:szCs w:val="20"/>
              </w:rPr>
            </w:pPr>
          </w:p>
        </w:tc>
        <w:tc>
          <w:tcPr>
            <w:tcW w:w="7745" w:type="dxa"/>
            <w:gridSpan w:val="6"/>
            <w:vAlign w:val="center"/>
          </w:tcPr>
          <w:p w14:paraId="37E8B0EB" w14:textId="77777777" w:rsidR="00471A27" w:rsidRPr="00B65575" w:rsidRDefault="00471A27" w:rsidP="00157DEE">
            <w:pPr>
              <w:rPr>
                <w:rFonts w:ascii="Arial Narrow" w:hAnsi="Arial Narrow"/>
                <w:b/>
                <w:bCs/>
                <w:color w:val="333333"/>
                <w:sz w:val="20"/>
                <w:szCs w:val="20"/>
              </w:rPr>
            </w:pPr>
            <w:r>
              <w:rPr>
                <w:rFonts w:ascii="Arial Narrow" w:hAnsi="Arial Narrow"/>
                <w:b/>
                <w:bCs/>
                <w:color w:val="333333"/>
                <w:sz w:val="20"/>
                <w:szCs w:val="20"/>
              </w:rPr>
              <w:t>P</w:t>
            </w:r>
            <w:r w:rsidRPr="00B65575">
              <w:rPr>
                <w:rFonts w:ascii="Arial Narrow" w:hAnsi="Arial Narrow"/>
                <w:b/>
                <w:bCs/>
                <w:color w:val="333333"/>
                <w:sz w:val="20"/>
                <w:szCs w:val="20"/>
              </w:rPr>
              <w:t>rescribing Instructions:</w:t>
            </w:r>
          </w:p>
          <w:p w14:paraId="74D7EC14" w14:textId="77777777" w:rsidR="00471A27" w:rsidRPr="00B65575" w:rsidRDefault="00471A27" w:rsidP="00157DEE">
            <w:pPr>
              <w:rPr>
                <w:rFonts w:ascii="Arial Narrow" w:hAnsi="Arial Narrow"/>
                <w:color w:val="333333"/>
                <w:sz w:val="20"/>
                <w:szCs w:val="20"/>
              </w:rPr>
            </w:pPr>
            <w:r w:rsidRPr="00B65575">
              <w:rPr>
                <w:rFonts w:ascii="Arial Narrow" w:hAnsi="Arial Narrow"/>
                <w:color w:val="333333"/>
                <w:sz w:val="20"/>
                <w:szCs w:val="20"/>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71A27" w:rsidRPr="00E708D7" w14:paraId="72470861"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080BB91C" w14:textId="0D0EED18" w:rsidR="00471A27" w:rsidRDefault="00471A27" w:rsidP="00157DEE">
            <w:pPr>
              <w:jc w:val="center"/>
              <w:rPr>
                <w:rFonts w:ascii="Arial Narrow" w:hAnsi="Arial Narrow"/>
                <w:color w:val="333333"/>
                <w:sz w:val="20"/>
                <w:szCs w:val="20"/>
              </w:rPr>
            </w:pPr>
          </w:p>
        </w:tc>
        <w:tc>
          <w:tcPr>
            <w:tcW w:w="7745" w:type="dxa"/>
            <w:gridSpan w:val="6"/>
            <w:vAlign w:val="center"/>
          </w:tcPr>
          <w:p w14:paraId="44C9187A" w14:textId="77777777" w:rsidR="00471A27" w:rsidRPr="00E708D7" w:rsidRDefault="00471A27" w:rsidP="00157DEE">
            <w:pPr>
              <w:rPr>
                <w:rFonts w:ascii="Arial Narrow" w:hAnsi="Arial Narrow"/>
                <w:b/>
                <w:bCs/>
                <w:color w:val="333333"/>
                <w:sz w:val="20"/>
                <w:szCs w:val="20"/>
              </w:rPr>
            </w:pPr>
            <w:r w:rsidRPr="00E708D7">
              <w:rPr>
                <w:rFonts w:ascii="Arial Narrow" w:hAnsi="Arial Narrow"/>
                <w:b/>
                <w:bCs/>
                <w:color w:val="333333"/>
                <w:sz w:val="20"/>
                <w:szCs w:val="20"/>
              </w:rPr>
              <w:t>Prescribing Instructions:</w:t>
            </w:r>
          </w:p>
          <w:p w14:paraId="71BCC7B9" w14:textId="77777777" w:rsidR="00471A27" w:rsidRPr="00E708D7" w:rsidRDefault="00471A27" w:rsidP="00157DEE">
            <w:pPr>
              <w:rPr>
                <w:rFonts w:ascii="Arial Narrow" w:hAnsi="Arial Narrow"/>
                <w:color w:val="333333"/>
                <w:sz w:val="20"/>
                <w:szCs w:val="20"/>
              </w:rPr>
            </w:pPr>
            <w:r w:rsidRPr="00E708D7">
              <w:rPr>
                <w:rFonts w:ascii="Arial Narrow" w:hAnsi="Arial Narrow"/>
                <w:color w:val="333333"/>
                <w:sz w:val="20"/>
                <w:szCs w:val="20"/>
              </w:rPr>
              <w:t xml:space="preserve">If a patient fails to demonstrate a response to treatment with this </w:t>
            </w:r>
            <w:proofErr w:type="gramStart"/>
            <w:r w:rsidRPr="00E708D7">
              <w:rPr>
                <w:rFonts w:ascii="Arial Narrow" w:hAnsi="Arial Narrow"/>
                <w:color w:val="333333"/>
                <w:sz w:val="20"/>
                <w:szCs w:val="20"/>
              </w:rPr>
              <w:t>drug</w:t>
            </w:r>
            <w:proofErr w:type="gramEnd"/>
            <w:r w:rsidRPr="00E708D7">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471A27" w:rsidRPr="00E708D7" w14:paraId="664827DE"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2A195AF7" w14:textId="10AA6E57" w:rsidR="00471A27" w:rsidRDefault="00471A27" w:rsidP="00157DEE">
            <w:pPr>
              <w:jc w:val="center"/>
              <w:rPr>
                <w:rFonts w:ascii="Arial Narrow" w:hAnsi="Arial Narrow"/>
                <w:color w:val="333333"/>
                <w:sz w:val="20"/>
                <w:szCs w:val="20"/>
              </w:rPr>
            </w:pPr>
          </w:p>
        </w:tc>
        <w:tc>
          <w:tcPr>
            <w:tcW w:w="7745" w:type="dxa"/>
            <w:gridSpan w:val="6"/>
            <w:vAlign w:val="center"/>
          </w:tcPr>
          <w:p w14:paraId="29C37499" w14:textId="77777777" w:rsidR="00471A27" w:rsidRPr="00E708D7" w:rsidRDefault="00471A27" w:rsidP="00157DEE">
            <w:pPr>
              <w:rPr>
                <w:rFonts w:ascii="Arial Narrow" w:hAnsi="Arial Narrow"/>
                <w:b/>
                <w:bCs/>
                <w:color w:val="333333"/>
                <w:sz w:val="20"/>
                <w:szCs w:val="20"/>
              </w:rPr>
            </w:pPr>
            <w:r w:rsidRPr="00E708D7">
              <w:rPr>
                <w:rFonts w:ascii="Arial Narrow" w:hAnsi="Arial Narrow"/>
                <w:b/>
                <w:bCs/>
                <w:color w:val="333333"/>
                <w:sz w:val="20"/>
                <w:szCs w:val="20"/>
              </w:rPr>
              <w:t>Administrative Advice:</w:t>
            </w:r>
          </w:p>
          <w:p w14:paraId="4A5CD445" w14:textId="77777777" w:rsidR="00471A27" w:rsidRPr="00E708D7" w:rsidRDefault="00471A27" w:rsidP="00157DEE">
            <w:pPr>
              <w:rPr>
                <w:rFonts w:ascii="Arial Narrow" w:hAnsi="Arial Narrow"/>
                <w:color w:val="333333"/>
                <w:sz w:val="20"/>
                <w:szCs w:val="20"/>
              </w:rPr>
            </w:pPr>
            <w:r w:rsidRPr="00E708D7">
              <w:rPr>
                <w:rFonts w:ascii="Arial Narrow" w:hAnsi="Arial Narrow"/>
                <w:color w:val="333333"/>
                <w:sz w:val="20"/>
                <w:szCs w:val="20"/>
              </w:rPr>
              <w:t>Use of alternative DMARDs in children is dependent on approval by the Therapeutic Goods Administration as age restrictions may apply.</w:t>
            </w:r>
          </w:p>
        </w:tc>
      </w:tr>
      <w:tr w:rsidR="00471A27" w:rsidRPr="00E708D7" w14:paraId="7E4155C4" w14:textId="77777777" w:rsidTr="00157DEE">
        <w:tblPrEx>
          <w:tblCellMar>
            <w:top w:w="15" w:type="dxa"/>
            <w:bottom w:w="15" w:type="dxa"/>
          </w:tblCellMar>
          <w:tblLook w:val="04A0" w:firstRow="1" w:lastRow="0" w:firstColumn="1" w:lastColumn="0" w:noHBand="0" w:noVBand="1"/>
        </w:tblPrEx>
        <w:trPr>
          <w:cantSplit/>
          <w:trHeight w:val="20"/>
        </w:trPr>
        <w:tc>
          <w:tcPr>
            <w:tcW w:w="1276" w:type="dxa"/>
          </w:tcPr>
          <w:p w14:paraId="792E5074" w14:textId="7557B10E" w:rsidR="00471A27" w:rsidRDefault="00471A27" w:rsidP="00157DEE">
            <w:pPr>
              <w:jc w:val="center"/>
              <w:rPr>
                <w:rFonts w:ascii="Arial Narrow" w:hAnsi="Arial Narrow"/>
                <w:color w:val="333333"/>
                <w:sz w:val="20"/>
                <w:szCs w:val="20"/>
              </w:rPr>
            </w:pPr>
          </w:p>
        </w:tc>
        <w:tc>
          <w:tcPr>
            <w:tcW w:w="7745" w:type="dxa"/>
            <w:gridSpan w:val="6"/>
            <w:vAlign w:val="center"/>
          </w:tcPr>
          <w:p w14:paraId="00D1660F" w14:textId="77777777" w:rsidR="00471A27" w:rsidRPr="00E708D7" w:rsidRDefault="00471A27" w:rsidP="00157DEE">
            <w:pPr>
              <w:rPr>
                <w:rFonts w:ascii="Arial Narrow" w:hAnsi="Arial Narrow"/>
                <w:b/>
                <w:bCs/>
                <w:color w:val="333333"/>
                <w:sz w:val="20"/>
                <w:szCs w:val="20"/>
              </w:rPr>
            </w:pPr>
            <w:r w:rsidRPr="00E708D7">
              <w:rPr>
                <w:rFonts w:ascii="Arial Narrow" w:hAnsi="Arial Narrow"/>
                <w:b/>
                <w:bCs/>
                <w:color w:val="333333"/>
                <w:sz w:val="20"/>
                <w:szCs w:val="20"/>
              </w:rPr>
              <w:t>Administrative Advice:</w:t>
            </w:r>
          </w:p>
          <w:p w14:paraId="7C4500EC" w14:textId="77777777" w:rsidR="00471A27" w:rsidRPr="00E708D7" w:rsidRDefault="00471A27" w:rsidP="00157DEE">
            <w:pPr>
              <w:rPr>
                <w:rFonts w:ascii="Arial Narrow" w:hAnsi="Arial Narrow"/>
                <w:color w:val="333333"/>
                <w:sz w:val="20"/>
                <w:szCs w:val="20"/>
              </w:rPr>
            </w:pPr>
            <w:r w:rsidRPr="00E708D7">
              <w:rPr>
                <w:rFonts w:ascii="Arial Narrow" w:hAnsi="Arial Narrow"/>
                <w:color w:val="333333"/>
                <w:sz w:val="20"/>
                <w:szCs w:val="20"/>
              </w:rPr>
              <w:t>Details of the toxicities, including severity, which will be accepted for the purposes of administering this restriction can be found on the Services Australia website at www.servicesaustralia.gov.au</w:t>
            </w:r>
          </w:p>
        </w:tc>
      </w:tr>
    </w:tbl>
    <w:p w14:paraId="6CA13844" w14:textId="107FC4DC" w:rsidR="00A92660" w:rsidRPr="00FE2509" w:rsidRDefault="00A92660" w:rsidP="00DD25C1">
      <w:pPr>
        <w:pStyle w:val="3-BodyText"/>
        <w:numPr>
          <w:ilvl w:val="0"/>
          <w:numId w:val="0"/>
        </w:numPr>
        <w:spacing w:before="120"/>
        <w:rPr>
          <w:b/>
          <w:bCs/>
          <w:i/>
          <w:snapToGrid w:val="0"/>
        </w:rPr>
      </w:pPr>
      <w:r w:rsidRPr="00FE2509">
        <w:rPr>
          <w:rFonts w:cs="Arial"/>
          <w:b/>
          <w:bCs/>
          <w:i/>
        </w:rPr>
        <w:t>This restriction may be subject to further review. Should there be any changes made to the restriction the sponsor will be informed</w:t>
      </w:r>
      <w:r w:rsidR="00F778FF" w:rsidRPr="00FE2509">
        <w:rPr>
          <w:rFonts w:cs="Arial"/>
          <w:b/>
          <w:bCs/>
          <w:i/>
        </w:rPr>
        <w:t>.</w:t>
      </w:r>
    </w:p>
    <w:p w14:paraId="77CC5619" w14:textId="77777777" w:rsidR="00A92660" w:rsidRDefault="00A92660" w:rsidP="00DD25C1">
      <w:pPr>
        <w:pStyle w:val="3-BodyText"/>
        <w:numPr>
          <w:ilvl w:val="0"/>
          <w:numId w:val="0"/>
        </w:numPr>
        <w:spacing w:before="120"/>
        <w:rPr>
          <w:b/>
          <w:snapToGrid w:val="0"/>
        </w:rPr>
      </w:pPr>
    </w:p>
    <w:p w14:paraId="22A80D74" w14:textId="7FF86875" w:rsidR="001A30C9" w:rsidRDefault="001A30C9" w:rsidP="00DD25C1">
      <w:pPr>
        <w:pStyle w:val="3-BodyText"/>
        <w:numPr>
          <w:ilvl w:val="0"/>
          <w:numId w:val="0"/>
        </w:numPr>
        <w:spacing w:before="120"/>
        <w:rPr>
          <w:b/>
          <w:snapToGrid w:val="0"/>
        </w:rPr>
      </w:pPr>
      <w:r>
        <w:rPr>
          <w:b/>
          <w:snapToGrid w:val="0"/>
        </w:rPr>
        <w:t>Overarching administrative advice note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Overarching administrative advice note"/>
      </w:tblPr>
      <w:tblGrid>
        <w:gridCol w:w="1271"/>
        <w:gridCol w:w="7745"/>
      </w:tblGrid>
      <w:tr w:rsidR="001A30C9" w:rsidRPr="0049472F" w14:paraId="5A6AE1EF" w14:textId="77777777" w:rsidTr="00157DEE">
        <w:trPr>
          <w:trHeight w:val="20"/>
        </w:trPr>
        <w:tc>
          <w:tcPr>
            <w:tcW w:w="1271" w:type="dxa"/>
            <w:tcBorders>
              <w:left w:val="single" w:sz="4" w:space="0" w:color="auto"/>
              <w:bottom w:val="single" w:sz="4" w:space="0" w:color="auto"/>
              <w:right w:val="single" w:sz="4" w:space="0" w:color="auto"/>
            </w:tcBorders>
          </w:tcPr>
          <w:p w14:paraId="4AD4705F" w14:textId="1B247E64" w:rsidR="001A30C9" w:rsidRPr="00446E53" w:rsidRDefault="001A30C9" w:rsidP="00157DEE">
            <w:pPr>
              <w:jc w:val="center"/>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2E7C154" w14:textId="77777777" w:rsidR="001A30C9" w:rsidRDefault="001A30C9" w:rsidP="00157DEE">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1FF0A509" w14:textId="77777777" w:rsidR="001A30C9" w:rsidRPr="006D6B39" w:rsidRDefault="001A30C9" w:rsidP="00157DEE">
            <w:pPr>
              <w:rPr>
                <w:rFonts w:ascii="Arial Narrow" w:hAnsi="Arial Narrow"/>
                <w:color w:val="333333"/>
                <w:sz w:val="20"/>
                <w:szCs w:val="20"/>
              </w:rPr>
            </w:pPr>
            <w:r w:rsidRPr="006D6B39">
              <w:rPr>
                <w:rFonts w:ascii="Arial Narrow" w:hAnsi="Arial Narrow"/>
                <w:b/>
                <w:bCs/>
                <w:color w:val="333333"/>
                <w:sz w:val="20"/>
                <w:szCs w:val="20"/>
              </w:rPr>
              <w:t>TREATMENT OF PATIENTS WITH SEVERE ACTIVE JUVENILE IDIOPATHIC ARTHRITIS</w:t>
            </w:r>
          </w:p>
          <w:p w14:paraId="6DF804DC"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The following information applies to Pharmaceutical Benefits Scheme (PBS) benefits listed with the indication of severe active juvenile idiopathic arthritis.</w:t>
            </w:r>
          </w:p>
          <w:p w14:paraId="33A3C3E0" w14:textId="77777777" w:rsidR="001A30C9" w:rsidRPr="006D6B39" w:rsidRDefault="001A30C9" w:rsidP="00157DEE">
            <w:pPr>
              <w:rPr>
                <w:rFonts w:ascii="Arial Narrow" w:hAnsi="Arial Narrow"/>
                <w:color w:val="333333"/>
                <w:sz w:val="20"/>
                <w:szCs w:val="20"/>
              </w:rPr>
            </w:pPr>
          </w:p>
          <w:p w14:paraId="5EDF6DC5"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Where the term 'biological medicine' appears in notes and restrictions, it refers to any PBS benefit where the PBS indication specifies: Severe active juvenile idiopathic arthritis. Some benefits are not biological medicines, but are small molecules. However, for administrative purposes, these benefits are included within the term "biological medicine".</w:t>
            </w:r>
          </w:p>
          <w:p w14:paraId="4D34171A" w14:textId="77777777" w:rsidR="001A30C9" w:rsidRPr="006D6B39" w:rsidRDefault="001A30C9" w:rsidP="00157DEE">
            <w:pPr>
              <w:rPr>
                <w:rFonts w:ascii="Arial Narrow" w:hAnsi="Arial Narrow"/>
                <w:color w:val="333333"/>
                <w:sz w:val="20"/>
                <w:szCs w:val="20"/>
              </w:rPr>
            </w:pPr>
          </w:p>
          <w:p w14:paraId="3C831687"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Treatment cycles:</w:t>
            </w:r>
          </w:p>
          <w:p w14:paraId="2953E997" w14:textId="77777777" w:rsidR="001A30C9" w:rsidRPr="006D6B39" w:rsidRDefault="001A30C9" w:rsidP="00157DEE">
            <w:pPr>
              <w:rPr>
                <w:rFonts w:ascii="Arial Narrow" w:hAnsi="Arial Narrow"/>
                <w:color w:val="333333"/>
                <w:sz w:val="20"/>
                <w:szCs w:val="20"/>
              </w:rPr>
            </w:pPr>
          </w:p>
          <w:p w14:paraId="0C040B78"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 xml:space="preserve">From 1 December 2023, a patient receiving PBS-subsidised biological medicine </w:t>
            </w:r>
            <w:proofErr w:type="gramStart"/>
            <w:r w:rsidRPr="006D6B39">
              <w:rPr>
                <w:rFonts w:ascii="Arial Narrow" w:hAnsi="Arial Narrow"/>
                <w:color w:val="333333"/>
                <w:sz w:val="20"/>
                <w:szCs w:val="20"/>
              </w:rPr>
              <w:t>is considered to be</w:t>
            </w:r>
            <w:proofErr w:type="gramEnd"/>
            <w:r w:rsidRPr="006D6B39">
              <w:rPr>
                <w:rFonts w:ascii="Arial Narrow" w:hAnsi="Arial Narrow"/>
                <w:color w:val="333333"/>
                <w:sz w:val="20"/>
                <w:szCs w:val="20"/>
              </w:rPr>
              <w:t xml:space="preserve"> in a treatment cycle where they may switch to an alternate biological medicine without having to experience a disease flare. Under these interchangeability arrangements, within a single treatment cycle, a patient may:</w:t>
            </w:r>
          </w:p>
          <w:p w14:paraId="735677A6" w14:textId="77777777" w:rsidR="001A30C9" w:rsidRPr="006D6B39" w:rsidRDefault="001A30C9" w:rsidP="00157DEE">
            <w:pPr>
              <w:rPr>
                <w:rFonts w:ascii="Arial Narrow" w:hAnsi="Arial Narrow"/>
                <w:color w:val="333333"/>
                <w:sz w:val="20"/>
                <w:szCs w:val="20"/>
              </w:rPr>
            </w:pPr>
          </w:p>
          <w:p w14:paraId="1238A694"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(i) continue to receive long-term treatment with a PBS-subsidised biological medicine while they continue to show a response to therapy; and</w:t>
            </w:r>
          </w:p>
          <w:p w14:paraId="47D0E5BE" w14:textId="77777777" w:rsidR="00B04C5A" w:rsidRPr="006D6B39" w:rsidRDefault="00B04C5A" w:rsidP="00157DEE">
            <w:pPr>
              <w:rPr>
                <w:rFonts w:ascii="Arial Narrow" w:hAnsi="Arial Narrow"/>
                <w:color w:val="333333"/>
                <w:sz w:val="20"/>
                <w:szCs w:val="20"/>
              </w:rPr>
            </w:pPr>
          </w:p>
          <w:p w14:paraId="225B4725"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(ii) fail to respond or to sustain a response to each PBS-subsidised biological medicine once only. Therefore, once a patient fails to meet the response criteria for a PBS-subsidised biological medicine, they must change to an alternate biological medicine if they wish to continue PBS-subsidised biological treatment.</w:t>
            </w:r>
          </w:p>
          <w:p w14:paraId="7643F4FB" w14:textId="77777777" w:rsidR="00B04C5A" w:rsidRPr="006D6B39" w:rsidRDefault="00B04C5A" w:rsidP="00157DEE">
            <w:pPr>
              <w:rPr>
                <w:rFonts w:ascii="Arial Narrow" w:hAnsi="Arial Narrow"/>
                <w:color w:val="333333"/>
                <w:sz w:val="20"/>
                <w:szCs w:val="20"/>
              </w:rPr>
            </w:pPr>
          </w:p>
          <w:p w14:paraId="22C525F1"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0ED02CCE" w14:textId="77777777" w:rsidR="00B04C5A" w:rsidRPr="006D6B39" w:rsidRDefault="00B04C5A" w:rsidP="00157DEE">
            <w:pPr>
              <w:rPr>
                <w:rFonts w:ascii="Arial Narrow" w:hAnsi="Arial Narrow"/>
                <w:color w:val="333333"/>
                <w:sz w:val="20"/>
                <w:szCs w:val="20"/>
              </w:rPr>
            </w:pPr>
          </w:p>
          <w:p w14:paraId="004D5DAE" w14:textId="77777777" w:rsidR="001A30C9" w:rsidRPr="006D6B39" w:rsidRDefault="001A30C9" w:rsidP="00157DEE">
            <w:pPr>
              <w:rPr>
                <w:rFonts w:ascii="Arial Narrow" w:hAnsi="Arial Narrow"/>
                <w:color w:val="333333"/>
                <w:sz w:val="20"/>
                <w:szCs w:val="20"/>
              </w:rPr>
            </w:pPr>
            <w:r w:rsidRPr="006D6B39">
              <w:rPr>
                <w:rFonts w:ascii="Arial Narrow" w:hAnsi="Arial Narrow"/>
                <w:color w:val="333333"/>
                <w:sz w:val="20"/>
                <w:szCs w:val="20"/>
              </w:rPr>
              <w:t>Where treatment has resulted in an inadequate response on 3 occasions a treatment cycle is considered to have been completed and there must be a 12-month break in PBS-subsidy from all biological medicines with the PBS indication 'severe active juvenile idiopathic arthritis' before starting a new treatment cycle.</w:t>
            </w:r>
          </w:p>
          <w:p w14:paraId="330F887F"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The length of a treatment break is measured from the date the most recent treatment with PBS-subsidised biological medicine was prescribed to the date of the first application for initial treatment with a biological medicine under the new treatment cycle.</w:t>
            </w:r>
          </w:p>
          <w:p w14:paraId="1A3C2592" w14:textId="77777777" w:rsidR="00B04C5A" w:rsidRPr="006D6B39" w:rsidRDefault="00B04C5A" w:rsidP="00157DEE">
            <w:pPr>
              <w:rPr>
                <w:rFonts w:ascii="Arial Narrow" w:hAnsi="Arial Narrow"/>
                <w:color w:val="333333"/>
                <w:sz w:val="20"/>
                <w:szCs w:val="20"/>
              </w:rPr>
            </w:pPr>
          </w:p>
          <w:p w14:paraId="75F43106"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 xml:space="preserve">A patient who received PBS-subsidised biological medicine immediately prior to 1 December 2023 </w:t>
            </w:r>
            <w:proofErr w:type="gramStart"/>
            <w:r w:rsidRPr="006D6B39">
              <w:rPr>
                <w:rFonts w:ascii="Arial Narrow" w:hAnsi="Arial Narrow"/>
                <w:color w:val="333333"/>
                <w:sz w:val="20"/>
                <w:szCs w:val="20"/>
              </w:rPr>
              <w:t>is considered to be</w:t>
            </w:r>
            <w:proofErr w:type="gramEnd"/>
            <w:r w:rsidRPr="006D6B39">
              <w:rPr>
                <w:rFonts w:ascii="Arial Narrow" w:hAnsi="Arial Narrow"/>
                <w:color w:val="333333"/>
                <w:sz w:val="20"/>
                <w:szCs w:val="20"/>
              </w:rPr>
              <w:t xml:space="preserve"> in their first cycle as of 1 December 2023. A patient who has had a break in biological medicine treatment of at least 12 months immediately prior to making a new application, on or after 1 December 2023, will commence a new treatment cycle under the Initial 3 treatment restriction.</w:t>
            </w:r>
          </w:p>
          <w:p w14:paraId="34C50408" w14:textId="77777777" w:rsidR="00B04C5A" w:rsidRPr="006D6B39" w:rsidRDefault="00B04C5A" w:rsidP="00157DEE">
            <w:pPr>
              <w:rPr>
                <w:rFonts w:ascii="Arial Narrow" w:hAnsi="Arial Narrow"/>
                <w:color w:val="333333"/>
                <w:sz w:val="20"/>
                <w:szCs w:val="20"/>
              </w:rPr>
            </w:pPr>
          </w:p>
          <w:p w14:paraId="3409A6F2"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Where treatment has resulted in an inadequate response on fewer than 3 occasions in a treatment cycle and where a break in therapy of less than 12 months has occurred a further course of treatment may be commenced within the same treatment cycle.</w:t>
            </w:r>
          </w:p>
          <w:p w14:paraId="60DE7185" w14:textId="77777777" w:rsidR="00B04C5A" w:rsidRPr="006D6B39" w:rsidRDefault="00B04C5A" w:rsidP="00157DEE">
            <w:pPr>
              <w:rPr>
                <w:rFonts w:ascii="Arial Narrow" w:hAnsi="Arial Narrow"/>
                <w:color w:val="333333"/>
                <w:sz w:val="20"/>
                <w:szCs w:val="20"/>
              </w:rPr>
            </w:pPr>
          </w:p>
          <w:p w14:paraId="71565DD0"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Where treatment has resulted in an inadequate response on fewer than 3 occasions in a treatment cycle and where a break in therapy of more than 12 months has occurred a new treatment cycle must be commenced.</w:t>
            </w:r>
          </w:p>
          <w:p w14:paraId="6A77546F" w14:textId="77777777" w:rsidR="00B04C5A" w:rsidRPr="006D6B39" w:rsidRDefault="00B04C5A" w:rsidP="00157DEE">
            <w:pPr>
              <w:rPr>
                <w:rFonts w:ascii="Arial Narrow" w:hAnsi="Arial Narrow"/>
                <w:color w:val="333333"/>
                <w:sz w:val="20"/>
                <w:szCs w:val="20"/>
              </w:rPr>
            </w:pPr>
          </w:p>
          <w:p w14:paraId="1959F4D8"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There is no limit to the number of treatment cycles a patient may undertake in their lifetime.</w:t>
            </w:r>
          </w:p>
          <w:p w14:paraId="35C5D050" w14:textId="77777777" w:rsidR="00B04C5A" w:rsidRPr="006D6B39" w:rsidRDefault="00B04C5A" w:rsidP="00157DEE">
            <w:pPr>
              <w:rPr>
                <w:rFonts w:ascii="Arial Narrow" w:hAnsi="Arial Narrow"/>
                <w:color w:val="333333"/>
                <w:sz w:val="20"/>
                <w:szCs w:val="20"/>
              </w:rPr>
            </w:pPr>
          </w:p>
          <w:p w14:paraId="2B12B4BF"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Prescribing under the correct 'Treatment Phase' listing for the authority application:</w:t>
            </w:r>
          </w:p>
          <w:p w14:paraId="15720240" w14:textId="77777777" w:rsidR="00B04C5A" w:rsidRPr="006D6B39" w:rsidRDefault="00B04C5A" w:rsidP="00157DEE">
            <w:pPr>
              <w:rPr>
                <w:rFonts w:ascii="Arial Narrow" w:hAnsi="Arial Narrow"/>
                <w:color w:val="333333"/>
                <w:sz w:val="20"/>
                <w:szCs w:val="20"/>
              </w:rPr>
            </w:pPr>
          </w:p>
          <w:p w14:paraId="07ACD8A9"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(1) Initial treatment.</w:t>
            </w:r>
          </w:p>
          <w:p w14:paraId="40667A50" w14:textId="77777777" w:rsidR="00B04C5A" w:rsidRPr="006D6B39" w:rsidRDefault="00B04C5A" w:rsidP="00157DEE">
            <w:pPr>
              <w:rPr>
                <w:rFonts w:ascii="Arial Narrow" w:hAnsi="Arial Narrow"/>
                <w:color w:val="333333"/>
                <w:sz w:val="20"/>
                <w:szCs w:val="20"/>
              </w:rPr>
            </w:pPr>
          </w:p>
          <w:p w14:paraId="0D0073A2"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Apply under the 'Initial 1' treatment listing where the patient has never received a biological medicine for 'severe active juvenile idiopathic arthritis'.</w:t>
            </w:r>
          </w:p>
          <w:p w14:paraId="12BA38ED" w14:textId="77777777" w:rsidR="00B04C5A" w:rsidRPr="006D6B39" w:rsidRDefault="00B04C5A" w:rsidP="00157DEE">
            <w:pPr>
              <w:rPr>
                <w:rFonts w:ascii="Arial Narrow" w:hAnsi="Arial Narrow"/>
                <w:color w:val="333333"/>
                <w:sz w:val="20"/>
                <w:szCs w:val="20"/>
              </w:rPr>
            </w:pPr>
          </w:p>
          <w:p w14:paraId="6560D615"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(2) Continuing treatment.</w:t>
            </w:r>
          </w:p>
          <w:p w14:paraId="1E7DE820" w14:textId="77777777" w:rsidR="00B04C5A" w:rsidRPr="006D6B39" w:rsidRDefault="00B04C5A" w:rsidP="00157DEE">
            <w:pPr>
              <w:rPr>
                <w:rFonts w:ascii="Arial Narrow" w:hAnsi="Arial Narrow"/>
                <w:color w:val="333333"/>
                <w:sz w:val="20"/>
                <w:szCs w:val="20"/>
              </w:rPr>
            </w:pPr>
          </w:p>
          <w:p w14:paraId="4F01C15D"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Apply under the 'Continuing treatment' listing where the patient is experiencing an adequate response as defined in the restriction where there has been no change in prescribed biological medicine. Under no circumstance is continuing treatment to precede initial treatment. An authority application for continuing treatment is not to be made on the same day as initial treatment.</w:t>
            </w:r>
          </w:p>
          <w:p w14:paraId="0720F9D8" w14:textId="77777777" w:rsidR="00B04C5A" w:rsidRPr="006D6B39" w:rsidRDefault="00B04C5A" w:rsidP="00157DEE">
            <w:pPr>
              <w:rPr>
                <w:rFonts w:ascii="Arial Narrow" w:hAnsi="Arial Narrow"/>
                <w:color w:val="333333"/>
                <w:sz w:val="20"/>
                <w:szCs w:val="20"/>
              </w:rPr>
            </w:pPr>
          </w:p>
          <w:p w14:paraId="1163EF8B"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(3) Changing therapy.</w:t>
            </w:r>
          </w:p>
          <w:p w14:paraId="63757C15" w14:textId="77777777" w:rsidR="00B04C5A" w:rsidRPr="006D6B39" w:rsidRDefault="00B04C5A" w:rsidP="00157DEE">
            <w:pPr>
              <w:rPr>
                <w:rFonts w:ascii="Arial Narrow" w:hAnsi="Arial Narrow"/>
                <w:color w:val="333333"/>
                <w:sz w:val="20"/>
                <w:szCs w:val="20"/>
              </w:rPr>
            </w:pPr>
          </w:p>
          <w:p w14:paraId="41E96A68"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Apply under the 'Initial 2' treatment listing. The indices of disease severity (joint count) or the prior non-biological medicine therapy requirements will not need to be restated, except if the patient has had a break in therapy of more than 12 months who would then need to requalify under the initial 3 restrictions with respect to the indices of disease severity.</w:t>
            </w:r>
          </w:p>
          <w:p w14:paraId="2BEE1A17" w14:textId="77777777" w:rsidR="00B04C5A" w:rsidRPr="006D6B39" w:rsidRDefault="00B04C5A" w:rsidP="00157DEE">
            <w:pPr>
              <w:rPr>
                <w:rFonts w:ascii="Arial Narrow" w:hAnsi="Arial Narrow"/>
                <w:color w:val="333333"/>
                <w:sz w:val="20"/>
                <w:szCs w:val="20"/>
              </w:rPr>
            </w:pPr>
          </w:p>
          <w:p w14:paraId="32A3F97D"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 patient may trial an alternate biological medicine at any time, regardless of whether they are receiving therapy (initial or continuing) with a biological medicine at the time of the application.</w:t>
            </w:r>
          </w:p>
          <w:p w14:paraId="0472C39F" w14:textId="77777777" w:rsidR="00B04C5A" w:rsidRPr="006D6B39" w:rsidRDefault="00B04C5A" w:rsidP="00157DEE">
            <w:pPr>
              <w:rPr>
                <w:rFonts w:ascii="Arial Narrow" w:hAnsi="Arial Narrow"/>
                <w:color w:val="333333"/>
                <w:sz w:val="20"/>
                <w:szCs w:val="20"/>
              </w:rPr>
            </w:pPr>
          </w:p>
          <w:p w14:paraId="57A704DA"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However, they cannot change to a particular biological medicine if it has failed to provide the patient with an adequate response within the same treatment cycle. A response assessment to the preceding supply of biological medicine must accompany the initial 2 authority application.</w:t>
            </w:r>
          </w:p>
          <w:p w14:paraId="188E1ACD" w14:textId="77777777" w:rsidR="00B04C5A" w:rsidRPr="006D6B39" w:rsidRDefault="00B04C5A" w:rsidP="00157DEE">
            <w:pPr>
              <w:rPr>
                <w:rFonts w:ascii="Arial Narrow" w:hAnsi="Arial Narrow"/>
                <w:color w:val="333333"/>
                <w:sz w:val="20"/>
                <w:szCs w:val="20"/>
              </w:rPr>
            </w:pPr>
          </w:p>
          <w:p w14:paraId="3D72143C"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(4) Baseline measurements to determine response.</w:t>
            </w:r>
          </w:p>
          <w:p w14:paraId="035B3C6B" w14:textId="77777777" w:rsidR="00B04C5A" w:rsidRPr="006D6B39" w:rsidRDefault="00B04C5A" w:rsidP="00157DEE">
            <w:pPr>
              <w:rPr>
                <w:rFonts w:ascii="Arial Narrow" w:hAnsi="Arial Narrow"/>
                <w:color w:val="333333"/>
                <w:sz w:val="20"/>
                <w:szCs w:val="20"/>
              </w:rPr>
            </w:pPr>
          </w:p>
          <w:p w14:paraId="5C7F10FF"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 response to treatment is to be determined by comparison of current disease activity measurements relative to the baseline measurements of the joint count provided with the first authority application for a biological medicine. However, prescribers may provide a new baseline measurement any time that an initial treatment authority application is provided within a treatment cycle and the eligibility for continuing treatment should be assessed according to the revised baseline measurement.</w:t>
            </w:r>
          </w:p>
          <w:p w14:paraId="79CB16BA" w14:textId="77777777" w:rsidR="00B04C5A" w:rsidRPr="006D6B39" w:rsidRDefault="00B04C5A" w:rsidP="00157DEE">
            <w:pPr>
              <w:rPr>
                <w:rFonts w:ascii="Arial Narrow" w:hAnsi="Arial Narrow"/>
                <w:color w:val="333333"/>
                <w:sz w:val="20"/>
                <w:szCs w:val="20"/>
              </w:rPr>
            </w:pPr>
          </w:p>
          <w:p w14:paraId="11BBE041"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(5) Recommencement of treatment after a 12-month break in PBS-subsidised therapy.</w:t>
            </w:r>
          </w:p>
          <w:p w14:paraId="015D22E0" w14:textId="77777777" w:rsidR="00B04C5A" w:rsidRPr="006D6B39" w:rsidRDefault="00B04C5A" w:rsidP="00157DEE">
            <w:pPr>
              <w:rPr>
                <w:rFonts w:ascii="Arial Narrow" w:hAnsi="Arial Narrow"/>
                <w:color w:val="333333"/>
                <w:sz w:val="20"/>
                <w:szCs w:val="20"/>
              </w:rPr>
            </w:pPr>
          </w:p>
          <w:p w14:paraId="6F96DA61"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Apply under the 'Initial 3' treatment listing.</w:t>
            </w:r>
          </w:p>
          <w:p w14:paraId="486899EC" w14:textId="77777777" w:rsidR="00B04C5A" w:rsidRPr="006D6B39" w:rsidRDefault="00B04C5A" w:rsidP="00157DEE">
            <w:pPr>
              <w:rPr>
                <w:rFonts w:ascii="Arial Narrow" w:hAnsi="Arial Narrow"/>
                <w:color w:val="333333"/>
                <w:sz w:val="20"/>
                <w:szCs w:val="20"/>
              </w:rPr>
            </w:pPr>
          </w:p>
          <w:p w14:paraId="0944A0FF" w14:textId="77777777" w:rsidR="001A30C9" w:rsidRDefault="001A30C9" w:rsidP="00157DEE">
            <w:pPr>
              <w:rPr>
                <w:rFonts w:ascii="Arial Narrow" w:hAnsi="Arial Narrow"/>
                <w:color w:val="333333"/>
                <w:sz w:val="20"/>
                <w:szCs w:val="20"/>
              </w:rPr>
            </w:pPr>
            <w:r w:rsidRPr="006D6B39">
              <w:rPr>
                <w:rFonts w:ascii="Arial Narrow" w:hAnsi="Arial Narrow"/>
                <w:color w:val="333333"/>
                <w:sz w:val="20"/>
                <w:szCs w:val="20"/>
              </w:rPr>
              <w:t>(6) Withdrawal of treatment after sustained remission.</w:t>
            </w:r>
          </w:p>
          <w:p w14:paraId="60F6B1C4" w14:textId="77777777" w:rsidR="00B04C5A" w:rsidRPr="006D6B39" w:rsidRDefault="00B04C5A" w:rsidP="00157DEE">
            <w:pPr>
              <w:rPr>
                <w:rFonts w:ascii="Arial Narrow" w:hAnsi="Arial Narrow"/>
                <w:color w:val="333333"/>
                <w:sz w:val="20"/>
                <w:szCs w:val="20"/>
              </w:rPr>
            </w:pPr>
          </w:p>
          <w:p w14:paraId="28E0FD87" w14:textId="77777777" w:rsidR="001A30C9" w:rsidRPr="0049472F" w:rsidRDefault="001A30C9" w:rsidP="00157DEE">
            <w:pPr>
              <w:rPr>
                <w:rFonts w:ascii="Arial Narrow" w:hAnsi="Arial Narrow"/>
                <w:color w:val="333333"/>
                <w:sz w:val="20"/>
                <w:szCs w:val="20"/>
              </w:rPr>
            </w:pPr>
            <w:r w:rsidRPr="006D6B39">
              <w:rPr>
                <w:rFonts w:ascii="Arial Narrow" w:hAnsi="Arial Narrow"/>
                <w:color w:val="333333"/>
                <w:sz w:val="20"/>
                <w:szCs w:val="20"/>
              </w:rPr>
              <w:t>Withdrawal of treatment with biological medicine should be considered in a patient who has achieved and sustained complete remission of disease for 12 months. An assessment of demonstration of response to the current treatment should be conducted at the time treatment is ceased and the results retained in the patient's records. These results must be provided to Services Australia if subsequent authority applications are required.</w:t>
            </w:r>
          </w:p>
        </w:tc>
      </w:tr>
    </w:tbl>
    <w:p w14:paraId="315FFF5D" w14:textId="77777777" w:rsidR="006512F5" w:rsidRPr="00B620FD" w:rsidRDefault="006512F5" w:rsidP="1B88D271">
      <w:pPr>
        <w:pStyle w:val="3-BodyText"/>
        <w:numPr>
          <w:ilvl w:val="0"/>
          <w:numId w:val="0"/>
        </w:numPr>
        <w:spacing w:before="120"/>
        <w:rPr>
          <w:b/>
          <w:bCs/>
          <w:snapToGrid w:val="0"/>
        </w:rPr>
      </w:pPr>
    </w:p>
    <w:p w14:paraId="71B223C0" w14:textId="4A2463BE" w:rsidR="76E52FC1" w:rsidRDefault="76E52FC1" w:rsidP="00F37EE7">
      <w:pPr>
        <w:pStyle w:val="2-SectionHeading"/>
        <w:rPr>
          <w:rFonts w:eastAsia="Calibri" w:cs="Calibri"/>
          <w:bCs/>
        </w:rPr>
      </w:pPr>
      <w:r w:rsidRPr="00F37EE7">
        <w:t>Context for Decision</w:t>
      </w:r>
    </w:p>
    <w:p w14:paraId="33D264A7" w14:textId="77777777" w:rsidR="00F37EE7" w:rsidRPr="00F37EE7" w:rsidRDefault="76E52FC1" w:rsidP="00F37EE7">
      <w:pPr>
        <w:pStyle w:val="2-SectionHeading"/>
        <w:numPr>
          <w:ilvl w:val="0"/>
          <w:numId w:val="0"/>
        </w:numPr>
        <w:ind w:left="720"/>
        <w:rPr>
          <w:rFonts w:ascii="Calibri" w:eastAsia="Calibri" w:hAnsi="Calibri" w:cs="Calibri"/>
          <w:bCs/>
        </w:rPr>
      </w:pPr>
      <w:r w:rsidRPr="00F37EE7">
        <w:rPr>
          <w:rFonts w:cs="Times New Roman"/>
          <w:b w:val="0"/>
          <w:bCs/>
          <w:snapToGrid/>
          <w:sz w:val="24"/>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1B88D271">
        <w:rPr>
          <w:rFonts w:eastAsia="Calibri" w:cs="Calibri"/>
          <w:lang w:val="en-GB"/>
        </w:rPr>
        <w:t>.</w:t>
      </w:r>
    </w:p>
    <w:p w14:paraId="15C344BA" w14:textId="3BA13DF3" w:rsidR="76E52FC1" w:rsidRDefault="76E52FC1" w:rsidP="00F37EE7">
      <w:pPr>
        <w:pStyle w:val="2-SectionHeading"/>
        <w:rPr>
          <w:rFonts w:ascii="Calibri" w:eastAsia="Calibri" w:hAnsi="Calibri" w:cs="Calibri"/>
          <w:bCs/>
        </w:rPr>
      </w:pPr>
      <w:r w:rsidRPr="00F37EE7">
        <w:t>Sponsor’s Comment</w:t>
      </w:r>
    </w:p>
    <w:p w14:paraId="41A6F852" w14:textId="77777777" w:rsidR="000747A6" w:rsidRDefault="000747A6">
      <w:pPr>
        <w:pStyle w:val="2-SectionHeading"/>
        <w:numPr>
          <w:ilvl w:val="0"/>
          <w:numId w:val="0"/>
        </w:numPr>
        <w:ind w:left="720"/>
        <w:rPr>
          <w:rFonts w:ascii="Calibri" w:eastAsia="Calibri" w:hAnsi="Calibri" w:cs="Calibri"/>
          <w:b w:val="0"/>
          <w:sz w:val="24"/>
          <w:szCs w:val="24"/>
          <w:lang w:val="en-GB"/>
        </w:rPr>
      </w:pPr>
      <w:r w:rsidRPr="000747A6">
        <w:rPr>
          <w:rFonts w:ascii="Calibri" w:eastAsia="Calibri" w:hAnsi="Calibri" w:cs="Calibri"/>
          <w:b w:val="0"/>
          <w:sz w:val="24"/>
          <w:szCs w:val="24"/>
          <w:lang w:val="en-GB"/>
        </w:rPr>
        <w:t>AbbVie welcomes the PBAC’s recommendation to expand access to adalimumab and other advanced treatments for children with juvenile arthritis. AbbVie is working with the Department of Health on the earliest possible PBS listing.</w:t>
      </w:r>
    </w:p>
    <w:p w14:paraId="68405202" w14:textId="72FD1426" w:rsidR="1B88D271" w:rsidRDefault="1B88D271" w:rsidP="1B88D271">
      <w:pPr>
        <w:pStyle w:val="3-BodyText"/>
        <w:numPr>
          <w:ilvl w:val="0"/>
          <w:numId w:val="0"/>
        </w:numPr>
        <w:spacing w:before="120"/>
        <w:rPr>
          <w:b/>
          <w:bCs/>
        </w:rPr>
      </w:pPr>
    </w:p>
    <w:sectPr w:rsidR="1B88D271" w:rsidSect="00606A7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1FA0" w14:textId="77777777" w:rsidR="0008713F" w:rsidRDefault="0008713F">
      <w:r>
        <w:separator/>
      </w:r>
    </w:p>
    <w:p w14:paraId="23B635B0" w14:textId="77777777" w:rsidR="0008713F" w:rsidRDefault="0008713F"/>
  </w:endnote>
  <w:endnote w:type="continuationSeparator" w:id="0">
    <w:p w14:paraId="60D266D9" w14:textId="77777777" w:rsidR="0008713F" w:rsidRDefault="0008713F">
      <w:r>
        <w:continuationSeparator/>
      </w:r>
    </w:p>
    <w:p w14:paraId="02C08374" w14:textId="77777777" w:rsidR="0008713F" w:rsidRDefault="0008713F"/>
  </w:endnote>
  <w:endnote w:type="continuationNotice" w:id="1">
    <w:p w14:paraId="73169AAF" w14:textId="77777777" w:rsidR="0008713F" w:rsidRDefault="00087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53B609B6" w:rsidR="009C26AA" w:rsidRPr="005A3173" w:rsidRDefault="009159B0"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099F614A" wp14:editId="2F7C3906">
                    <wp:simplePos x="635" y="635"/>
                    <wp:positionH relativeFrom="page">
                      <wp:align>center</wp:align>
                    </wp:positionH>
                    <wp:positionV relativeFrom="page">
                      <wp:align>bottom</wp:align>
                    </wp:positionV>
                    <wp:extent cx="551815" cy="376555"/>
                    <wp:effectExtent l="0" t="0" r="635" b="0"/>
                    <wp:wrapNone/>
                    <wp:docPr id="14099485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7D4274" w14:textId="696B14A2" w:rsidR="009159B0" w:rsidRPr="009159B0" w:rsidRDefault="009159B0" w:rsidP="009159B0">
                                <w:pPr>
                                  <w:rPr>
                                    <w:rFonts w:eastAsia="Calibri" w:cs="Calibri"/>
                                    <w:noProof/>
                                    <w:color w:val="FF0000"/>
                                  </w:rPr>
                                </w:pPr>
                                <w:r w:rsidRPr="009159B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99F614A"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D7D4274" w14:textId="696B14A2" w:rsidR="009159B0" w:rsidRPr="009159B0" w:rsidRDefault="009159B0" w:rsidP="009159B0">
                          <w:pPr>
                            <w:rPr>
                              <w:rFonts w:eastAsia="Calibri" w:cs="Calibri"/>
                              <w:noProof/>
                              <w:color w:val="FF0000"/>
                            </w:rPr>
                          </w:pPr>
                          <w:r w:rsidRPr="009159B0">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C67F7D1"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4EE8" w14:textId="5A201DC4" w:rsidR="00C04C4F" w:rsidRDefault="009159B0">
    <w:pPr>
      <w:pStyle w:val="Footer"/>
    </w:pPr>
    <w:r>
      <w:rPr>
        <w:noProof/>
      </w:rPr>
      <mc:AlternateContent>
        <mc:Choice Requires="wps">
          <w:drawing>
            <wp:anchor distT="0" distB="0" distL="0" distR="0" simplePos="0" relativeHeight="251658242" behindDoc="0" locked="0" layoutInCell="1" allowOverlap="1" wp14:anchorId="1D22D899" wp14:editId="7F9DDC1A">
              <wp:simplePos x="635" y="635"/>
              <wp:positionH relativeFrom="page">
                <wp:align>center</wp:align>
              </wp:positionH>
              <wp:positionV relativeFrom="page">
                <wp:align>bottom</wp:align>
              </wp:positionV>
              <wp:extent cx="551815" cy="376555"/>
              <wp:effectExtent l="0" t="0" r="635" b="0"/>
              <wp:wrapNone/>
              <wp:docPr id="1879721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3EEAD9" w14:textId="7FC460BE" w:rsidR="009159B0" w:rsidRPr="009159B0" w:rsidRDefault="009159B0" w:rsidP="009159B0">
                          <w:pPr>
                            <w:rPr>
                              <w:rFonts w:eastAsia="Calibri" w:cs="Calibri"/>
                              <w:noProof/>
                              <w:color w:val="FF0000"/>
                            </w:rPr>
                          </w:pPr>
                          <w:r w:rsidRPr="009159B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D22D899"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33EEAD9" w14:textId="7FC460BE" w:rsidR="009159B0" w:rsidRPr="009159B0" w:rsidRDefault="009159B0" w:rsidP="009159B0">
                    <w:pPr>
                      <w:rPr>
                        <w:rFonts w:eastAsia="Calibri" w:cs="Calibri"/>
                        <w:noProof/>
                        <w:color w:val="FF0000"/>
                      </w:rPr>
                    </w:pPr>
                    <w:r w:rsidRPr="009159B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EC5A" w14:textId="77777777" w:rsidR="0008713F" w:rsidRDefault="0008713F">
      <w:r>
        <w:separator/>
      </w:r>
    </w:p>
    <w:p w14:paraId="70B41468" w14:textId="77777777" w:rsidR="0008713F" w:rsidRDefault="0008713F"/>
  </w:footnote>
  <w:footnote w:type="continuationSeparator" w:id="0">
    <w:p w14:paraId="0AFD96C9" w14:textId="77777777" w:rsidR="0008713F" w:rsidRDefault="0008713F">
      <w:r>
        <w:continuationSeparator/>
      </w:r>
    </w:p>
    <w:p w14:paraId="3D8E5537" w14:textId="77777777" w:rsidR="0008713F" w:rsidRDefault="0008713F"/>
  </w:footnote>
  <w:footnote w:type="continuationNotice" w:id="1">
    <w:p w14:paraId="691492B3" w14:textId="77777777" w:rsidR="0008713F" w:rsidRDefault="0008713F"/>
  </w:footnote>
  <w:footnote w:id="2">
    <w:p w14:paraId="45C8A624" w14:textId="77777777" w:rsidR="00852466" w:rsidRDefault="00852466" w:rsidP="00852466">
      <w:pPr>
        <w:pStyle w:val="FootnoteText"/>
      </w:pPr>
      <w:r>
        <w:rPr>
          <w:rStyle w:val="FootnoteReference"/>
        </w:rPr>
        <w:footnoteRef/>
      </w:r>
      <w:r>
        <w:t xml:space="preserve"> </w:t>
      </w:r>
      <w:r w:rsidRPr="0087277D">
        <w:t xml:space="preserve">Ringold, S., S. T. Angeles-Han, </w:t>
      </w:r>
      <w:r>
        <w:t xml:space="preserve">et al, </w:t>
      </w:r>
      <w:r w:rsidRPr="0087277D">
        <w:t>(2019)</w:t>
      </w:r>
      <w:r>
        <w:t>,</w:t>
      </w:r>
      <w:r w:rsidRPr="0087277D">
        <w:t xml:space="preserve"> </w:t>
      </w:r>
      <w:r>
        <w:t>‘</w:t>
      </w:r>
      <w:r w:rsidRPr="0087277D">
        <w:t>2019 American College of Rheumatology/Arthritis Foundation Guideline for the Treatment of Juvenile Idiopathic Arthritis: Therapeutic Approaches for Non-Systemic Polyarthritis, Sacroiliitis, and Enthesitis</w:t>
      </w:r>
      <w:r>
        <w:t>’,</w:t>
      </w:r>
      <w:r w:rsidRPr="0087277D">
        <w:t xml:space="preserve"> Arthritis Rheumatol 71(6): </w:t>
      </w:r>
      <w:r>
        <w:t xml:space="preserve">pp. </w:t>
      </w:r>
      <w:r w:rsidRPr="0087277D">
        <w:t>846-863</w:t>
      </w:r>
      <w:r>
        <w:t>.</w:t>
      </w:r>
    </w:p>
  </w:footnote>
  <w:footnote w:id="3">
    <w:p w14:paraId="3D9A8247" w14:textId="77777777" w:rsidR="00852466" w:rsidRPr="00EF7E92" w:rsidRDefault="00852466" w:rsidP="00852466">
      <w:pPr>
        <w:rPr>
          <w:rFonts w:cstheme="minorHAnsi"/>
          <w:sz w:val="22"/>
          <w:szCs w:val="22"/>
        </w:rPr>
      </w:pPr>
      <w:r>
        <w:rPr>
          <w:rStyle w:val="FootnoteReference"/>
        </w:rPr>
        <w:footnoteRef/>
      </w:r>
      <w:r>
        <w:t xml:space="preserve"> </w:t>
      </w:r>
      <w:r w:rsidRPr="00FF64AA">
        <w:rPr>
          <w:sz w:val="20"/>
          <w:szCs w:val="20"/>
        </w:rPr>
        <w:t>Specialised Commissioning Team, NHS England</w:t>
      </w:r>
      <w:r>
        <w:rPr>
          <w:sz w:val="20"/>
          <w:szCs w:val="20"/>
        </w:rPr>
        <w:t>,</w:t>
      </w:r>
      <w:r w:rsidRPr="00FF64AA">
        <w:rPr>
          <w:sz w:val="20"/>
          <w:szCs w:val="20"/>
        </w:rPr>
        <w:t xml:space="preserve"> (2015)</w:t>
      </w:r>
      <w:r>
        <w:rPr>
          <w:sz w:val="20"/>
          <w:szCs w:val="20"/>
        </w:rPr>
        <w:t>,</w:t>
      </w:r>
      <w:r w:rsidRPr="00FF64AA">
        <w:rPr>
          <w:sz w:val="20"/>
          <w:szCs w:val="20"/>
        </w:rPr>
        <w:t xml:space="preserve"> </w:t>
      </w:r>
      <w:r>
        <w:rPr>
          <w:sz w:val="20"/>
          <w:szCs w:val="20"/>
        </w:rPr>
        <w:t>‘</w:t>
      </w:r>
      <w:r w:rsidRPr="00FF64AA">
        <w:rPr>
          <w:sz w:val="20"/>
          <w:szCs w:val="20"/>
        </w:rPr>
        <w:t>Clinical Commissioning Policy Statement: Biologic Therapies for the treatment of Juvenile Idiopathic Arthritis (JIA)</w:t>
      </w:r>
      <w:r>
        <w:rPr>
          <w:sz w:val="20"/>
          <w:szCs w:val="20"/>
        </w:rPr>
        <w:t>’,</w:t>
      </w:r>
      <w:r w:rsidRPr="00FF64AA">
        <w:rPr>
          <w:sz w:val="20"/>
          <w:szCs w:val="20"/>
        </w:rPr>
        <w:t xml:space="preserve"> England E03X04. </w:t>
      </w:r>
      <w:hyperlink r:id="rId1" w:history="1">
        <w:r w:rsidRPr="00FF64AA">
          <w:rPr>
            <w:rStyle w:val="Hyperlink"/>
            <w:sz w:val="20"/>
            <w:szCs w:val="20"/>
          </w:rPr>
          <w:t>www.england.nhs.uk/wp-content/uploads/2018/08/Biologic-therapies-for-the-treatment-of-juvenile-idiopathic-arthritis.pdf</w:t>
        </w:r>
      </w:hyperlink>
      <w:r w:rsidRPr="00FF64AA">
        <w:rPr>
          <w:sz w:val="20"/>
          <w:szCs w:val="20"/>
        </w:rPr>
        <w:t xml:space="preserve"> and </w:t>
      </w:r>
      <w:hyperlink r:id="rId2" w:history="1">
        <w:r w:rsidRPr="00FF64AA">
          <w:rPr>
            <w:rStyle w:val="Hyperlink"/>
            <w:sz w:val="20"/>
            <w:szCs w:val="20"/>
          </w:rPr>
          <w:t>www.england.nhs.uk/wp-content/uploads/2018/07/Biologic-therapies-for-the-treatment-of-juvenile-idiopathic-arthritis-Appendix-A.pdf</w:t>
        </w:r>
      </w:hyperlink>
      <w:r w:rsidRPr="00FF64AA">
        <w:rPr>
          <w:sz w:val="20"/>
          <w:szCs w:val="20"/>
        </w:rPr>
        <w:t>, accessed September 2023</w:t>
      </w:r>
      <w:r>
        <w:rPr>
          <w:sz w:val="22"/>
          <w:szCs w:val="22"/>
        </w:rPr>
        <w:t>.</w:t>
      </w:r>
    </w:p>
  </w:footnote>
  <w:footnote w:id="4">
    <w:p w14:paraId="5D7CF3E9" w14:textId="642F118D" w:rsidR="00852466" w:rsidRDefault="00852466" w:rsidP="00852466">
      <w:pPr>
        <w:pStyle w:val="FootnoteText"/>
      </w:pPr>
      <w:r>
        <w:rPr>
          <w:rStyle w:val="FootnoteReference"/>
        </w:rPr>
        <w:footnoteRef/>
      </w:r>
      <w:r>
        <w:t xml:space="preserve"> National Institute for Health and Care Excellence (NICE), (2015), ‘Abatacept, adalimumab, etanercept and tocilizumab for treating juvenile idiopathic arthritis – Summary of Appraisal Committee’s key conclusions’, England TA373, </w:t>
      </w:r>
      <w:hyperlink r:id="rId3" w:anchor="summary-of-appraisal-committees-key-conclusions" w:history="1">
        <w:r w:rsidRPr="009F517D">
          <w:rPr>
            <w:rStyle w:val="Hyperlink"/>
          </w:rPr>
          <w:t>www.nice.org.uk/guidance/ta373/chapter/4-Evidence-and-interpretation#summary-of-appraisal-committees-key-conclusions</w:t>
        </w:r>
      </w:hyperlink>
    </w:p>
  </w:footnote>
  <w:footnote w:id="5">
    <w:p w14:paraId="1DA61779" w14:textId="77777777" w:rsidR="00852466" w:rsidRPr="00EF7E92" w:rsidRDefault="00852466" w:rsidP="00852466">
      <w:pPr>
        <w:rPr>
          <w:rFonts w:cstheme="minorHAnsi"/>
          <w:sz w:val="22"/>
          <w:szCs w:val="22"/>
        </w:rPr>
      </w:pPr>
      <w:r>
        <w:rPr>
          <w:rStyle w:val="FootnoteReference"/>
        </w:rPr>
        <w:footnoteRef/>
      </w:r>
      <w:r>
        <w:t xml:space="preserve"> </w:t>
      </w:r>
      <w:r w:rsidRPr="00360B2A">
        <w:rPr>
          <w:rFonts w:cstheme="minorHAnsi"/>
          <w:sz w:val="20"/>
          <w:szCs w:val="20"/>
        </w:rPr>
        <w:t xml:space="preserve">Ravelli, A., A. Consolaro, </w:t>
      </w:r>
      <w:r>
        <w:rPr>
          <w:rFonts w:cstheme="minorHAnsi"/>
          <w:sz w:val="20"/>
          <w:szCs w:val="20"/>
        </w:rPr>
        <w:t xml:space="preserve">et al, </w:t>
      </w:r>
      <w:r w:rsidRPr="00360B2A">
        <w:rPr>
          <w:rFonts w:cstheme="minorHAnsi"/>
          <w:sz w:val="20"/>
          <w:szCs w:val="20"/>
        </w:rPr>
        <w:t>(2018)</w:t>
      </w:r>
      <w:r>
        <w:rPr>
          <w:rFonts w:cstheme="minorHAnsi"/>
          <w:sz w:val="20"/>
          <w:szCs w:val="20"/>
        </w:rPr>
        <w:t>,</w:t>
      </w:r>
      <w:r w:rsidRPr="00360B2A">
        <w:rPr>
          <w:rFonts w:cstheme="minorHAnsi"/>
          <w:sz w:val="20"/>
          <w:szCs w:val="20"/>
        </w:rPr>
        <w:t xml:space="preserve"> </w:t>
      </w:r>
      <w:r>
        <w:rPr>
          <w:rFonts w:cstheme="minorHAnsi"/>
          <w:sz w:val="20"/>
          <w:szCs w:val="20"/>
        </w:rPr>
        <w:t>‘</w:t>
      </w:r>
      <w:r w:rsidRPr="00360B2A">
        <w:rPr>
          <w:rFonts w:cstheme="minorHAnsi"/>
          <w:sz w:val="20"/>
          <w:szCs w:val="20"/>
        </w:rPr>
        <w:t>Treating juvenile idiopathic arthritis to target: recommendations of an international task force</w:t>
      </w:r>
      <w:r>
        <w:rPr>
          <w:rFonts w:cstheme="minorHAnsi"/>
          <w:sz w:val="20"/>
          <w:szCs w:val="20"/>
        </w:rPr>
        <w:t>’,</w:t>
      </w:r>
      <w:r w:rsidRPr="00360B2A">
        <w:rPr>
          <w:rFonts w:cstheme="minorHAnsi"/>
          <w:sz w:val="20"/>
          <w:szCs w:val="20"/>
        </w:rPr>
        <w:t xml:space="preserve"> Annals of the Rheumatic Diseases 77(6): </w:t>
      </w:r>
      <w:r>
        <w:rPr>
          <w:rFonts w:cstheme="minorHAnsi"/>
          <w:sz w:val="20"/>
          <w:szCs w:val="20"/>
        </w:rPr>
        <w:t xml:space="preserve">pp. </w:t>
      </w:r>
      <w:r w:rsidRPr="00360B2A">
        <w:rPr>
          <w:rFonts w:cstheme="minorHAnsi"/>
          <w:sz w:val="20"/>
          <w:szCs w:val="20"/>
        </w:rPr>
        <w:t>819-828</w:t>
      </w:r>
      <w:r>
        <w:rPr>
          <w:rFonts w:cstheme="minorHAnsi"/>
          <w:sz w:val="20"/>
          <w:szCs w:val="20"/>
        </w:rPr>
        <w:t>.</w:t>
      </w:r>
    </w:p>
  </w:footnote>
  <w:footnote w:id="6">
    <w:p w14:paraId="07DF5108" w14:textId="77777777" w:rsidR="00852466" w:rsidRDefault="00852466" w:rsidP="00852466">
      <w:pPr>
        <w:pStyle w:val="FootnoteText"/>
      </w:pPr>
      <w:r>
        <w:rPr>
          <w:rStyle w:val="FootnoteReference"/>
        </w:rPr>
        <w:footnoteRef/>
      </w:r>
      <w:r>
        <w:t xml:space="preserve"> </w:t>
      </w:r>
      <w:r w:rsidRPr="00A34741">
        <w:t>Heiligenhaus, A., K. Minden</w:t>
      </w:r>
      <w:r>
        <w:t xml:space="preserve"> et al,</w:t>
      </w:r>
      <w:r w:rsidRPr="00A34741">
        <w:t xml:space="preserve"> (2015)</w:t>
      </w:r>
      <w:r>
        <w:t>,</w:t>
      </w:r>
      <w:r w:rsidRPr="00A34741">
        <w:t xml:space="preserve"> </w:t>
      </w:r>
      <w:r>
        <w:t>‘</w:t>
      </w:r>
      <w:r w:rsidRPr="00A34741">
        <w:t>Uveitis in juvenile idiopathic arthritis</w:t>
      </w:r>
      <w:r>
        <w:t>’,</w:t>
      </w:r>
      <w:r w:rsidRPr="00A34741">
        <w:t xml:space="preserve"> Dtsch Arztebl Int 112(6): </w:t>
      </w:r>
      <w:r>
        <w:t>pp. </w:t>
      </w:r>
      <w:r w:rsidRPr="00A34741">
        <w:t>92-100</w:t>
      </w:r>
      <w:r>
        <w:t>.</w:t>
      </w:r>
    </w:p>
  </w:footnote>
  <w:footnote w:id="7">
    <w:p w14:paraId="1D344BBE" w14:textId="77777777" w:rsidR="00852466" w:rsidRDefault="00852466" w:rsidP="00852466">
      <w:pPr>
        <w:pStyle w:val="FootnoteText"/>
      </w:pPr>
      <w:r>
        <w:rPr>
          <w:rStyle w:val="FootnoteReference"/>
        </w:rPr>
        <w:footnoteRef/>
      </w:r>
      <w:r>
        <w:t xml:space="preserve"> </w:t>
      </w:r>
      <w:r w:rsidRPr="00CD238E">
        <w:t xml:space="preserve">Angeles-Han, S. T., S. Ringold, </w:t>
      </w:r>
      <w:r>
        <w:t>et al,</w:t>
      </w:r>
      <w:r w:rsidRPr="00CD238E">
        <w:t xml:space="preserve"> (2019)</w:t>
      </w:r>
      <w:r>
        <w:t>,</w:t>
      </w:r>
      <w:r w:rsidRPr="00CD238E">
        <w:t xml:space="preserve"> </w:t>
      </w:r>
      <w:r>
        <w:t>‘</w:t>
      </w:r>
      <w:r w:rsidRPr="00CD238E">
        <w:t>2019 American College of Rheumatology/Arthritis Foundation Guideline for the Screening, Monitoring, and Treatment of Juvenile Idiopathic Arthritis-Associated Uveitis</w:t>
      </w:r>
      <w:r>
        <w:t>’,</w:t>
      </w:r>
      <w:r w:rsidRPr="00CD238E">
        <w:t xml:space="preserve"> Arthritis Care Res (Hoboken) 71(6): </w:t>
      </w:r>
      <w:r>
        <w:t>pp. </w:t>
      </w:r>
      <w:r w:rsidRPr="00CD238E">
        <w:t>703-16</w:t>
      </w:r>
      <w:r>
        <w:t>.</w:t>
      </w:r>
    </w:p>
  </w:footnote>
  <w:footnote w:id="8">
    <w:p w14:paraId="7A4A7576" w14:textId="77777777" w:rsidR="00852466" w:rsidRDefault="00852466" w:rsidP="00852466">
      <w:pPr>
        <w:pStyle w:val="FootnoteText"/>
      </w:pPr>
      <w:r>
        <w:rPr>
          <w:rStyle w:val="FootnoteReference"/>
        </w:rPr>
        <w:footnoteRef/>
      </w:r>
      <w:r>
        <w:t xml:space="preserve"> </w:t>
      </w:r>
      <w:r w:rsidRPr="00995D7B">
        <w:t xml:space="preserve">Angeles-Han, S. T., M. S. Lo, </w:t>
      </w:r>
      <w:r>
        <w:t>et al,</w:t>
      </w:r>
      <w:r w:rsidRPr="00995D7B">
        <w:t xml:space="preserve"> (2019)</w:t>
      </w:r>
      <w:r>
        <w:t>,</w:t>
      </w:r>
      <w:r w:rsidRPr="00995D7B">
        <w:t xml:space="preserve"> </w:t>
      </w:r>
      <w:r>
        <w:t>‘</w:t>
      </w:r>
      <w:r w:rsidRPr="00995D7B">
        <w:t>Childhood Arthritis and Rheumatology Research Alliance Consensus Treatment Plans for Juvenile Idiopathic Arthritis-Associated and Idiopathic Chronic Anterior Uveitis</w:t>
      </w:r>
      <w:r>
        <w:t>’,</w:t>
      </w:r>
      <w:r w:rsidRPr="00995D7B">
        <w:t xml:space="preserve"> Arthritis Care Res (Hoboken) 71(4): </w:t>
      </w:r>
      <w:r>
        <w:t>pp. </w:t>
      </w:r>
      <w:r w:rsidRPr="00995D7B">
        <w:t>482-91</w:t>
      </w:r>
      <w:r>
        <w:t>.</w:t>
      </w:r>
    </w:p>
  </w:footnote>
  <w:footnote w:id="9">
    <w:p w14:paraId="15892DF9" w14:textId="77777777" w:rsidR="00852466" w:rsidRDefault="00852466" w:rsidP="00852466">
      <w:pPr>
        <w:pStyle w:val="FootnoteText"/>
      </w:pPr>
      <w:r>
        <w:rPr>
          <w:rStyle w:val="FootnoteReference"/>
        </w:rPr>
        <w:footnoteRef/>
      </w:r>
      <w:r>
        <w:t xml:space="preserve"> </w:t>
      </w:r>
      <w:r w:rsidRPr="00995D7B">
        <w:t xml:space="preserve">Constantin, T., I. Foeldvari, </w:t>
      </w:r>
      <w:r>
        <w:t>et al,</w:t>
      </w:r>
      <w:r w:rsidRPr="00995D7B">
        <w:t xml:space="preserve"> (2018)</w:t>
      </w:r>
      <w:r>
        <w:t>,</w:t>
      </w:r>
      <w:r w:rsidRPr="00995D7B">
        <w:t xml:space="preserve"> </w:t>
      </w:r>
      <w:r>
        <w:t>‘</w:t>
      </w:r>
      <w:r w:rsidRPr="00995D7B">
        <w:t>Consensus-based recommendations for the management of uveitis associated with juvenile idiopathic arthritis: the SHARE initiative</w:t>
      </w:r>
      <w:r>
        <w:t>’,</w:t>
      </w:r>
      <w:r w:rsidRPr="00995D7B">
        <w:t xml:space="preserve"> Ann Rheum Dis 77(8): </w:t>
      </w:r>
      <w:r>
        <w:t>pp. </w:t>
      </w:r>
      <w:r w:rsidRPr="00995D7B">
        <w:t>1107-17</w:t>
      </w:r>
      <w:r>
        <w:t>.</w:t>
      </w:r>
    </w:p>
  </w:footnote>
  <w:footnote w:id="10">
    <w:p w14:paraId="4AB577E8" w14:textId="77777777" w:rsidR="00852466" w:rsidRDefault="00852466" w:rsidP="00852466">
      <w:pPr>
        <w:pStyle w:val="FootnoteText"/>
      </w:pPr>
      <w:r>
        <w:rPr>
          <w:rStyle w:val="FootnoteReference"/>
        </w:rPr>
        <w:footnoteRef/>
      </w:r>
      <w:r>
        <w:t xml:space="preserve"> </w:t>
      </w:r>
      <w:r w:rsidRPr="002641F9">
        <w:t xml:space="preserve">Smith, J. R., J. M. Matthews, </w:t>
      </w:r>
      <w:r>
        <w:t xml:space="preserve">et al, </w:t>
      </w:r>
      <w:r w:rsidRPr="002641F9">
        <w:t>(2021)</w:t>
      </w:r>
      <w:r>
        <w:t>,</w:t>
      </w:r>
      <w:r w:rsidRPr="002641F9">
        <w:t xml:space="preserve"> </w:t>
      </w:r>
      <w:r>
        <w:t>‘</w:t>
      </w:r>
      <w:r w:rsidRPr="002641F9">
        <w:t>Recommendations for the management of childhood juvenile idiopathic arthritis-type chronic anterior uveitis</w:t>
      </w:r>
      <w:r>
        <w:t>’,</w:t>
      </w:r>
      <w:r w:rsidRPr="002641F9">
        <w:t xml:space="preserve"> Clinical &amp; Experimental Ophthalmology 49(1): </w:t>
      </w:r>
      <w:r>
        <w:t>pp. </w:t>
      </w:r>
      <w:r w:rsidRPr="002641F9">
        <w:t>38-45</w:t>
      </w:r>
      <w:r>
        <w:t>.</w:t>
      </w:r>
    </w:p>
  </w:footnote>
  <w:footnote w:id="11">
    <w:p w14:paraId="2EC5DFF1" w14:textId="77777777" w:rsidR="00852466" w:rsidRDefault="00852466" w:rsidP="00852466">
      <w:pPr>
        <w:pStyle w:val="FootnoteText"/>
      </w:pPr>
      <w:r>
        <w:rPr>
          <w:rStyle w:val="FootnoteReference"/>
        </w:rPr>
        <w:footnoteRef/>
      </w:r>
      <w:r>
        <w:t xml:space="preserve"> van Rheenen, P. F., M. Aloi, et al, (2020), ‘</w:t>
      </w:r>
      <w:r w:rsidRPr="001159F7">
        <w:t>The Medical Management of Paediatric Crohn's Disease: an ECCO-ESPGHAN Guideline Update</w:t>
      </w:r>
      <w:r>
        <w:t>’, J Crohns Colitis: jjaa161.</w:t>
      </w:r>
    </w:p>
  </w:footnote>
  <w:footnote w:id="12">
    <w:p w14:paraId="782CE029" w14:textId="77777777" w:rsidR="00852466" w:rsidRDefault="00852466" w:rsidP="00852466">
      <w:pPr>
        <w:pStyle w:val="FootnoteText"/>
      </w:pPr>
      <w:r>
        <w:rPr>
          <w:rStyle w:val="FootnoteReference"/>
        </w:rPr>
        <w:footnoteRef/>
      </w:r>
      <w:r>
        <w:t xml:space="preserve"> </w:t>
      </w:r>
      <w:r w:rsidRPr="00F3662A">
        <w:t xml:space="preserve">Assa, A., M. Matar, </w:t>
      </w:r>
      <w:r>
        <w:t>et al,</w:t>
      </w:r>
      <w:r w:rsidRPr="00F3662A">
        <w:t xml:space="preserve"> (2019)</w:t>
      </w:r>
      <w:r>
        <w:t>,</w:t>
      </w:r>
      <w:r w:rsidRPr="00F3662A">
        <w:t xml:space="preserve"> </w:t>
      </w:r>
      <w:r>
        <w:t>‘</w:t>
      </w:r>
      <w:r w:rsidRPr="00F3662A">
        <w:t>Proactive Monitoring of Adalimumab Trough Concentration Associated With Increased Clinical Remission in Children With Crohn's Disease Compared With Reactive Monitoring</w:t>
      </w:r>
      <w:r>
        <w:t>’,</w:t>
      </w:r>
      <w:r w:rsidRPr="00F3662A">
        <w:t xml:space="preserve"> Gastroenterology 157(4): </w:t>
      </w:r>
      <w:r>
        <w:t>pp. </w:t>
      </w:r>
      <w:r w:rsidRPr="00F3662A">
        <w:t>985-996.e982</w:t>
      </w:r>
      <w:r>
        <w:t>.</w:t>
      </w:r>
    </w:p>
  </w:footnote>
  <w:footnote w:id="13">
    <w:p w14:paraId="6CA08D43" w14:textId="77777777" w:rsidR="00852466" w:rsidRDefault="00852466" w:rsidP="00852466">
      <w:pPr>
        <w:pStyle w:val="FootnoteText"/>
      </w:pPr>
      <w:r>
        <w:rPr>
          <w:rStyle w:val="FootnoteReference"/>
        </w:rPr>
        <w:footnoteRef/>
      </w:r>
      <w:r>
        <w:t xml:space="preserve"> </w:t>
      </w:r>
      <w:r w:rsidRPr="00E852AF">
        <w:t xml:space="preserve">Uchida, K., T. Araki, </w:t>
      </w:r>
      <w:r>
        <w:t>et al,</w:t>
      </w:r>
      <w:r w:rsidRPr="00E852AF">
        <w:t xml:space="preserve"> (2006)</w:t>
      </w:r>
      <w:r>
        <w:t>,</w:t>
      </w:r>
      <w:r w:rsidRPr="00E852AF">
        <w:t xml:space="preserve"> </w:t>
      </w:r>
      <w:r>
        <w:t>‘</w:t>
      </w:r>
      <w:r w:rsidRPr="00E852AF">
        <w:t>Preoperative steroid-related complications in Japanese pediatric patients with ulcerative colitis</w:t>
      </w:r>
      <w:r>
        <w:t>’,</w:t>
      </w:r>
      <w:r w:rsidRPr="00E852AF">
        <w:t xml:space="preserve"> Dis Colon Rectum 49(1): </w:t>
      </w:r>
      <w:r>
        <w:t>pp. </w:t>
      </w:r>
      <w:r w:rsidRPr="00E852AF">
        <w:t>74-9</w:t>
      </w:r>
      <w:r>
        <w:t>.</w:t>
      </w:r>
    </w:p>
  </w:footnote>
  <w:footnote w:id="14">
    <w:p w14:paraId="665833A8" w14:textId="77777777" w:rsidR="00852466" w:rsidRDefault="00852466" w:rsidP="00852466">
      <w:pPr>
        <w:pStyle w:val="FootnoteText"/>
      </w:pPr>
      <w:r>
        <w:rPr>
          <w:rStyle w:val="FootnoteReference"/>
        </w:rPr>
        <w:footnoteRef/>
      </w:r>
      <w:r>
        <w:t xml:space="preserve"> </w:t>
      </w:r>
      <w:r w:rsidRPr="00E5233A">
        <w:t xml:space="preserve">Costello, R., R. Patel, </w:t>
      </w:r>
      <w:r>
        <w:t>et al,</w:t>
      </w:r>
      <w:r w:rsidRPr="00E5233A">
        <w:t xml:space="preserve"> (2017)</w:t>
      </w:r>
      <w:r>
        <w:t>,</w:t>
      </w:r>
      <w:r w:rsidRPr="00E5233A">
        <w:t xml:space="preserve"> </w:t>
      </w:r>
      <w:r>
        <w:t>‘</w:t>
      </w:r>
      <w:r w:rsidRPr="00E5233A">
        <w:t>Patient perceptions of glucocorticoid side effects: a cross-sectional survey of users in an online health community</w:t>
      </w:r>
      <w:r>
        <w:t xml:space="preserve">’, </w:t>
      </w:r>
      <w:r w:rsidRPr="00E5233A">
        <w:t>BMJ Open 7(4): e014603</w:t>
      </w:r>
      <w:r>
        <w:t>.</w:t>
      </w:r>
    </w:p>
  </w:footnote>
  <w:footnote w:id="15">
    <w:p w14:paraId="60C298A9" w14:textId="77777777" w:rsidR="00852466" w:rsidRDefault="00852466" w:rsidP="00852466">
      <w:pPr>
        <w:pStyle w:val="FootnoteText"/>
      </w:pPr>
      <w:r>
        <w:rPr>
          <w:rStyle w:val="FootnoteReference"/>
        </w:rPr>
        <w:footnoteRef/>
      </w:r>
      <w:r>
        <w:t xml:space="preserve"> </w:t>
      </w:r>
      <w:r w:rsidRPr="005048BC">
        <w:t xml:space="preserve">Bronckers, I. M., A. S. Paller, </w:t>
      </w:r>
      <w:r>
        <w:t xml:space="preserve">et al, </w:t>
      </w:r>
      <w:r w:rsidRPr="005048BC">
        <w:t>(2015)</w:t>
      </w:r>
      <w:r>
        <w:t>,</w:t>
      </w:r>
      <w:r w:rsidRPr="005048BC">
        <w:t xml:space="preserve"> </w:t>
      </w:r>
      <w:r>
        <w:t>‘</w:t>
      </w:r>
      <w:r w:rsidRPr="005048BC">
        <w:t>Psoriasis in Children and Adolescents: Diagnosis, Management and Comorbidities</w:t>
      </w:r>
      <w:r>
        <w:t>’,</w:t>
      </w:r>
      <w:r w:rsidRPr="005048BC">
        <w:t xml:space="preserve"> Paediatr Drugs 17(5): </w:t>
      </w:r>
      <w:r>
        <w:t>pp. </w:t>
      </w:r>
      <w:r w:rsidRPr="005048BC">
        <w:t>373-84</w:t>
      </w:r>
      <w:r>
        <w:t>.</w:t>
      </w:r>
    </w:p>
  </w:footnote>
  <w:footnote w:id="16">
    <w:p w14:paraId="24676310" w14:textId="77777777" w:rsidR="00852466" w:rsidRDefault="00852466" w:rsidP="00852466">
      <w:pPr>
        <w:pStyle w:val="FootnoteText"/>
      </w:pPr>
      <w:r>
        <w:rPr>
          <w:rStyle w:val="FootnoteReference"/>
        </w:rPr>
        <w:footnoteRef/>
      </w:r>
      <w:r>
        <w:t xml:space="preserve"> </w:t>
      </w:r>
      <w:r w:rsidRPr="00BC500C">
        <w:t xml:space="preserve">Pinson, R., B. Sotoodian </w:t>
      </w:r>
      <w:r>
        <w:t>et al,</w:t>
      </w:r>
      <w:r w:rsidRPr="00BC500C">
        <w:t xml:space="preserve"> (2016)</w:t>
      </w:r>
      <w:r>
        <w:t>,</w:t>
      </w:r>
      <w:r w:rsidRPr="00BC500C">
        <w:t xml:space="preserve"> </w:t>
      </w:r>
      <w:r>
        <w:t>‘</w:t>
      </w:r>
      <w:r w:rsidRPr="00BC500C">
        <w:t>Psoriasis in children</w:t>
      </w:r>
      <w:r>
        <w:t>’,</w:t>
      </w:r>
      <w:r w:rsidRPr="00BC500C">
        <w:t xml:space="preserve"> Psoriasis (Auckl) 6: </w:t>
      </w:r>
      <w:r>
        <w:t>pp. </w:t>
      </w:r>
      <w:r w:rsidRPr="00BC500C">
        <w:t>121-9</w:t>
      </w:r>
      <w:r>
        <w:t>.</w:t>
      </w:r>
    </w:p>
  </w:footnote>
  <w:footnote w:id="17">
    <w:p w14:paraId="2D502438" w14:textId="77777777" w:rsidR="00852466" w:rsidRPr="006F29F7" w:rsidRDefault="00852466" w:rsidP="00852466">
      <w:pPr>
        <w:pStyle w:val="FootnoteText"/>
      </w:pPr>
      <w:r>
        <w:rPr>
          <w:rStyle w:val="FootnoteReference"/>
        </w:rPr>
        <w:footnoteRef/>
      </w:r>
      <w:r>
        <w:t xml:space="preserve"> Bond DM, Von Huben A, Lain S, et al (2023), </w:t>
      </w:r>
      <w:r w:rsidRPr="006F29F7">
        <w:rPr>
          <w:i/>
          <w:iCs/>
        </w:rPr>
        <w:t>The IMPACT Study: Investigating the Mental, Physical, Social And Financial CosTs (IMPACT) of Juvenile Idiopathic Arthritis and Related Childhood Rheumatic Diseases</w:t>
      </w:r>
      <w:r>
        <w:rPr>
          <w:i/>
          <w:iCs/>
        </w:rPr>
        <w:t xml:space="preserve">, </w:t>
      </w:r>
      <w:r>
        <w:t>Juvenile Arthritis Foundation Australia, Sydney.</w:t>
      </w:r>
    </w:p>
  </w:footnote>
  <w:footnote w:id="18">
    <w:p w14:paraId="768A5627" w14:textId="77777777" w:rsidR="00852466" w:rsidRDefault="00852466" w:rsidP="00852466">
      <w:pPr>
        <w:pStyle w:val="FootnoteText"/>
      </w:pPr>
      <w:r>
        <w:rPr>
          <w:rStyle w:val="FootnoteReference"/>
        </w:rPr>
        <w:footnoteRef/>
      </w:r>
      <w:r>
        <w:t xml:space="preserve"> </w:t>
      </w:r>
      <w:r w:rsidRPr="00D074F2">
        <w:t>Horneff G</w:t>
      </w:r>
      <w:r>
        <w:t>.</w:t>
      </w:r>
      <w:r w:rsidRPr="00D074F2">
        <w:t>,</w:t>
      </w:r>
      <w:r>
        <w:t xml:space="preserve"> M.M.B.</w:t>
      </w:r>
      <w:r w:rsidRPr="00D074F2">
        <w:t xml:space="preserve"> Seyge</w:t>
      </w:r>
      <w:r>
        <w:t>r</w:t>
      </w:r>
      <w:r w:rsidRPr="00D074F2">
        <w:t xml:space="preserve">, </w:t>
      </w:r>
      <w:r>
        <w:t>et al (2018),</w:t>
      </w:r>
      <w:r w:rsidRPr="00D074F2">
        <w:t xml:space="preserve"> </w:t>
      </w:r>
      <w:r>
        <w:t>‘</w:t>
      </w:r>
      <w:r w:rsidRPr="00D074F2">
        <w:t>Safety of Adalimumab in Pediatric Patients with Polyarticular Juvenile Idiopathic Arthritis, Enthesitis-Related Arthritis, Psoriasis, and Crohn's Disease</w:t>
      </w:r>
      <w:r>
        <w:t>’,</w:t>
      </w:r>
      <w:r w:rsidRPr="00D074F2">
        <w:t xml:space="preserve"> J Pediatr 201:</w:t>
      </w:r>
      <w:r>
        <w:t xml:space="preserve">pp. </w:t>
      </w:r>
      <w:r w:rsidRPr="00D074F2">
        <w:t>166-75.e3</w:t>
      </w:r>
    </w:p>
  </w:footnote>
  <w:footnote w:id="19">
    <w:p w14:paraId="3417FFE5" w14:textId="77777777" w:rsidR="00852466" w:rsidRDefault="00852466" w:rsidP="00852466">
      <w:pPr>
        <w:pStyle w:val="FootnoteText"/>
      </w:pPr>
      <w:r w:rsidRPr="00EF788C">
        <w:rPr>
          <w:rStyle w:val="FootnoteReference"/>
          <w:rFonts w:asciiTheme="minorHAnsi" w:hAnsiTheme="minorHAnsi" w:cstheme="minorHAnsi"/>
        </w:rPr>
        <w:footnoteRef/>
      </w:r>
      <w:r w:rsidRPr="00EF788C">
        <w:rPr>
          <w:rFonts w:asciiTheme="minorHAnsi" w:hAnsiTheme="minorHAnsi" w:cstheme="minorHAnsi"/>
        </w:rPr>
        <w:t xml:space="preserve"> </w:t>
      </w:r>
      <w:r>
        <w:t xml:space="preserve">National Institute for Health and Care Excellence (NICE), (2015), ‘Abatacept, adalimumab, etanercept and tocilizumab for treating juvenile idiopathic arthritis – Summary of Appraisal Committee’s key conclusions’, England TA373, </w:t>
      </w:r>
      <w:hyperlink r:id="rId4" w:anchor="summary-of-appraisal-committees-key-conclusions" w:history="1">
        <w:r w:rsidRPr="009F517D">
          <w:rPr>
            <w:rStyle w:val="Hyperlink"/>
          </w:rPr>
          <w:t>www.nice.org.uk/guidance/ta373/chapter/4-Evidence-and-interpretation#summary-of-appraisal-committees-key-conclusions</w:t>
        </w:r>
      </w:hyperlink>
    </w:p>
  </w:footnote>
  <w:footnote w:id="20">
    <w:p w14:paraId="17C0B30F" w14:textId="77777777" w:rsidR="00852466" w:rsidRPr="00941541" w:rsidRDefault="00852466" w:rsidP="00852466">
      <w:pPr>
        <w:pStyle w:val="FootnoteText"/>
        <w:rPr>
          <w:sz w:val="18"/>
          <w:szCs w:val="18"/>
        </w:rPr>
      </w:pPr>
      <w:r w:rsidRPr="00941541">
        <w:rPr>
          <w:rStyle w:val="FootnoteReference"/>
        </w:rPr>
        <w:footnoteRef/>
      </w:r>
      <w:r w:rsidRPr="00941541">
        <w:rPr>
          <w:sz w:val="18"/>
          <w:szCs w:val="18"/>
        </w:rPr>
        <w:t xml:space="preserve"> Brunner H.I., Foeldvari I., Alexeeva E., et al, 2023, ‘Secukinumab in enthesitis-related arthritis and juvenile psoriatic arthritis: a randomised, double-blind, placebo-controlled, treatment withdrawal, phase 3 trial’, Ann Rheum Dis, 82(1), pp.154-160.</w:t>
      </w:r>
    </w:p>
  </w:footnote>
  <w:footnote w:id="21">
    <w:p w14:paraId="56A20922" w14:textId="77777777" w:rsidR="00852466" w:rsidRPr="00941541" w:rsidRDefault="00852466" w:rsidP="00852466">
      <w:pPr>
        <w:pStyle w:val="FootnoteText"/>
        <w:rPr>
          <w:sz w:val="18"/>
          <w:szCs w:val="18"/>
        </w:rPr>
      </w:pPr>
      <w:r w:rsidRPr="00941541">
        <w:rPr>
          <w:rStyle w:val="FootnoteReference"/>
        </w:rPr>
        <w:footnoteRef/>
      </w:r>
      <w:r w:rsidRPr="00941541">
        <w:rPr>
          <w:sz w:val="18"/>
          <w:szCs w:val="18"/>
        </w:rPr>
        <w:t xml:space="preserve"> Horneff G., Foeldvari I., Minden K., et al, 2015, ‘Efficacy and safety of etanercept in patients with the enthesitis-related arthritis category of juvenile idiopathic arthritis: results from a phase III randomized, double-blind study’, Arthritis Rheumatol 67(8), pp.2240-2249.</w:t>
      </w:r>
    </w:p>
  </w:footnote>
  <w:footnote w:id="22">
    <w:p w14:paraId="21455085" w14:textId="77777777" w:rsidR="00852466" w:rsidRDefault="00852466" w:rsidP="00852466">
      <w:pPr>
        <w:pStyle w:val="FootnoteText"/>
      </w:pPr>
      <w:r w:rsidRPr="00941541">
        <w:rPr>
          <w:rStyle w:val="FootnoteReference"/>
        </w:rPr>
        <w:footnoteRef/>
      </w:r>
      <w:r w:rsidRPr="00941541">
        <w:rPr>
          <w:sz w:val="18"/>
          <w:szCs w:val="18"/>
        </w:rPr>
        <w:t xml:space="preserve"> Burgos-Vargos R., Tse S.M.L., Horneff G., et al, 2015, ‘A Randomized, Double-Blind, Placebo-Controlled Multicenter Study of Adalimumab in Pediatric Patients With Enthesitis-Related Arthritis’, Arthritis Care Res (Hoboken), 67(11), pp.1503-1512.</w:t>
      </w:r>
    </w:p>
  </w:footnote>
  <w:footnote w:id="23">
    <w:p w14:paraId="7B2EB8C2" w14:textId="77777777" w:rsidR="00852466" w:rsidRPr="00DF5E75"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Martini A., Ravelli A., Avcin T., et al, 2019, ‘Toward New Classification Criteria for Juvenile Idiopathic Arthritis: First Steps, Pediatric Rheumatology International Trials Organization International Consensus’, J Rheumatol 46(2), pp.190-197.</w:t>
      </w:r>
    </w:p>
  </w:footnote>
  <w:footnote w:id="24">
    <w:p w14:paraId="4A72DE64" w14:textId="77777777" w:rsidR="00852466" w:rsidRDefault="00852466" w:rsidP="00852466">
      <w:pPr>
        <w:pStyle w:val="FootnoteText"/>
      </w:pPr>
      <w:r w:rsidRPr="00DF5E75">
        <w:rPr>
          <w:rStyle w:val="FootnoteReference"/>
          <w:rFonts w:ascii="Arial Narrow" w:hAnsi="Arial Narrow"/>
        </w:rPr>
        <w:footnoteRef/>
      </w:r>
      <w:r w:rsidRPr="00DF5E75">
        <w:rPr>
          <w:rFonts w:ascii="Arial Narrow" w:hAnsi="Arial Narrow"/>
          <w:sz w:val="18"/>
          <w:szCs w:val="18"/>
        </w:rPr>
        <w:t xml:space="preserve"> Weiss P.F., Colbert R.A., Xiao R., et al, 2014, ‘Development and retrospective validation of the juvenile spondyloarthritis disease activity index’, Arthritis Care Res (Hoboken), 66(12), pp.1775-1782.</w:t>
      </w:r>
    </w:p>
  </w:footnote>
  <w:footnote w:id="25">
    <w:p w14:paraId="33CA7C2B" w14:textId="77777777" w:rsidR="00852466" w:rsidRPr="00DF5E75"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Di Lernia V., Macca L., Peterle L,. et.al, 2022, ‘Efficacy of Systemic Biologic Drugs in Pediatric Psoriasis: Evidence From Five Selected Randomized Clinical Trials’, Frontiers in Pharmacology, 13, p.847308.</w:t>
      </w:r>
    </w:p>
  </w:footnote>
  <w:footnote w:id="26">
    <w:p w14:paraId="7A0A4F4A" w14:textId="77777777" w:rsidR="00852466" w:rsidRDefault="00852466" w:rsidP="00852466">
      <w:pPr>
        <w:pStyle w:val="FootnoteText"/>
      </w:pPr>
      <w:r w:rsidRPr="00DF5E75">
        <w:rPr>
          <w:rStyle w:val="FootnoteReference"/>
          <w:rFonts w:ascii="Arial Narrow" w:hAnsi="Arial Narrow"/>
        </w:rPr>
        <w:footnoteRef/>
      </w:r>
      <w:r w:rsidRPr="00DF5E75">
        <w:rPr>
          <w:rFonts w:ascii="Arial Narrow" w:hAnsi="Arial Narrow"/>
          <w:sz w:val="18"/>
          <w:szCs w:val="18"/>
        </w:rPr>
        <w:t xml:space="preserve"> TGA. Australian Public Assessment Report for Adalimumab. 2017. Available from: www.tga.gov.au/sites/default/files/auspar-adalimumab-170320.pdf</w:t>
      </w:r>
    </w:p>
  </w:footnote>
  <w:footnote w:id="27">
    <w:p w14:paraId="7890C9A2" w14:textId="77777777" w:rsidR="00852466" w:rsidRPr="00DF5E75"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www.dermcoll.edu.au/wp-content/uploads/2024/05/ACD-Consensus-Adaptation-Psoriasis-May-2024.pdf</w:t>
      </w:r>
    </w:p>
  </w:footnote>
  <w:footnote w:id="28">
    <w:p w14:paraId="65944083" w14:textId="77777777" w:rsidR="00852466" w:rsidRDefault="00852466" w:rsidP="00852466">
      <w:pPr>
        <w:pStyle w:val="FootnoteText"/>
      </w:pPr>
      <w:r w:rsidRPr="00DF5E75">
        <w:rPr>
          <w:rStyle w:val="FootnoteReference"/>
          <w:rFonts w:ascii="Arial Narrow" w:hAnsi="Arial Narrow"/>
        </w:rPr>
        <w:footnoteRef/>
      </w:r>
      <w:r w:rsidRPr="00DF5E75">
        <w:rPr>
          <w:rFonts w:ascii="Arial Narrow" w:hAnsi="Arial Narrow"/>
          <w:sz w:val="18"/>
          <w:szCs w:val="18"/>
        </w:rPr>
        <w:t xml:space="preserve"> Foley P., Mahar P.D., Smith S.D., et al, 2024, ‘Australian consensus: Treatment goals for moderate to severe psoriasis in the era of targeted therapies - Considerations for paediatric patients’, Australas J Dermatol, 65:6, pp. e134-e144.</w:t>
      </w:r>
    </w:p>
  </w:footnote>
  <w:footnote w:id="29">
    <w:p w14:paraId="037BDAC1" w14:textId="77777777" w:rsidR="00852466" w:rsidRPr="00474DBB" w:rsidRDefault="00852466" w:rsidP="00852466">
      <w:pPr>
        <w:pStyle w:val="FootnoteText"/>
        <w:rPr>
          <w:rFonts w:ascii="Arial Narrow" w:hAnsi="Arial Narrow"/>
          <w:sz w:val="18"/>
          <w:szCs w:val="18"/>
        </w:rPr>
      </w:pPr>
      <w:r w:rsidRPr="00474DBB">
        <w:rPr>
          <w:rStyle w:val="FootnoteReference"/>
          <w:rFonts w:ascii="Arial Narrow" w:hAnsi="Arial Narrow"/>
        </w:rPr>
        <w:footnoteRef/>
      </w:r>
      <w:r w:rsidRPr="00474DBB">
        <w:rPr>
          <w:rFonts w:ascii="Arial Narrow" w:hAnsi="Arial Narrow"/>
          <w:sz w:val="18"/>
          <w:szCs w:val="18"/>
        </w:rPr>
        <w:t xml:space="preserve"> Assa A, Matar M, Turner D, et al, (2019), ‘Proactive monitoring of adalimumab trough concentration associated with increased clinical remission in children with Crohn’s disease compared with reactive monitoring’, Gastroenterology, 157:pp.985-96.</w:t>
      </w:r>
    </w:p>
  </w:footnote>
  <w:footnote w:id="30">
    <w:p w14:paraId="4183C693" w14:textId="77777777" w:rsidR="00852466" w:rsidRPr="0046347C" w:rsidRDefault="00852466" w:rsidP="00852466">
      <w:pPr>
        <w:pStyle w:val="FootnoteText"/>
        <w:rPr>
          <w:rFonts w:ascii="Arial Narrow" w:hAnsi="Arial Narrow"/>
          <w:sz w:val="18"/>
          <w:szCs w:val="18"/>
        </w:rPr>
      </w:pPr>
      <w:r w:rsidRPr="004C201E">
        <w:rPr>
          <w:rStyle w:val="FootnoteReference"/>
          <w:rFonts w:ascii="Arial Narrow" w:hAnsi="Arial Narrow"/>
        </w:rPr>
        <w:footnoteRef/>
      </w:r>
      <w:r w:rsidRPr="004C201E">
        <w:rPr>
          <w:rFonts w:ascii="Arial Narrow" w:hAnsi="Arial Narrow"/>
          <w:sz w:val="18"/>
          <w:szCs w:val="18"/>
        </w:rPr>
        <w:t xml:space="preserve"> </w:t>
      </w:r>
      <w:r w:rsidRPr="0046347C">
        <w:rPr>
          <w:rFonts w:ascii="Arial Narrow" w:hAnsi="Arial Narrow"/>
          <w:sz w:val="18"/>
          <w:szCs w:val="18"/>
        </w:rPr>
        <w:t>Turner D</w:t>
      </w:r>
      <w:r>
        <w:rPr>
          <w:rFonts w:ascii="Arial Narrow" w:hAnsi="Arial Narrow"/>
          <w:sz w:val="18"/>
          <w:szCs w:val="18"/>
        </w:rPr>
        <w:t>.</w:t>
      </w:r>
      <w:r w:rsidRPr="0046347C">
        <w:rPr>
          <w:rFonts w:ascii="Arial Narrow" w:hAnsi="Arial Narrow"/>
          <w:sz w:val="18"/>
          <w:szCs w:val="18"/>
        </w:rPr>
        <w:t>, Ricciuto A</w:t>
      </w:r>
      <w:r>
        <w:rPr>
          <w:rFonts w:ascii="Arial Narrow" w:hAnsi="Arial Narrow"/>
          <w:sz w:val="18"/>
          <w:szCs w:val="18"/>
        </w:rPr>
        <w:t>.</w:t>
      </w:r>
      <w:r w:rsidRPr="0046347C">
        <w:rPr>
          <w:rFonts w:ascii="Arial Narrow" w:hAnsi="Arial Narrow"/>
          <w:sz w:val="18"/>
          <w:szCs w:val="18"/>
        </w:rPr>
        <w:t>, Lewis A</w:t>
      </w:r>
      <w:r>
        <w:rPr>
          <w:rFonts w:ascii="Arial Narrow" w:hAnsi="Arial Narrow"/>
          <w:sz w:val="18"/>
          <w:szCs w:val="18"/>
        </w:rPr>
        <w:t>.</w:t>
      </w:r>
      <w:r w:rsidRPr="0046347C">
        <w:rPr>
          <w:rFonts w:ascii="Arial Narrow" w:hAnsi="Arial Narrow"/>
          <w:sz w:val="18"/>
          <w:szCs w:val="18"/>
        </w:rPr>
        <w:t xml:space="preserve">, </w:t>
      </w:r>
      <w:r>
        <w:rPr>
          <w:rFonts w:ascii="Arial Narrow" w:hAnsi="Arial Narrow"/>
          <w:sz w:val="18"/>
          <w:szCs w:val="18"/>
        </w:rPr>
        <w:t>et al, 2021,</w:t>
      </w:r>
      <w:r w:rsidRPr="0046347C">
        <w:rPr>
          <w:rFonts w:ascii="Arial Narrow" w:hAnsi="Arial Narrow"/>
          <w:sz w:val="18"/>
          <w:szCs w:val="18"/>
        </w:rPr>
        <w:t xml:space="preserve"> </w:t>
      </w:r>
      <w:r>
        <w:rPr>
          <w:rFonts w:ascii="Arial Narrow" w:hAnsi="Arial Narrow"/>
          <w:sz w:val="18"/>
          <w:szCs w:val="18"/>
        </w:rPr>
        <w:t>‘</w:t>
      </w:r>
      <w:r w:rsidRPr="0046347C">
        <w:rPr>
          <w:rFonts w:ascii="Arial Narrow" w:hAnsi="Arial Narrow"/>
          <w:sz w:val="18"/>
          <w:szCs w:val="18"/>
        </w:rPr>
        <w:t>STRIDE-II: An Update on the Selecting Therapeutic Targets in Inflammatory Bowel Disease (STRIDE) Initiative of the International Organization for the Study of IBD (IOIBD): Determining Therapeutic Goals for Treat-to-Target strategies in IBD. Gastroenterology</w:t>
      </w:r>
      <w:r>
        <w:rPr>
          <w:rFonts w:ascii="Arial Narrow" w:hAnsi="Arial Narrow"/>
          <w:sz w:val="18"/>
          <w:szCs w:val="18"/>
        </w:rPr>
        <w:t>’, Gastroenterology,</w:t>
      </w:r>
      <w:r w:rsidRPr="0046347C">
        <w:rPr>
          <w:rFonts w:ascii="Arial Narrow" w:hAnsi="Arial Narrow"/>
          <w:sz w:val="18"/>
          <w:szCs w:val="18"/>
        </w:rPr>
        <w:t xml:space="preserve"> 160(5)</w:t>
      </w:r>
      <w:r>
        <w:rPr>
          <w:rFonts w:ascii="Arial Narrow" w:hAnsi="Arial Narrow"/>
          <w:sz w:val="18"/>
          <w:szCs w:val="18"/>
        </w:rPr>
        <w:t>, pp.</w:t>
      </w:r>
      <w:r w:rsidRPr="0046347C">
        <w:rPr>
          <w:rFonts w:ascii="Arial Narrow" w:hAnsi="Arial Narrow"/>
          <w:sz w:val="18"/>
          <w:szCs w:val="18"/>
        </w:rPr>
        <w:t>1570-83. doi: 10.1053/j.gastro.2020.12.031. Epub 2021 Feb 19. PMID: 33359090.</w:t>
      </w:r>
    </w:p>
    <w:p w14:paraId="7765D289" w14:textId="77777777" w:rsidR="00852466" w:rsidRPr="0046347C" w:rsidRDefault="00852466" w:rsidP="00852466">
      <w:pPr>
        <w:pStyle w:val="FootnoteText"/>
        <w:rPr>
          <w:rFonts w:ascii="Arial Narrow" w:hAnsi="Arial Narrow"/>
          <w:sz w:val="18"/>
          <w:szCs w:val="18"/>
        </w:rPr>
      </w:pPr>
    </w:p>
  </w:footnote>
  <w:footnote w:id="31">
    <w:p w14:paraId="184AC982" w14:textId="77777777" w:rsidR="00852466" w:rsidRPr="0046347C" w:rsidRDefault="00852466" w:rsidP="00852466">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van Rheenen P</w:t>
      </w:r>
      <w:r>
        <w:rPr>
          <w:rFonts w:ascii="Arial Narrow" w:hAnsi="Arial Narrow"/>
          <w:sz w:val="18"/>
          <w:szCs w:val="18"/>
        </w:rPr>
        <w:t>.</w:t>
      </w:r>
      <w:r w:rsidRPr="0046347C">
        <w:rPr>
          <w:rFonts w:ascii="Arial Narrow" w:hAnsi="Arial Narrow"/>
          <w:sz w:val="18"/>
          <w:szCs w:val="18"/>
        </w:rPr>
        <w:t>F</w:t>
      </w:r>
      <w:r>
        <w:rPr>
          <w:rFonts w:ascii="Arial Narrow" w:hAnsi="Arial Narrow"/>
          <w:sz w:val="18"/>
          <w:szCs w:val="18"/>
        </w:rPr>
        <w:t>.</w:t>
      </w:r>
      <w:r w:rsidRPr="0046347C">
        <w:rPr>
          <w:rFonts w:ascii="Arial Narrow" w:hAnsi="Arial Narrow"/>
          <w:sz w:val="18"/>
          <w:szCs w:val="18"/>
        </w:rPr>
        <w:t>, Aloi M</w:t>
      </w:r>
      <w:r>
        <w:rPr>
          <w:rFonts w:ascii="Arial Narrow" w:hAnsi="Arial Narrow"/>
          <w:sz w:val="18"/>
          <w:szCs w:val="18"/>
        </w:rPr>
        <w:t>.</w:t>
      </w:r>
      <w:r w:rsidRPr="0046347C">
        <w:rPr>
          <w:rFonts w:ascii="Arial Narrow" w:hAnsi="Arial Narrow"/>
          <w:sz w:val="18"/>
          <w:szCs w:val="18"/>
        </w:rPr>
        <w:t>, Assa A</w:t>
      </w:r>
      <w:r>
        <w:rPr>
          <w:rFonts w:ascii="Arial Narrow" w:hAnsi="Arial Narrow"/>
          <w:sz w:val="18"/>
          <w:szCs w:val="18"/>
        </w:rPr>
        <w:t>.</w:t>
      </w:r>
      <w:r w:rsidRPr="0046347C">
        <w:rPr>
          <w:rFonts w:ascii="Arial Narrow" w:hAnsi="Arial Narrow"/>
          <w:sz w:val="18"/>
          <w:szCs w:val="18"/>
        </w:rPr>
        <w:t>, et al</w:t>
      </w:r>
      <w:r>
        <w:rPr>
          <w:rFonts w:ascii="Arial Narrow" w:hAnsi="Arial Narrow"/>
          <w:sz w:val="18"/>
          <w:szCs w:val="18"/>
        </w:rPr>
        <w:t>,</w:t>
      </w:r>
      <w:r w:rsidRPr="0046347C">
        <w:rPr>
          <w:rFonts w:ascii="Arial Narrow" w:hAnsi="Arial Narrow"/>
          <w:sz w:val="18"/>
          <w:szCs w:val="18"/>
        </w:rPr>
        <w:t> </w:t>
      </w:r>
      <w:r>
        <w:rPr>
          <w:rFonts w:ascii="Arial Narrow" w:hAnsi="Arial Narrow"/>
          <w:sz w:val="18"/>
          <w:szCs w:val="18"/>
        </w:rPr>
        <w:t xml:space="preserve"> 2021, ‘</w:t>
      </w:r>
      <w:r w:rsidRPr="0046347C">
        <w:rPr>
          <w:rFonts w:ascii="Arial Narrow" w:hAnsi="Arial Narrow"/>
          <w:sz w:val="18"/>
          <w:szCs w:val="18"/>
        </w:rPr>
        <w:t>The Medical Management of Paediatric Crohn's Disease: An ECCO-ESPGHAN Guideline Update</w:t>
      </w:r>
      <w:r>
        <w:rPr>
          <w:rFonts w:ascii="Arial Narrow" w:hAnsi="Arial Narrow"/>
          <w:sz w:val="18"/>
          <w:szCs w:val="18"/>
        </w:rPr>
        <w:t>’,</w:t>
      </w:r>
      <w:r w:rsidRPr="0046347C">
        <w:rPr>
          <w:rFonts w:ascii="Arial Narrow" w:hAnsi="Arial Narrow"/>
          <w:sz w:val="18"/>
          <w:szCs w:val="18"/>
        </w:rPr>
        <w:t xml:space="preserve"> J Crohns Colitis. 15(2):171-194. doi: </w:t>
      </w:r>
      <w:hyperlink r:id="rId5" w:history="1">
        <w:r w:rsidRPr="0046347C">
          <w:rPr>
            <w:rStyle w:val="Hyperlink"/>
            <w:rFonts w:ascii="Arial Narrow" w:hAnsi="Arial Narrow"/>
            <w:sz w:val="18"/>
            <w:szCs w:val="18"/>
          </w:rPr>
          <w:t>https://doi.org/10.1093/ecco-jcc/jjaa161</w:t>
        </w:r>
      </w:hyperlink>
    </w:p>
    <w:p w14:paraId="08213DE5" w14:textId="77777777" w:rsidR="00852466" w:rsidRPr="0046347C" w:rsidRDefault="00852466" w:rsidP="00852466">
      <w:pPr>
        <w:pStyle w:val="FootnoteText"/>
        <w:rPr>
          <w:rFonts w:ascii="Arial Narrow" w:hAnsi="Arial Narrow"/>
          <w:sz w:val="18"/>
          <w:szCs w:val="18"/>
        </w:rPr>
      </w:pPr>
    </w:p>
  </w:footnote>
  <w:footnote w:id="32">
    <w:p w14:paraId="7E504078" w14:textId="77777777" w:rsidR="00852466" w:rsidRPr="0046347C" w:rsidRDefault="00852466" w:rsidP="00852466">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Turner D</w:t>
      </w:r>
      <w:r>
        <w:rPr>
          <w:rFonts w:ascii="Arial Narrow" w:hAnsi="Arial Narrow"/>
          <w:sz w:val="18"/>
          <w:szCs w:val="18"/>
        </w:rPr>
        <w:t>.</w:t>
      </w:r>
      <w:r w:rsidRPr="0046347C">
        <w:rPr>
          <w:rFonts w:ascii="Arial Narrow" w:hAnsi="Arial Narrow"/>
          <w:sz w:val="18"/>
          <w:szCs w:val="18"/>
        </w:rPr>
        <w:t>, Ruemmele F</w:t>
      </w:r>
      <w:r>
        <w:rPr>
          <w:rFonts w:ascii="Arial Narrow" w:hAnsi="Arial Narrow"/>
          <w:sz w:val="18"/>
          <w:szCs w:val="18"/>
        </w:rPr>
        <w:t>.</w:t>
      </w:r>
      <w:r w:rsidRPr="0046347C">
        <w:rPr>
          <w:rFonts w:ascii="Arial Narrow" w:hAnsi="Arial Narrow"/>
          <w:sz w:val="18"/>
          <w:szCs w:val="18"/>
        </w:rPr>
        <w:t>M</w:t>
      </w:r>
      <w:r>
        <w:rPr>
          <w:rFonts w:ascii="Arial Narrow" w:hAnsi="Arial Narrow"/>
          <w:sz w:val="18"/>
          <w:szCs w:val="18"/>
        </w:rPr>
        <w:t>.</w:t>
      </w:r>
      <w:r w:rsidRPr="0046347C">
        <w:rPr>
          <w:rFonts w:ascii="Arial Narrow" w:hAnsi="Arial Narrow"/>
          <w:sz w:val="18"/>
          <w:szCs w:val="18"/>
        </w:rPr>
        <w:t>, Orlanski-Meyer E</w:t>
      </w:r>
      <w:r>
        <w:rPr>
          <w:rFonts w:ascii="Arial Narrow" w:hAnsi="Arial Narrow"/>
          <w:sz w:val="18"/>
          <w:szCs w:val="18"/>
        </w:rPr>
        <w:t>.</w:t>
      </w:r>
      <w:r w:rsidRPr="0046347C">
        <w:rPr>
          <w:rFonts w:ascii="Arial Narrow" w:hAnsi="Arial Narrow"/>
          <w:sz w:val="18"/>
          <w:szCs w:val="18"/>
        </w:rPr>
        <w:t xml:space="preserve">, </w:t>
      </w:r>
      <w:r>
        <w:rPr>
          <w:rFonts w:ascii="Arial Narrow" w:hAnsi="Arial Narrow"/>
          <w:sz w:val="18"/>
          <w:szCs w:val="18"/>
        </w:rPr>
        <w:t>et al, 2020, 2018, ‘</w:t>
      </w:r>
      <w:r w:rsidRPr="0046347C">
        <w:rPr>
          <w:rFonts w:ascii="Arial Narrow" w:hAnsi="Arial Narrow"/>
          <w:sz w:val="18"/>
          <w:szCs w:val="18"/>
        </w:rPr>
        <w:t>Management of Paediatric Ulcerative Colitis, Part 1: Ambulatory Care-An Evidence-based Guideline From European Crohn's and Colitis Organization and European Society of Paediatric Gastroenterology, Hepatology and Nutrition</w:t>
      </w:r>
      <w:r>
        <w:rPr>
          <w:rFonts w:ascii="Arial Narrow" w:hAnsi="Arial Narrow"/>
          <w:sz w:val="18"/>
          <w:szCs w:val="18"/>
        </w:rPr>
        <w:t>’,</w:t>
      </w:r>
      <w:r w:rsidRPr="0046347C">
        <w:rPr>
          <w:rFonts w:ascii="Arial Narrow" w:hAnsi="Arial Narrow"/>
          <w:sz w:val="18"/>
          <w:szCs w:val="18"/>
        </w:rPr>
        <w:t xml:space="preserve"> J Pediatr Gastroenterol Nutr</w:t>
      </w:r>
      <w:r>
        <w:rPr>
          <w:rFonts w:ascii="Arial Narrow" w:hAnsi="Arial Narrow"/>
          <w:sz w:val="18"/>
          <w:szCs w:val="18"/>
        </w:rPr>
        <w:t>,</w:t>
      </w:r>
      <w:r w:rsidRPr="0046347C">
        <w:rPr>
          <w:rFonts w:ascii="Arial Narrow" w:hAnsi="Arial Narrow"/>
          <w:sz w:val="18"/>
          <w:szCs w:val="18"/>
        </w:rPr>
        <w:t xml:space="preserve"> 67(2)</w:t>
      </w:r>
      <w:r>
        <w:rPr>
          <w:rFonts w:ascii="Arial Narrow" w:hAnsi="Arial Narrow"/>
          <w:sz w:val="18"/>
          <w:szCs w:val="18"/>
        </w:rPr>
        <w:t>, pp.</w:t>
      </w:r>
      <w:r w:rsidRPr="0046347C">
        <w:rPr>
          <w:rFonts w:ascii="Arial Narrow" w:hAnsi="Arial Narrow"/>
          <w:sz w:val="18"/>
          <w:szCs w:val="18"/>
        </w:rPr>
        <w:t>257-291. doi: 10.1097/MPG.0000000000002035. Erratum in: J Pediatr Gastroenterol Nutr</w:t>
      </w:r>
      <w:r>
        <w:rPr>
          <w:rFonts w:ascii="Arial Narrow" w:hAnsi="Arial Narrow"/>
          <w:sz w:val="18"/>
          <w:szCs w:val="18"/>
        </w:rPr>
        <w:t>,</w:t>
      </w:r>
      <w:r w:rsidRPr="0046347C">
        <w:rPr>
          <w:rFonts w:ascii="Arial Narrow" w:hAnsi="Arial Narrow"/>
          <w:sz w:val="18"/>
          <w:szCs w:val="18"/>
        </w:rPr>
        <w:t xml:space="preserve"> 2020</w:t>
      </w:r>
      <w:r>
        <w:rPr>
          <w:rFonts w:ascii="Arial Narrow" w:hAnsi="Arial Narrow"/>
          <w:sz w:val="18"/>
          <w:szCs w:val="18"/>
        </w:rPr>
        <w:t>,</w:t>
      </w:r>
      <w:r w:rsidRPr="0046347C">
        <w:rPr>
          <w:rFonts w:ascii="Arial Narrow" w:hAnsi="Arial Narrow"/>
          <w:sz w:val="18"/>
          <w:szCs w:val="18"/>
        </w:rPr>
        <w:t xml:space="preserve"> 71(6)</w:t>
      </w:r>
      <w:r>
        <w:rPr>
          <w:rFonts w:ascii="Arial Narrow" w:hAnsi="Arial Narrow"/>
          <w:sz w:val="18"/>
          <w:szCs w:val="18"/>
        </w:rPr>
        <w:t>, p.</w:t>
      </w:r>
      <w:r w:rsidRPr="0046347C">
        <w:rPr>
          <w:rFonts w:ascii="Arial Narrow" w:hAnsi="Arial Narrow"/>
          <w:sz w:val="18"/>
          <w:szCs w:val="18"/>
        </w:rPr>
        <w:t>794. doi: 10.1097/MPG.0000000000002967. PMID: 30044357.</w:t>
      </w:r>
    </w:p>
    <w:p w14:paraId="67C64A54" w14:textId="77777777" w:rsidR="00852466" w:rsidRPr="0046347C" w:rsidRDefault="00852466" w:rsidP="00852466">
      <w:pPr>
        <w:pStyle w:val="FootnoteText"/>
        <w:rPr>
          <w:rFonts w:ascii="Arial Narrow" w:hAnsi="Arial Narrow"/>
          <w:sz w:val="18"/>
          <w:szCs w:val="18"/>
        </w:rPr>
      </w:pPr>
    </w:p>
  </w:footnote>
  <w:footnote w:id="33">
    <w:p w14:paraId="3D1E79C4" w14:textId="77777777" w:rsidR="00852466" w:rsidRDefault="00852466" w:rsidP="00852466">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Dubinsky</w:t>
      </w:r>
      <w:r>
        <w:rPr>
          <w:rFonts w:ascii="Arial Narrow" w:hAnsi="Arial Narrow"/>
          <w:sz w:val="18"/>
          <w:szCs w:val="18"/>
        </w:rPr>
        <w:t xml:space="preserve"> M.C.</w:t>
      </w:r>
      <w:r w:rsidRPr="0046347C">
        <w:rPr>
          <w:rFonts w:ascii="Arial Narrow" w:hAnsi="Arial Narrow"/>
          <w:sz w:val="18"/>
          <w:szCs w:val="18"/>
        </w:rPr>
        <w:t>, Rosh</w:t>
      </w:r>
      <w:r>
        <w:rPr>
          <w:rFonts w:ascii="Arial Narrow" w:hAnsi="Arial Narrow"/>
          <w:sz w:val="18"/>
          <w:szCs w:val="18"/>
        </w:rPr>
        <w:t xml:space="preserve"> J.</w:t>
      </w:r>
      <w:r w:rsidRPr="0046347C">
        <w:rPr>
          <w:rFonts w:ascii="Arial Narrow" w:hAnsi="Arial Narrow"/>
          <w:sz w:val="18"/>
          <w:szCs w:val="18"/>
        </w:rPr>
        <w:t>, Faubion</w:t>
      </w:r>
      <w:r>
        <w:rPr>
          <w:rFonts w:ascii="Arial Narrow" w:hAnsi="Arial Narrow"/>
          <w:sz w:val="18"/>
          <w:szCs w:val="18"/>
        </w:rPr>
        <w:t xml:space="preserve"> Jr W.A.</w:t>
      </w:r>
      <w:r w:rsidRPr="0046347C">
        <w:rPr>
          <w:rFonts w:ascii="Arial Narrow" w:hAnsi="Arial Narrow"/>
          <w:sz w:val="18"/>
          <w:szCs w:val="18"/>
        </w:rPr>
        <w:t xml:space="preserve">, </w:t>
      </w:r>
      <w:r>
        <w:rPr>
          <w:rFonts w:ascii="Arial Narrow" w:hAnsi="Arial Narrow"/>
          <w:sz w:val="18"/>
          <w:szCs w:val="18"/>
        </w:rPr>
        <w:t>et al, 2016,</w:t>
      </w:r>
      <w:r w:rsidRPr="0046347C">
        <w:rPr>
          <w:rFonts w:ascii="Arial Narrow" w:hAnsi="Arial Narrow"/>
          <w:sz w:val="18"/>
          <w:szCs w:val="18"/>
        </w:rPr>
        <w:t xml:space="preserve"> </w:t>
      </w:r>
      <w:r>
        <w:rPr>
          <w:rFonts w:ascii="Arial Narrow" w:hAnsi="Arial Narrow"/>
          <w:sz w:val="18"/>
          <w:szCs w:val="18"/>
        </w:rPr>
        <w:t>‘</w:t>
      </w:r>
      <w:r w:rsidRPr="0046347C">
        <w:rPr>
          <w:rFonts w:ascii="Arial Narrow" w:hAnsi="Arial Narrow"/>
          <w:sz w:val="18"/>
          <w:szCs w:val="18"/>
        </w:rPr>
        <w:t>Efficacy and Safety of Escalation of Adalimumab Therapy to Weekly Dosing in Pediatric Patients with Crohn's Disease</w:t>
      </w:r>
      <w:r>
        <w:rPr>
          <w:rFonts w:ascii="Arial Narrow" w:hAnsi="Arial Narrow"/>
          <w:sz w:val="18"/>
          <w:szCs w:val="18"/>
        </w:rPr>
        <w:t>’</w:t>
      </w:r>
      <w:r w:rsidRPr="0046347C">
        <w:rPr>
          <w:rFonts w:ascii="Arial Narrow" w:hAnsi="Arial Narrow"/>
          <w:sz w:val="18"/>
          <w:szCs w:val="18"/>
        </w:rPr>
        <w:t>, </w:t>
      </w:r>
      <w:r w:rsidRPr="007C53D0">
        <w:rPr>
          <w:rFonts w:ascii="Arial Narrow" w:hAnsi="Arial Narrow"/>
          <w:sz w:val="18"/>
          <w:szCs w:val="18"/>
        </w:rPr>
        <w:t>Inflamm Bowel Dis</w:t>
      </w:r>
      <w:r w:rsidRPr="0038611C">
        <w:rPr>
          <w:rFonts w:ascii="Arial Narrow" w:hAnsi="Arial Narrow"/>
          <w:sz w:val="18"/>
          <w:szCs w:val="18"/>
        </w:rPr>
        <w:t>,</w:t>
      </w:r>
      <w:r w:rsidRPr="004C201E">
        <w:rPr>
          <w:rFonts w:ascii="Arial Narrow" w:hAnsi="Arial Narrow"/>
          <w:sz w:val="18"/>
          <w:szCs w:val="18"/>
        </w:rPr>
        <w:t xml:space="preserve"> 22</w:t>
      </w:r>
      <w:r>
        <w:rPr>
          <w:rFonts w:ascii="Arial Narrow" w:hAnsi="Arial Narrow"/>
          <w:sz w:val="18"/>
          <w:szCs w:val="18"/>
        </w:rPr>
        <w:t>:</w:t>
      </w:r>
      <w:r w:rsidRPr="004C201E">
        <w:rPr>
          <w:rFonts w:ascii="Arial Narrow" w:hAnsi="Arial Narrow"/>
          <w:sz w:val="18"/>
          <w:szCs w:val="18"/>
        </w:rPr>
        <w:t xml:space="preserve">4, </w:t>
      </w:r>
      <w:r>
        <w:rPr>
          <w:rFonts w:ascii="Arial Narrow" w:hAnsi="Arial Narrow"/>
          <w:sz w:val="18"/>
          <w:szCs w:val="18"/>
        </w:rPr>
        <w:t>pp.</w:t>
      </w:r>
      <w:r w:rsidRPr="004C201E">
        <w:rPr>
          <w:rFonts w:ascii="Arial Narrow" w:hAnsi="Arial Narrow"/>
          <w:sz w:val="18"/>
          <w:szCs w:val="18"/>
        </w:rPr>
        <w:t>886–893</w:t>
      </w:r>
      <w:r>
        <w:rPr>
          <w:rFonts w:ascii="Arial Narrow" w:hAnsi="Arial Narrow"/>
          <w:sz w:val="18"/>
          <w:szCs w:val="18"/>
        </w:rPr>
        <w:t>.</w:t>
      </w:r>
      <w:r w:rsidRPr="004C201E">
        <w:rPr>
          <w:rFonts w:ascii="Arial Narrow" w:hAnsi="Arial Narrow"/>
          <w:sz w:val="18"/>
          <w:szCs w:val="18"/>
        </w:rPr>
        <w:t> </w:t>
      </w:r>
      <w:r>
        <w:rPr>
          <w:rFonts w:ascii="Arial Narrow" w:hAnsi="Arial Narrow"/>
          <w:sz w:val="18"/>
          <w:szCs w:val="18"/>
        </w:rPr>
        <w:t xml:space="preserve">doi: </w:t>
      </w:r>
      <w:hyperlink r:id="rId6" w:history="1">
        <w:r w:rsidRPr="00F57372">
          <w:rPr>
            <w:rStyle w:val="Hyperlink"/>
            <w:rFonts w:ascii="Arial Narrow" w:hAnsi="Arial Narrow"/>
            <w:sz w:val="18"/>
            <w:szCs w:val="18"/>
          </w:rPr>
          <w:t>https://doi.org/10.1097/MIB.0000000000000715</w:t>
        </w:r>
      </w:hyperlink>
      <w:r>
        <w:rPr>
          <w:rFonts w:ascii="Arial Narrow" w:hAnsi="Arial Narrow"/>
          <w:sz w:val="18"/>
          <w:szCs w:val="18"/>
        </w:rPr>
        <w:t>.</w:t>
      </w:r>
    </w:p>
    <w:p w14:paraId="55323AB4" w14:textId="77777777" w:rsidR="00852466" w:rsidRPr="004C201E" w:rsidRDefault="00852466" w:rsidP="00852466">
      <w:pPr>
        <w:pStyle w:val="FootnoteText"/>
        <w:rPr>
          <w:rFonts w:ascii="Arial Narrow" w:hAnsi="Arial Narrow"/>
          <w:sz w:val="18"/>
          <w:szCs w:val="18"/>
        </w:rPr>
      </w:pPr>
    </w:p>
  </w:footnote>
  <w:footnote w:id="34">
    <w:p w14:paraId="0302F7D1" w14:textId="77777777" w:rsidR="00852466" w:rsidRDefault="00852466" w:rsidP="00852466">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Levine A</w:t>
      </w:r>
      <w:r>
        <w:rPr>
          <w:rFonts w:ascii="Arial Narrow" w:hAnsi="Arial Narrow"/>
          <w:sz w:val="18"/>
          <w:szCs w:val="18"/>
        </w:rPr>
        <w:t>.</w:t>
      </w:r>
      <w:r w:rsidRPr="0038053B">
        <w:rPr>
          <w:rFonts w:ascii="Arial Narrow" w:hAnsi="Arial Narrow"/>
          <w:sz w:val="18"/>
          <w:szCs w:val="18"/>
        </w:rPr>
        <w:t>, Koletzko S</w:t>
      </w:r>
      <w:r>
        <w:rPr>
          <w:rFonts w:ascii="Arial Narrow" w:hAnsi="Arial Narrow"/>
          <w:sz w:val="18"/>
          <w:szCs w:val="18"/>
        </w:rPr>
        <w:t>.</w:t>
      </w:r>
      <w:r w:rsidRPr="0038053B">
        <w:rPr>
          <w:rFonts w:ascii="Arial Narrow" w:hAnsi="Arial Narrow"/>
          <w:sz w:val="18"/>
          <w:szCs w:val="18"/>
        </w:rPr>
        <w:t>, Turner D</w:t>
      </w:r>
      <w:r>
        <w:rPr>
          <w:rFonts w:ascii="Arial Narrow" w:hAnsi="Arial Narrow"/>
          <w:sz w:val="18"/>
          <w:szCs w:val="18"/>
        </w:rPr>
        <w:t>.</w:t>
      </w:r>
      <w:r w:rsidRPr="0038053B">
        <w:rPr>
          <w:rFonts w:ascii="Arial Narrow" w:hAnsi="Arial Narrow"/>
          <w:sz w:val="18"/>
          <w:szCs w:val="18"/>
        </w:rPr>
        <w:t>,</w:t>
      </w:r>
      <w:r>
        <w:rPr>
          <w:rFonts w:ascii="Arial Narrow" w:hAnsi="Arial Narrow"/>
          <w:sz w:val="18"/>
          <w:szCs w:val="18"/>
        </w:rPr>
        <w:t xml:space="preserve"> et al, 2014,</w:t>
      </w:r>
      <w:r w:rsidRPr="00474DBB">
        <w:rPr>
          <w:rFonts w:ascii="Arial Narrow" w:hAnsi="Arial Narrow"/>
          <w:sz w:val="18"/>
          <w:szCs w:val="18"/>
        </w:rPr>
        <w:t xml:space="preserve"> </w:t>
      </w:r>
      <w:r>
        <w:rPr>
          <w:rFonts w:ascii="Arial Narrow" w:hAnsi="Arial Narrow"/>
          <w:sz w:val="18"/>
          <w:szCs w:val="18"/>
        </w:rPr>
        <w:t>‘</w:t>
      </w:r>
      <w:r w:rsidRPr="00474DBB">
        <w:rPr>
          <w:rFonts w:ascii="Arial Narrow" w:hAnsi="Arial Narrow"/>
          <w:sz w:val="18"/>
          <w:szCs w:val="18"/>
        </w:rPr>
        <w:t>ESPGHAN revised porto criteria for the diagnosis of inflammatory bowel disease in children and adolescents</w:t>
      </w:r>
      <w:r>
        <w:rPr>
          <w:rFonts w:ascii="Arial Narrow" w:hAnsi="Arial Narrow"/>
          <w:sz w:val="18"/>
          <w:szCs w:val="18"/>
        </w:rPr>
        <w:t>’,</w:t>
      </w:r>
      <w:r w:rsidRPr="00474DBB">
        <w:rPr>
          <w:rFonts w:ascii="Arial Narrow" w:hAnsi="Arial Narrow"/>
          <w:sz w:val="18"/>
          <w:szCs w:val="18"/>
        </w:rPr>
        <w:t xml:space="preserve"> J Pediatr Gastroenterol Nutr. 58(6)</w:t>
      </w:r>
      <w:r>
        <w:rPr>
          <w:rFonts w:ascii="Arial Narrow" w:hAnsi="Arial Narrow"/>
          <w:sz w:val="18"/>
          <w:szCs w:val="18"/>
        </w:rPr>
        <w:t>, pp.</w:t>
      </w:r>
      <w:r w:rsidRPr="0038053B">
        <w:rPr>
          <w:rFonts w:ascii="Arial Narrow" w:hAnsi="Arial Narrow"/>
          <w:sz w:val="18"/>
          <w:szCs w:val="18"/>
        </w:rPr>
        <w:t>795-806.</w:t>
      </w:r>
    </w:p>
    <w:p w14:paraId="23E9BA09" w14:textId="77777777" w:rsidR="00852466" w:rsidRPr="0038053B" w:rsidRDefault="00852466" w:rsidP="00852466">
      <w:pPr>
        <w:pStyle w:val="FootnoteText"/>
        <w:rPr>
          <w:rFonts w:ascii="Arial Narrow" w:hAnsi="Arial Narrow"/>
          <w:sz w:val="18"/>
          <w:szCs w:val="18"/>
        </w:rPr>
      </w:pPr>
    </w:p>
  </w:footnote>
  <w:footnote w:id="35">
    <w:p w14:paraId="5892AC15" w14:textId="77777777" w:rsidR="00852466" w:rsidRDefault="00852466" w:rsidP="00852466">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Kim H</w:t>
      </w:r>
      <w:r>
        <w:rPr>
          <w:rFonts w:ascii="Arial Narrow" w:hAnsi="Arial Narrow"/>
          <w:sz w:val="18"/>
          <w:szCs w:val="18"/>
        </w:rPr>
        <w:t>.</w:t>
      </w:r>
      <w:r w:rsidRPr="00474DBB">
        <w:rPr>
          <w:rFonts w:ascii="Arial Narrow" w:hAnsi="Arial Narrow"/>
          <w:sz w:val="18"/>
          <w:szCs w:val="18"/>
        </w:rPr>
        <w:t>J</w:t>
      </w:r>
      <w:r>
        <w:rPr>
          <w:rFonts w:ascii="Arial Narrow" w:hAnsi="Arial Narrow"/>
          <w:sz w:val="18"/>
          <w:szCs w:val="18"/>
        </w:rPr>
        <w:t>.</w:t>
      </w:r>
      <w:r w:rsidRPr="00474DBB">
        <w:rPr>
          <w:rFonts w:ascii="Arial Narrow" w:hAnsi="Arial Narrow"/>
          <w:sz w:val="18"/>
          <w:szCs w:val="18"/>
        </w:rPr>
        <w:t>, Oh S</w:t>
      </w:r>
      <w:r>
        <w:rPr>
          <w:rFonts w:ascii="Arial Narrow" w:hAnsi="Arial Narrow"/>
          <w:sz w:val="18"/>
          <w:szCs w:val="18"/>
        </w:rPr>
        <w:t>.</w:t>
      </w:r>
      <w:r w:rsidRPr="00474DBB">
        <w:rPr>
          <w:rFonts w:ascii="Arial Narrow" w:hAnsi="Arial Narrow"/>
          <w:sz w:val="18"/>
          <w:szCs w:val="18"/>
        </w:rPr>
        <w:t>H</w:t>
      </w:r>
      <w:r>
        <w:rPr>
          <w:rFonts w:ascii="Arial Narrow" w:hAnsi="Arial Narrow"/>
          <w:sz w:val="18"/>
          <w:szCs w:val="18"/>
        </w:rPr>
        <w:t>.</w:t>
      </w:r>
      <w:r w:rsidRPr="00474DBB">
        <w:rPr>
          <w:rFonts w:ascii="Arial Narrow" w:hAnsi="Arial Narrow"/>
          <w:sz w:val="18"/>
          <w:szCs w:val="18"/>
        </w:rPr>
        <w:t>, Kim D</w:t>
      </w:r>
      <w:r>
        <w:rPr>
          <w:rFonts w:ascii="Arial Narrow" w:hAnsi="Arial Narrow"/>
          <w:sz w:val="18"/>
          <w:szCs w:val="18"/>
        </w:rPr>
        <w:t>.</w:t>
      </w:r>
      <w:r w:rsidRPr="00474DBB">
        <w:rPr>
          <w:rFonts w:ascii="Arial Narrow" w:hAnsi="Arial Narrow"/>
          <w:sz w:val="18"/>
          <w:szCs w:val="18"/>
        </w:rPr>
        <w:t>Y</w:t>
      </w:r>
      <w:r>
        <w:rPr>
          <w:rFonts w:ascii="Arial Narrow" w:hAnsi="Arial Narrow"/>
          <w:sz w:val="18"/>
          <w:szCs w:val="18"/>
        </w:rPr>
        <w:t>.</w:t>
      </w:r>
      <w:r w:rsidRPr="0038053B">
        <w:rPr>
          <w:rFonts w:ascii="Arial Narrow" w:hAnsi="Arial Narrow"/>
          <w:sz w:val="18"/>
          <w:szCs w:val="18"/>
        </w:rPr>
        <w:t xml:space="preserve">, </w:t>
      </w:r>
      <w:r>
        <w:rPr>
          <w:rFonts w:ascii="Arial Narrow" w:hAnsi="Arial Narrow"/>
          <w:sz w:val="18"/>
          <w:szCs w:val="18"/>
        </w:rPr>
        <w:t>et al, 2017,</w:t>
      </w:r>
      <w:r w:rsidRPr="00474DBB">
        <w:rPr>
          <w:rFonts w:ascii="Arial Narrow" w:hAnsi="Arial Narrow"/>
          <w:sz w:val="18"/>
          <w:szCs w:val="18"/>
        </w:rPr>
        <w:t xml:space="preserve"> </w:t>
      </w:r>
      <w:r>
        <w:rPr>
          <w:rFonts w:ascii="Arial Narrow" w:hAnsi="Arial Narrow"/>
          <w:sz w:val="18"/>
          <w:szCs w:val="18"/>
        </w:rPr>
        <w:t>‘</w:t>
      </w:r>
      <w:r w:rsidRPr="00474DBB">
        <w:rPr>
          <w:rFonts w:ascii="Arial Narrow" w:hAnsi="Arial Narrow"/>
          <w:sz w:val="18"/>
          <w:szCs w:val="18"/>
        </w:rPr>
        <w:t>Clinical Characteristics and Long-Term Outcomes of Paediatric Crohn's Disease: A Single-Centre Experience.</w:t>
      </w:r>
      <w:r>
        <w:rPr>
          <w:rFonts w:ascii="Arial Narrow" w:hAnsi="Arial Narrow"/>
          <w:sz w:val="18"/>
          <w:szCs w:val="18"/>
        </w:rPr>
        <w:t>’,</w:t>
      </w:r>
      <w:r w:rsidRPr="00474DBB">
        <w:rPr>
          <w:rFonts w:ascii="Arial Narrow" w:hAnsi="Arial Narrow"/>
          <w:sz w:val="18"/>
          <w:szCs w:val="18"/>
        </w:rPr>
        <w:t xml:space="preserve"> 11(2)</w:t>
      </w:r>
      <w:r>
        <w:rPr>
          <w:rFonts w:ascii="Arial Narrow" w:hAnsi="Arial Narrow"/>
          <w:sz w:val="18"/>
          <w:szCs w:val="18"/>
        </w:rPr>
        <w:t>, pp.</w:t>
      </w:r>
      <w:r w:rsidRPr="0038053B">
        <w:rPr>
          <w:rFonts w:ascii="Arial Narrow" w:hAnsi="Arial Narrow"/>
          <w:sz w:val="18"/>
          <w:szCs w:val="18"/>
        </w:rPr>
        <w:t>157-164.</w:t>
      </w:r>
    </w:p>
    <w:p w14:paraId="0DE0970B" w14:textId="77777777" w:rsidR="00852466" w:rsidRPr="0038053B" w:rsidRDefault="00852466" w:rsidP="00852466">
      <w:pPr>
        <w:pStyle w:val="FootnoteText"/>
        <w:rPr>
          <w:rFonts w:ascii="Arial Narrow" w:hAnsi="Arial Narrow"/>
          <w:sz w:val="18"/>
          <w:szCs w:val="18"/>
        </w:rPr>
      </w:pPr>
    </w:p>
  </w:footnote>
  <w:footnote w:id="36">
    <w:p w14:paraId="7C0F4CAC" w14:textId="77777777" w:rsidR="00852466" w:rsidRDefault="00852466" w:rsidP="00852466">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w:t>
      </w:r>
      <w:r>
        <w:rPr>
          <w:rFonts w:ascii="Arial Narrow" w:hAnsi="Arial Narrow"/>
          <w:sz w:val="18"/>
          <w:szCs w:val="18"/>
        </w:rPr>
        <w:t xml:space="preserve">Eszter </w:t>
      </w:r>
      <w:r w:rsidRPr="00474DBB">
        <w:rPr>
          <w:rFonts w:ascii="Arial Narrow" w:hAnsi="Arial Narrow"/>
          <w:sz w:val="18"/>
          <w:szCs w:val="18"/>
        </w:rPr>
        <w:t>Müller K</w:t>
      </w:r>
      <w:r>
        <w:rPr>
          <w:rFonts w:ascii="Arial Narrow" w:hAnsi="Arial Narrow"/>
          <w:sz w:val="18"/>
          <w:szCs w:val="18"/>
        </w:rPr>
        <w:t>.</w:t>
      </w:r>
      <w:r w:rsidRPr="00474DBB">
        <w:rPr>
          <w:rFonts w:ascii="Arial Narrow" w:hAnsi="Arial Narrow"/>
          <w:sz w:val="18"/>
          <w:szCs w:val="18"/>
        </w:rPr>
        <w:t xml:space="preserve">, </w:t>
      </w:r>
      <w:r>
        <w:rPr>
          <w:rFonts w:ascii="Arial Narrow" w:hAnsi="Arial Narrow"/>
          <w:sz w:val="18"/>
          <w:szCs w:val="18"/>
        </w:rPr>
        <w:t xml:space="preserve">Laszlo </w:t>
      </w:r>
      <w:r w:rsidRPr="00474DBB">
        <w:rPr>
          <w:rFonts w:ascii="Arial Narrow" w:hAnsi="Arial Narrow"/>
          <w:sz w:val="18"/>
          <w:szCs w:val="18"/>
        </w:rPr>
        <w:t>Lakatos P</w:t>
      </w:r>
      <w:r>
        <w:rPr>
          <w:rFonts w:ascii="Arial Narrow" w:hAnsi="Arial Narrow"/>
          <w:sz w:val="18"/>
          <w:szCs w:val="18"/>
        </w:rPr>
        <w:t>.</w:t>
      </w:r>
      <w:r w:rsidRPr="00474DBB">
        <w:rPr>
          <w:rFonts w:ascii="Arial Narrow" w:hAnsi="Arial Narrow"/>
          <w:sz w:val="18"/>
          <w:szCs w:val="18"/>
        </w:rPr>
        <w:t>, Papp M</w:t>
      </w:r>
      <w:r>
        <w:rPr>
          <w:rFonts w:ascii="Arial Narrow" w:hAnsi="Arial Narrow"/>
          <w:sz w:val="18"/>
          <w:szCs w:val="18"/>
        </w:rPr>
        <w:t>.</w:t>
      </w:r>
      <w:r w:rsidRPr="00474DBB">
        <w:rPr>
          <w:rFonts w:ascii="Arial Narrow" w:hAnsi="Arial Narrow"/>
          <w:sz w:val="18"/>
          <w:szCs w:val="18"/>
        </w:rPr>
        <w:t xml:space="preserve">, </w:t>
      </w:r>
      <w:r>
        <w:rPr>
          <w:rFonts w:ascii="Arial Narrow" w:hAnsi="Arial Narrow"/>
          <w:sz w:val="18"/>
          <w:szCs w:val="18"/>
        </w:rPr>
        <w:t>et al, 2014, ‘</w:t>
      </w:r>
      <w:r w:rsidRPr="003F356C">
        <w:rPr>
          <w:rFonts w:ascii="Arial Narrow" w:hAnsi="Arial Narrow"/>
          <w:sz w:val="18"/>
          <w:szCs w:val="18"/>
        </w:rPr>
        <w:t>Incidence and paris classification of pediatric inflammatory bowel disease</w:t>
      </w:r>
      <w:r>
        <w:rPr>
          <w:rFonts w:ascii="Arial Narrow" w:hAnsi="Arial Narrow"/>
          <w:sz w:val="18"/>
          <w:szCs w:val="18"/>
        </w:rPr>
        <w:t>’, Gastroenterol Res Pract, 2014:904307.</w:t>
      </w:r>
      <w:r w:rsidRPr="00474DBB">
        <w:rPr>
          <w:rFonts w:ascii="Arial Narrow" w:hAnsi="Arial Narrow"/>
          <w:sz w:val="18"/>
          <w:szCs w:val="18"/>
        </w:rPr>
        <w:t xml:space="preserve"> Corrigendum</w:t>
      </w:r>
      <w:r>
        <w:rPr>
          <w:rFonts w:ascii="Arial Narrow" w:hAnsi="Arial Narrow"/>
          <w:sz w:val="18"/>
          <w:szCs w:val="18"/>
        </w:rPr>
        <w:t xml:space="preserve"> in</w:t>
      </w:r>
      <w:r w:rsidRPr="00474DBB">
        <w:rPr>
          <w:rFonts w:ascii="Arial Narrow" w:hAnsi="Arial Narrow"/>
          <w:sz w:val="18"/>
          <w:szCs w:val="18"/>
        </w:rPr>
        <w:t xml:space="preserve"> Gastroenterol Res Pract. 2015;2015:804318.</w:t>
      </w:r>
    </w:p>
    <w:p w14:paraId="71FD4DDB" w14:textId="77777777" w:rsidR="00852466" w:rsidRDefault="00852466" w:rsidP="00852466">
      <w:pPr>
        <w:pStyle w:val="FootnoteText"/>
      </w:pPr>
    </w:p>
  </w:footnote>
  <w:footnote w:id="37">
    <w:p w14:paraId="1DA0AFA4" w14:textId="77777777" w:rsidR="00852466" w:rsidRPr="00DF5E75"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Ravelli A., Consolaro A., Horneff G., et al, 2018, ‘Treating juvenile idiopathic arthritis to target: recommendations of an international task force’, Ann Rheum Dis 77(6), pp.819-828.</w:t>
      </w:r>
    </w:p>
  </w:footnote>
  <w:footnote w:id="38">
    <w:p w14:paraId="387EDB67" w14:textId="77777777" w:rsidR="00852466" w:rsidRPr="00DF5E75"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Consolaro A., Giancane G., Schiappapietra B., et al, 2016, ‘Clinical outcome measures in juvenile idiopathic arthritis’, Paediatr Rheumatol Online J 14(1), p.23.</w:t>
      </w:r>
    </w:p>
  </w:footnote>
  <w:footnote w:id="39">
    <w:p w14:paraId="75B3DA6D" w14:textId="77777777" w:rsidR="00852466" w:rsidRPr="00EF27D0" w:rsidRDefault="00852466" w:rsidP="00852466">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Stoll M.L., Kau C.H., Waite P.D., et al, 2018, ‘Temporomandibular joint arthritis in juvenile idiopathic arthritis, now what?’, Pediatr Rheumatol Online J 16(1), p.32.</w:t>
      </w:r>
    </w:p>
  </w:footnote>
  <w:footnote w:id="40">
    <w:p w14:paraId="0FCF89E7" w14:textId="77777777" w:rsidR="00852466" w:rsidRPr="0038053B" w:rsidRDefault="00852466" w:rsidP="00852466">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Consolaro, A., Negro, G., Chiara Gallo, M., </w:t>
      </w:r>
      <w:r>
        <w:rPr>
          <w:rFonts w:ascii="Arial Narrow" w:hAnsi="Arial Narrow"/>
          <w:sz w:val="18"/>
          <w:szCs w:val="18"/>
        </w:rPr>
        <w:t xml:space="preserve">et al, </w:t>
      </w:r>
      <w:r w:rsidRPr="00474DBB">
        <w:rPr>
          <w:rFonts w:ascii="Arial Narrow" w:hAnsi="Arial Narrow"/>
          <w:sz w:val="18"/>
          <w:szCs w:val="18"/>
        </w:rPr>
        <w:t xml:space="preserve">2014, </w:t>
      </w:r>
      <w:r>
        <w:rPr>
          <w:rFonts w:ascii="Arial Narrow" w:hAnsi="Arial Narrow"/>
          <w:sz w:val="18"/>
          <w:szCs w:val="18"/>
        </w:rPr>
        <w:t>‘</w:t>
      </w:r>
      <w:r w:rsidRPr="0038053B">
        <w:rPr>
          <w:rFonts w:ascii="Arial Narrow" w:hAnsi="Arial Narrow"/>
          <w:sz w:val="18"/>
          <w:szCs w:val="18"/>
        </w:rPr>
        <w:t>Defining Criteria for Disease Activity States in Nonsystemic Juvenile Idiopathic Arthritis Based on a Three-Variable Juvenile Arthritis Disease Activity Score</w:t>
      </w:r>
      <w:r>
        <w:rPr>
          <w:rFonts w:ascii="Arial Narrow" w:hAnsi="Arial Narrow"/>
          <w:sz w:val="18"/>
          <w:szCs w:val="18"/>
        </w:rPr>
        <w:t>’,</w:t>
      </w:r>
      <w:r w:rsidRPr="00474DBB">
        <w:rPr>
          <w:rFonts w:ascii="Arial Narrow" w:hAnsi="Arial Narrow"/>
          <w:sz w:val="18"/>
          <w:szCs w:val="18"/>
        </w:rPr>
        <w:t xml:space="preserve"> Arthritis Care Res</w:t>
      </w:r>
      <w:r>
        <w:rPr>
          <w:rFonts w:ascii="Arial Narrow" w:hAnsi="Arial Narrow"/>
          <w:sz w:val="18"/>
          <w:szCs w:val="18"/>
        </w:rPr>
        <w:t xml:space="preserve"> (Hoboken)</w:t>
      </w:r>
      <w:r w:rsidRPr="0038053B">
        <w:rPr>
          <w:rFonts w:ascii="Arial Narrow" w:hAnsi="Arial Narrow"/>
          <w:sz w:val="18"/>
          <w:szCs w:val="18"/>
        </w:rPr>
        <w:t>, 66</w:t>
      </w:r>
      <w:r>
        <w:rPr>
          <w:rFonts w:ascii="Arial Narrow" w:hAnsi="Arial Narrow"/>
          <w:sz w:val="18"/>
          <w:szCs w:val="18"/>
        </w:rPr>
        <w:t>(11),</w:t>
      </w:r>
      <w:r w:rsidRPr="00474DBB">
        <w:rPr>
          <w:rFonts w:ascii="Arial Narrow" w:hAnsi="Arial Narrow"/>
          <w:sz w:val="18"/>
          <w:szCs w:val="18"/>
        </w:rPr>
        <w:t xml:space="preserve"> </w:t>
      </w:r>
      <w:r>
        <w:rPr>
          <w:rFonts w:ascii="Arial Narrow" w:hAnsi="Arial Narrow"/>
          <w:sz w:val="18"/>
          <w:szCs w:val="18"/>
        </w:rPr>
        <w:t>pp.</w:t>
      </w:r>
      <w:r w:rsidRPr="0038053B">
        <w:rPr>
          <w:rFonts w:ascii="Arial Narrow" w:hAnsi="Arial Narrow"/>
          <w:sz w:val="18"/>
          <w:szCs w:val="18"/>
        </w:rPr>
        <w:t>1703-1709</w:t>
      </w:r>
      <w:r>
        <w:rPr>
          <w:rFonts w:ascii="Arial Narrow" w:hAnsi="Arial Narrow"/>
          <w:sz w:val="18"/>
          <w:szCs w:val="18"/>
        </w:rPr>
        <w:t>.</w:t>
      </w:r>
    </w:p>
  </w:footnote>
  <w:footnote w:id="41">
    <w:p w14:paraId="27EA119A" w14:textId="77777777" w:rsidR="00852466" w:rsidRDefault="00852466" w:rsidP="00852466">
      <w:pPr>
        <w:pStyle w:val="FootnoteText"/>
      </w:pPr>
      <w:r>
        <w:rPr>
          <w:rStyle w:val="FootnoteReference"/>
        </w:rPr>
        <w:footnoteRef/>
      </w:r>
      <w:r>
        <w:t xml:space="preserve"> Shoop-Worrall S.J., Hyrich K., Wedderburn L.R., et al, (2021), ‘Patient-reported wellbeing and clinical disease measures over time captured by multivariate trajectories of disease activity in individuals with juvenile idiopathic arthritis in the UK: a multicentre prospective longitudinal study’, </w:t>
      </w:r>
      <w:r w:rsidRPr="00D3431B">
        <w:rPr>
          <w:i/>
          <w:iCs/>
        </w:rPr>
        <w:t>Lancet Rheumatol</w:t>
      </w:r>
      <w:r>
        <w:t>, 3(2):e111-21.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E8E2186" w:rsidR="009C26AA" w:rsidRPr="00A06225" w:rsidRDefault="009159B0">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DA91B79" wp14:editId="7CAD73CA">
                    <wp:simplePos x="635" y="635"/>
                    <wp:positionH relativeFrom="page">
                      <wp:align>center</wp:align>
                    </wp:positionH>
                    <wp:positionV relativeFrom="page">
                      <wp:align>top</wp:align>
                    </wp:positionV>
                    <wp:extent cx="551815" cy="376555"/>
                    <wp:effectExtent l="0" t="0" r="635" b="4445"/>
                    <wp:wrapNone/>
                    <wp:docPr id="14300454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27A8DC" w14:textId="1E85D5A4" w:rsidR="009159B0" w:rsidRPr="009159B0" w:rsidRDefault="009159B0" w:rsidP="009159B0">
                                <w:pPr>
                                  <w:rPr>
                                    <w:rFonts w:eastAsia="Calibri" w:cs="Calibri"/>
                                    <w:noProof/>
                                    <w:color w:val="FF0000"/>
                                  </w:rPr>
                                </w:pPr>
                                <w:r w:rsidRPr="009159B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DA91B7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A27A8DC" w14:textId="1E85D5A4" w:rsidR="009159B0" w:rsidRPr="009159B0" w:rsidRDefault="009159B0" w:rsidP="009159B0">
                          <w:pPr>
                            <w:rPr>
                              <w:rFonts w:eastAsia="Calibri" w:cs="Calibri"/>
                              <w:noProof/>
                              <w:color w:val="FF0000"/>
                            </w:rPr>
                          </w:pPr>
                          <w:r w:rsidRPr="009159B0">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235D80BB" w:rsidR="00C56D78" w:rsidRPr="00C56D78" w:rsidRDefault="0002281A"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w:t>Public Summary Document</w:t>
    </w:r>
    <w:r w:rsidR="002871B4">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923294">
      <w:rPr>
        <w:rFonts w:asciiTheme="minorHAnsi" w:eastAsiaTheme="minorEastAsia" w:hAnsiTheme="minorHAnsi" w:cstheme="minorHAnsi"/>
        <w:i/>
        <w:color w:val="808080"/>
      </w:rPr>
      <w:t xml:space="preserve">March </w:t>
    </w:r>
    <w:r w:rsidR="00C56D78">
      <w:rPr>
        <w:rFonts w:asciiTheme="minorHAnsi" w:eastAsiaTheme="minorEastAsia" w:hAnsiTheme="minorHAnsi" w:cstheme="minorHAnsi"/>
        <w:i/>
        <w:color w:val="808080"/>
      </w:rPr>
      <w:t>202</w:t>
    </w:r>
    <w:r w:rsidR="00D20AE9">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w:t>
    </w:r>
    <w:r w:rsidR="007937CD">
      <w:rPr>
        <w:rFonts w:asciiTheme="minorHAnsi" w:eastAsiaTheme="minorEastAsia" w:hAnsiTheme="minorHAnsi" w:cstheme="minorHAnsi"/>
        <w:i/>
        <w:color w:val="808080"/>
      </w:rPr>
      <w:t xml:space="preserve"> </w:t>
    </w:r>
    <w:r w:rsidR="00C56D78" w:rsidRPr="00C56D78">
      <w:rPr>
        <w:rFonts w:asciiTheme="minorHAnsi" w:eastAsiaTheme="minorEastAsia" w:hAnsiTheme="minorHAnsi" w:cstheme="minorHAnsi"/>
        <w:i/>
        <w:color w:val="808080"/>
      </w:rPr>
      <w:t>Meeting</w:t>
    </w:r>
    <w:r w:rsidR="00923294">
      <w:rPr>
        <w:rFonts w:asciiTheme="minorHAnsi" w:eastAsiaTheme="minorEastAsia" w:hAnsiTheme="minorHAnsi" w:cstheme="minorHAnsi"/>
        <w:i/>
        <w:color w:val="808080"/>
      </w:rPr>
      <w:t xml:space="preserve"> with</w:t>
    </w:r>
    <w:r w:rsidR="006A5ACD">
      <w:rPr>
        <w:rFonts w:asciiTheme="minorHAnsi" w:eastAsiaTheme="minorEastAsia" w:hAnsiTheme="minorHAnsi" w:cstheme="minorHAnsi"/>
        <w:i/>
        <w:color w:val="808080"/>
      </w:rPr>
      <w:t xml:space="preserve"> Corrigendum </w:t>
    </w:r>
    <w:r w:rsidR="00515D72">
      <w:rPr>
        <w:rFonts w:asciiTheme="minorHAnsi" w:eastAsiaTheme="minorEastAsia" w:hAnsiTheme="minorHAnsi" w:cstheme="minorHAnsi"/>
        <w:i/>
        <w:color w:val="808080"/>
      </w:rPr>
      <w:t>and</w:t>
    </w:r>
    <w:r w:rsidR="00923294">
      <w:rPr>
        <w:rFonts w:asciiTheme="minorHAnsi" w:eastAsiaTheme="minorEastAsia" w:hAnsiTheme="minorHAnsi" w:cstheme="minorHAnsi"/>
        <w:i/>
        <w:color w:val="808080"/>
      </w:rPr>
      <w:t xml:space="preserve"> December 2024</w:t>
    </w:r>
    <w:r w:rsidR="00515D72">
      <w:rPr>
        <w:rFonts w:asciiTheme="minorHAnsi" w:eastAsiaTheme="minorEastAsia" w:hAnsiTheme="minorHAnsi" w:cstheme="minorHAnsi"/>
        <w:i/>
        <w:color w:val="808080"/>
      </w:rPr>
      <w:t xml:space="preserve"> and July 2025</w:t>
    </w:r>
    <w:r w:rsidR="00923294">
      <w:rPr>
        <w:rFonts w:asciiTheme="minorHAnsi" w:eastAsiaTheme="minorEastAsia" w:hAnsiTheme="minorHAnsi" w:cstheme="minorHAnsi"/>
        <w:i/>
        <w:color w:val="808080"/>
      </w:rPr>
      <w:t xml:space="preserve"> Addendum</w:t>
    </w:r>
    <w:r w:rsidR="00515D72">
      <w:rPr>
        <w:rFonts w:asciiTheme="minorHAnsi" w:eastAsiaTheme="minorEastAsia" w:hAnsiTheme="minorHAnsi" w:cstheme="minorHAnsi"/>
        <w:i/>
        <w:color w:val="808080"/>
      </w:rPr>
      <w:t>s</w:t>
    </w:r>
  </w:p>
  <w:p w14:paraId="49FC1F8C" w14:textId="77777777" w:rsidR="00C56D78" w:rsidRPr="00D20AE9"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D169" w14:textId="3F6A8CC2" w:rsidR="00C04C4F" w:rsidRDefault="009159B0">
    <w:pPr>
      <w:pStyle w:val="Header"/>
    </w:pPr>
    <w:r>
      <w:rPr>
        <w:noProof/>
      </w:rPr>
      <mc:AlternateContent>
        <mc:Choice Requires="wps">
          <w:drawing>
            <wp:anchor distT="0" distB="0" distL="0" distR="0" simplePos="0" relativeHeight="251658240" behindDoc="0" locked="0" layoutInCell="1" allowOverlap="1" wp14:anchorId="75A6C038" wp14:editId="34C498A4">
              <wp:simplePos x="635" y="635"/>
              <wp:positionH relativeFrom="page">
                <wp:align>center</wp:align>
              </wp:positionH>
              <wp:positionV relativeFrom="page">
                <wp:align>top</wp:align>
              </wp:positionV>
              <wp:extent cx="551815" cy="376555"/>
              <wp:effectExtent l="0" t="0" r="635" b="4445"/>
              <wp:wrapNone/>
              <wp:docPr id="8832071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855706" w14:textId="236867C2" w:rsidR="009159B0" w:rsidRPr="009159B0" w:rsidRDefault="009159B0" w:rsidP="009159B0">
                          <w:pPr>
                            <w:rPr>
                              <w:rFonts w:eastAsia="Calibri" w:cs="Calibri"/>
                              <w:noProof/>
                              <w:color w:val="FF0000"/>
                            </w:rPr>
                          </w:pPr>
                          <w:r w:rsidRPr="009159B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5A6C038"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1855706" w14:textId="236867C2" w:rsidR="009159B0" w:rsidRPr="009159B0" w:rsidRDefault="009159B0" w:rsidP="009159B0">
                    <w:pPr>
                      <w:rPr>
                        <w:rFonts w:eastAsia="Calibri" w:cs="Calibri"/>
                        <w:noProof/>
                        <w:color w:val="FF0000"/>
                      </w:rPr>
                    </w:pPr>
                    <w:r w:rsidRPr="009159B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EC94A0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25326"/>
    <w:multiLevelType w:val="hybridMultilevel"/>
    <w:tmpl w:val="2A6CD256"/>
    <w:lvl w:ilvl="0" w:tplc="154EC2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315063"/>
    <w:multiLevelType w:val="hybridMultilevel"/>
    <w:tmpl w:val="534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6" w15:restartNumberingAfterBreak="0">
    <w:nsid w:val="01F96833"/>
    <w:multiLevelType w:val="hybridMultilevel"/>
    <w:tmpl w:val="D0F008E2"/>
    <w:lvl w:ilvl="0" w:tplc="621429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492DBC"/>
    <w:multiLevelType w:val="hybridMultilevel"/>
    <w:tmpl w:val="6996034E"/>
    <w:lvl w:ilvl="0" w:tplc="F4EEF708">
      <w:numFmt w:val="bullet"/>
      <w:suff w:val="space"/>
      <w:lvlText w:val=""/>
      <w:lvlJc w:val="left"/>
      <w:pPr>
        <w:ind w:left="720" w:firstLine="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3C72335"/>
    <w:multiLevelType w:val="hybridMultilevel"/>
    <w:tmpl w:val="D6FA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943A29"/>
    <w:multiLevelType w:val="hybridMultilevel"/>
    <w:tmpl w:val="FEB068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2D5C4B"/>
    <w:multiLevelType w:val="hybridMultilevel"/>
    <w:tmpl w:val="C48CC0C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0C94393E"/>
    <w:multiLevelType w:val="hybridMultilevel"/>
    <w:tmpl w:val="55E4646A"/>
    <w:lvl w:ilvl="0" w:tplc="EC0C3BA6">
      <w:start w:val="4"/>
      <w:numFmt w:val="bullet"/>
      <w:suff w:val="space"/>
      <w:lvlText w:val=""/>
      <w:lvlJc w:val="left"/>
      <w:pPr>
        <w:ind w:left="0" w:firstLine="0"/>
      </w:pPr>
      <w:rPr>
        <w:rFonts w:ascii="Symbol" w:eastAsiaTheme="minorHAnsi" w:hAnsi="Symbol" w:cstheme="minorBidi" w:hint="default"/>
      </w:rPr>
    </w:lvl>
    <w:lvl w:ilvl="1" w:tplc="0C090003">
      <w:start w:val="1"/>
      <w:numFmt w:val="bullet"/>
      <w:lvlText w:val="o"/>
      <w:lvlJc w:val="left"/>
      <w:pPr>
        <w:ind w:left="1794" w:hanging="360"/>
      </w:pPr>
      <w:rPr>
        <w:rFonts w:ascii="Courier New" w:hAnsi="Courier New" w:cs="Courier New" w:hint="default"/>
      </w:rPr>
    </w:lvl>
    <w:lvl w:ilvl="2" w:tplc="0C090005">
      <w:start w:val="1"/>
      <w:numFmt w:val="bullet"/>
      <w:lvlText w:val=""/>
      <w:lvlJc w:val="left"/>
      <w:pPr>
        <w:ind w:left="2514" w:hanging="360"/>
      </w:pPr>
      <w:rPr>
        <w:rFonts w:ascii="Wingdings" w:hAnsi="Wingdings" w:hint="default"/>
      </w:rPr>
    </w:lvl>
    <w:lvl w:ilvl="3" w:tplc="0C09000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0D385352"/>
    <w:multiLevelType w:val="hybridMultilevel"/>
    <w:tmpl w:val="90408FA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0D74448E"/>
    <w:multiLevelType w:val="hybridMultilevel"/>
    <w:tmpl w:val="5060D4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945347"/>
    <w:multiLevelType w:val="hybridMultilevel"/>
    <w:tmpl w:val="2E84DF26"/>
    <w:lvl w:ilvl="0" w:tplc="1788446E">
      <w:start w:val="1"/>
      <w:numFmt w:val="decimal"/>
      <w:lvlText w:val="%1."/>
      <w:lvlJc w:val="left"/>
      <w:pPr>
        <w:ind w:left="360" w:hanging="360"/>
      </w:pPr>
      <w:rPr>
        <w:i/>
        <w:color w:val="auto"/>
      </w:rPr>
    </w:lvl>
    <w:lvl w:ilvl="1" w:tplc="0C090019" w:tentative="1">
      <w:start w:val="1"/>
      <w:numFmt w:val="lowerLetter"/>
      <w:lvlText w:val="%2."/>
      <w:lvlJc w:val="left"/>
      <w:pPr>
        <w:ind w:left="971" w:hanging="360"/>
      </w:pPr>
    </w:lvl>
    <w:lvl w:ilvl="2" w:tplc="0C09001B" w:tentative="1">
      <w:start w:val="1"/>
      <w:numFmt w:val="lowerRoman"/>
      <w:lvlText w:val="%3."/>
      <w:lvlJc w:val="right"/>
      <w:pPr>
        <w:ind w:left="1691" w:hanging="180"/>
      </w:pPr>
    </w:lvl>
    <w:lvl w:ilvl="3" w:tplc="0C09000F" w:tentative="1">
      <w:start w:val="1"/>
      <w:numFmt w:val="decimal"/>
      <w:lvlText w:val="%4."/>
      <w:lvlJc w:val="left"/>
      <w:pPr>
        <w:ind w:left="2411" w:hanging="360"/>
      </w:pPr>
    </w:lvl>
    <w:lvl w:ilvl="4" w:tplc="0C090019" w:tentative="1">
      <w:start w:val="1"/>
      <w:numFmt w:val="lowerLetter"/>
      <w:lvlText w:val="%5."/>
      <w:lvlJc w:val="left"/>
      <w:pPr>
        <w:ind w:left="3131" w:hanging="360"/>
      </w:pPr>
    </w:lvl>
    <w:lvl w:ilvl="5" w:tplc="0C09001B" w:tentative="1">
      <w:start w:val="1"/>
      <w:numFmt w:val="lowerRoman"/>
      <w:lvlText w:val="%6."/>
      <w:lvlJc w:val="right"/>
      <w:pPr>
        <w:ind w:left="3851" w:hanging="180"/>
      </w:pPr>
    </w:lvl>
    <w:lvl w:ilvl="6" w:tplc="0C09000F" w:tentative="1">
      <w:start w:val="1"/>
      <w:numFmt w:val="decimal"/>
      <w:lvlText w:val="%7."/>
      <w:lvlJc w:val="left"/>
      <w:pPr>
        <w:ind w:left="4571" w:hanging="360"/>
      </w:pPr>
    </w:lvl>
    <w:lvl w:ilvl="7" w:tplc="0C090019" w:tentative="1">
      <w:start w:val="1"/>
      <w:numFmt w:val="lowerLetter"/>
      <w:lvlText w:val="%8."/>
      <w:lvlJc w:val="left"/>
      <w:pPr>
        <w:ind w:left="5291" w:hanging="360"/>
      </w:pPr>
    </w:lvl>
    <w:lvl w:ilvl="8" w:tplc="0C09001B" w:tentative="1">
      <w:start w:val="1"/>
      <w:numFmt w:val="lowerRoman"/>
      <w:lvlText w:val="%9."/>
      <w:lvlJc w:val="right"/>
      <w:pPr>
        <w:ind w:left="6011" w:hanging="180"/>
      </w:pPr>
    </w:lvl>
  </w:abstractNum>
  <w:abstractNum w:abstractNumId="17" w15:restartNumberingAfterBreak="0">
    <w:nsid w:val="106353B4"/>
    <w:multiLevelType w:val="multilevel"/>
    <w:tmpl w:val="CC5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780B4F"/>
    <w:multiLevelType w:val="hybridMultilevel"/>
    <w:tmpl w:val="25DA7B50"/>
    <w:lvl w:ilvl="0" w:tplc="180841AA">
      <w:start w:val="1"/>
      <w:numFmt w:val="lowerRoman"/>
      <w:lvlText w:val="(%1)"/>
      <w:lvlJc w:val="left"/>
      <w:pPr>
        <w:ind w:left="1080" w:hanging="720"/>
      </w:pPr>
      <w:rPr>
        <w:rFonts w:ascii="Arial Narrow" w:hAnsi="Arial Narrow"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1924819"/>
    <w:multiLevelType w:val="hybridMultilevel"/>
    <w:tmpl w:val="E96C8C06"/>
    <w:lvl w:ilvl="0" w:tplc="F8CEB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07013D"/>
    <w:multiLevelType w:val="hybridMultilevel"/>
    <w:tmpl w:val="512A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C32586"/>
    <w:multiLevelType w:val="hybridMultilevel"/>
    <w:tmpl w:val="8A067856"/>
    <w:lvl w:ilvl="0" w:tplc="61F8DC66">
      <w:start w:val="4"/>
      <w:numFmt w:val="bullet"/>
      <w:suff w:val="space"/>
      <w:lvlText w:val=""/>
      <w:lvlJc w:val="left"/>
      <w:pPr>
        <w:ind w:left="6" w:firstLine="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0C4541"/>
    <w:multiLevelType w:val="hybridMultilevel"/>
    <w:tmpl w:val="344EEF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A46294B"/>
    <w:multiLevelType w:val="hybridMultilevel"/>
    <w:tmpl w:val="FD0099C0"/>
    <w:lvl w:ilvl="0" w:tplc="E14CB3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5D7AC5"/>
    <w:multiLevelType w:val="hybridMultilevel"/>
    <w:tmpl w:val="C16E35F8"/>
    <w:lvl w:ilvl="0" w:tplc="D5DAC9F8">
      <w:start w:val="4"/>
      <w:numFmt w:val="bullet"/>
      <w:suff w:val="space"/>
      <w:lvlText w:val="-"/>
      <w:lvlJc w:val="left"/>
      <w:pPr>
        <w:ind w:left="1080" w:firstLine="0"/>
      </w:pPr>
      <w:rPr>
        <w:rFonts w:ascii="Calibri" w:eastAsiaTheme="minorHAnsi" w:hAnsi="Calibri" w:hint="default"/>
      </w:rPr>
    </w:lvl>
    <w:lvl w:ilvl="1" w:tplc="F9F0F4A0">
      <w:start w:val="1"/>
      <w:numFmt w:val="bullet"/>
      <w:suff w:val="space"/>
      <w:lvlText w:val="o"/>
      <w:lvlJc w:val="left"/>
      <w:pPr>
        <w:ind w:left="1644" w:firstLine="0"/>
      </w:pPr>
      <w:rPr>
        <w:rFonts w:ascii="Courier New" w:hAnsi="Courier New" w:hint="default"/>
      </w:rPr>
    </w:lvl>
    <w:lvl w:ilvl="2" w:tplc="0C090005" w:tentative="1">
      <w:start w:val="1"/>
      <w:numFmt w:val="bullet"/>
      <w:lvlText w:val=""/>
      <w:lvlJc w:val="left"/>
      <w:pPr>
        <w:ind w:left="3676" w:hanging="360"/>
      </w:pPr>
      <w:rPr>
        <w:rFonts w:ascii="Wingdings" w:hAnsi="Wingdings" w:hint="default"/>
      </w:rPr>
    </w:lvl>
    <w:lvl w:ilvl="3" w:tplc="0C090001" w:tentative="1">
      <w:start w:val="1"/>
      <w:numFmt w:val="bullet"/>
      <w:lvlText w:val=""/>
      <w:lvlJc w:val="left"/>
      <w:pPr>
        <w:ind w:left="4396" w:hanging="360"/>
      </w:pPr>
      <w:rPr>
        <w:rFonts w:ascii="Symbol" w:hAnsi="Symbol" w:hint="default"/>
      </w:rPr>
    </w:lvl>
    <w:lvl w:ilvl="4" w:tplc="0C090003">
      <w:start w:val="1"/>
      <w:numFmt w:val="bullet"/>
      <w:lvlText w:val="o"/>
      <w:lvlJc w:val="left"/>
      <w:pPr>
        <w:ind w:left="5116" w:hanging="360"/>
      </w:pPr>
      <w:rPr>
        <w:rFonts w:ascii="Courier New" w:hAnsi="Courier New" w:cs="Courier New" w:hint="default"/>
      </w:rPr>
    </w:lvl>
    <w:lvl w:ilvl="5" w:tplc="0C090005" w:tentative="1">
      <w:start w:val="1"/>
      <w:numFmt w:val="bullet"/>
      <w:lvlText w:val=""/>
      <w:lvlJc w:val="left"/>
      <w:pPr>
        <w:ind w:left="5836" w:hanging="360"/>
      </w:pPr>
      <w:rPr>
        <w:rFonts w:ascii="Wingdings" w:hAnsi="Wingdings" w:hint="default"/>
      </w:rPr>
    </w:lvl>
    <w:lvl w:ilvl="6" w:tplc="0C090001" w:tentative="1">
      <w:start w:val="1"/>
      <w:numFmt w:val="bullet"/>
      <w:lvlText w:val=""/>
      <w:lvlJc w:val="left"/>
      <w:pPr>
        <w:ind w:left="6556" w:hanging="360"/>
      </w:pPr>
      <w:rPr>
        <w:rFonts w:ascii="Symbol" w:hAnsi="Symbol" w:hint="default"/>
      </w:rPr>
    </w:lvl>
    <w:lvl w:ilvl="7" w:tplc="0C090003" w:tentative="1">
      <w:start w:val="1"/>
      <w:numFmt w:val="bullet"/>
      <w:lvlText w:val="o"/>
      <w:lvlJc w:val="left"/>
      <w:pPr>
        <w:ind w:left="7276" w:hanging="360"/>
      </w:pPr>
      <w:rPr>
        <w:rFonts w:ascii="Courier New" w:hAnsi="Courier New" w:cs="Courier New" w:hint="default"/>
      </w:rPr>
    </w:lvl>
    <w:lvl w:ilvl="8" w:tplc="0C090005" w:tentative="1">
      <w:start w:val="1"/>
      <w:numFmt w:val="bullet"/>
      <w:lvlText w:val=""/>
      <w:lvlJc w:val="left"/>
      <w:pPr>
        <w:ind w:left="7996" w:hanging="360"/>
      </w:pPr>
      <w:rPr>
        <w:rFonts w:ascii="Wingdings" w:hAnsi="Wingdings" w:hint="default"/>
      </w:rPr>
    </w:lvl>
  </w:abstractNum>
  <w:abstractNum w:abstractNumId="2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E2F29A4"/>
    <w:multiLevelType w:val="hybridMultilevel"/>
    <w:tmpl w:val="6B60A4D8"/>
    <w:lvl w:ilvl="0" w:tplc="F8101E24">
      <w:start w:val="1"/>
      <w:numFmt w:val="bullet"/>
      <w:suff w:val="space"/>
      <w:lvlText w:val=""/>
      <w:lvlJc w:val="left"/>
      <w:pPr>
        <w:ind w:left="1440"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1E722F25"/>
    <w:multiLevelType w:val="multilevel"/>
    <w:tmpl w:val="C5E6B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B219F8"/>
    <w:multiLevelType w:val="hybridMultilevel"/>
    <w:tmpl w:val="EF7C0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3924B96"/>
    <w:multiLevelType w:val="hybridMultilevel"/>
    <w:tmpl w:val="7EF86394"/>
    <w:lvl w:ilvl="0" w:tplc="A89AC068">
      <w:start w:val="1"/>
      <w:numFmt w:val="bullet"/>
      <w:lvlText w:val=""/>
      <w:lvlJc w:val="left"/>
      <w:pPr>
        <w:ind w:left="720"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3B92305"/>
    <w:multiLevelType w:val="hybridMultilevel"/>
    <w:tmpl w:val="70B42E4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401743E"/>
    <w:multiLevelType w:val="hybridMultilevel"/>
    <w:tmpl w:val="F148DDBA"/>
    <w:lvl w:ilvl="0" w:tplc="E27429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41E5BF5"/>
    <w:multiLevelType w:val="hybridMultilevel"/>
    <w:tmpl w:val="167E4A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24260C24"/>
    <w:multiLevelType w:val="hybridMultilevel"/>
    <w:tmpl w:val="BF98D8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25DF02CB"/>
    <w:multiLevelType w:val="hybridMultilevel"/>
    <w:tmpl w:val="FB36D346"/>
    <w:lvl w:ilvl="0" w:tplc="0022519A">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2B8A0524"/>
    <w:multiLevelType w:val="hybridMultilevel"/>
    <w:tmpl w:val="2C784AAE"/>
    <w:lvl w:ilvl="0" w:tplc="22B03E02">
      <w:start w:val="1"/>
      <w:numFmt w:val="lowerRoman"/>
      <w:lvlText w:val="(%1)"/>
      <w:lvlJc w:val="left"/>
      <w:pPr>
        <w:ind w:left="6165" w:hanging="58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D5307C8"/>
    <w:multiLevelType w:val="hybridMultilevel"/>
    <w:tmpl w:val="DDC0C476"/>
    <w:lvl w:ilvl="0" w:tplc="6486C59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EE82846"/>
    <w:multiLevelType w:val="hybridMultilevel"/>
    <w:tmpl w:val="A4A61EF0"/>
    <w:lvl w:ilvl="0" w:tplc="B412AA02">
      <w:start w:val="4"/>
      <w:numFmt w:val="bullet"/>
      <w:suff w:val="space"/>
      <w:lvlText w:val=""/>
      <w:lvlJc w:val="left"/>
      <w:pPr>
        <w:ind w:left="6" w:firstLine="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AD1EA2"/>
    <w:multiLevelType w:val="hybridMultilevel"/>
    <w:tmpl w:val="6AF0FB02"/>
    <w:lvl w:ilvl="0" w:tplc="B412AA02">
      <w:start w:val="4"/>
      <w:numFmt w:val="bullet"/>
      <w:suff w:val="space"/>
      <w:lvlText w:val=""/>
      <w:lvlJc w:val="left"/>
      <w:pPr>
        <w:ind w:left="726" w:firstLine="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345A1271"/>
    <w:multiLevelType w:val="hybridMultilevel"/>
    <w:tmpl w:val="5E16E114"/>
    <w:lvl w:ilvl="0" w:tplc="D264BE3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5D023FA"/>
    <w:multiLevelType w:val="hybridMultilevel"/>
    <w:tmpl w:val="00E0EA52"/>
    <w:lvl w:ilvl="0" w:tplc="C65409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9" w15:restartNumberingAfterBreak="0">
    <w:nsid w:val="3A144F89"/>
    <w:multiLevelType w:val="multilevel"/>
    <w:tmpl w:val="26D62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A67524C"/>
    <w:multiLevelType w:val="hybridMultilevel"/>
    <w:tmpl w:val="6118647E"/>
    <w:lvl w:ilvl="0" w:tplc="EA2E9666">
      <w:start w:val="4"/>
      <w:numFmt w:val="bullet"/>
      <w:suff w:val="space"/>
      <w:lvlText w:val=""/>
      <w:lvlJc w:val="left"/>
      <w:pPr>
        <w:ind w:left="720" w:firstLine="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A7313B9"/>
    <w:multiLevelType w:val="hybridMultilevel"/>
    <w:tmpl w:val="E3607326"/>
    <w:lvl w:ilvl="0" w:tplc="7994B644">
      <w:start w:val="4"/>
      <w:numFmt w:val="bullet"/>
      <w:suff w:val="space"/>
      <w:lvlText w:val=""/>
      <w:lvlJc w:val="left"/>
      <w:pPr>
        <w:ind w:left="6" w:firstLine="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3D941F17"/>
    <w:multiLevelType w:val="multilevel"/>
    <w:tmpl w:val="1D2A27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ptos" w:eastAsia="Aptos" w:hAnsi="Apto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7" w15:restartNumberingAfterBreak="0">
    <w:nsid w:val="3EEA64E7"/>
    <w:multiLevelType w:val="hybridMultilevel"/>
    <w:tmpl w:val="5B9CD2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41A17CE1"/>
    <w:multiLevelType w:val="hybridMultilevel"/>
    <w:tmpl w:val="172401EE"/>
    <w:lvl w:ilvl="0" w:tplc="D5ACA3DE">
      <w:start w:val="4"/>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42376C72"/>
    <w:multiLevelType w:val="hybridMultilevel"/>
    <w:tmpl w:val="6602E33A"/>
    <w:lvl w:ilvl="0" w:tplc="D892F1D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6F30D5B"/>
    <w:multiLevelType w:val="hybridMultilevel"/>
    <w:tmpl w:val="45CAACD2"/>
    <w:lvl w:ilvl="0" w:tplc="F4342FE8">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4"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4CE36BBF"/>
    <w:multiLevelType w:val="hybridMultilevel"/>
    <w:tmpl w:val="9A041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D660298"/>
    <w:multiLevelType w:val="hybridMultilevel"/>
    <w:tmpl w:val="61849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8" w15:restartNumberingAfterBreak="0">
    <w:nsid w:val="4F3F5FC1"/>
    <w:multiLevelType w:val="hybridMultilevel"/>
    <w:tmpl w:val="5DE489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9" w15:restartNumberingAfterBreak="0">
    <w:nsid w:val="4FE8301B"/>
    <w:multiLevelType w:val="hybridMultilevel"/>
    <w:tmpl w:val="9394238E"/>
    <w:lvl w:ilvl="0" w:tplc="1CECFE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0202B74"/>
    <w:multiLevelType w:val="hybridMultilevel"/>
    <w:tmpl w:val="8AEAA90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1" w15:restartNumberingAfterBreak="0">
    <w:nsid w:val="543777A9"/>
    <w:multiLevelType w:val="hybridMultilevel"/>
    <w:tmpl w:val="81B80A98"/>
    <w:lvl w:ilvl="0" w:tplc="A546E63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6443BB2"/>
    <w:multiLevelType w:val="hybridMultilevel"/>
    <w:tmpl w:val="E3A02326"/>
    <w:lvl w:ilvl="0" w:tplc="F8101E24">
      <w:start w:val="1"/>
      <w:numFmt w:val="bullet"/>
      <w:suff w:val="space"/>
      <w:lvlText w:val=""/>
      <w:lvlJc w:val="left"/>
      <w:pPr>
        <w:ind w:left="1276"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5" w15:restartNumberingAfterBreak="0">
    <w:nsid w:val="57297B27"/>
    <w:multiLevelType w:val="hybridMultilevel"/>
    <w:tmpl w:val="95FC933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6" w15:restartNumberingAfterBreak="0">
    <w:nsid w:val="57397A44"/>
    <w:multiLevelType w:val="multilevel"/>
    <w:tmpl w:val="C20CD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15:restartNumberingAfterBreak="0">
    <w:nsid w:val="5E204DCF"/>
    <w:multiLevelType w:val="hybridMultilevel"/>
    <w:tmpl w:val="610C6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1" w15:restartNumberingAfterBreak="0">
    <w:nsid w:val="627B44C2"/>
    <w:multiLevelType w:val="hybridMultilevel"/>
    <w:tmpl w:val="27949B4C"/>
    <w:lvl w:ilvl="0" w:tplc="0C090003">
      <w:start w:val="1"/>
      <w:numFmt w:val="bullet"/>
      <w:lvlText w:val="o"/>
      <w:lvlJc w:val="left"/>
      <w:pPr>
        <w:ind w:left="2210" w:hanging="360"/>
      </w:pPr>
      <w:rPr>
        <w:rFonts w:ascii="Courier New" w:hAnsi="Courier New" w:cs="Courier New" w:hint="default"/>
      </w:rPr>
    </w:lvl>
    <w:lvl w:ilvl="1" w:tplc="0C090003" w:tentative="1">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82" w15:restartNumberingAfterBreak="0">
    <w:nsid w:val="63AC08FF"/>
    <w:multiLevelType w:val="hybridMultilevel"/>
    <w:tmpl w:val="406A7CBC"/>
    <w:lvl w:ilvl="0" w:tplc="AE6252A8">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63CA0526"/>
    <w:multiLevelType w:val="hybridMultilevel"/>
    <w:tmpl w:val="8A36A17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5180AE1"/>
    <w:multiLevelType w:val="hybridMultilevel"/>
    <w:tmpl w:val="55C26348"/>
    <w:lvl w:ilvl="0" w:tplc="E92E12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52A59C3"/>
    <w:multiLevelType w:val="hybridMultilevel"/>
    <w:tmpl w:val="962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8E726D6"/>
    <w:multiLevelType w:val="hybridMultilevel"/>
    <w:tmpl w:val="05420438"/>
    <w:lvl w:ilvl="0" w:tplc="42820686">
      <w:start w:val="1"/>
      <w:numFmt w:val="decimal"/>
      <w:lvlText w:val="%1."/>
      <w:lvlJc w:val="left"/>
      <w:pPr>
        <w:ind w:left="360" w:hanging="360"/>
      </w:pPr>
      <w:rPr>
        <w:b w:val="0"/>
        <w:bCs/>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B0D1038"/>
    <w:multiLevelType w:val="hybridMultilevel"/>
    <w:tmpl w:val="1E0AC7C8"/>
    <w:lvl w:ilvl="0" w:tplc="24AC5F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CD43E9F"/>
    <w:multiLevelType w:val="hybridMultilevel"/>
    <w:tmpl w:val="F89052EC"/>
    <w:lvl w:ilvl="0" w:tplc="21C4C3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E044C1C"/>
    <w:multiLevelType w:val="hybridMultilevel"/>
    <w:tmpl w:val="06DA44B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5"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70DE406E"/>
    <w:multiLevelType w:val="hybridMultilevel"/>
    <w:tmpl w:val="6EBC902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8"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9" w15:restartNumberingAfterBreak="0">
    <w:nsid w:val="721B5678"/>
    <w:multiLevelType w:val="hybridMultilevel"/>
    <w:tmpl w:val="1114914E"/>
    <w:lvl w:ilvl="0" w:tplc="BC14D708">
      <w:start w:val="4"/>
      <w:numFmt w:val="bullet"/>
      <w:suff w:val="space"/>
      <w:lvlText w:val=""/>
      <w:lvlJc w:val="left"/>
      <w:pPr>
        <w:ind w:left="720" w:firstLine="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72A57C10"/>
    <w:multiLevelType w:val="hybridMultilevel"/>
    <w:tmpl w:val="AEE044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1" w15:restartNumberingAfterBreak="0">
    <w:nsid w:val="731136B5"/>
    <w:multiLevelType w:val="hybridMultilevel"/>
    <w:tmpl w:val="0052B9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3" w15:restartNumberingAfterBreak="0">
    <w:nsid w:val="74D31825"/>
    <w:multiLevelType w:val="hybridMultilevel"/>
    <w:tmpl w:val="0E18320E"/>
    <w:lvl w:ilvl="0" w:tplc="A3EE615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4"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5" w15:restartNumberingAfterBreak="0">
    <w:nsid w:val="768B7F19"/>
    <w:multiLevelType w:val="hybridMultilevel"/>
    <w:tmpl w:val="816EF478"/>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7833E0F"/>
    <w:multiLevelType w:val="hybridMultilevel"/>
    <w:tmpl w:val="1BAE561E"/>
    <w:lvl w:ilvl="0" w:tplc="D264BE3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80F21CB"/>
    <w:multiLevelType w:val="hybridMultilevel"/>
    <w:tmpl w:val="17E2AE20"/>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08" w15:restartNumberingAfterBreak="0">
    <w:nsid w:val="784D033C"/>
    <w:multiLevelType w:val="multilevel"/>
    <w:tmpl w:val="8304D32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Calibri" w:hAnsi="Calibri" w:cs="Calibr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9"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7A8C28FF"/>
    <w:multiLevelType w:val="hybridMultilevel"/>
    <w:tmpl w:val="CF405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1" w15:restartNumberingAfterBreak="0">
    <w:nsid w:val="7AF860A5"/>
    <w:multiLevelType w:val="hybridMultilevel"/>
    <w:tmpl w:val="E8B04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3" w15:restartNumberingAfterBreak="0">
    <w:nsid w:val="7DA45CE1"/>
    <w:multiLevelType w:val="hybridMultilevel"/>
    <w:tmpl w:val="B5A05CF0"/>
    <w:lvl w:ilvl="0" w:tplc="A514846C">
      <w:start w:val="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7E321B46"/>
    <w:multiLevelType w:val="hybridMultilevel"/>
    <w:tmpl w:val="2A905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F53672A"/>
    <w:multiLevelType w:val="hybridMultilevel"/>
    <w:tmpl w:val="98766EF2"/>
    <w:lvl w:ilvl="0" w:tplc="B658F9F8">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533498588">
    <w:abstractNumId w:val="48"/>
  </w:num>
  <w:num w:numId="2" w16cid:durableId="957570559">
    <w:abstractNumId w:val="108"/>
  </w:num>
  <w:num w:numId="3" w16cid:durableId="536628895">
    <w:abstractNumId w:val="0"/>
  </w:num>
  <w:num w:numId="4" w16cid:durableId="1159004663">
    <w:abstractNumId w:val="78"/>
  </w:num>
  <w:num w:numId="5" w16cid:durableId="418600173">
    <w:abstractNumId w:val="112"/>
  </w:num>
  <w:num w:numId="6" w16cid:durableId="34236669">
    <w:abstractNumId w:val="96"/>
  </w:num>
  <w:num w:numId="7" w16cid:durableId="1279799443">
    <w:abstractNumId w:val="66"/>
  </w:num>
  <w:num w:numId="8" w16cid:durableId="495537779">
    <w:abstractNumId w:val="56"/>
  </w:num>
  <w:num w:numId="9" w16cid:durableId="1468400811">
    <w:abstractNumId w:val="1"/>
  </w:num>
  <w:num w:numId="10" w16cid:durableId="132985464">
    <w:abstractNumId w:val="108"/>
  </w:num>
  <w:num w:numId="11" w16cid:durableId="1915313393">
    <w:abstractNumId w:val="89"/>
  </w:num>
  <w:num w:numId="12" w16cid:durableId="473567604">
    <w:abstractNumId w:val="98"/>
  </w:num>
  <w:num w:numId="13" w16cid:durableId="315574325">
    <w:abstractNumId w:val="43"/>
  </w:num>
  <w:num w:numId="14" w16cid:durableId="1841651190">
    <w:abstractNumId w:val="28"/>
  </w:num>
  <w:num w:numId="15" w16cid:durableId="1751541441">
    <w:abstractNumId w:val="5"/>
  </w:num>
  <w:num w:numId="16" w16cid:durableId="9394593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23"/>
  </w:num>
  <w:num w:numId="18" w16cid:durableId="1662348298">
    <w:abstractNumId w:val="63"/>
  </w:num>
  <w:num w:numId="19" w16cid:durableId="216868142">
    <w:abstractNumId w:val="54"/>
  </w:num>
  <w:num w:numId="20" w16cid:durableId="670838392">
    <w:abstractNumId w:val="102"/>
  </w:num>
  <w:num w:numId="21" w16cid:durableId="848180824">
    <w:abstractNumId w:val="25"/>
  </w:num>
  <w:num w:numId="22" w16cid:durableId="1182285320">
    <w:abstractNumId w:val="9"/>
  </w:num>
  <w:num w:numId="23" w16cid:durableId="1862936798">
    <w:abstractNumId w:val="114"/>
  </w:num>
  <w:num w:numId="24" w16cid:durableId="296691022">
    <w:abstractNumId w:val="64"/>
  </w:num>
  <w:num w:numId="25" w16cid:durableId="1974167109">
    <w:abstractNumId w:val="53"/>
  </w:num>
  <w:num w:numId="26" w16cid:durableId="30034796">
    <w:abstractNumId w:val="52"/>
  </w:num>
  <w:num w:numId="27" w16cid:durableId="85926888">
    <w:abstractNumId w:val="61"/>
  </w:num>
  <w:num w:numId="28" w16cid:durableId="277377558">
    <w:abstractNumId w:val="104"/>
  </w:num>
  <w:num w:numId="29" w16cid:durableId="299964396">
    <w:abstractNumId w:val="95"/>
  </w:num>
  <w:num w:numId="30" w16cid:durableId="1834561270">
    <w:abstractNumId w:val="60"/>
  </w:num>
  <w:num w:numId="31" w16cid:durableId="370961351">
    <w:abstractNumId w:val="19"/>
  </w:num>
  <w:num w:numId="32" w16cid:durableId="1007446205">
    <w:abstractNumId w:val="77"/>
  </w:num>
  <w:num w:numId="33" w16cid:durableId="447705833">
    <w:abstractNumId w:val="108"/>
  </w:num>
  <w:num w:numId="34" w16cid:durableId="209390931">
    <w:abstractNumId w:val="13"/>
  </w:num>
  <w:num w:numId="35" w16cid:durableId="1023476009">
    <w:abstractNumId w:val="27"/>
  </w:num>
  <w:num w:numId="36" w16cid:durableId="1406534837">
    <w:abstractNumId w:val="50"/>
  </w:num>
  <w:num w:numId="37" w16cid:durableId="28262900">
    <w:abstractNumId w:val="58"/>
  </w:num>
  <w:num w:numId="38" w16cid:durableId="837571882">
    <w:abstractNumId w:val="85"/>
  </w:num>
  <w:num w:numId="39" w16cid:durableId="1330865591">
    <w:abstractNumId w:val="20"/>
  </w:num>
  <w:num w:numId="40" w16cid:durableId="1264192504">
    <w:abstractNumId w:val="47"/>
  </w:num>
  <w:num w:numId="41" w16cid:durableId="743844718">
    <w:abstractNumId w:val="82"/>
  </w:num>
  <w:num w:numId="42" w16cid:durableId="375543942">
    <w:abstractNumId w:val="108"/>
  </w:num>
  <w:num w:numId="43" w16cid:durableId="364208903">
    <w:abstractNumId w:val="108"/>
  </w:num>
  <w:num w:numId="44" w16cid:durableId="1316102491">
    <w:abstractNumId w:val="108"/>
  </w:num>
  <w:num w:numId="45" w16cid:durableId="1775595188">
    <w:abstractNumId w:val="108"/>
  </w:num>
  <w:num w:numId="46" w16cid:durableId="734007158">
    <w:abstractNumId w:val="108"/>
  </w:num>
  <w:num w:numId="47" w16cid:durableId="1604264691">
    <w:abstractNumId w:val="69"/>
  </w:num>
  <w:num w:numId="48" w16cid:durableId="1795709250">
    <w:abstractNumId w:val="2"/>
  </w:num>
  <w:num w:numId="49" w16cid:durableId="906652038">
    <w:abstractNumId w:val="40"/>
  </w:num>
  <w:num w:numId="50" w16cid:durableId="1217669842">
    <w:abstractNumId w:val="36"/>
  </w:num>
  <w:num w:numId="51" w16cid:durableId="215355319">
    <w:abstractNumId w:val="92"/>
  </w:num>
  <w:num w:numId="52" w16cid:durableId="1685013477">
    <w:abstractNumId w:val="18"/>
  </w:num>
  <w:num w:numId="53" w16cid:durableId="139811029">
    <w:abstractNumId w:val="46"/>
  </w:num>
  <w:num w:numId="54" w16cid:durableId="766535616">
    <w:abstractNumId w:val="106"/>
  </w:num>
  <w:num w:numId="55" w16cid:durableId="1660696156">
    <w:abstractNumId w:val="6"/>
  </w:num>
  <w:num w:numId="56" w16cid:durableId="215895694">
    <w:abstractNumId w:val="26"/>
  </w:num>
  <w:num w:numId="57" w16cid:durableId="204829113">
    <w:abstractNumId w:val="91"/>
  </w:num>
  <w:num w:numId="58" w16cid:durableId="326708156">
    <w:abstractNumId w:val="111"/>
  </w:num>
  <w:num w:numId="59" w16cid:durableId="44641732">
    <w:abstractNumId w:val="39"/>
  </w:num>
  <w:num w:numId="60" w16cid:durableId="1564489590">
    <w:abstractNumId w:val="108"/>
  </w:num>
  <w:num w:numId="61" w16cid:durableId="113790645">
    <w:abstractNumId w:val="108"/>
  </w:num>
  <w:num w:numId="62" w16cid:durableId="892278840">
    <w:abstractNumId w:val="68"/>
  </w:num>
  <w:num w:numId="63" w16cid:durableId="414863220">
    <w:abstractNumId w:val="67"/>
  </w:num>
  <w:num w:numId="64" w16cid:durableId="1032608156">
    <w:abstractNumId w:val="101"/>
  </w:num>
  <w:num w:numId="65" w16cid:durableId="1501919948">
    <w:abstractNumId w:val="57"/>
  </w:num>
  <w:num w:numId="66" w16cid:durableId="484594717">
    <w:abstractNumId w:val="24"/>
  </w:num>
  <w:num w:numId="67" w16cid:durableId="1218665054">
    <w:abstractNumId w:val="22"/>
  </w:num>
  <w:num w:numId="68" w16cid:durableId="407192685">
    <w:abstractNumId w:val="74"/>
  </w:num>
  <w:num w:numId="69" w16cid:durableId="393747507">
    <w:abstractNumId w:val="7"/>
  </w:num>
  <w:num w:numId="70" w16cid:durableId="330641863">
    <w:abstractNumId w:val="7"/>
  </w:num>
  <w:num w:numId="71" w16cid:durableId="1230652334">
    <w:abstractNumId w:val="44"/>
  </w:num>
  <w:num w:numId="72" w16cid:durableId="1399017147">
    <w:abstractNumId w:val="55"/>
  </w:num>
  <w:num w:numId="73" w16cid:durableId="1336148859">
    <w:abstractNumId w:val="45"/>
  </w:num>
  <w:num w:numId="74" w16cid:durableId="590043690">
    <w:abstractNumId w:val="113"/>
  </w:num>
  <w:num w:numId="75" w16cid:durableId="1230574395">
    <w:abstractNumId w:val="108"/>
  </w:num>
  <w:num w:numId="76" w16cid:durableId="287205759">
    <w:abstractNumId w:val="108"/>
  </w:num>
  <w:num w:numId="77" w16cid:durableId="1798988896">
    <w:abstractNumId w:val="108"/>
  </w:num>
  <w:num w:numId="78" w16cid:durableId="1974554512">
    <w:abstractNumId w:val="115"/>
  </w:num>
  <w:num w:numId="79" w16cid:durableId="378671578">
    <w:abstractNumId w:val="108"/>
  </w:num>
  <w:num w:numId="80" w16cid:durableId="198323581">
    <w:abstractNumId w:val="108"/>
  </w:num>
  <w:num w:numId="81" w16cid:durableId="1746295125">
    <w:abstractNumId w:val="108"/>
  </w:num>
  <w:num w:numId="82" w16cid:durableId="449326924">
    <w:abstractNumId w:val="108"/>
  </w:num>
  <w:num w:numId="83" w16cid:durableId="83604408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2379155">
    <w:abstractNumId w:val="108"/>
  </w:num>
  <w:num w:numId="85" w16cid:durableId="2070495534">
    <w:abstractNumId w:val="108"/>
  </w:num>
  <w:num w:numId="86" w16cid:durableId="856121191">
    <w:abstractNumId w:val="108"/>
  </w:num>
  <w:num w:numId="87" w16cid:durableId="1354067113">
    <w:abstractNumId w:val="108"/>
  </w:num>
  <w:num w:numId="88" w16cid:durableId="191263475">
    <w:abstractNumId w:val="99"/>
  </w:num>
  <w:num w:numId="89" w16cid:durableId="2039432730">
    <w:abstractNumId w:val="108"/>
  </w:num>
  <w:num w:numId="90" w16cid:durableId="1147546902">
    <w:abstractNumId w:val="51"/>
  </w:num>
  <w:num w:numId="91" w16cid:durableId="1863592879">
    <w:abstractNumId w:val="31"/>
  </w:num>
  <w:num w:numId="92" w16cid:durableId="139346788">
    <w:abstractNumId w:val="109"/>
  </w:num>
  <w:num w:numId="93" w16cid:durableId="1533883230">
    <w:abstractNumId w:val="59"/>
  </w:num>
  <w:num w:numId="94" w16cid:durableId="220360847">
    <w:abstractNumId w:val="84"/>
  </w:num>
  <w:num w:numId="95" w16cid:durableId="305211066">
    <w:abstractNumId w:val="110"/>
  </w:num>
  <w:num w:numId="96" w16cid:durableId="14353668">
    <w:abstractNumId w:val="42"/>
  </w:num>
  <w:num w:numId="97" w16cid:durableId="894703637">
    <w:abstractNumId w:val="37"/>
  </w:num>
  <w:num w:numId="98" w16cid:durableId="769469909">
    <w:abstractNumId w:val="100"/>
  </w:num>
  <w:num w:numId="99" w16cid:durableId="1850635403">
    <w:abstractNumId w:val="71"/>
  </w:num>
  <w:num w:numId="100" w16cid:durableId="211618314">
    <w:abstractNumId w:val="4"/>
  </w:num>
  <w:num w:numId="101" w16cid:durableId="803277436">
    <w:abstractNumId w:val="83"/>
  </w:num>
  <w:num w:numId="102" w16cid:durableId="1195117511">
    <w:abstractNumId w:val="12"/>
  </w:num>
  <w:num w:numId="103" w16cid:durableId="1223785930">
    <w:abstractNumId w:val="103"/>
  </w:num>
  <w:num w:numId="104" w16cid:durableId="1536458198">
    <w:abstractNumId w:val="70"/>
  </w:num>
  <w:num w:numId="105" w16cid:durableId="2119909465">
    <w:abstractNumId w:val="75"/>
  </w:num>
  <w:num w:numId="106" w16cid:durableId="776603158">
    <w:abstractNumId w:val="34"/>
  </w:num>
  <w:num w:numId="107" w16cid:durableId="1936473978">
    <w:abstractNumId w:val="107"/>
  </w:num>
  <w:num w:numId="108" w16cid:durableId="1092160524">
    <w:abstractNumId w:val="81"/>
  </w:num>
  <w:num w:numId="109" w16cid:durableId="1737630723">
    <w:abstractNumId w:val="33"/>
  </w:num>
  <w:num w:numId="110" w16cid:durableId="2143040240">
    <w:abstractNumId w:val="116"/>
  </w:num>
  <w:num w:numId="111" w16cid:durableId="1287586534">
    <w:abstractNumId w:val="62"/>
  </w:num>
  <w:num w:numId="112" w16cid:durableId="1791851249">
    <w:abstractNumId w:val="21"/>
  </w:num>
  <w:num w:numId="113" w16cid:durableId="1534339734">
    <w:abstractNumId w:val="87"/>
  </w:num>
  <w:num w:numId="114" w16cid:durableId="236938580">
    <w:abstractNumId w:val="16"/>
  </w:num>
  <w:num w:numId="115" w16cid:durableId="93979914">
    <w:abstractNumId w:val="90"/>
  </w:num>
  <w:num w:numId="116" w16cid:durableId="2018926372">
    <w:abstractNumId w:val="86"/>
  </w:num>
  <w:num w:numId="117" w16cid:durableId="1010990682">
    <w:abstractNumId w:val="10"/>
  </w:num>
  <w:num w:numId="118" w16cid:durableId="1936014276">
    <w:abstractNumId w:val="73"/>
  </w:num>
  <w:num w:numId="119" w16cid:durableId="56558682">
    <w:abstractNumId w:val="11"/>
  </w:num>
  <w:num w:numId="120" w16cid:durableId="601107522">
    <w:abstractNumId w:val="3"/>
  </w:num>
  <w:num w:numId="121" w16cid:durableId="333799540">
    <w:abstractNumId w:val="35"/>
  </w:num>
  <w:num w:numId="122" w16cid:durableId="2099053155">
    <w:abstractNumId w:val="41"/>
  </w:num>
  <w:num w:numId="123" w16cid:durableId="933048038">
    <w:abstractNumId w:val="32"/>
  </w:num>
  <w:num w:numId="124" w16cid:durableId="1297443176">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34628274">
    <w:abstractNumId w:val="93"/>
  </w:num>
  <w:num w:numId="126" w16cid:durableId="1579896981">
    <w:abstractNumId w:val="38"/>
  </w:num>
  <w:num w:numId="127" w16cid:durableId="1573005167">
    <w:abstractNumId w:val="72"/>
  </w:num>
  <w:num w:numId="128" w16cid:durableId="530193650">
    <w:abstractNumId w:val="29"/>
  </w:num>
  <w:num w:numId="129" w16cid:durableId="674921927">
    <w:abstractNumId w:val="8"/>
  </w:num>
  <w:num w:numId="130" w16cid:durableId="1787575727">
    <w:abstractNumId w:val="17"/>
  </w:num>
  <w:num w:numId="131" w16cid:durableId="571696083">
    <w:abstractNumId w:val="30"/>
  </w:num>
  <w:num w:numId="132" w16cid:durableId="392705964">
    <w:abstractNumId w:val="14"/>
  </w:num>
  <w:num w:numId="133" w16cid:durableId="1800604554">
    <w:abstractNumId w:val="65"/>
  </w:num>
  <w:num w:numId="134" w16cid:durableId="475179">
    <w:abstractNumId w:val="94"/>
  </w:num>
  <w:num w:numId="135" w16cid:durableId="1899705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50375101">
    <w:abstractNumId w:val="97"/>
  </w:num>
  <w:num w:numId="137" w16cid:durableId="959720867">
    <w:abstractNumId w:val="105"/>
  </w:num>
  <w:num w:numId="138" w16cid:durableId="940604004">
    <w:abstractNumId w:val="15"/>
  </w:num>
  <w:num w:numId="139" w16cid:durableId="155921436">
    <w:abstractNumId w:val="79"/>
  </w:num>
  <w:num w:numId="140" w16cid:durableId="1599488728">
    <w:abstractNumId w:val="7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E7"/>
    <w:rsid w:val="0000080A"/>
    <w:rsid w:val="0000086A"/>
    <w:rsid w:val="0000096D"/>
    <w:rsid w:val="00000BAB"/>
    <w:rsid w:val="00001663"/>
    <w:rsid w:val="00001E22"/>
    <w:rsid w:val="0000255A"/>
    <w:rsid w:val="000025AD"/>
    <w:rsid w:val="00002D85"/>
    <w:rsid w:val="0000335D"/>
    <w:rsid w:val="00003EC5"/>
    <w:rsid w:val="0000410D"/>
    <w:rsid w:val="00004EEC"/>
    <w:rsid w:val="00005798"/>
    <w:rsid w:val="000064F5"/>
    <w:rsid w:val="00006782"/>
    <w:rsid w:val="000115BA"/>
    <w:rsid w:val="0001179A"/>
    <w:rsid w:val="00011A59"/>
    <w:rsid w:val="00011A84"/>
    <w:rsid w:val="000120DE"/>
    <w:rsid w:val="000125D1"/>
    <w:rsid w:val="00013078"/>
    <w:rsid w:val="00013DA9"/>
    <w:rsid w:val="00014C17"/>
    <w:rsid w:val="00014D69"/>
    <w:rsid w:val="0001599B"/>
    <w:rsid w:val="00016A41"/>
    <w:rsid w:val="0001707F"/>
    <w:rsid w:val="000214AE"/>
    <w:rsid w:val="000214D1"/>
    <w:rsid w:val="0002170A"/>
    <w:rsid w:val="00021F20"/>
    <w:rsid w:val="0002281A"/>
    <w:rsid w:val="000237D6"/>
    <w:rsid w:val="0002464A"/>
    <w:rsid w:val="00025882"/>
    <w:rsid w:val="00025A04"/>
    <w:rsid w:val="00026290"/>
    <w:rsid w:val="0002693D"/>
    <w:rsid w:val="000269A5"/>
    <w:rsid w:val="000272A7"/>
    <w:rsid w:val="00027A58"/>
    <w:rsid w:val="0003050E"/>
    <w:rsid w:val="0003055E"/>
    <w:rsid w:val="0003106B"/>
    <w:rsid w:val="00031103"/>
    <w:rsid w:val="000335B9"/>
    <w:rsid w:val="00033A17"/>
    <w:rsid w:val="00033B70"/>
    <w:rsid w:val="00033DA0"/>
    <w:rsid w:val="00034905"/>
    <w:rsid w:val="0003495B"/>
    <w:rsid w:val="00037906"/>
    <w:rsid w:val="00037B99"/>
    <w:rsid w:val="00037F20"/>
    <w:rsid w:val="00040A30"/>
    <w:rsid w:val="00041AD6"/>
    <w:rsid w:val="000421A1"/>
    <w:rsid w:val="0004240E"/>
    <w:rsid w:val="000425A2"/>
    <w:rsid w:val="00042D28"/>
    <w:rsid w:val="00043433"/>
    <w:rsid w:val="00044E52"/>
    <w:rsid w:val="00044EC4"/>
    <w:rsid w:val="00045E26"/>
    <w:rsid w:val="00046903"/>
    <w:rsid w:val="00047247"/>
    <w:rsid w:val="000472FB"/>
    <w:rsid w:val="0005049B"/>
    <w:rsid w:val="00050709"/>
    <w:rsid w:val="00050F15"/>
    <w:rsid w:val="000514B5"/>
    <w:rsid w:val="00051625"/>
    <w:rsid w:val="00051909"/>
    <w:rsid w:val="00051B30"/>
    <w:rsid w:val="00051DD3"/>
    <w:rsid w:val="000521ED"/>
    <w:rsid w:val="000524B8"/>
    <w:rsid w:val="00052B40"/>
    <w:rsid w:val="0005322E"/>
    <w:rsid w:val="000536A8"/>
    <w:rsid w:val="000546CF"/>
    <w:rsid w:val="00054E2B"/>
    <w:rsid w:val="00054FC7"/>
    <w:rsid w:val="00055A8E"/>
    <w:rsid w:val="00055C78"/>
    <w:rsid w:val="000569EA"/>
    <w:rsid w:val="00057479"/>
    <w:rsid w:val="00057AFD"/>
    <w:rsid w:val="0006016B"/>
    <w:rsid w:val="0006050F"/>
    <w:rsid w:val="00060E64"/>
    <w:rsid w:val="0006114A"/>
    <w:rsid w:val="000615AA"/>
    <w:rsid w:val="000616B3"/>
    <w:rsid w:val="0006181C"/>
    <w:rsid w:val="000621AB"/>
    <w:rsid w:val="000627EC"/>
    <w:rsid w:val="00062C03"/>
    <w:rsid w:val="00062E88"/>
    <w:rsid w:val="00064CFD"/>
    <w:rsid w:val="00065439"/>
    <w:rsid w:val="00066193"/>
    <w:rsid w:val="00066755"/>
    <w:rsid w:val="00066A4C"/>
    <w:rsid w:val="00067F2E"/>
    <w:rsid w:val="0007055F"/>
    <w:rsid w:val="0007068D"/>
    <w:rsid w:val="000706DC"/>
    <w:rsid w:val="0007097C"/>
    <w:rsid w:val="00070FC7"/>
    <w:rsid w:val="00071A5B"/>
    <w:rsid w:val="00072730"/>
    <w:rsid w:val="00072CDF"/>
    <w:rsid w:val="00072FA6"/>
    <w:rsid w:val="0007337F"/>
    <w:rsid w:val="000734E9"/>
    <w:rsid w:val="00074320"/>
    <w:rsid w:val="000747A6"/>
    <w:rsid w:val="00074A91"/>
    <w:rsid w:val="00075A20"/>
    <w:rsid w:val="0007623F"/>
    <w:rsid w:val="000763D5"/>
    <w:rsid w:val="0007661B"/>
    <w:rsid w:val="0007680A"/>
    <w:rsid w:val="00076C38"/>
    <w:rsid w:val="00077143"/>
    <w:rsid w:val="00077DF7"/>
    <w:rsid w:val="0008050C"/>
    <w:rsid w:val="00081661"/>
    <w:rsid w:val="00082169"/>
    <w:rsid w:val="0008240E"/>
    <w:rsid w:val="00082690"/>
    <w:rsid w:val="000828DF"/>
    <w:rsid w:val="000834BE"/>
    <w:rsid w:val="00083E90"/>
    <w:rsid w:val="00083F01"/>
    <w:rsid w:val="00084FCD"/>
    <w:rsid w:val="000851C5"/>
    <w:rsid w:val="00086A11"/>
    <w:rsid w:val="0008713F"/>
    <w:rsid w:val="0008766C"/>
    <w:rsid w:val="0008779B"/>
    <w:rsid w:val="00087C4C"/>
    <w:rsid w:val="000918CB"/>
    <w:rsid w:val="00091B06"/>
    <w:rsid w:val="00092205"/>
    <w:rsid w:val="000932C0"/>
    <w:rsid w:val="00093728"/>
    <w:rsid w:val="000951C4"/>
    <w:rsid w:val="00095ADA"/>
    <w:rsid w:val="00095F3A"/>
    <w:rsid w:val="00095FA9"/>
    <w:rsid w:val="000969AD"/>
    <w:rsid w:val="000975FB"/>
    <w:rsid w:val="000A0027"/>
    <w:rsid w:val="000A02F8"/>
    <w:rsid w:val="000A2A9B"/>
    <w:rsid w:val="000A3AA2"/>
    <w:rsid w:val="000A3D37"/>
    <w:rsid w:val="000A42EF"/>
    <w:rsid w:val="000A44B2"/>
    <w:rsid w:val="000A46C4"/>
    <w:rsid w:val="000A52F6"/>
    <w:rsid w:val="000A58B8"/>
    <w:rsid w:val="000A5C0B"/>
    <w:rsid w:val="000A6C77"/>
    <w:rsid w:val="000B0745"/>
    <w:rsid w:val="000B0E59"/>
    <w:rsid w:val="000B1E43"/>
    <w:rsid w:val="000B1FDC"/>
    <w:rsid w:val="000B202C"/>
    <w:rsid w:val="000B2D10"/>
    <w:rsid w:val="000B3E38"/>
    <w:rsid w:val="000B44C3"/>
    <w:rsid w:val="000B4EA5"/>
    <w:rsid w:val="000B4F95"/>
    <w:rsid w:val="000B558D"/>
    <w:rsid w:val="000B5A89"/>
    <w:rsid w:val="000B65F6"/>
    <w:rsid w:val="000B7767"/>
    <w:rsid w:val="000B7FEC"/>
    <w:rsid w:val="000C0895"/>
    <w:rsid w:val="000C16F0"/>
    <w:rsid w:val="000C1AFF"/>
    <w:rsid w:val="000C3B23"/>
    <w:rsid w:val="000C3C3A"/>
    <w:rsid w:val="000C5740"/>
    <w:rsid w:val="000C5F95"/>
    <w:rsid w:val="000C6996"/>
    <w:rsid w:val="000C7C46"/>
    <w:rsid w:val="000D0437"/>
    <w:rsid w:val="000D09E9"/>
    <w:rsid w:val="000D113F"/>
    <w:rsid w:val="000D1291"/>
    <w:rsid w:val="000D23BA"/>
    <w:rsid w:val="000D260E"/>
    <w:rsid w:val="000D3555"/>
    <w:rsid w:val="000D3A2B"/>
    <w:rsid w:val="000D4481"/>
    <w:rsid w:val="000D4F18"/>
    <w:rsid w:val="000D6A86"/>
    <w:rsid w:val="000D6E42"/>
    <w:rsid w:val="000E15C4"/>
    <w:rsid w:val="000E19B7"/>
    <w:rsid w:val="000E20FC"/>
    <w:rsid w:val="000E23D8"/>
    <w:rsid w:val="000E3168"/>
    <w:rsid w:val="000E3B12"/>
    <w:rsid w:val="000E3C1D"/>
    <w:rsid w:val="000E3DFB"/>
    <w:rsid w:val="000E3F12"/>
    <w:rsid w:val="000E4849"/>
    <w:rsid w:val="000E5240"/>
    <w:rsid w:val="000E5D91"/>
    <w:rsid w:val="000E5EA1"/>
    <w:rsid w:val="000E681E"/>
    <w:rsid w:val="000E696B"/>
    <w:rsid w:val="000E6995"/>
    <w:rsid w:val="000E7012"/>
    <w:rsid w:val="000E7A05"/>
    <w:rsid w:val="000E7E52"/>
    <w:rsid w:val="000E7E90"/>
    <w:rsid w:val="000EE1C7"/>
    <w:rsid w:val="000F0003"/>
    <w:rsid w:val="000F0216"/>
    <w:rsid w:val="000F0405"/>
    <w:rsid w:val="000F0A61"/>
    <w:rsid w:val="000F0E5B"/>
    <w:rsid w:val="000F1D45"/>
    <w:rsid w:val="000F1E3F"/>
    <w:rsid w:val="000F3384"/>
    <w:rsid w:val="000F3908"/>
    <w:rsid w:val="000F3984"/>
    <w:rsid w:val="000F3AF4"/>
    <w:rsid w:val="000F3E11"/>
    <w:rsid w:val="000F3FDC"/>
    <w:rsid w:val="000F4A31"/>
    <w:rsid w:val="000F4E6A"/>
    <w:rsid w:val="000F6ABB"/>
    <w:rsid w:val="000F7354"/>
    <w:rsid w:val="000F79B1"/>
    <w:rsid w:val="000F7C27"/>
    <w:rsid w:val="00100EED"/>
    <w:rsid w:val="001011B2"/>
    <w:rsid w:val="00101ABE"/>
    <w:rsid w:val="00102202"/>
    <w:rsid w:val="00102700"/>
    <w:rsid w:val="00102A78"/>
    <w:rsid w:val="00103118"/>
    <w:rsid w:val="00103F1B"/>
    <w:rsid w:val="00104227"/>
    <w:rsid w:val="001053D5"/>
    <w:rsid w:val="0010566A"/>
    <w:rsid w:val="00105AF3"/>
    <w:rsid w:val="00106685"/>
    <w:rsid w:val="00106C1F"/>
    <w:rsid w:val="00107325"/>
    <w:rsid w:val="00107409"/>
    <w:rsid w:val="001107BF"/>
    <w:rsid w:val="00110FA6"/>
    <w:rsid w:val="00111621"/>
    <w:rsid w:val="00111684"/>
    <w:rsid w:val="00113153"/>
    <w:rsid w:val="00113649"/>
    <w:rsid w:val="00113D21"/>
    <w:rsid w:val="00113D5C"/>
    <w:rsid w:val="00116AFD"/>
    <w:rsid w:val="00116B03"/>
    <w:rsid w:val="001175D0"/>
    <w:rsid w:val="00120AA6"/>
    <w:rsid w:val="00120E3F"/>
    <w:rsid w:val="00122352"/>
    <w:rsid w:val="001236D7"/>
    <w:rsid w:val="001239DB"/>
    <w:rsid w:val="0012417C"/>
    <w:rsid w:val="00124BF2"/>
    <w:rsid w:val="00124FF5"/>
    <w:rsid w:val="001255BF"/>
    <w:rsid w:val="001255E0"/>
    <w:rsid w:val="00125837"/>
    <w:rsid w:val="0012597F"/>
    <w:rsid w:val="00126617"/>
    <w:rsid w:val="00126B19"/>
    <w:rsid w:val="00126D3A"/>
    <w:rsid w:val="0012749D"/>
    <w:rsid w:val="00127A23"/>
    <w:rsid w:val="00127BC7"/>
    <w:rsid w:val="00127C2F"/>
    <w:rsid w:val="00127D4E"/>
    <w:rsid w:val="001306A5"/>
    <w:rsid w:val="00130918"/>
    <w:rsid w:val="00131120"/>
    <w:rsid w:val="001311AE"/>
    <w:rsid w:val="0013132B"/>
    <w:rsid w:val="00132686"/>
    <w:rsid w:val="00133447"/>
    <w:rsid w:val="0013357D"/>
    <w:rsid w:val="00134586"/>
    <w:rsid w:val="00134994"/>
    <w:rsid w:val="00136202"/>
    <w:rsid w:val="00136677"/>
    <w:rsid w:val="001366C2"/>
    <w:rsid w:val="00136A1E"/>
    <w:rsid w:val="00136C17"/>
    <w:rsid w:val="00137653"/>
    <w:rsid w:val="00140B74"/>
    <w:rsid w:val="00140CFC"/>
    <w:rsid w:val="00140D94"/>
    <w:rsid w:val="00142395"/>
    <w:rsid w:val="0014250D"/>
    <w:rsid w:val="00142714"/>
    <w:rsid w:val="001436FA"/>
    <w:rsid w:val="00144D09"/>
    <w:rsid w:val="00144D2D"/>
    <w:rsid w:val="00144E06"/>
    <w:rsid w:val="001452ED"/>
    <w:rsid w:val="00146F1D"/>
    <w:rsid w:val="00146FA8"/>
    <w:rsid w:val="00147279"/>
    <w:rsid w:val="001474EA"/>
    <w:rsid w:val="00147D84"/>
    <w:rsid w:val="00150556"/>
    <w:rsid w:val="001506E7"/>
    <w:rsid w:val="0015101E"/>
    <w:rsid w:val="0015194A"/>
    <w:rsid w:val="00151CBD"/>
    <w:rsid w:val="001533C3"/>
    <w:rsid w:val="00153721"/>
    <w:rsid w:val="001549C1"/>
    <w:rsid w:val="001552E0"/>
    <w:rsid w:val="00156C8D"/>
    <w:rsid w:val="00157DEE"/>
    <w:rsid w:val="00160F4D"/>
    <w:rsid w:val="001620CC"/>
    <w:rsid w:val="0016225F"/>
    <w:rsid w:val="00162BDD"/>
    <w:rsid w:val="00162D4E"/>
    <w:rsid w:val="00162F75"/>
    <w:rsid w:val="001630F0"/>
    <w:rsid w:val="00163329"/>
    <w:rsid w:val="001638F0"/>
    <w:rsid w:val="00163ADC"/>
    <w:rsid w:val="00164623"/>
    <w:rsid w:val="001646FE"/>
    <w:rsid w:val="00164953"/>
    <w:rsid w:val="001652DE"/>
    <w:rsid w:val="001653EC"/>
    <w:rsid w:val="00165431"/>
    <w:rsid w:val="00165B64"/>
    <w:rsid w:val="00166AD5"/>
    <w:rsid w:val="00166DCB"/>
    <w:rsid w:val="00166F55"/>
    <w:rsid w:val="00167C39"/>
    <w:rsid w:val="001704E1"/>
    <w:rsid w:val="00170A25"/>
    <w:rsid w:val="00170C06"/>
    <w:rsid w:val="00170C4D"/>
    <w:rsid w:val="00170E41"/>
    <w:rsid w:val="0017204A"/>
    <w:rsid w:val="001727B5"/>
    <w:rsid w:val="00173D4D"/>
    <w:rsid w:val="001740C7"/>
    <w:rsid w:val="00174EB8"/>
    <w:rsid w:val="001756CB"/>
    <w:rsid w:val="0017595C"/>
    <w:rsid w:val="00176B9D"/>
    <w:rsid w:val="001773CC"/>
    <w:rsid w:val="001775A5"/>
    <w:rsid w:val="00177B92"/>
    <w:rsid w:val="00180713"/>
    <w:rsid w:val="00180720"/>
    <w:rsid w:val="00181109"/>
    <w:rsid w:val="001812F8"/>
    <w:rsid w:val="001814EC"/>
    <w:rsid w:val="0018279E"/>
    <w:rsid w:val="001830CE"/>
    <w:rsid w:val="001836E3"/>
    <w:rsid w:val="00184659"/>
    <w:rsid w:val="00184B28"/>
    <w:rsid w:val="00184C6A"/>
    <w:rsid w:val="001860E5"/>
    <w:rsid w:val="0018643B"/>
    <w:rsid w:val="00187766"/>
    <w:rsid w:val="00190F1A"/>
    <w:rsid w:val="0019349C"/>
    <w:rsid w:val="00193E3B"/>
    <w:rsid w:val="0019412E"/>
    <w:rsid w:val="001948A6"/>
    <w:rsid w:val="00195F2D"/>
    <w:rsid w:val="00196307"/>
    <w:rsid w:val="00197C70"/>
    <w:rsid w:val="00197F03"/>
    <w:rsid w:val="001A0D10"/>
    <w:rsid w:val="001A2978"/>
    <w:rsid w:val="001A30C9"/>
    <w:rsid w:val="001A33EA"/>
    <w:rsid w:val="001A3615"/>
    <w:rsid w:val="001A3747"/>
    <w:rsid w:val="001A3A72"/>
    <w:rsid w:val="001A3D77"/>
    <w:rsid w:val="001A3FF5"/>
    <w:rsid w:val="001A4413"/>
    <w:rsid w:val="001A4C4F"/>
    <w:rsid w:val="001A50E7"/>
    <w:rsid w:val="001A58B6"/>
    <w:rsid w:val="001A5A2B"/>
    <w:rsid w:val="001A6A2B"/>
    <w:rsid w:val="001A76FB"/>
    <w:rsid w:val="001B017F"/>
    <w:rsid w:val="001B0B79"/>
    <w:rsid w:val="001B1324"/>
    <w:rsid w:val="001B19EA"/>
    <w:rsid w:val="001B2BBC"/>
    <w:rsid w:val="001B2BCD"/>
    <w:rsid w:val="001B3A40"/>
    <w:rsid w:val="001B3FFE"/>
    <w:rsid w:val="001B471F"/>
    <w:rsid w:val="001B4B27"/>
    <w:rsid w:val="001B5129"/>
    <w:rsid w:val="001B535C"/>
    <w:rsid w:val="001B60CE"/>
    <w:rsid w:val="001B637D"/>
    <w:rsid w:val="001B6545"/>
    <w:rsid w:val="001B789B"/>
    <w:rsid w:val="001B7F21"/>
    <w:rsid w:val="001C0B4C"/>
    <w:rsid w:val="001C0B59"/>
    <w:rsid w:val="001C0BA3"/>
    <w:rsid w:val="001C0EC4"/>
    <w:rsid w:val="001C1195"/>
    <w:rsid w:val="001C12AE"/>
    <w:rsid w:val="001C1E84"/>
    <w:rsid w:val="001C20E1"/>
    <w:rsid w:val="001C21AC"/>
    <w:rsid w:val="001C22C3"/>
    <w:rsid w:val="001C2A0F"/>
    <w:rsid w:val="001C2E42"/>
    <w:rsid w:val="001C44A5"/>
    <w:rsid w:val="001C4A3A"/>
    <w:rsid w:val="001C4F87"/>
    <w:rsid w:val="001C51B2"/>
    <w:rsid w:val="001C5A4F"/>
    <w:rsid w:val="001C6AB6"/>
    <w:rsid w:val="001C6EB6"/>
    <w:rsid w:val="001C76D0"/>
    <w:rsid w:val="001C7A6B"/>
    <w:rsid w:val="001D114D"/>
    <w:rsid w:val="001D1F5F"/>
    <w:rsid w:val="001D3FBB"/>
    <w:rsid w:val="001D5621"/>
    <w:rsid w:val="001D5653"/>
    <w:rsid w:val="001D595B"/>
    <w:rsid w:val="001D5DDF"/>
    <w:rsid w:val="001D61BA"/>
    <w:rsid w:val="001D6F72"/>
    <w:rsid w:val="001E06D2"/>
    <w:rsid w:val="001E12B2"/>
    <w:rsid w:val="001E1403"/>
    <w:rsid w:val="001E17C4"/>
    <w:rsid w:val="001E232D"/>
    <w:rsid w:val="001E2A47"/>
    <w:rsid w:val="001E2D65"/>
    <w:rsid w:val="001E49C8"/>
    <w:rsid w:val="001E71A8"/>
    <w:rsid w:val="001F003C"/>
    <w:rsid w:val="001F005B"/>
    <w:rsid w:val="001F0266"/>
    <w:rsid w:val="001F04C9"/>
    <w:rsid w:val="001F0739"/>
    <w:rsid w:val="001F0952"/>
    <w:rsid w:val="001F0AE2"/>
    <w:rsid w:val="001F0B6F"/>
    <w:rsid w:val="001F169F"/>
    <w:rsid w:val="001F1850"/>
    <w:rsid w:val="001F1FBF"/>
    <w:rsid w:val="001F2311"/>
    <w:rsid w:val="001F264F"/>
    <w:rsid w:val="001F2B80"/>
    <w:rsid w:val="001F2CE8"/>
    <w:rsid w:val="001F2F1C"/>
    <w:rsid w:val="001F3189"/>
    <w:rsid w:val="001F3539"/>
    <w:rsid w:val="001F464A"/>
    <w:rsid w:val="001F4EAA"/>
    <w:rsid w:val="001F5825"/>
    <w:rsid w:val="001F5D2C"/>
    <w:rsid w:val="00200BEA"/>
    <w:rsid w:val="00201D04"/>
    <w:rsid w:val="00201FB8"/>
    <w:rsid w:val="002034C9"/>
    <w:rsid w:val="00203B4A"/>
    <w:rsid w:val="00203E4F"/>
    <w:rsid w:val="00203FAC"/>
    <w:rsid w:val="002045DD"/>
    <w:rsid w:val="0020475C"/>
    <w:rsid w:val="00205BC5"/>
    <w:rsid w:val="00211119"/>
    <w:rsid w:val="00211EA1"/>
    <w:rsid w:val="002130CF"/>
    <w:rsid w:val="002133FB"/>
    <w:rsid w:val="00213CFB"/>
    <w:rsid w:val="00214801"/>
    <w:rsid w:val="00215382"/>
    <w:rsid w:val="0021553C"/>
    <w:rsid w:val="0021557B"/>
    <w:rsid w:val="00215F35"/>
    <w:rsid w:val="002166DE"/>
    <w:rsid w:val="00216B87"/>
    <w:rsid w:val="00217045"/>
    <w:rsid w:val="0021713A"/>
    <w:rsid w:val="002174FD"/>
    <w:rsid w:val="00217BE1"/>
    <w:rsid w:val="002206D5"/>
    <w:rsid w:val="00220700"/>
    <w:rsid w:val="00221361"/>
    <w:rsid w:val="002214B9"/>
    <w:rsid w:val="002216D2"/>
    <w:rsid w:val="002221CC"/>
    <w:rsid w:val="002223C5"/>
    <w:rsid w:val="002223DB"/>
    <w:rsid w:val="00222680"/>
    <w:rsid w:val="002226AC"/>
    <w:rsid w:val="00223370"/>
    <w:rsid w:val="0022356E"/>
    <w:rsid w:val="00223E27"/>
    <w:rsid w:val="00224906"/>
    <w:rsid w:val="00224CB4"/>
    <w:rsid w:val="00224D1E"/>
    <w:rsid w:val="00225784"/>
    <w:rsid w:val="00225F8D"/>
    <w:rsid w:val="00226611"/>
    <w:rsid w:val="00227301"/>
    <w:rsid w:val="00227ACF"/>
    <w:rsid w:val="00227BBE"/>
    <w:rsid w:val="00227BC5"/>
    <w:rsid w:val="00230312"/>
    <w:rsid w:val="002303FC"/>
    <w:rsid w:val="00230B0B"/>
    <w:rsid w:val="00230ED3"/>
    <w:rsid w:val="00230F63"/>
    <w:rsid w:val="002325BB"/>
    <w:rsid w:val="002325E0"/>
    <w:rsid w:val="002326E7"/>
    <w:rsid w:val="00234252"/>
    <w:rsid w:val="0023466E"/>
    <w:rsid w:val="00234789"/>
    <w:rsid w:val="002349B1"/>
    <w:rsid w:val="00235F92"/>
    <w:rsid w:val="00236311"/>
    <w:rsid w:val="0023682E"/>
    <w:rsid w:val="002369DA"/>
    <w:rsid w:val="0023788F"/>
    <w:rsid w:val="00237A5D"/>
    <w:rsid w:val="00237AC6"/>
    <w:rsid w:val="00241470"/>
    <w:rsid w:val="00241CD7"/>
    <w:rsid w:val="00241D52"/>
    <w:rsid w:val="00242419"/>
    <w:rsid w:val="00242806"/>
    <w:rsid w:val="00242B64"/>
    <w:rsid w:val="00242BFD"/>
    <w:rsid w:val="002431B2"/>
    <w:rsid w:val="00244139"/>
    <w:rsid w:val="00244490"/>
    <w:rsid w:val="00244BEC"/>
    <w:rsid w:val="00245444"/>
    <w:rsid w:val="002457F4"/>
    <w:rsid w:val="00245B9C"/>
    <w:rsid w:val="00247292"/>
    <w:rsid w:val="0024771D"/>
    <w:rsid w:val="00247829"/>
    <w:rsid w:val="0024787E"/>
    <w:rsid w:val="00250FA9"/>
    <w:rsid w:val="002512E3"/>
    <w:rsid w:val="00251B85"/>
    <w:rsid w:val="00251C7A"/>
    <w:rsid w:val="00252587"/>
    <w:rsid w:val="0025304B"/>
    <w:rsid w:val="0025348E"/>
    <w:rsid w:val="00253499"/>
    <w:rsid w:val="00253D12"/>
    <w:rsid w:val="002551A4"/>
    <w:rsid w:val="0025722D"/>
    <w:rsid w:val="00257664"/>
    <w:rsid w:val="002576C3"/>
    <w:rsid w:val="00257912"/>
    <w:rsid w:val="00257B72"/>
    <w:rsid w:val="00257D80"/>
    <w:rsid w:val="00260165"/>
    <w:rsid w:val="00260ED2"/>
    <w:rsid w:val="00261FF7"/>
    <w:rsid w:val="0026326F"/>
    <w:rsid w:val="002637BB"/>
    <w:rsid w:val="002643F4"/>
    <w:rsid w:val="00265151"/>
    <w:rsid w:val="00265C2C"/>
    <w:rsid w:val="00265DB7"/>
    <w:rsid w:val="00266509"/>
    <w:rsid w:val="00267098"/>
    <w:rsid w:val="002675E7"/>
    <w:rsid w:val="00271BA1"/>
    <w:rsid w:val="00272BEA"/>
    <w:rsid w:val="0027336B"/>
    <w:rsid w:val="00273AC5"/>
    <w:rsid w:val="00274DDD"/>
    <w:rsid w:val="00274ECA"/>
    <w:rsid w:val="002750AF"/>
    <w:rsid w:val="002755F3"/>
    <w:rsid w:val="002762FA"/>
    <w:rsid w:val="00276BE3"/>
    <w:rsid w:val="00276C0E"/>
    <w:rsid w:val="00276F06"/>
    <w:rsid w:val="00277505"/>
    <w:rsid w:val="00277711"/>
    <w:rsid w:val="00277873"/>
    <w:rsid w:val="00277DCB"/>
    <w:rsid w:val="0028158C"/>
    <w:rsid w:val="002820B9"/>
    <w:rsid w:val="002823B6"/>
    <w:rsid w:val="0028298B"/>
    <w:rsid w:val="00284F44"/>
    <w:rsid w:val="00285680"/>
    <w:rsid w:val="00286001"/>
    <w:rsid w:val="002871B4"/>
    <w:rsid w:val="00290A26"/>
    <w:rsid w:val="00290C03"/>
    <w:rsid w:val="00290D15"/>
    <w:rsid w:val="00292392"/>
    <w:rsid w:val="00292588"/>
    <w:rsid w:val="00292E3B"/>
    <w:rsid w:val="002933A8"/>
    <w:rsid w:val="00293A67"/>
    <w:rsid w:val="00293C4E"/>
    <w:rsid w:val="00294274"/>
    <w:rsid w:val="0029458F"/>
    <w:rsid w:val="00294C3C"/>
    <w:rsid w:val="00295142"/>
    <w:rsid w:val="00295D04"/>
    <w:rsid w:val="002960F3"/>
    <w:rsid w:val="00297418"/>
    <w:rsid w:val="00297A63"/>
    <w:rsid w:val="002A018F"/>
    <w:rsid w:val="002A0E04"/>
    <w:rsid w:val="002A0EE9"/>
    <w:rsid w:val="002A1047"/>
    <w:rsid w:val="002A104C"/>
    <w:rsid w:val="002A15EF"/>
    <w:rsid w:val="002A1EF7"/>
    <w:rsid w:val="002A2777"/>
    <w:rsid w:val="002A2B7B"/>
    <w:rsid w:val="002A3462"/>
    <w:rsid w:val="002A4222"/>
    <w:rsid w:val="002A494D"/>
    <w:rsid w:val="002A4960"/>
    <w:rsid w:val="002A5C9B"/>
    <w:rsid w:val="002A6120"/>
    <w:rsid w:val="002A6252"/>
    <w:rsid w:val="002A636A"/>
    <w:rsid w:val="002A6A8D"/>
    <w:rsid w:val="002A6B75"/>
    <w:rsid w:val="002A6E41"/>
    <w:rsid w:val="002A70C0"/>
    <w:rsid w:val="002A719B"/>
    <w:rsid w:val="002A7201"/>
    <w:rsid w:val="002A755F"/>
    <w:rsid w:val="002A76A7"/>
    <w:rsid w:val="002A7B91"/>
    <w:rsid w:val="002A7E0C"/>
    <w:rsid w:val="002B0017"/>
    <w:rsid w:val="002B052C"/>
    <w:rsid w:val="002B0AE0"/>
    <w:rsid w:val="002B0D83"/>
    <w:rsid w:val="002B13FE"/>
    <w:rsid w:val="002B1AE6"/>
    <w:rsid w:val="002B1D3A"/>
    <w:rsid w:val="002B1D51"/>
    <w:rsid w:val="002B2747"/>
    <w:rsid w:val="002B2DE8"/>
    <w:rsid w:val="002B30F8"/>
    <w:rsid w:val="002B388A"/>
    <w:rsid w:val="002B3BFE"/>
    <w:rsid w:val="002B3C1A"/>
    <w:rsid w:val="002B4068"/>
    <w:rsid w:val="002B4638"/>
    <w:rsid w:val="002B4C2A"/>
    <w:rsid w:val="002B5596"/>
    <w:rsid w:val="002B6889"/>
    <w:rsid w:val="002B71E0"/>
    <w:rsid w:val="002B77D7"/>
    <w:rsid w:val="002C0763"/>
    <w:rsid w:val="002C212F"/>
    <w:rsid w:val="002C2E81"/>
    <w:rsid w:val="002C2F35"/>
    <w:rsid w:val="002C5850"/>
    <w:rsid w:val="002C6AA9"/>
    <w:rsid w:val="002C7483"/>
    <w:rsid w:val="002C7485"/>
    <w:rsid w:val="002D038C"/>
    <w:rsid w:val="002D05F5"/>
    <w:rsid w:val="002D132C"/>
    <w:rsid w:val="002D2641"/>
    <w:rsid w:val="002D283A"/>
    <w:rsid w:val="002D2EC1"/>
    <w:rsid w:val="002D3B56"/>
    <w:rsid w:val="002D401D"/>
    <w:rsid w:val="002D4543"/>
    <w:rsid w:val="002D51EF"/>
    <w:rsid w:val="002D56F7"/>
    <w:rsid w:val="002D6E45"/>
    <w:rsid w:val="002D6F56"/>
    <w:rsid w:val="002D715F"/>
    <w:rsid w:val="002D7276"/>
    <w:rsid w:val="002E022A"/>
    <w:rsid w:val="002E175E"/>
    <w:rsid w:val="002E2255"/>
    <w:rsid w:val="002E29C5"/>
    <w:rsid w:val="002E2E2D"/>
    <w:rsid w:val="002E3153"/>
    <w:rsid w:val="002E333A"/>
    <w:rsid w:val="002E3FD4"/>
    <w:rsid w:val="002E4A02"/>
    <w:rsid w:val="002E5292"/>
    <w:rsid w:val="002E5622"/>
    <w:rsid w:val="002E645D"/>
    <w:rsid w:val="002E64F0"/>
    <w:rsid w:val="002E69D4"/>
    <w:rsid w:val="002E705B"/>
    <w:rsid w:val="002E72CA"/>
    <w:rsid w:val="002E75DD"/>
    <w:rsid w:val="002E7818"/>
    <w:rsid w:val="002E7E8A"/>
    <w:rsid w:val="002F0440"/>
    <w:rsid w:val="002F1080"/>
    <w:rsid w:val="002F1D07"/>
    <w:rsid w:val="002F1F6E"/>
    <w:rsid w:val="002F2815"/>
    <w:rsid w:val="002F29E2"/>
    <w:rsid w:val="002F3525"/>
    <w:rsid w:val="002F3FAE"/>
    <w:rsid w:val="002F4658"/>
    <w:rsid w:val="002F4759"/>
    <w:rsid w:val="002F5BC8"/>
    <w:rsid w:val="002F5C5B"/>
    <w:rsid w:val="002F5E11"/>
    <w:rsid w:val="002F600D"/>
    <w:rsid w:val="002F6F0F"/>
    <w:rsid w:val="002F733B"/>
    <w:rsid w:val="002F7E47"/>
    <w:rsid w:val="00300AD6"/>
    <w:rsid w:val="00300B1B"/>
    <w:rsid w:val="003011ED"/>
    <w:rsid w:val="00301861"/>
    <w:rsid w:val="003019D0"/>
    <w:rsid w:val="003019DE"/>
    <w:rsid w:val="00302024"/>
    <w:rsid w:val="003022EF"/>
    <w:rsid w:val="0030311E"/>
    <w:rsid w:val="00303CFE"/>
    <w:rsid w:val="00303D9E"/>
    <w:rsid w:val="003040C6"/>
    <w:rsid w:val="003048E6"/>
    <w:rsid w:val="003057CB"/>
    <w:rsid w:val="00305A2D"/>
    <w:rsid w:val="00305FA0"/>
    <w:rsid w:val="003064AF"/>
    <w:rsid w:val="00306C4C"/>
    <w:rsid w:val="00307BDD"/>
    <w:rsid w:val="00307DC6"/>
    <w:rsid w:val="00307F5E"/>
    <w:rsid w:val="00310A8B"/>
    <w:rsid w:val="00310B68"/>
    <w:rsid w:val="00312263"/>
    <w:rsid w:val="003124F5"/>
    <w:rsid w:val="00312F8D"/>
    <w:rsid w:val="00312FBE"/>
    <w:rsid w:val="00315329"/>
    <w:rsid w:val="003160D2"/>
    <w:rsid w:val="00316917"/>
    <w:rsid w:val="00316EEC"/>
    <w:rsid w:val="003171EC"/>
    <w:rsid w:val="003173FC"/>
    <w:rsid w:val="00317C6C"/>
    <w:rsid w:val="00317F23"/>
    <w:rsid w:val="00320B80"/>
    <w:rsid w:val="00320CD3"/>
    <w:rsid w:val="003215FF"/>
    <w:rsid w:val="003219A8"/>
    <w:rsid w:val="00321F41"/>
    <w:rsid w:val="0032247C"/>
    <w:rsid w:val="00322522"/>
    <w:rsid w:val="00322667"/>
    <w:rsid w:val="003237BA"/>
    <w:rsid w:val="00323E2E"/>
    <w:rsid w:val="0032607C"/>
    <w:rsid w:val="003267E0"/>
    <w:rsid w:val="00326BCA"/>
    <w:rsid w:val="00326E79"/>
    <w:rsid w:val="0032718A"/>
    <w:rsid w:val="0032748A"/>
    <w:rsid w:val="00327A5D"/>
    <w:rsid w:val="003301B1"/>
    <w:rsid w:val="00330337"/>
    <w:rsid w:val="00330A3B"/>
    <w:rsid w:val="00331189"/>
    <w:rsid w:val="00331C70"/>
    <w:rsid w:val="00332423"/>
    <w:rsid w:val="0033263D"/>
    <w:rsid w:val="00332BE6"/>
    <w:rsid w:val="00333CB7"/>
    <w:rsid w:val="00334080"/>
    <w:rsid w:val="00334E69"/>
    <w:rsid w:val="0033518A"/>
    <w:rsid w:val="00335535"/>
    <w:rsid w:val="00335656"/>
    <w:rsid w:val="003358F8"/>
    <w:rsid w:val="003367EF"/>
    <w:rsid w:val="00336CD8"/>
    <w:rsid w:val="00337050"/>
    <w:rsid w:val="00340BA8"/>
    <w:rsid w:val="003411BA"/>
    <w:rsid w:val="00341914"/>
    <w:rsid w:val="00341AE4"/>
    <w:rsid w:val="003420EB"/>
    <w:rsid w:val="003425CA"/>
    <w:rsid w:val="00343FB7"/>
    <w:rsid w:val="00344031"/>
    <w:rsid w:val="00344A75"/>
    <w:rsid w:val="003455E8"/>
    <w:rsid w:val="003476EE"/>
    <w:rsid w:val="00352BF4"/>
    <w:rsid w:val="00352C97"/>
    <w:rsid w:val="00354127"/>
    <w:rsid w:val="003541DD"/>
    <w:rsid w:val="00354FCE"/>
    <w:rsid w:val="00355E50"/>
    <w:rsid w:val="00356E5B"/>
    <w:rsid w:val="003575CD"/>
    <w:rsid w:val="003607FA"/>
    <w:rsid w:val="0036085E"/>
    <w:rsid w:val="00360887"/>
    <w:rsid w:val="003612A2"/>
    <w:rsid w:val="0036249F"/>
    <w:rsid w:val="003631C1"/>
    <w:rsid w:val="00363E78"/>
    <w:rsid w:val="00363F02"/>
    <w:rsid w:val="00364DF5"/>
    <w:rsid w:val="003663BD"/>
    <w:rsid w:val="00367997"/>
    <w:rsid w:val="003700AA"/>
    <w:rsid w:val="00370972"/>
    <w:rsid w:val="00371246"/>
    <w:rsid w:val="00372010"/>
    <w:rsid w:val="00373291"/>
    <w:rsid w:val="003736C9"/>
    <w:rsid w:val="003737E4"/>
    <w:rsid w:val="00373C94"/>
    <w:rsid w:val="00373CF6"/>
    <w:rsid w:val="00374F46"/>
    <w:rsid w:val="003756D8"/>
    <w:rsid w:val="00376385"/>
    <w:rsid w:val="003763C0"/>
    <w:rsid w:val="00376628"/>
    <w:rsid w:val="0037711C"/>
    <w:rsid w:val="003775FB"/>
    <w:rsid w:val="00377780"/>
    <w:rsid w:val="0037788F"/>
    <w:rsid w:val="00377C21"/>
    <w:rsid w:val="0038053B"/>
    <w:rsid w:val="00380682"/>
    <w:rsid w:val="003807C2"/>
    <w:rsid w:val="00381091"/>
    <w:rsid w:val="003812A6"/>
    <w:rsid w:val="003824AB"/>
    <w:rsid w:val="00382B5D"/>
    <w:rsid w:val="00382B7E"/>
    <w:rsid w:val="00383B77"/>
    <w:rsid w:val="00383BDB"/>
    <w:rsid w:val="00384002"/>
    <w:rsid w:val="00384988"/>
    <w:rsid w:val="0038611C"/>
    <w:rsid w:val="00386316"/>
    <w:rsid w:val="0038714B"/>
    <w:rsid w:val="003872CF"/>
    <w:rsid w:val="003874CB"/>
    <w:rsid w:val="00390CC7"/>
    <w:rsid w:val="00390FEF"/>
    <w:rsid w:val="003913D8"/>
    <w:rsid w:val="003919F5"/>
    <w:rsid w:val="00392551"/>
    <w:rsid w:val="00395089"/>
    <w:rsid w:val="00395991"/>
    <w:rsid w:val="003969A2"/>
    <w:rsid w:val="00396E08"/>
    <w:rsid w:val="00396E6F"/>
    <w:rsid w:val="003970DD"/>
    <w:rsid w:val="0039782C"/>
    <w:rsid w:val="00397E14"/>
    <w:rsid w:val="00397F98"/>
    <w:rsid w:val="003A13A6"/>
    <w:rsid w:val="003A2165"/>
    <w:rsid w:val="003A23DC"/>
    <w:rsid w:val="003A2C19"/>
    <w:rsid w:val="003A2C1A"/>
    <w:rsid w:val="003A2F0C"/>
    <w:rsid w:val="003A3AF3"/>
    <w:rsid w:val="003A3FD4"/>
    <w:rsid w:val="003A5564"/>
    <w:rsid w:val="003A586A"/>
    <w:rsid w:val="003A5B4A"/>
    <w:rsid w:val="003A5D95"/>
    <w:rsid w:val="003A6105"/>
    <w:rsid w:val="003A64BB"/>
    <w:rsid w:val="003A6510"/>
    <w:rsid w:val="003A74E2"/>
    <w:rsid w:val="003A7C9F"/>
    <w:rsid w:val="003A7E34"/>
    <w:rsid w:val="003B0062"/>
    <w:rsid w:val="003B04AF"/>
    <w:rsid w:val="003B096F"/>
    <w:rsid w:val="003B0D3A"/>
    <w:rsid w:val="003B1CBD"/>
    <w:rsid w:val="003B21BB"/>
    <w:rsid w:val="003B2302"/>
    <w:rsid w:val="003B23C5"/>
    <w:rsid w:val="003B286C"/>
    <w:rsid w:val="003B2A75"/>
    <w:rsid w:val="003B331F"/>
    <w:rsid w:val="003B351F"/>
    <w:rsid w:val="003B3703"/>
    <w:rsid w:val="003B3C0D"/>
    <w:rsid w:val="003B49B2"/>
    <w:rsid w:val="003B5434"/>
    <w:rsid w:val="003B567E"/>
    <w:rsid w:val="003B6124"/>
    <w:rsid w:val="003B61BD"/>
    <w:rsid w:val="003B69ED"/>
    <w:rsid w:val="003B7960"/>
    <w:rsid w:val="003C05D9"/>
    <w:rsid w:val="003C0908"/>
    <w:rsid w:val="003C093A"/>
    <w:rsid w:val="003C0EF3"/>
    <w:rsid w:val="003C1ECF"/>
    <w:rsid w:val="003C2E69"/>
    <w:rsid w:val="003C2FB5"/>
    <w:rsid w:val="003C3153"/>
    <w:rsid w:val="003C40DE"/>
    <w:rsid w:val="003C5A76"/>
    <w:rsid w:val="003C5BBF"/>
    <w:rsid w:val="003C5E62"/>
    <w:rsid w:val="003C65A2"/>
    <w:rsid w:val="003C69B6"/>
    <w:rsid w:val="003C6DE4"/>
    <w:rsid w:val="003C7ED8"/>
    <w:rsid w:val="003D0624"/>
    <w:rsid w:val="003D0953"/>
    <w:rsid w:val="003D16EA"/>
    <w:rsid w:val="003D1FF8"/>
    <w:rsid w:val="003D24C5"/>
    <w:rsid w:val="003D2F3C"/>
    <w:rsid w:val="003D3273"/>
    <w:rsid w:val="003D3AE3"/>
    <w:rsid w:val="003D4594"/>
    <w:rsid w:val="003D46B1"/>
    <w:rsid w:val="003D4AC4"/>
    <w:rsid w:val="003D5433"/>
    <w:rsid w:val="003D63B7"/>
    <w:rsid w:val="003D6813"/>
    <w:rsid w:val="003D702F"/>
    <w:rsid w:val="003D74C5"/>
    <w:rsid w:val="003D7D49"/>
    <w:rsid w:val="003E1866"/>
    <w:rsid w:val="003E319B"/>
    <w:rsid w:val="003E3EB9"/>
    <w:rsid w:val="003E4374"/>
    <w:rsid w:val="003E468B"/>
    <w:rsid w:val="003E542B"/>
    <w:rsid w:val="003E6070"/>
    <w:rsid w:val="003E624D"/>
    <w:rsid w:val="003E62BD"/>
    <w:rsid w:val="003E63FD"/>
    <w:rsid w:val="003E658D"/>
    <w:rsid w:val="003E66E8"/>
    <w:rsid w:val="003E73D3"/>
    <w:rsid w:val="003E750C"/>
    <w:rsid w:val="003E7A00"/>
    <w:rsid w:val="003F044F"/>
    <w:rsid w:val="003F0A4D"/>
    <w:rsid w:val="003F0C10"/>
    <w:rsid w:val="003F0C3A"/>
    <w:rsid w:val="003F0F0A"/>
    <w:rsid w:val="003F15F0"/>
    <w:rsid w:val="003F1D4E"/>
    <w:rsid w:val="003F2AD9"/>
    <w:rsid w:val="003F3228"/>
    <w:rsid w:val="003F356C"/>
    <w:rsid w:val="003F520B"/>
    <w:rsid w:val="003F5C8C"/>
    <w:rsid w:val="003F63CE"/>
    <w:rsid w:val="003F6871"/>
    <w:rsid w:val="003F775A"/>
    <w:rsid w:val="00400042"/>
    <w:rsid w:val="00400E55"/>
    <w:rsid w:val="00401106"/>
    <w:rsid w:val="0040128E"/>
    <w:rsid w:val="00401640"/>
    <w:rsid w:val="0040216B"/>
    <w:rsid w:val="004038A7"/>
    <w:rsid w:val="00404523"/>
    <w:rsid w:val="0040481A"/>
    <w:rsid w:val="00404852"/>
    <w:rsid w:val="00405299"/>
    <w:rsid w:val="0040590E"/>
    <w:rsid w:val="004077E6"/>
    <w:rsid w:val="00407CC8"/>
    <w:rsid w:val="004105A1"/>
    <w:rsid w:val="00410A5E"/>
    <w:rsid w:val="00411D3A"/>
    <w:rsid w:val="004127ED"/>
    <w:rsid w:val="004128B7"/>
    <w:rsid w:val="004140C3"/>
    <w:rsid w:val="00414297"/>
    <w:rsid w:val="00414F0C"/>
    <w:rsid w:val="004154FF"/>
    <w:rsid w:val="004160D6"/>
    <w:rsid w:val="004162B4"/>
    <w:rsid w:val="004163F8"/>
    <w:rsid w:val="004168BD"/>
    <w:rsid w:val="00417703"/>
    <w:rsid w:val="00420400"/>
    <w:rsid w:val="00421713"/>
    <w:rsid w:val="004235D0"/>
    <w:rsid w:val="004235D1"/>
    <w:rsid w:val="00423E78"/>
    <w:rsid w:val="004240B4"/>
    <w:rsid w:val="00424132"/>
    <w:rsid w:val="0042465E"/>
    <w:rsid w:val="00424B03"/>
    <w:rsid w:val="004252EC"/>
    <w:rsid w:val="00427A80"/>
    <w:rsid w:val="00430D39"/>
    <w:rsid w:val="00432A3F"/>
    <w:rsid w:val="00432EBF"/>
    <w:rsid w:val="0043378B"/>
    <w:rsid w:val="00434673"/>
    <w:rsid w:val="0044041E"/>
    <w:rsid w:val="004405B1"/>
    <w:rsid w:val="0044251B"/>
    <w:rsid w:val="00442C91"/>
    <w:rsid w:val="004436CD"/>
    <w:rsid w:val="00444E9D"/>
    <w:rsid w:val="00445346"/>
    <w:rsid w:val="004456F8"/>
    <w:rsid w:val="004457EF"/>
    <w:rsid w:val="004465BD"/>
    <w:rsid w:val="00446938"/>
    <w:rsid w:val="004472EF"/>
    <w:rsid w:val="00447C90"/>
    <w:rsid w:val="0045066E"/>
    <w:rsid w:val="00450A86"/>
    <w:rsid w:val="00450EB1"/>
    <w:rsid w:val="00451FF5"/>
    <w:rsid w:val="0045255A"/>
    <w:rsid w:val="0045275E"/>
    <w:rsid w:val="004528FA"/>
    <w:rsid w:val="00452A6C"/>
    <w:rsid w:val="00453211"/>
    <w:rsid w:val="00453993"/>
    <w:rsid w:val="00453E47"/>
    <w:rsid w:val="0045454A"/>
    <w:rsid w:val="004554C7"/>
    <w:rsid w:val="00455BAC"/>
    <w:rsid w:val="00455E0E"/>
    <w:rsid w:val="00456E99"/>
    <w:rsid w:val="00457D8D"/>
    <w:rsid w:val="004611E0"/>
    <w:rsid w:val="0046195A"/>
    <w:rsid w:val="00461A44"/>
    <w:rsid w:val="004624FD"/>
    <w:rsid w:val="0046281B"/>
    <w:rsid w:val="00462D26"/>
    <w:rsid w:val="0046347C"/>
    <w:rsid w:val="0046368B"/>
    <w:rsid w:val="0046385A"/>
    <w:rsid w:val="00464039"/>
    <w:rsid w:val="004655A6"/>
    <w:rsid w:val="00465B63"/>
    <w:rsid w:val="00466613"/>
    <w:rsid w:val="00466ADA"/>
    <w:rsid w:val="00466E19"/>
    <w:rsid w:val="004702BB"/>
    <w:rsid w:val="004704DC"/>
    <w:rsid w:val="00470804"/>
    <w:rsid w:val="00471692"/>
    <w:rsid w:val="00471A27"/>
    <w:rsid w:val="0047211D"/>
    <w:rsid w:val="00472122"/>
    <w:rsid w:val="00473928"/>
    <w:rsid w:val="00473AAE"/>
    <w:rsid w:val="00474233"/>
    <w:rsid w:val="00474935"/>
    <w:rsid w:val="0047494B"/>
    <w:rsid w:val="00474DBB"/>
    <w:rsid w:val="00475994"/>
    <w:rsid w:val="00476245"/>
    <w:rsid w:val="004773C4"/>
    <w:rsid w:val="00477A9B"/>
    <w:rsid w:val="0048139E"/>
    <w:rsid w:val="00481889"/>
    <w:rsid w:val="00482AE4"/>
    <w:rsid w:val="00483035"/>
    <w:rsid w:val="00483CD7"/>
    <w:rsid w:val="00485794"/>
    <w:rsid w:val="004857D8"/>
    <w:rsid w:val="00485940"/>
    <w:rsid w:val="00486C95"/>
    <w:rsid w:val="004876FA"/>
    <w:rsid w:val="004877C2"/>
    <w:rsid w:val="0048794D"/>
    <w:rsid w:val="004904B9"/>
    <w:rsid w:val="00490815"/>
    <w:rsid w:val="00491EDC"/>
    <w:rsid w:val="004924D1"/>
    <w:rsid w:val="004928E1"/>
    <w:rsid w:val="00492D8D"/>
    <w:rsid w:val="00492ED7"/>
    <w:rsid w:val="004938EE"/>
    <w:rsid w:val="00493B6A"/>
    <w:rsid w:val="00493D96"/>
    <w:rsid w:val="004943CA"/>
    <w:rsid w:val="00494717"/>
    <w:rsid w:val="00494C1F"/>
    <w:rsid w:val="004961E4"/>
    <w:rsid w:val="00496662"/>
    <w:rsid w:val="004971BF"/>
    <w:rsid w:val="004A0BEA"/>
    <w:rsid w:val="004A1431"/>
    <w:rsid w:val="004A2484"/>
    <w:rsid w:val="004A2725"/>
    <w:rsid w:val="004A2B72"/>
    <w:rsid w:val="004A2D3E"/>
    <w:rsid w:val="004A2F1F"/>
    <w:rsid w:val="004A378E"/>
    <w:rsid w:val="004A3851"/>
    <w:rsid w:val="004A4BF9"/>
    <w:rsid w:val="004A5350"/>
    <w:rsid w:val="004A5A85"/>
    <w:rsid w:val="004A6C3E"/>
    <w:rsid w:val="004A71D1"/>
    <w:rsid w:val="004A7507"/>
    <w:rsid w:val="004A7C5B"/>
    <w:rsid w:val="004B12CD"/>
    <w:rsid w:val="004B1845"/>
    <w:rsid w:val="004B1ED0"/>
    <w:rsid w:val="004B2348"/>
    <w:rsid w:val="004B2E01"/>
    <w:rsid w:val="004B2E24"/>
    <w:rsid w:val="004B2E98"/>
    <w:rsid w:val="004B419B"/>
    <w:rsid w:val="004B4515"/>
    <w:rsid w:val="004B539F"/>
    <w:rsid w:val="004B5640"/>
    <w:rsid w:val="004B5796"/>
    <w:rsid w:val="004B6016"/>
    <w:rsid w:val="004B6084"/>
    <w:rsid w:val="004B682E"/>
    <w:rsid w:val="004B6D09"/>
    <w:rsid w:val="004B6DBF"/>
    <w:rsid w:val="004B7004"/>
    <w:rsid w:val="004BCF29"/>
    <w:rsid w:val="004C0206"/>
    <w:rsid w:val="004C03D0"/>
    <w:rsid w:val="004C07C0"/>
    <w:rsid w:val="004C1096"/>
    <w:rsid w:val="004C1BD7"/>
    <w:rsid w:val="004C1BF2"/>
    <w:rsid w:val="004C1E05"/>
    <w:rsid w:val="004C239C"/>
    <w:rsid w:val="004C31FE"/>
    <w:rsid w:val="004C459E"/>
    <w:rsid w:val="004C5106"/>
    <w:rsid w:val="004C524C"/>
    <w:rsid w:val="004C5333"/>
    <w:rsid w:val="004C5EDD"/>
    <w:rsid w:val="004C5FFA"/>
    <w:rsid w:val="004C670B"/>
    <w:rsid w:val="004C691D"/>
    <w:rsid w:val="004C6947"/>
    <w:rsid w:val="004C6C02"/>
    <w:rsid w:val="004C6C07"/>
    <w:rsid w:val="004C6CB7"/>
    <w:rsid w:val="004C7E15"/>
    <w:rsid w:val="004C7EC6"/>
    <w:rsid w:val="004D0413"/>
    <w:rsid w:val="004D0BF6"/>
    <w:rsid w:val="004D158A"/>
    <w:rsid w:val="004D1980"/>
    <w:rsid w:val="004D1BAC"/>
    <w:rsid w:val="004D2256"/>
    <w:rsid w:val="004D2CD1"/>
    <w:rsid w:val="004D365C"/>
    <w:rsid w:val="004D3980"/>
    <w:rsid w:val="004D4113"/>
    <w:rsid w:val="004D4C05"/>
    <w:rsid w:val="004D4DAB"/>
    <w:rsid w:val="004D4FF6"/>
    <w:rsid w:val="004D5ADD"/>
    <w:rsid w:val="004D63B7"/>
    <w:rsid w:val="004E0CC3"/>
    <w:rsid w:val="004E11AA"/>
    <w:rsid w:val="004E4ACE"/>
    <w:rsid w:val="004E692D"/>
    <w:rsid w:val="004E7230"/>
    <w:rsid w:val="004E7D87"/>
    <w:rsid w:val="004F0085"/>
    <w:rsid w:val="004F2553"/>
    <w:rsid w:val="004F296E"/>
    <w:rsid w:val="004F306A"/>
    <w:rsid w:val="004F38F6"/>
    <w:rsid w:val="004F3D28"/>
    <w:rsid w:val="004F4296"/>
    <w:rsid w:val="004F4474"/>
    <w:rsid w:val="004F471B"/>
    <w:rsid w:val="004F473B"/>
    <w:rsid w:val="004F4854"/>
    <w:rsid w:val="004F50B0"/>
    <w:rsid w:val="004F5C91"/>
    <w:rsid w:val="004F6508"/>
    <w:rsid w:val="004F6C8C"/>
    <w:rsid w:val="00500334"/>
    <w:rsid w:val="0050047E"/>
    <w:rsid w:val="00501554"/>
    <w:rsid w:val="00502AFE"/>
    <w:rsid w:val="00502E64"/>
    <w:rsid w:val="00502EB7"/>
    <w:rsid w:val="00503AD7"/>
    <w:rsid w:val="00503E89"/>
    <w:rsid w:val="0050407E"/>
    <w:rsid w:val="0050409E"/>
    <w:rsid w:val="00504A7E"/>
    <w:rsid w:val="00504E0C"/>
    <w:rsid w:val="00504E13"/>
    <w:rsid w:val="00505796"/>
    <w:rsid w:val="00505AC0"/>
    <w:rsid w:val="00505ACA"/>
    <w:rsid w:val="00506630"/>
    <w:rsid w:val="005109D4"/>
    <w:rsid w:val="00510EEC"/>
    <w:rsid w:val="005112D9"/>
    <w:rsid w:val="005114D5"/>
    <w:rsid w:val="0051230A"/>
    <w:rsid w:val="00512791"/>
    <w:rsid w:val="005127B5"/>
    <w:rsid w:val="00512ED8"/>
    <w:rsid w:val="005134E0"/>
    <w:rsid w:val="00514279"/>
    <w:rsid w:val="005148B8"/>
    <w:rsid w:val="00514CD7"/>
    <w:rsid w:val="005153A2"/>
    <w:rsid w:val="00515D72"/>
    <w:rsid w:val="00515E89"/>
    <w:rsid w:val="00516489"/>
    <w:rsid w:val="005167EC"/>
    <w:rsid w:val="005170DA"/>
    <w:rsid w:val="00517CC9"/>
    <w:rsid w:val="00520D6A"/>
    <w:rsid w:val="00522CFC"/>
    <w:rsid w:val="00522DB6"/>
    <w:rsid w:val="005231A6"/>
    <w:rsid w:val="005250D9"/>
    <w:rsid w:val="0052604B"/>
    <w:rsid w:val="005264A7"/>
    <w:rsid w:val="00526554"/>
    <w:rsid w:val="00526852"/>
    <w:rsid w:val="00526D4C"/>
    <w:rsid w:val="0052792D"/>
    <w:rsid w:val="00527FDA"/>
    <w:rsid w:val="005319B2"/>
    <w:rsid w:val="00531E15"/>
    <w:rsid w:val="00532250"/>
    <w:rsid w:val="00532402"/>
    <w:rsid w:val="00532C74"/>
    <w:rsid w:val="0053319E"/>
    <w:rsid w:val="00533239"/>
    <w:rsid w:val="00534A25"/>
    <w:rsid w:val="00534E2E"/>
    <w:rsid w:val="00535133"/>
    <w:rsid w:val="005376DD"/>
    <w:rsid w:val="0054064C"/>
    <w:rsid w:val="00541B4F"/>
    <w:rsid w:val="005441F5"/>
    <w:rsid w:val="00544552"/>
    <w:rsid w:val="00544F01"/>
    <w:rsid w:val="00545130"/>
    <w:rsid w:val="00545FE7"/>
    <w:rsid w:val="00546B36"/>
    <w:rsid w:val="005470B4"/>
    <w:rsid w:val="00547A49"/>
    <w:rsid w:val="00547DD1"/>
    <w:rsid w:val="00551537"/>
    <w:rsid w:val="00552109"/>
    <w:rsid w:val="0055286A"/>
    <w:rsid w:val="00554BBC"/>
    <w:rsid w:val="00554CE6"/>
    <w:rsid w:val="00555745"/>
    <w:rsid w:val="00555932"/>
    <w:rsid w:val="00556071"/>
    <w:rsid w:val="00557613"/>
    <w:rsid w:val="00557D4F"/>
    <w:rsid w:val="0056074E"/>
    <w:rsid w:val="00560890"/>
    <w:rsid w:val="0056122E"/>
    <w:rsid w:val="00562D10"/>
    <w:rsid w:val="00562F76"/>
    <w:rsid w:val="00563352"/>
    <w:rsid w:val="005637F2"/>
    <w:rsid w:val="00563B72"/>
    <w:rsid w:val="00564319"/>
    <w:rsid w:val="0056484E"/>
    <w:rsid w:val="00565029"/>
    <w:rsid w:val="00565999"/>
    <w:rsid w:val="0056676E"/>
    <w:rsid w:val="005669CF"/>
    <w:rsid w:val="00567B24"/>
    <w:rsid w:val="00567D8A"/>
    <w:rsid w:val="00570231"/>
    <w:rsid w:val="005714B7"/>
    <w:rsid w:val="00572A48"/>
    <w:rsid w:val="00572D14"/>
    <w:rsid w:val="00574EAC"/>
    <w:rsid w:val="005760F7"/>
    <w:rsid w:val="005764CD"/>
    <w:rsid w:val="00576B82"/>
    <w:rsid w:val="00576B92"/>
    <w:rsid w:val="0057703E"/>
    <w:rsid w:val="00577B8A"/>
    <w:rsid w:val="00577C4D"/>
    <w:rsid w:val="00580532"/>
    <w:rsid w:val="0058115E"/>
    <w:rsid w:val="00581932"/>
    <w:rsid w:val="005819E7"/>
    <w:rsid w:val="00581BCF"/>
    <w:rsid w:val="00581CB8"/>
    <w:rsid w:val="00582698"/>
    <w:rsid w:val="00582E3B"/>
    <w:rsid w:val="00583002"/>
    <w:rsid w:val="005830ED"/>
    <w:rsid w:val="00584248"/>
    <w:rsid w:val="005847C3"/>
    <w:rsid w:val="005851FC"/>
    <w:rsid w:val="005856E2"/>
    <w:rsid w:val="00587214"/>
    <w:rsid w:val="00590177"/>
    <w:rsid w:val="005903BB"/>
    <w:rsid w:val="005914A5"/>
    <w:rsid w:val="00593893"/>
    <w:rsid w:val="00594AC4"/>
    <w:rsid w:val="00596021"/>
    <w:rsid w:val="005963BB"/>
    <w:rsid w:val="0059645C"/>
    <w:rsid w:val="005966A6"/>
    <w:rsid w:val="00596836"/>
    <w:rsid w:val="00596D37"/>
    <w:rsid w:val="005A15D2"/>
    <w:rsid w:val="005A1868"/>
    <w:rsid w:val="005A1F26"/>
    <w:rsid w:val="005A21D0"/>
    <w:rsid w:val="005A257C"/>
    <w:rsid w:val="005A2597"/>
    <w:rsid w:val="005A3173"/>
    <w:rsid w:val="005A3223"/>
    <w:rsid w:val="005A3752"/>
    <w:rsid w:val="005A3DA3"/>
    <w:rsid w:val="005A52C4"/>
    <w:rsid w:val="005A5A12"/>
    <w:rsid w:val="005A60F0"/>
    <w:rsid w:val="005A63A1"/>
    <w:rsid w:val="005A780E"/>
    <w:rsid w:val="005B014D"/>
    <w:rsid w:val="005B0486"/>
    <w:rsid w:val="005B1032"/>
    <w:rsid w:val="005B1473"/>
    <w:rsid w:val="005B1B6B"/>
    <w:rsid w:val="005B1F24"/>
    <w:rsid w:val="005B2341"/>
    <w:rsid w:val="005B3068"/>
    <w:rsid w:val="005B36FA"/>
    <w:rsid w:val="005B4046"/>
    <w:rsid w:val="005B48DE"/>
    <w:rsid w:val="005B4BCE"/>
    <w:rsid w:val="005B611E"/>
    <w:rsid w:val="005B7AB2"/>
    <w:rsid w:val="005C0AD1"/>
    <w:rsid w:val="005C1311"/>
    <w:rsid w:val="005C1AD3"/>
    <w:rsid w:val="005C2711"/>
    <w:rsid w:val="005C33CE"/>
    <w:rsid w:val="005C4F73"/>
    <w:rsid w:val="005C5296"/>
    <w:rsid w:val="005C5ACA"/>
    <w:rsid w:val="005C5E95"/>
    <w:rsid w:val="005C6404"/>
    <w:rsid w:val="005D03AB"/>
    <w:rsid w:val="005D0BD4"/>
    <w:rsid w:val="005D0C23"/>
    <w:rsid w:val="005D1699"/>
    <w:rsid w:val="005D186D"/>
    <w:rsid w:val="005D2370"/>
    <w:rsid w:val="005D401D"/>
    <w:rsid w:val="005D5017"/>
    <w:rsid w:val="005D5575"/>
    <w:rsid w:val="005D55FD"/>
    <w:rsid w:val="005D5708"/>
    <w:rsid w:val="005D5C41"/>
    <w:rsid w:val="005D63FA"/>
    <w:rsid w:val="005D643D"/>
    <w:rsid w:val="005D6842"/>
    <w:rsid w:val="005D73C7"/>
    <w:rsid w:val="005D79F9"/>
    <w:rsid w:val="005D7F65"/>
    <w:rsid w:val="005E0050"/>
    <w:rsid w:val="005E0C2D"/>
    <w:rsid w:val="005E0D82"/>
    <w:rsid w:val="005E0F59"/>
    <w:rsid w:val="005E1333"/>
    <w:rsid w:val="005E1B10"/>
    <w:rsid w:val="005E2BE1"/>
    <w:rsid w:val="005E3136"/>
    <w:rsid w:val="005E3CDA"/>
    <w:rsid w:val="005E3E20"/>
    <w:rsid w:val="005E421A"/>
    <w:rsid w:val="005E4318"/>
    <w:rsid w:val="005E4848"/>
    <w:rsid w:val="005E507D"/>
    <w:rsid w:val="005E51C2"/>
    <w:rsid w:val="005E5DC8"/>
    <w:rsid w:val="005E70ED"/>
    <w:rsid w:val="005F051C"/>
    <w:rsid w:val="005F0AD0"/>
    <w:rsid w:val="005F0C3F"/>
    <w:rsid w:val="005F0F5B"/>
    <w:rsid w:val="005F1038"/>
    <w:rsid w:val="005F10CD"/>
    <w:rsid w:val="005F1EC7"/>
    <w:rsid w:val="005F2097"/>
    <w:rsid w:val="005F2554"/>
    <w:rsid w:val="005F67DA"/>
    <w:rsid w:val="005F69AE"/>
    <w:rsid w:val="005F73A0"/>
    <w:rsid w:val="005F7639"/>
    <w:rsid w:val="00600A18"/>
    <w:rsid w:val="00601A54"/>
    <w:rsid w:val="00601A91"/>
    <w:rsid w:val="00601B78"/>
    <w:rsid w:val="00602063"/>
    <w:rsid w:val="00602BA3"/>
    <w:rsid w:val="006031DF"/>
    <w:rsid w:val="00603BF1"/>
    <w:rsid w:val="00605B63"/>
    <w:rsid w:val="00605F9A"/>
    <w:rsid w:val="00606442"/>
    <w:rsid w:val="00606A7B"/>
    <w:rsid w:val="00606EED"/>
    <w:rsid w:val="006071CF"/>
    <w:rsid w:val="00607DDB"/>
    <w:rsid w:val="00611FC9"/>
    <w:rsid w:val="006120A6"/>
    <w:rsid w:val="00612A95"/>
    <w:rsid w:val="00612E34"/>
    <w:rsid w:val="00614159"/>
    <w:rsid w:val="0061476B"/>
    <w:rsid w:val="006158A3"/>
    <w:rsid w:val="00615C96"/>
    <w:rsid w:val="00616ACF"/>
    <w:rsid w:val="00616C5F"/>
    <w:rsid w:val="00616DAC"/>
    <w:rsid w:val="006173B8"/>
    <w:rsid w:val="00617725"/>
    <w:rsid w:val="00617A12"/>
    <w:rsid w:val="00617C00"/>
    <w:rsid w:val="00617D89"/>
    <w:rsid w:val="0062316F"/>
    <w:rsid w:val="006235F0"/>
    <w:rsid w:val="006238ED"/>
    <w:rsid w:val="00624574"/>
    <w:rsid w:val="00624A52"/>
    <w:rsid w:val="006256B9"/>
    <w:rsid w:val="006263BF"/>
    <w:rsid w:val="006271FD"/>
    <w:rsid w:val="0062748A"/>
    <w:rsid w:val="00627C7D"/>
    <w:rsid w:val="00627DA7"/>
    <w:rsid w:val="00630546"/>
    <w:rsid w:val="00630A2C"/>
    <w:rsid w:val="00630D33"/>
    <w:rsid w:val="006313AD"/>
    <w:rsid w:val="00631402"/>
    <w:rsid w:val="00631D0D"/>
    <w:rsid w:val="00632180"/>
    <w:rsid w:val="00633676"/>
    <w:rsid w:val="006338D5"/>
    <w:rsid w:val="00634A75"/>
    <w:rsid w:val="00634D76"/>
    <w:rsid w:val="006353E8"/>
    <w:rsid w:val="0063682E"/>
    <w:rsid w:val="00636D93"/>
    <w:rsid w:val="00637A61"/>
    <w:rsid w:val="00640088"/>
    <w:rsid w:val="00640124"/>
    <w:rsid w:val="006409F7"/>
    <w:rsid w:val="00640D16"/>
    <w:rsid w:val="00642672"/>
    <w:rsid w:val="00642DA8"/>
    <w:rsid w:val="0064329D"/>
    <w:rsid w:val="006436CD"/>
    <w:rsid w:val="006452F5"/>
    <w:rsid w:val="0064647D"/>
    <w:rsid w:val="00646955"/>
    <w:rsid w:val="00650976"/>
    <w:rsid w:val="00651169"/>
    <w:rsid w:val="00651194"/>
    <w:rsid w:val="006512F5"/>
    <w:rsid w:val="006516D9"/>
    <w:rsid w:val="00653D69"/>
    <w:rsid w:val="00653EEE"/>
    <w:rsid w:val="00653EF5"/>
    <w:rsid w:val="00654BED"/>
    <w:rsid w:val="00654DAC"/>
    <w:rsid w:val="006552E6"/>
    <w:rsid w:val="00655794"/>
    <w:rsid w:val="00655D85"/>
    <w:rsid w:val="00656233"/>
    <w:rsid w:val="00656C08"/>
    <w:rsid w:val="00656F2F"/>
    <w:rsid w:val="00657C63"/>
    <w:rsid w:val="00661930"/>
    <w:rsid w:val="00661CBC"/>
    <w:rsid w:val="00662B85"/>
    <w:rsid w:val="00662BA6"/>
    <w:rsid w:val="00663DC1"/>
    <w:rsid w:val="00663EE9"/>
    <w:rsid w:val="006643BF"/>
    <w:rsid w:val="0066494F"/>
    <w:rsid w:val="00664987"/>
    <w:rsid w:val="00664D9A"/>
    <w:rsid w:val="006650BB"/>
    <w:rsid w:val="006670B3"/>
    <w:rsid w:val="006670BE"/>
    <w:rsid w:val="006670D5"/>
    <w:rsid w:val="0066778F"/>
    <w:rsid w:val="00670330"/>
    <w:rsid w:val="00670A76"/>
    <w:rsid w:val="00671064"/>
    <w:rsid w:val="00671136"/>
    <w:rsid w:val="006711AA"/>
    <w:rsid w:val="00672B57"/>
    <w:rsid w:val="00673F1F"/>
    <w:rsid w:val="00675622"/>
    <w:rsid w:val="00675DEB"/>
    <w:rsid w:val="006773D4"/>
    <w:rsid w:val="00677431"/>
    <w:rsid w:val="0067747D"/>
    <w:rsid w:val="006778CA"/>
    <w:rsid w:val="006809A2"/>
    <w:rsid w:val="00680FF1"/>
    <w:rsid w:val="006818D5"/>
    <w:rsid w:val="00681CA4"/>
    <w:rsid w:val="0068411E"/>
    <w:rsid w:val="0068427C"/>
    <w:rsid w:val="00684950"/>
    <w:rsid w:val="00685689"/>
    <w:rsid w:val="00685A20"/>
    <w:rsid w:val="00686513"/>
    <w:rsid w:val="00686559"/>
    <w:rsid w:val="00686ECE"/>
    <w:rsid w:val="00687375"/>
    <w:rsid w:val="00687D85"/>
    <w:rsid w:val="0069039D"/>
    <w:rsid w:val="006906DB"/>
    <w:rsid w:val="00691726"/>
    <w:rsid w:val="00691900"/>
    <w:rsid w:val="00691E6C"/>
    <w:rsid w:val="006921C1"/>
    <w:rsid w:val="006921E7"/>
    <w:rsid w:val="00692A53"/>
    <w:rsid w:val="00692F77"/>
    <w:rsid w:val="00693356"/>
    <w:rsid w:val="00693425"/>
    <w:rsid w:val="0069342D"/>
    <w:rsid w:val="00693DFB"/>
    <w:rsid w:val="0069451A"/>
    <w:rsid w:val="00694E71"/>
    <w:rsid w:val="00694FD5"/>
    <w:rsid w:val="0069501D"/>
    <w:rsid w:val="00695A79"/>
    <w:rsid w:val="00695FBD"/>
    <w:rsid w:val="00696129"/>
    <w:rsid w:val="006964B6"/>
    <w:rsid w:val="006967F5"/>
    <w:rsid w:val="00697CF2"/>
    <w:rsid w:val="006A041D"/>
    <w:rsid w:val="006A12A5"/>
    <w:rsid w:val="006A1364"/>
    <w:rsid w:val="006A1AB8"/>
    <w:rsid w:val="006A2123"/>
    <w:rsid w:val="006A2515"/>
    <w:rsid w:val="006A40B5"/>
    <w:rsid w:val="006A4A90"/>
    <w:rsid w:val="006A572D"/>
    <w:rsid w:val="006A5ACD"/>
    <w:rsid w:val="006A5C83"/>
    <w:rsid w:val="006A5E20"/>
    <w:rsid w:val="006A64D0"/>
    <w:rsid w:val="006A65CE"/>
    <w:rsid w:val="006A720D"/>
    <w:rsid w:val="006A7261"/>
    <w:rsid w:val="006B036F"/>
    <w:rsid w:val="006B0505"/>
    <w:rsid w:val="006B0D94"/>
    <w:rsid w:val="006B16B6"/>
    <w:rsid w:val="006B2E12"/>
    <w:rsid w:val="006B2E1E"/>
    <w:rsid w:val="006B3077"/>
    <w:rsid w:val="006B3245"/>
    <w:rsid w:val="006B3C63"/>
    <w:rsid w:val="006B3D96"/>
    <w:rsid w:val="006B461B"/>
    <w:rsid w:val="006B485D"/>
    <w:rsid w:val="006B6496"/>
    <w:rsid w:val="006B7103"/>
    <w:rsid w:val="006B7C2E"/>
    <w:rsid w:val="006B7DDA"/>
    <w:rsid w:val="006C0603"/>
    <w:rsid w:val="006C0763"/>
    <w:rsid w:val="006C0C45"/>
    <w:rsid w:val="006C140F"/>
    <w:rsid w:val="006C2806"/>
    <w:rsid w:val="006C334C"/>
    <w:rsid w:val="006C4BD2"/>
    <w:rsid w:val="006C5C3E"/>
    <w:rsid w:val="006C601B"/>
    <w:rsid w:val="006C6C10"/>
    <w:rsid w:val="006C708E"/>
    <w:rsid w:val="006C7F09"/>
    <w:rsid w:val="006D019D"/>
    <w:rsid w:val="006D14E7"/>
    <w:rsid w:val="006D27C2"/>
    <w:rsid w:val="006D2F56"/>
    <w:rsid w:val="006D3471"/>
    <w:rsid w:val="006D401B"/>
    <w:rsid w:val="006D4423"/>
    <w:rsid w:val="006D4444"/>
    <w:rsid w:val="006D4B7B"/>
    <w:rsid w:val="006D51B5"/>
    <w:rsid w:val="006D6493"/>
    <w:rsid w:val="006D6BE4"/>
    <w:rsid w:val="006D6EC7"/>
    <w:rsid w:val="006D7B05"/>
    <w:rsid w:val="006D7E45"/>
    <w:rsid w:val="006E0242"/>
    <w:rsid w:val="006E06D9"/>
    <w:rsid w:val="006E0F1B"/>
    <w:rsid w:val="006E1143"/>
    <w:rsid w:val="006E1BCD"/>
    <w:rsid w:val="006E1D47"/>
    <w:rsid w:val="006E2136"/>
    <w:rsid w:val="006E2171"/>
    <w:rsid w:val="006E2355"/>
    <w:rsid w:val="006E2732"/>
    <w:rsid w:val="006E317C"/>
    <w:rsid w:val="006E3C21"/>
    <w:rsid w:val="006E4675"/>
    <w:rsid w:val="006E4776"/>
    <w:rsid w:val="006E4A12"/>
    <w:rsid w:val="006E4C63"/>
    <w:rsid w:val="006E59CD"/>
    <w:rsid w:val="006E5E5C"/>
    <w:rsid w:val="006E6350"/>
    <w:rsid w:val="006F00ED"/>
    <w:rsid w:val="006F026F"/>
    <w:rsid w:val="006F02C9"/>
    <w:rsid w:val="006F0A71"/>
    <w:rsid w:val="006F1399"/>
    <w:rsid w:val="006F163B"/>
    <w:rsid w:val="006F1C6B"/>
    <w:rsid w:val="006F2ECE"/>
    <w:rsid w:val="006F40C2"/>
    <w:rsid w:val="006F46F9"/>
    <w:rsid w:val="006F5125"/>
    <w:rsid w:val="006F531B"/>
    <w:rsid w:val="006F6A90"/>
    <w:rsid w:val="006F6C77"/>
    <w:rsid w:val="006F6D41"/>
    <w:rsid w:val="006F733D"/>
    <w:rsid w:val="006F79F6"/>
    <w:rsid w:val="00700765"/>
    <w:rsid w:val="00702959"/>
    <w:rsid w:val="00702B6F"/>
    <w:rsid w:val="007030B4"/>
    <w:rsid w:val="00703B86"/>
    <w:rsid w:val="00704069"/>
    <w:rsid w:val="00704F3E"/>
    <w:rsid w:val="00705782"/>
    <w:rsid w:val="007061C0"/>
    <w:rsid w:val="0070660E"/>
    <w:rsid w:val="007069C9"/>
    <w:rsid w:val="00706A2F"/>
    <w:rsid w:val="00707042"/>
    <w:rsid w:val="0070718E"/>
    <w:rsid w:val="00707627"/>
    <w:rsid w:val="00707E52"/>
    <w:rsid w:val="00710259"/>
    <w:rsid w:val="0071031F"/>
    <w:rsid w:val="00710737"/>
    <w:rsid w:val="007110D4"/>
    <w:rsid w:val="00711BD0"/>
    <w:rsid w:val="00712593"/>
    <w:rsid w:val="0071340B"/>
    <w:rsid w:val="00713C50"/>
    <w:rsid w:val="0071414A"/>
    <w:rsid w:val="0071436D"/>
    <w:rsid w:val="0071472B"/>
    <w:rsid w:val="00714DB9"/>
    <w:rsid w:val="00714E50"/>
    <w:rsid w:val="0071508D"/>
    <w:rsid w:val="007156F1"/>
    <w:rsid w:val="00715BBB"/>
    <w:rsid w:val="00715E41"/>
    <w:rsid w:val="00715FD9"/>
    <w:rsid w:val="007174BB"/>
    <w:rsid w:val="00717D5F"/>
    <w:rsid w:val="007201D9"/>
    <w:rsid w:val="0072025D"/>
    <w:rsid w:val="00720EC1"/>
    <w:rsid w:val="00721941"/>
    <w:rsid w:val="00723328"/>
    <w:rsid w:val="007233B8"/>
    <w:rsid w:val="0072372B"/>
    <w:rsid w:val="007237DE"/>
    <w:rsid w:val="00723C9D"/>
    <w:rsid w:val="00724C7D"/>
    <w:rsid w:val="0072502E"/>
    <w:rsid w:val="0072563D"/>
    <w:rsid w:val="0072777C"/>
    <w:rsid w:val="00727FF0"/>
    <w:rsid w:val="0073137C"/>
    <w:rsid w:val="00731BE1"/>
    <w:rsid w:val="007340B9"/>
    <w:rsid w:val="00734323"/>
    <w:rsid w:val="0073495F"/>
    <w:rsid w:val="007349AD"/>
    <w:rsid w:val="00735005"/>
    <w:rsid w:val="007353D3"/>
    <w:rsid w:val="00735F8E"/>
    <w:rsid w:val="00736573"/>
    <w:rsid w:val="00736CF6"/>
    <w:rsid w:val="0073736F"/>
    <w:rsid w:val="007374BC"/>
    <w:rsid w:val="007403B8"/>
    <w:rsid w:val="00740528"/>
    <w:rsid w:val="007406D1"/>
    <w:rsid w:val="00740C9E"/>
    <w:rsid w:val="0074156B"/>
    <w:rsid w:val="00741619"/>
    <w:rsid w:val="00742885"/>
    <w:rsid w:val="00744DF0"/>
    <w:rsid w:val="00744ECF"/>
    <w:rsid w:val="007454B5"/>
    <w:rsid w:val="00745C6B"/>
    <w:rsid w:val="00746034"/>
    <w:rsid w:val="00747020"/>
    <w:rsid w:val="00747092"/>
    <w:rsid w:val="00747756"/>
    <w:rsid w:val="007477FF"/>
    <w:rsid w:val="00750E1B"/>
    <w:rsid w:val="0075183A"/>
    <w:rsid w:val="007526E6"/>
    <w:rsid w:val="00752C83"/>
    <w:rsid w:val="00752DA1"/>
    <w:rsid w:val="007531B5"/>
    <w:rsid w:val="00753359"/>
    <w:rsid w:val="00754961"/>
    <w:rsid w:val="00754DF9"/>
    <w:rsid w:val="007553E8"/>
    <w:rsid w:val="007555E8"/>
    <w:rsid w:val="00755CC5"/>
    <w:rsid w:val="00756043"/>
    <w:rsid w:val="0075687A"/>
    <w:rsid w:val="007570C5"/>
    <w:rsid w:val="00757361"/>
    <w:rsid w:val="0076056B"/>
    <w:rsid w:val="0076056E"/>
    <w:rsid w:val="007616DA"/>
    <w:rsid w:val="0076221E"/>
    <w:rsid w:val="00762862"/>
    <w:rsid w:val="0076420C"/>
    <w:rsid w:val="00764937"/>
    <w:rsid w:val="00765AD4"/>
    <w:rsid w:val="0076699D"/>
    <w:rsid w:val="00766E85"/>
    <w:rsid w:val="00767B1C"/>
    <w:rsid w:val="00767EF1"/>
    <w:rsid w:val="00770CD1"/>
    <w:rsid w:val="00771046"/>
    <w:rsid w:val="007710C7"/>
    <w:rsid w:val="007717BF"/>
    <w:rsid w:val="00771D07"/>
    <w:rsid w:val="00772649"/>
    <w:rsid w:val="00772783"/>
    <w:rsid w:val="00772DF4"/>
    <w:rsid w:val="00772F5D"/>
    <w:rsid w:val="00773BE3"/>
    <w:rsid w:val="00773BEE"/>
    <w:rsid w:val="00773DE4"/>
    <w:rsid w:val="007742A4"/>
    <w:rsid w:val="007743DD"/>
    <w:rsid w:val="00774E2C"/>
    <w:rsid w:val="0077503C"/>
    <w:rsid w:val="0077518D"/>
    <w:rsid w:val="007753C2"/>
    <w:rsid w:val="00776068"/>
    <w:rsid w:val="00777C45"/>
    <w:rsid w:val="0078029C"/>
    <w:rsid w:val="007807F4"/>
    <w:rsid w:val="007810A9"/>
    <w:rsid w:val="007814F0"/>
    <w:rsid w:val="007815F5"/>
    <w:rsid w:val="00781F77"/>
    <w:rsid w:val="007821C4"/>
    <w:rsid w:val="007838B8"/>
    <w:rsid w:val="00784035"/>
    <w:rsid w:val="00784115"/>
    <w:rsid w:val="0078444F"/>
    <w:rsid w:val="0078480F"/>
    <w:rsid w:val="00785779"/>
    <w:rsid w:val="007870DA"/>
    <w:rsid w:val="007878DF"/>
    <w:rsid w:val="00787A84"/>
    <w:rsid w:val="00787AD8"/>
    <w:rsid w:val="00787D6F"/>
    <w:rsid w:val="00787FD8"/>
    <w:rsid w:val="007908C1"/>
    <w:rsid w:val="007915BA"/>
    <w:rsid w:val="00791844"/>
    <w:rsid w:val="00791F61"/>
    <w:rsid w:val="0079250E"/>
    <w:rsid w:val="007933AE"/>
    <w:rsid w:val="007937CD"/>
    <w:rsid w:val="00793CE9"/>
    <w:rsid w:val="00794124"/>
    <w:rsid w:val="00795A8A"/>
    <w:rsid w:val="00795B74"/>
    <w:rsid w:val="00795C72"/>
    <w:rsid w:val="00795E85"/>
    <w:rsid w:val="00796667"/>
    <w:rsid w:val="00797068"/>
    <w:rsid w:val="007979BD"/>
    <w:rsid w:val="007A0559"/>
    <w:rsid w:val="007A3D8E"/>
    <w:rsid w:val="007A5079"/>
    <w:rsid w:val="007A5971"/>
    <w:rsid w:val="007A5BF5"/>
    <w:rsid w:val="007A5C88"/>
    <w:rsid w:val="007A605A"/>
    <w:rsid w:val="007A662D"/>
    <w:rsid w:val="007A6A2F"/>
    <w:rsid w:val="007A72BF"/>
    <w:rsid w:val="007A740C"/>
    <w:rsid w:val="007A7553"/>
    <w:rsid w:val="007A75BC"/>
    <w:rsid w:val="007A7F3A"/>
    <w:rsid w:val="007B024E"/>
    <w:rsid w:val="007B04C5"/>
    <w:rsid w:val="007B16BF"/>
    <w:rsid w:val="007B26C1"/>
    <w:rsid w:val="007B2797"/>
    <w:rsid w:val="007B3537"/>
    <w:rsid w:val="007B3BAF"/>
    <w:rsid w:val="007B3BDF"/>
    <w:rsid w:val="007B3DDC"/>
    <w:rsid w:val="007B4244"/>
    <w:rsid w:val="007B4C04"/>
    <w:rsid w:val="007B4FE5"/>
    <w:rsid w:val="007B71FD"/>
    <w:rsid w:val="007B72A6"/>
    <w:rsid w:val="007C06D2"/>
    <w:rsid w:val="007C08E0"/>
    <w:rsid w:val="007C09A8"/>
    <w:rsid w:val="007C0CA8"/>
    <w:rsid w:val="007C0ED6"/>
    <w:rsid w:val="007C0F57"/>
    <w:rsid w:val="007C146F"/>
    <w:rsid w:val="007C1AA6"/>
    <w:rsid w:val="007C22B6"/>
    <w:rsid w:val="007C2B22"/>
    <w:rsid w:val="007C2F4B"/>
    <w:rsid w:val="007C3301"/>
    <w:rsid w:val="007C37FF"/>
    <w:rsid w:val="007C40B6"/>
    <w:rsid w:val="007C4E95"/>
    <w:rsid w:val="007C53D0"/>
    <w:rsid w:val="007C5975"/>
    <w:rsid w:val="007C7152"/>
    <w:rsid w:val="007C729F"/>
    <w:rsid w:val="007C72AD"/>
    <w:rsid w:val="007D1581"/>
    <w:rsid w:val="007D3441"/>
    <w:rsid w:val="007D3741"/>
    <w:rsid w:val="007D38E8"/>
    <w:rsid w:val="007D503D"/>
    <w:rsid w:val="007D5061"/>
    <w:rsid w:val="007D518B"/>
    <w:rsid w:val="007D55F7"/>
    <w:rsid w:val="007D55FB"/>
    <w:rsid w:val="007D5611"/>
    <w:rsid w:val="007D59E7"/>
    <w:rsid w:val="007D5F2A"/>
    <w:rsid w:val="007D6AD7"/>
    <w:rsid w:val="007D7E9C"/>
    <w:rsid w:val="007E043D"/>
    <w:rsid w:val="007E07AC"/>
    <w:rsid w:val="007E1014"/>
    <w:rsid w:val="007E12F8"/>
    <w:rsid w:val="007E1367"/>
    <w:rsid w:val="007E14EB"/>
    <w:rsid w:val="007E1D28"/>
    <w:rsid w:val="007E2E49"/>
    <w:rsid w:val="007E43A5"/>
    <w:rsid w:val="007E4564"/>
    <w:rsid w:val="007E490F"/>
    <w:rsid w:val="007E5671"/>
    <w:rsid w:val="007E5863"/>
    <w:rsid w:val="007E58AA"/>
    <w:rsid w:val="007E64B2"/>
    <w:rsid w:val="007E6533"/>
    <w:rsid w:val="007E7E85"/>
    <w:rsid w:val="007F001B"/>
    <w:rsid w:val="007F0021"/>
    <w:rsid w:val="007F08B7"/>
    <w:rsid w:val="007F0C85"/>
    <w:rsid w:val="007F0E16"/>
    <w:rsid w:val="007F1007"/>
    <w:rsid w:val="007F1C50"/>
    <w:rsid w:val="007F2641"/>
    <w:rsid w:val="007F2F75"/>
    <w:rsid w:val="007F3681"/>
    <w:rsid w:val="007F6582"/>
    <w:rsid w:val="007F77E9"/>
    <w:rsid w:val="007F7C36"/>
    <w:rsid w:val="007F7CE9"/>
    <w:rsid w:val="007F7F45"/>
    <w:rsid w:val="0080001F"/>
    <w:rsid w:val="00800F87"/>
    <w:rsid w:val="008012B5"/>
    <w:rsid w:val="00801958"/>
    <w:rsid w:val="00802A4A"/>
    <w:rsid w:val="008030F2"/>
    <w:rsid w:val="008046FD"/>
    <w:rsid w:val="008055AF"/>
    <w:rsid w:val="008057CD"/>
    <w:rsid w:val="00805BBE"/>
    <w:rsid w:val="00805EDC"/>
    <w:rsid w:val="008066B8"/>
    <w:rsid w:val="00806796"/>
    <w:rsid w:val="00806ECA"/>
    <w:rsid w:val="0080764F"/>
    <w:rsid w:val="00810167"/>
    <w:rsid w:val="008104D0"/>
    <w:rsid w:val="00810675"/>
    <w:rsid w:val="00811020"/>
    <w:rsid w:val="00811514"/>
    <w:rsid w:val="0081171A"/>
    <w:rsid w:val="00811CC0"/>
    <w:rsid w:val="0081218E"/>
    <w:rsid w:val="008130DA"/>
    <w:rsid w:val="00813173"/>
    <w:rsid w:val="008132D5"/>
    <w:rsid w:val="00813B31"/>
    <w:rsid w:val="00814276"/>
    <w:rsid w:val="008151D6"/>
    <w:rsid w:val="00815E97"/>
    <w:rsid w:val="00816322"/>
    <w:rsid w:val="008175C0"/>
    <w:rsid w:val="00817652"/>
    <w:rsid w:val="00820803"/>
    <w:rsid w:val="00820E0B"/>
    <w:rsid w:val="00821527"/>
    <w:rsid w:val="00822162"/>
    <w:rsid w:val="008225CE"/>
    <w:rsid w:val="00822696"/>
    <w:rsid w:val="00822D63"/>
    <w:rsid w:val="0082457A"/>
    <w:rsid w:val="00825A6C"/>
    <w:rsid w:val="0082603A"/>
    <w:rsid w:val="0082617E"/>
    <w:rsid w:val="008268BB"/>
    <w:rsid w:val="00826F6D"/>
    <w:rsid w:val="00827097"/>
    <w:rsid w:val="00827C9F"/>
    <w:rsid w:val="008306B5"/>
    <w:rsid w:val="008306F3"/>
    <w:rsid w:val="008309B5"/>
    <w:rsid w:val="00830E40"/>
    <w:rsid w:val="00831B88"/>
    <w:rsid w:val="00832A4E"/>
    <w:rsid w:val="00832D9A"/>
    <w:rsid w:val="008334D2"/>
    <w:rsid w:val="00834717"/>
    <w:rsid w:val="00835C62"/>
    <w:rsid w:val="008368A1"/>
    <w:rsid w:val="00837A9C"/>
    <w:rsid w:val="00837B7F"/>
    <w:rsid w:val="00840EF7"/>
    <w:rsid w:val="00841A4E"/>
    <w:rsid w:val="00841B58"/>
    <w:rsid w:val="00841DEF"/>
    <w:rsid w:val="00842667"/>
    <w:rsid w:val="00842F1D"/>
    <w:rsid w:val="008435BB"/>
    <w:rsid w:val="0084364D"/>
    <w:rsid w:val="00844824"/>
    <w:rsid w:val="00844C0A"/>
    <w:rsid w:val="00846056"/>
    <w:rsid w:val="0084665F"/>
    <w:rsid w:val="0084681F"/>
    <w:rsid w:val="00846852"/>
    <w:rsid w:val="008475FC"/>
    <w:rsid w:val="0084792D"/>
    <w:rsid w:val="00847D08"/>
    <w:rsid w:val="00847EC0"/>
    <w:rsid w:val="00850023"/>
    <w:rsid w:val="008505BA"/>
    <w:rsid w:val="00850710"/>
    <w:rsid w:val="00850C91"/>
    <w:rsid w:val="008516AA"/>
    <w:rsid w:val="00852466"/>
    <w:rsid w:val="00852984"/>
    <w:rsid w:val="00853D84"/>
    <w:rsid w:val="00854506"/>
    <w:rsid w:val="00854A69"/>
    <w:rsid w:val="00854B11"/>
    <w:rsid w:val="00855768"/>
    <w:rsid w:val="00855FD6"/>
    <w:rsid w:val="00856DDD"/>
    <w:rsid w:val="00857821"/>
    <w:rsid w:val="00860233"/>
    <w:rsid w:val="008614DF"/>
    <w:rsid w:val="00862F04"/>
    <w:rsid w:val="00863E68"/>
    <w:rsid w:val="00864025"/>
    <w:rsid w:val="008647B5"/>
    <w:rsid w:val="00864CD6"/>
    <w:rsid w:val="008656C2"/>
    <w:rsid w:val="0086615B"/>
    <w:rsid w:val="00867D64"/>
    <w:rsid w:val="00867D85"/>
    <w:rsid w:val="00870A2B"/>
    <w:rsid w:val="0087192F"/>
    <w:rsid w:val="00872E8F"/>
    <w:rsid w:val="00875DCB"/>
    <w:rsid w:val="008763A3"/>
    <w:rsid w:val="00876FBF"/>
    <w:rsid w:val="00877392"/>
    <w:rsid w:val="0087755A"/>
    <w:rsid w:val="00880A3A"/>
    <w:rsid w:val="008810AA"/>
    <w:rsid w:val="00882085"/>
    <w:rsid w:val="00882EA3"/>
    <w:rsid w:val="008830F5"/>
    <w:rsid w:val="00883188"/>
    <w:rsid w:val="0088373D"/>
    <w:rsid w:val="00883C1D"/>
    <w:rsid w:val="00884A0C"/>
    <w:rsid w:val="0088509E"/>
    <w:rsid w:val="0088578B"/>
    <w:rsid w:val="0088597A"/>
    <w:rsid w:val="0088641B"/>
    <w:rsid w:val="00886735"/>
    <w:rsid w:val="00886743"/>
    <w:rsid w:val="00886ACA"/>
    <w:rsid w:val="00886B01"/>
    <w:rsid w:val="00887F5B"/>
    <w:rsid w:val="0089031E"/>
    <w:rsid w:val="0089109A"/>
    <w:rsid w:val="00891221"/>
    <w:rsid w:val="00891B45"/>
    <w:rsid w:val="0089216F"/>
    <w:rsid w:val="00892368"/>
    <w:rsid w:val="00892A5B"/>
    <w:rsid w:val="00893011"/>
    <w:rsid w:val="008931F3"/>
    <w:rsid w:val="00893D5C"/>
    <w:rsid w:val="0089460B"/>
    <w:rsid w:val="008947A6"/>
    <w:rsid w:val="008955C1"/>
    <w:rsid w:val="008972D0"/>
    <w:rsid w:val="00897D58"/>
    <w:rsid w:val="00897F22"/>
    <w:rsid w:val="008A0B39"/>
    <w:rsid w:val="008A17A3"/>
    <w:rsid w:val="008A1956"/>
    <w:rsid w:val="008A1C1B"/>
    <w:rsid w:val="008A1E85"/>
    <w:rsid w:val="008A2419"/>
    <w:rsid w:val="008A259C"/>
    <w:rsid w:val="008A2A57"/>
    <w:rsid w:val="008A2ADC"/>
    <w:rsid w:val="008A32CA"/>
    <w:rsid w:val="008A47BC"/>
    <w:rsid w:val="008A4937"/>
    <w:rsid w:val="008A50F1"/>
    <w:rsid w:val="008A59D9"/>
    <w:rsid w:val="008A643E"/>
    <w:rsid w:val="008A6819"/>
    <w:rsid w:val="008A6950"/>
    <w:rsid w:val="008A7C26"/>
    <w:rsid w:val="008B007A"/>
    <w:rsid w:val="008B00E8"/>
    <w:rsid w:val="008B0D1E"/>
    <w:rsid w:val="008B2EC0"/>
    <w:rsid w:val="008B3BD3"/>
    <w:rsid w:val="008B3CC0"/>
    <w:rsid w:val="008B47CA"/>
    <w:rsid w:val="008B561E"/>
    <w:rsid w:val="008B5F5B"/>
    <w:rsid w:val="008B6060"/>
    <w:rsid w:val="008B6DCF"/>
    <w:rsid w:val="008B723C"/>
    <w:rsid w:val="008C0FBD"/>
    <w:rsid w:val="008C1410"/>
    <w:rsid w:val="008C4D49"/>
    <w:rsid w:val="008C60E7"/>
    <w:rsid w:val="008C735C"/>
    <w:rsid w:val="008C7C3C"/>
    <w:rsid w:val="008D0567"/>
    <w:rsid w:val="008D0945"/>
    <w:rsid w:val="008D1409"/>
    <w:rsid w:val="008D15CC"/>
    <w:rsid w:val="008D1729"/>
    <w:rsid w:val="008D1B5C"/>
    <w:rsid w:val="008D1EA4"/>
    <w:rsid w:val="008D25D1"/>
    <w:rsid w:val="008D2B51"/>
    <w:rsid w:val="008D3C82"/>
    <w:rsid w:val="008D447E"/>
    <w:rsid w:val="008D5CAD"/>
    <w:rsid w:val="008D5E1F"/>
    <w:rsid w:val="008D5FC1"/>
    <w:rsid w:val="008D689C"/>
    <w:rsid w:val="008D6ACF"/>
    <w:rsid w:val="008D7734"/>
    <w:rsid w:val="008D7A41"/>
    <w:rsid w:val="008D7BB3"/>
    <w:rsid w:val="008E039B"/>
    <w:rsid w:val="008E0468"/>
    <w:rsid w:val="008E0B2A"/>
    <w:rsid w:val="008E0E9B"/>
    <w:rsid w:val="008E2AA9"/>
    <w:rsid w:val="008E2C72"/>
    <w:rsid w:val="008E2D5C"/>
    <w:rsid w:val="008E3012"/>
    <w:rsid w:val="008E3680"/>
    <w:rsid w:val="008E4F87"/>
    <w:rsid w:val="008E4FA6"/>
    <w:rsid w:val="008E5870"/>
    <w:rsid w:val="008E62C0"/>
    <w:rsid w:val="008E68D5"/>
    <w:rsid w:val="008E702F"/>
    <w:rsid w:val="008E77E4"/>
    <w:rsid w:val="008E7F14"/>
    <w:rsid w:val="008F0213"/>
    <w:rsid w:val="008F07ED"/>
    <w:rsid w:val="008F0F01"/>
    <w:rsid w:val="008F11F8"/>
    <w:rsid w:val="008F1434"/>
    <w:rsid w:val="008F1999"/>
    <w:rsid w:val="008F2BB9"/>
    <w:rsid w:val="008F3CEB"/>
    <w:rsid w:val="008F3D6A"/>
    <w:rsid w:val="008F3E2B"/>
    <w:rsid w:val="008F3FD0"/>
    <w:rsid w:val="008F54C3"/>
    <w:rsid w:val="008F559F"/>
    <w:rsid w:val="008F5823"/>
    <w:rsid w:val="008F6C02"/>
    <w:rsid w:val="008F6ED9"/>
    <w:rsid w:val="008F6FEB"/>
    <w:rsid w:val="008F7355"/>
    <w:rsid w:val="00901366"/>
    <w:rsid w:val="00901D53"/>
    <w:rsid w:val="009022C2"/>
    <w:rsid w:val="009023DC"/>
    <w:rsid w:val="009027C5"/>
    <w:rsid w:val="00904413"/>
    <w:rsid w:val="0090518E"/>
    <w:rsid w:val="00905196"/>
    <w:rsid w:val="009067B7"/>
    <w:rsid w:val="00906E7A"/>
    <w:rsid w:val="00906E7F"/>
    <w:rsid w:val="0090775A"/>
    <w:rsid w:val="009079F0"/>
    <w:rsid w:val="00907A47"/>
    <w:rsid w:val="00907C22"/>
    <w:rsid w:val="00907DFD"/>
    <w:rsid w:val="0091068D"/>
    <w:rsid w:val="00911CBC"/>
    <w:rsid w:val="00911D74"/>
    <w:rsid w:val="00913C99"/>
    <w:rsid w:val="00913CCF"/>
    <w:rsid w:val="0091501C"/>
    <w:rsid w:val="009154BA"/>
    <w:rsid w:val="009159B0"/>
    <w:rsid w:val="00915CBD"/>
    <w:rsid w:val="00915D2B"/>
    <w:rsid w:val="00917D69"/>
    <w:rsid w:val="00920B6D"/>
    <w:rsid w:val="00920BC7"/>
    <w:rsid w:val="00921AA3"/>
    <w:rsid w:val="00922A5D"/>
    <w:rsid w:val="00922BC4"/>
    <w:rsid w:val="00923294"/>
    <w:rsid w:val="009233EB"/>
    <w:rsid w:val="009241C8"/>
    <w:rsid w:val="00926560"/>
    <w:rsid w:val="00926B15"/>
    <w:rsid w:val="00927676"/>
    <w:rsid w:val="00927DDD"/>
    <w:rsid w:val="00930291"/>
    <w:rsid w:val="00930823"/>
    <w:rsid w:val="00930937"/>
    <w:rsid w:val="00930ADD"/>
    <w:rsid w:val="009324A6"/>
    <w:rsid w:val="00932AE3"/>
    <w:rsid w:val="00932FC9"/>
    <w:rsid w:val="00933B7D"/>
    <w:rsid w:val="00933CF2"/>
    <w:rsid w:val="00933D68"/>
    <w:rsid w:val="00933E6C"/>
    <w:rsid w:val="00934876"/>
    <w:rsid w:val="00935A6E"/>
    <w:rsid w:val="00935CFF"/>
    <w:rsid w:val="00935D6C"/>
    <w:rsid w:val="00937958"/>
    <w:rsid w:val="009406E5"/>
    <w:rsid w:val="00941541"/>
    <w:rsid w:val="00941602"/>
    <w:rsid w:val="00942160"/>
    <w:rsid w:val="009430C5"/>
    <w:rsid w:val="00945876"/>
    <w:rsid w:val="00946921"/>
    <w:rsid w:val="00947343"/>
    <w:rsid w:val="009477BB"/>
    <w:rsid w:val="009500F3"/>
    <w:rsid w:val="00950B24"/>
    <w:rsid w:val="00950E7E"/>
    <w:rsid w:val="00950F90"/>
    <w:rsid w:val="0095146F"/>
    <w:rsid w:val="009515C9"/>
    <w:rsid w:val="00951F2D"/>
    <w:rsid w:val="00952839"/>
    <w:rsid w:val="009529CC"/>
    <w:rsid w:val="009530CF"/>
    <w:rsid w:val="0095339B"/>
    <w:rsid w:val="0095344C"/>
    <w:rsid w:val="009534C7"/>
    <w:rsid w:val="00954864"/>
    <w:rsid w:val="00957944"/>
    <w:rsid w:val="00957E7B"/>
    <w:rsid w:val="009602C5"/>
    <w:rsid w:val="0096103A"/>
    <w:rsid w:val="00961B47"/>
    <w:rsid w:val="00961EF3"/>
    <w:rsid w:val="00962223"/>
    <w:rsid w:val="0096252B"/>
    <w:rsid w:val="00962DB6"/>
    <w:rsid w:val="009639B2"/>
    <w:rsid w:val="009644D9"/>
    <w:rsid w:val="00964A9F"/>
    <w:rsid w:val="009653EB"/>
    <w:rsid w:val="00966205"/>
    <w:rsid w:val="00966431"/>
    <w:rsid w:val="00966C97"/>
    <w:rsid w:val="00966D0D"/>
    <w:rsid w:val="00966D7B"/>
    <w:rsid w:val="00966E6E"/>
    <w:rsid w:val="00967030"/>
    <w:rsid w:val="00967732"/>
    <w:rsid w:val="00967740"/>
    <w:rsid w:val="0096783C"/>
    <w:rsid w:val="00967924"/>
    <w:rsid w:val="00970023"/>
    <w:rsid w:val="009712A6"/>
    <w:rsid w:val="00972039"/>
    <w:rsid w:val="009722B3"/>
    <w:rsid w:val="00972F91"/>
    <w:rsid w:val="00973397"/>
    <w:rsid w:val="00973E24"/>
    <w:rsid w:val="009744D4"/>
    <w:rsid w:val="00974C21"/>
    <w:rsid w:val="00974D5F"/>
    <w:rsid w:val="00975948"/>
    <w:rsid w:val="009772FD"/>
    <w:rsid w:val="00977BF3"/>
    <w:rsid w:val="00980145"/>
    <w:rsid w:val="009803E4"/>
    <w:rsid w:val="00980B0E"/>
    <w:rsid w:val="00981DF1"/>
    <w:rsid w:val="00982B39"/>
    <w:rsid w:val="009835F2"/>
    <w:rsid w:val="009836A3"/>
    <w:rsid w:val="00983E00"/>
    <w:rsid w:val="00984C58"/>
    <w:rsid w:val="009855A8"/>
    <w:rsid w:val="00985CBE"/>
    <w:rsid w:val="00985CE9"/>
    <w:rsid w:val="00985D1A"/>
    <w:rsid w:val="00987902"/>
    <w:rsid w:val="00987A4A"/>
    <w:rsid w:val="00990B8F"/>
    <w:rsid w:val="00990CF8"/>
    <w:rsid w:val="009913E1"/>
    <w:rsid w:val="009913F4"/>
    <w:rsid w:val="009916EA"/>
    <w:rsid w:val="00991782"/>
    <w:rsid w:val="009925C6"/>
    <w:rsid w:val="009937F7"/>
    <w:rsid w:val="00993E14"/>
    <w:rsid w:val="00993EF6"/>
    <w:rsid w:val="00993F05"/>
    <w:rsid w:val="0099406F"/>
    <w:rsid w:val="0099465B"/>
    <w:rsid w:val="009951A1"/>
    <w:rsid w:val="009958AD"/>
    <w:rsid w:val="00995F6D"/>
    <w:rsid w:val="009964EE"/>
    <w:rsid w:val="00996617"/>
    <w:rsid w:val="00996EDA"/>
    <w:rsid w:val="009976D8"/>
    <w:rsid w:val="009976DC"/>
    <w:rsid w:val="00997A44"/>
    <w:rsid w:val="009A0CDD"/>
    <w:rsid w:val="009A0EE7"/>
    <w:rsid w:val="009A13EC"/>
    <w:rsid w:val="009A1465"/>
    <w:rsid w:val="009A15FE"/>
    <w:rsid w:val="009A16D4"/>
    <w:rsid w:val="009A259D"/>
    <w:rsid w:val="009A3168"/>
    <w:rsid w:val="009A36FA"/>
    <w:rsid w:val="009A45BB"/>
    <w:rsid w:val="009A4621"/>
    <w:rsid w:val="009A4BDF"/>
    <w:rsid w:val="009A5D04"/>
    <w:rsid w:val="009A610D"/>
    <w:rsid w:val="009A6183"/>
    <w:rsid w:val="009A61CA"/>
    <w:rsid w:val="009A6B80"/>
    <w:rsid w:val="009A786E"/>
    <w:rsid w:val="009A7DF1"/>
    <w:rsid w:val="009B0062"/>
    <w:rsid w:val="009B0AD4"/>
    <w:rsid w:val="009B0C64"/>
    <w:rsid w:val="009B0F67"/>
    <w:rsid w:val="009B16AC"/>
    <w:rsid w:val="009B1BFA"/>
    <w:rsid w:val="009B208A"/>
    <w:rsid w:val="009B2756"/>
    <w:rsid w:val="009B39EC"/>
    <w:rsid w:val="009B3D56"/>
    <w:rsid w:val="009B3F8C"/>
    <w:rsid w:val="009B533B"/>
    <w:rsid w:val="009B546B"/>
    <w:rsid w:val="009B7DCC"/>
    <w:rsid w:val="009C0727"/>
    <w:rsid w:val="009C217A"/>
    <w:rsid w:val="009C21F6"/>
    <w:rsid w:val="009C26AA"/>
    <w:rsid w:val="009C2A31"/>
    <w:rsid w:val="009C2A94"/>
    <w:rsid w:val="009C2BE7"/>
    <w:rsid w:val="009C3B86"/>
    <w:rsid w:val="009C3EE6"/>
    <w:rsid w:val="009C3FC6"/>
    <w:rsid w:val="009C4D0D"/>
    <w:rsid w:val="009C5111"/>
    <w:rsid w:val="009C5A9F"/>
    <w:rsid w:val="009C703C"/>
    <w:rsid w:val="009C757E"/>
    <w:rsid w:val="009D0C29"/>
    <w:rsid w:val="009D206E"/>
    <w:rsid w:val="009D2946"/>
    <w:rsid w:val="009D32BD"/>
    <w:rsid w:val="009D3CAA"/>
    <w:rsid w:val="009D507A"/>
    <w:rsid w:val="009D5D04"/>
    <w:rsid w:val="009D642B"/>
    <w:rsid w:val="009D6532"/>
    <w:rsid w:val="009D6BDF"/>
    <w:rsid w:val="009D7092"/>
    <w:rsid w:val="009D7141"/>
    <w:rsid w:val="009D71FD"/>
    <w:rsid w:val="009E06F0"/>
    <w:rsid w:val="009E0755"/>
    <w:rsid w:val="009E10AD"/>
    <w:rsid w:val="009E1B98"/>
    <w:rsid w:val="009E2588"/>
    <w:rsid w:val="009E27E4"/>
    <w:rsid w:val="009E2E8E"/>
    <w:rsid w:val="009E3110"/>
    <w:rsid w:val="009E40E1"/>
    <w:rsid w:val="009E50D0"/>
    <w:rsid w:val="009E6E56"/>
    <w:rsid w:val="009E70BA"/>
    <w:rsid w:val="009E7AE0"/>
    <w:rsid w:val="009F003B"/>
    <w:rsid w:val="009F07D3"/>
    <w:rsid w:val="009F0EFA"/>
    <w:rsid w:val="009F20D3"/>
    <w:rsid w:val="009F2DFD"/>
    <w:rsid w:val="009F4D8E"/>
    <w:rsid w:val="009F4E46"/>
    <w:rsid w:val="009F52BA"/>
    <w:rsid w:val="009F5B65"/>
    <w:rsid w:val="009F5C0A"/>
    <w:rsid w:val="009F5F2E"/>
    <w:rsid w:val="009F778C"/>
    <w:rsid w:val="00A00177"/>
    <w:rsid w:val="00A01432"/>
    <w:rsid w:val="00A01980"/>
    <w:rsid w:val="00A02995"/>
    <w:rsid w:val="00A02EDB"/>
    <w:rsid w:val="00A031E3"/>
    <w:rsid w:val="00A03790"/>
    <w:rsid w:val="00A039D0"/>
    <w:rsid w:val="00A052C5"/>
    <w:rsid w:val="00A05534"/>
    <w:rsid w:val="00A06225"/>
    <w:rsid w:val="00A066E6"/>
    <w:rsid w:val="00A06C6F"/>
    <w:rsid w:val="00A070A2"/>
    <w:rsid w:val="00A07802"/>
    <w:rsid w:val="00A105FB"/>
    <w:rsid w:val="00A10654"/>
    <w:rsid w:val="00A110D1"/>
    <w:rsid w:val="00A1134E"/>
    <w:rsid w:val="00A11BC8"/>
    <w:rsid w:val="00A11F5C"/>
    <w:rsid w:val="00A12062"/>
    <w:rsid w:val="00A12587"/>
    <w:rsid w:val="00A128E6"/>
    <w:rsid w:val="00A12B35"/>
    <w:rsid w:val="00A12D16"/>
    <w:rsid w:val="00A13805"/>
    <w:rsid w:val="00A144D3"/>
    <w:rsid w:val="00A154D0"/>
    <w:rsid w:val="00A16328"/>
    <w:rsid w:val="00A16A83"/>
    <w:rsid w:val="00A16FBB"/>
    <w:rsid w:val="00A17C22"/>
    <w:rsid w:val="00A17EA7"/>
    <w:rsid w:val="00A2054E"/>
    <w:rsid w:val="00A21757"/>
    <w:rsid w:val="00A2196C"/>
    <w:rsid w:val="00A21D7D"/>
    <w:rsid w:val="00A224A3"/>
    <w:rsid w:val="00A22AC3"/>
    <w:rsid w:val="00A2351E"/>
    <w:rsid w:val="00A236F3"/>
    <w:rsid w:val="00A2374F"/>
    <w:rsid w:val="00A23F3F"/>
    <w:rsid w:val="00A24067"/>
    <w:rsid w:val="00A243DC"/>
    <w:rsid w:val="00A24618"/>
    <w:rsid w:val="00A24A4B"/>
    <w:rsid w:val="00A253AF"/>
    <w:rsid w:val="00A2744D"/>
    <w:rsid w:val="00A275C2"/>
    <w:rsid w:val="00A305DC"/>
    <w:rsid w:val="00A306F6"/>
    <w:rsid w:val="00A30D0C"/>
    <w:rsid w:val="00A30D16"/>
    <w:rsid w:val="00A30D1A"/>
    <w:rsid w:val="00A30FC7"/>
    <w:rsid w:val="00A31319"/>
    <w:rsid w:val="00A31E6B"/>
    <w:rsid w:val="00A33DF2"/>
    <w:rsid w:val="00A33EB7"/>
    <w:rsid w:val="00A340E9"/>
    <w:rsid w:val="00A34E6C"/>
    <w:rsid w:val="00A34FD0"/>
    <w:rsid w:val="00A35FF7"/>
    <w:rsid w:val="00A36398"/>
    <w:rsid w:val="00A37AC3"/>
    <w:rsid w:val="00A37C8D"/>
    <w:rsid w:val="00A4020E"/>
    <w:rsid w:val="00A40493"/>
    <w:rsid w:val="00A4058C"/>
    <w:rsid w:val="00A408E8"/>
    <w:rsid w:val="00A40CE6"/>
    <w:rsid w:val="00A40FB5"/>
    <w:rsid w:val="00A41B65"/>
    <w:rsid w:val="00A42826"/>
    <w:rsid w:val="00A429B3"/>
    <w:rsid w:val="00A42CDA"/>
    <w:rsid w:val="00A43144"/>
    <w:rsid w:val="00A447E7"/>
    <w:rsid w:val="00A44EC1"/>
    <w:rsid w:val="00A45CF6"/>
    <w:rsid w:val="00A4673A"/>
    <w:rsid w:val="00A46ACB"/>
    <w:rsid w:val="00A46BA9"/>
    <w:rsid w:val="00A50672"/>
    <w:rsid w:val="00A510E4"/>
    <w:rsid w:val="00A513C4"/>
    <w:rsid w:val="00A515D2"/>
    <w:rsid w:val="00A51F8C"/>
    <w:rsid w:val="00A51F9F"/>
    <w:rsid w:val="00A52693"/>
    <w:rsid w:val="00A526F7"/>
    <w:rsid w:val="00A5273B"/>
    <w:rsid w:val="00A53A9D"/>
    <w:rsid w:val="00A54728"/>
    <w:rsid w:val="00A55395"/>
    <w:rsid w:val="00A55769"/>
    <w:rsid w:val="00A55BC8"/>
    <w:rsid w:val="00A55FEE"/>
    <w:rsid w:val="00A56304"/>
    <w:rsid w:val="00A57422"/>
    <w:rsid w:val="00A57A9D"/>
    <w:rsid w:val="00A57AD0"/>
    <w:rsid w:val="00A602D5"/>
    <w:rsid w:val="00A605E8"/>
    <w:rsid w:val="00A611DD"/>
    <w:rsid w:val="00A616C0"/>
    <w:rsid w:val="00A6197C"/>
    <w:rsid w:val="00A61CEF"/>
    <w:rsid w:val="00A62C1A"/>
    <w:rsid w:val="00A6300D"/>
    <w:rsid w:val="00A639CA"/>
    <w:rsid w:val="00A63CA2"/>
    <w:rsid w:val="00A64072"/>
    <w:rsid w:val="00A6408C"/>
    <w:rsid w:val="00A6426D"/>
    <w:rsid w:val="00A6439B"/>
    <w:rsid w:val="00A646F3"/>
    <w:rsid w:val="00A661F8"/>
    <w:rsid w:val="00A665C1"/>
    <w:rsid w:val="00A673A4"/>
    <w:rsid w:val="00A67693"/>
    <w:rsid w:val="00A67BB1"/>
    <w:rsid w:val="00A7001A"/>
    <w:rsid w:val="00A7020D"/>
    <w:rsid w:val="00A70622"/>
    <w:rsid w:val="00A70977"/>
    <w:rsid w:val="00A70D58"/>
    <w:rsid w:val="00A70EEE"/>
    <w:rsid w:val="00A73E08"/>
    <w:rsid w:val="00A744F9"/>
    <w:rsid w:val="00A74A86"/>
    <w:rsid w:val="00A74A8C"/>
    <w:rsid w:val="00A75309"/>
    <w:rsid w:val="00A753A1"/>
    <w:rsid w:val="00A75C80"/>
    <w:rsid w:val="00A769C8"/>
    <w:rsid w:val="00A770E1"/>
    <w:rsid w:val="00A77613"/>
    <w:rsid w:val="00A77B87"/>
    <w:rsid w:val="00A77E01"/>
    <w:rsid w:val="00A801AD"/>
    <w:rsid w:val="00A8089D"/>
    <w:rsid w:val="00A80DF0"/>
    <w:rsid w:val="00A81851"/>
    <w:rsid w:val="00A81911"/>
    <w:rsid w:val="00A82971"/>
    <w:rsid w:val="00A8390C"/>
    <w:rsid w:val="00A83AB8"/>
    <w:rsid w:val="00A83FCC"/>
    <w:rsid w:val="00A84E75"/>
    <w:rsid w:val="00A851D0"/>
    <w:rsid w:val="00A852C0"/>
    <w:rsid w:val="00A86AE0"/>
    <w:rsid w:val="00A877A2"/>
    <w:rsid w:val="00A87C2F"/>
    <w:rsid w:val="00A90CD0"/>
    <w:rsid w:val="00A912B0"/>
    <w:rsid w:val="00A91362"/>
    <w:rsid w:val="00A9151C"/>
    <w:rsid w:val="00A919C6"/>
    <w:rsid w:val="00A92660"/>
    <w:rsid w:val="00A928BD"/>
    <w:rsid w:val="00A92C96"/>
    <w:rsid w:val="00A92D61"/>
    <w:rsid w:val="00A94EE9"/>
    <w:rsid w:val="00A952E4"/>
    <w:rsid w:val="00A953C2"/>
    <w:rsid w:val="00A95854"/>
    <w:rsid w:val="00A95C89"/>
    <w:rsid w:val="00A97DE9"/>
    <w:rsid w:val="00AA067E"/>
    <w:rsid w:val="00AA1192"/>
    <w:rsid w:val="00AA12CD"/>
    <w:rsid w:val="00AA24E9"/>
    <w:rsid w:val="00AA2BE8"/>
    <w:rsid w:val="00AA2C08"/>
    <w:rsid w:val="00AA4D1C"/>
    <w:rsid w:val="00AA52FD"/>
    <w:rsid w:val="00AA5B98"/>
    <w:rsid w:val="00AA5D40"/>
    <w:rsid w:val="00AA5DD9"/>
    <w:rsid w:val="00AA63A2"/>
    <w:rsid w:val="00AA7006"/>
    <w:rsid w:val="00AA7547"/>
    <w:rsid w:val="00AB29D8"/>
    <w:rsid w:val="00AB2A80"/>
    <w:rsid w:val="00AB3138"/>
    <w:rsid w:val="00AB35CB"/>
    <w:rsid w:val="00AB4684"/>
    <w:rsid w:val="00AB5856"/>
    <w:rsid w:val="00AB6A80"/>
    <w:rsid w:val="00AB6E68"/>
    <w:rsid w:val="00AB7A4E"/>
    <w:rsid w:val="00AB7F80"/>
    <w:rsid w:val="00AC081D"/>
    <w:rsid w:val="00AC0C6F"/>
    <w:rsid w:val="00AC1266"/>
    <w:rsid w:val="00AC193C"/>
    <w:rsid w:val="00AC30C1"/>
    <w:rsid w:val="00AC3331"/>
    <w:rsid w:val="00AC3488"/>
    <w:rsid w:val="00AC38B4"/>
    <w:rsid w:val="00AC4DE5"/>
    <w:rsid w:val="00AC5206"/>
    <w:rsid w:val="00AC559D"/>
    <w:rsid w:val="00AC5736"/>
    <w:rsid w:val="00AC5C68"/>
    <w:rsid w:val="00AC6081"/>
    <w:rsid w:val="00AC64DD"/>
    <w:rsid w:val="00AC760B"/>
    <w:rsid w:val="00AD095B"/>
    <w:rsid w:val="00AD120E"/>
    <w:rsid w:val="00AD17DB"/>
    <w:rsid w:val="00AD17F2"/>
    <w:rsid w:val="00AD3106"/>
    <w:rsid w:val="00AD42F0"/>
    <w:rsid w:val="00AD4322"/>
    <w:rsid w:val="00AD44B1"/>
    <w:rsid w:val="00AD455B"/>
    <w:rsid w:val="00AD46CE"/>
    <w:rsid w:val="00AD4B69"/>
    <w:rsid w:val="00AD5245"/>
    <w:rsid w:val="00AD56DD"/>
    <w:rsid w:val="00AD5E29"/>
    <w:rsid w:val="00AD5F06"/>
    <w:rsid w:val="00AD6719"/>
    <w:rsid w:val="00AD6AF5"/>
    <w:rsid w:val="00AD6EF5"/>
    <w:rsid w:val="00AD77FC"/>
    <w:rsid w:val="00AD7CC3"/>
    <w:rsid w:val="00AE0070"/>
    <w:rsid w:val="00AE11A5"/>
    <w:rsid w:val="00AE13E2"/>
    <w:rsid w:val="00AE22D3"/>
    <w:rsid w:val="00AE3658"/>
    <w:rsid w:val="00AE3737"/>
    <w:rsid w:val="00AE4A28"/>
    <w:rsid w:val="00AE5987"/>
    <w:rsid w:val="00AE5A49"/>
    <w:rsid w:val="00AE5FF7"/>
    <w:rsid w:val="00AE657C"/>
    <w:rsid w:val="00AE6C88"/>
    <w:rsid w:val="00AF0035"/>
    <w:rsid w:val="00AF03E6"/>
    <w:rsid w:val="00AF0731"/>
    <w:rsid w:val="00AF0E76"/>
    <w:rsid w:val="00AF1002"/>
    <w:rsid w:val="00AF11D8"/>
    <w:rsid w:val="00AF1623"/>
    <w:rsid w:val="00AF19E9"/>
    <w:rsid w:val="00AF1A01"/>
    <w:rsid w:val="00AF2255"/>
    <w:rsid w:val="00AF25BA"/>
    <w:rsid w:val="00AF54FF"/>
    <w:rsid w:val="00AF57FA"/>
    <w:rsid w:val="00AF5867"/>
    <w:rsid w:val="00AF5B5A"/>
    <w:rsid w:val="00AF5FE8"/>
    <w:rsid w:val="00AF62DF"/>
    <w:rsid w:val="00AF68CC"/>
    <w:rsid w:val="00AF6BEB"/>
    <w:rsid w:val="00AF70D7"/>
    <w:rsid w:val="00AF72A9"/>
    <w:rsid w:val="00B00086"/>
    <w:rsid w:val="00B0065C"/>
    <w:rsid w:val="00B00CD0"/>
    <w:rsid w:val="00B00E7F"/>
    <w:rsid w:val="00B01718"/>
    <w:rsid w:val="00B01896"/>
    <w:rsid w:val="00B01FF4"/>
    <w:rsid w:val="00B027D7"/>
    <w:rsid w:val="00B02845"/>
    <w:rsid w:val="00B0326D"/>
    <w:rsid w:val="00B032F0"/>
    <w:rsid w:val="00B03969"/>
    <w:rsid w:val="00B04C5A"/>
    <w:rsid w:val="00B06037"/>
    <w:rsid w:val="00B0642A"/>
    <w:rsid w:val="00B06478"/>
    <w:rsid w:val="00B07533"/>
    <w:rsid w:val="00B07CFB"/>
    <w:rsid w:val="00B07F62"/>
    <w:rsid w:val="00B1059E"/>
    <w:rsid w:val="00B119EA"/>
    <w:rsid w:val="00B128CC"/>
    <w:rsid w:val="00B132B9"/>
    <w:rsid w:val="00B13AD1"/>
    <w:rsid w:val="00B1463F"/>
    <w:rsid w:val="00B148FB"/>
    <w:rsid w:val="00B149BA"/>
    <w:rsid w:val="00B14A36"/>
    <w:rsid w:val="00B16273"/>
    <w:rsid w:val="00B170A5"/>
    <w:rsid w:val="00B1725F"/>
    <w:rsid w:val="00B176C8"/>
    <w:rsid w:val="00B178B5"/>
    <w:rsid w:val="00B17EE5"/>
    <w:rsid w:val="00B202C4"/>
    <w:rsid w:val="00B205AA"/>
    <w:rsid w:val="00B2100A"/>
    <w:rsid w:val="00B21902"/>
    <w:rsid w:val="00B21909"/>
    <w:rsid w:val="00B21A91"/>
    <w:rsid w:val="00B21DB8"/>
    <w:rsid w:val="00B22E84"/>
    <w:rsid w:val="00B233AD"/>
    <w:rsid w:val="00B23E25"/>
    <w:rsid w:val="00B24124"/>
    <w:rsid w:val="00B24B11"/>
    <w:rsid w:val="00B25027"/>
    <w:rsid w:val="00B25B96"/>
    <w:rsid w:val="00B25F75"/>
    <w:rsid w:val="00B25FC9"/>
    <w:rsid w:val="00B26B3F"/>
    <w:rsid w:val="00B273FD"/>
    <w:rsid w:val="00B2778F"/>
    <w:rsid w:val="00B2795B"/>
    <w:rsid w:val="00B27DFE"/>
    <w:rsid w:val="00B300E7"/>
    <w:rsid w:val="00B30870"/>
    <w:rsid w:val="00B30B90"/>
    <w:rsid w:val="00B327E2"/>
    <w:rsid w:val="00B33635"/>
    <w:rsid w:val="00B33C7E"/>
    <w:rsid w:val="00B33F7E"/>
    <w:rsid w:val="00B349F4"/>
    <w:rsid w:val="00B36C2C"/>
    <w:rsid w:val="00B36CEF"/>
    <w:rsid w:val="00B37641"/>
    <w:rsid w:val="00B37A23"/>
    <w:rsid w:val="00B37CF8"/>
    <w:rsid w:val="00B40462"/>
    <w:rsid w:val="00B41AA4"/>
    <w:rsid w:val="00B41B7A"/>
    <w:rsid w:val="00B41C1A"/>
    <w:rsid w:val="00B42AF4"/>
    <w:rsid w:val="00B43866"/>
    <w:rsid w:val="00B43E90"/>
    <w:rsid w:val="00B44308"/>
    <w:rsid w:val="00B44CDC"/>
    <w:rsid w:val="00B453B1"/>
    <w:rsid w:val="00B45722"/>
    <w:rsid w:val="00B45DC3"/>
    <w:rsid w:val="00B4608C"/>
    <w:rsid w:val="00B460F4"/>
    <w:rsid w:val="00B467DC"/>
    <w:rsid w:val="00B46968"/>
    <w:rsid w:val="00B46A92"/>
    <w:rsid w:val="00B476E2"/>
    <w:rsid w:val="00B478B3"/>
    <w:rsid w:val="00B47A88"/>
    <w:rsid w:val="00B51D85"/>
    <w:rsid w:val="00B51E09"/>
    <w:rsid w:val="00B52303"/>
    <w:rsid w:val="00B53527"/>
    <w:rsid w:val="00B5392A"/>
    <w:rsid w:val="00B539EF"/>
    <w:rsid w:val="00B540F1"/>
    <w:rsid w:val="00B54CE3"/>
    <w:rsid w:val="00B55974"/>
    <w:rsid w:val="00B56118"/>
    <w:rsid w:val="00B566E1"/>
    <w:rsid w:val="00B56AFB"/>
    <w:rsid w:val="00B56E9C"/>
    <w:rsid w:val="00B572BE"/>
    <w:rsid w:val="00B57EA9"/>
    <w:rsid w:val="00B602F6"/>
    <w:rsid w:val="00B61764"/>
    <w:rsid w:val="00B61A3B"/>
    <w:rsid w:val="00B61CFC"/>
    <w:rsid w:val="00B620FD"/>
    <w:rsid w:val="00B62EC1"/>
    <w:rsid w:val="00B62F5C"/>
    <w:rsid w:val="00B6339E"/>
    <w:rsid w:val="00B64312"/>
    <w:rsid w:val="00B64448"/>
    <w:rsid w:val="00B64A96"/>
    <w:rsid w:val="00B65156"/>
    <w:rsid w:val="00B6533B"/>
    <w:rsid w:val="00B65A1C"/>
    <w:rsid w:val="00B6773F"/>
    <w:rsid w:val="00B677C5"/>
    <w:rsid w:val="00B67AFC"/>
    <w:rsid w:val="00B70343"/>
    <w:rsid w:val="00B70EB3"/>
    <w:rsid w:val="00B71BF1"/>
    <w:rsid w:val="00B72020"/>
    <w:rsid w:val="00B720FE"/>
    <w:rsid w:val="00B7289C"/>
    <w:rsid w:val="00B72906"/>
    <w:rsid w:val="00B72B92"/>
    <w:rsid w:val="00B74456"/>
    <w:rsid w:val="00B74F48"/>
    <w:rsid w:val="00B7525E"/>
    <w:rsid w:val="00B75433"/>
    <w:rsid w:val="00B75F70"/>
    <w:rsid w:val="00B760FB"/>
    <w:rsid w:val="00B7628A"/>
    <w:rsid w:val="00B76732"/>
    <w:rsid w:val="00B76765"/>
    <w:rsid w:val="00B767AB"/>
    <w:rsid w:val="00B76D3C"/>
    <w:rsid w:val="00B801BA"/>
    <w:rsid w:val="00B80802"/>
    <w:rsid w:val="00B80950"/>
    <w:rsid w:val="00B812D6"/>
    <w:rsid w:val="00B82349"/>
    <w:rsid w:val="00B825A3"/>
    <w:rsid w:val="00B846E6"/>
    <w:rsid w:val="00B84AE6"/>
    <w:rsid w:val="00B84D5C"/>
    <w:rsid w:val="00B84FFF"/>
    <w:rsid w:val="00B853FC"/>
    <w:rsid w:val="00B85950"/>
    <w:rsid w:val="00B85AF6"/>
    <w:rsid w:val="00B86EA5"/>
    <w:rsid w:val="00B87785"/>
    <w:rsid w:val="00B90CA8"/>
    <w:rsid w:val="00B926C7"/>
    <w:rsid w:val="00B92E46"/>
    <w:rsid w:val="00B93952"/>
    <w:rsid w:val="00B941ED"/>
    <w:rsid w:val="00B94345"/>
    <w:rsid w:val="00B956ED"/>
    <w:rsid w:val="00B957AF"/>
    <w:rsid w:val="00B968CC"/>
    <w:rsid w:val="00B97071"/>
    <w:rsid w:val="00B970E3"/>
    <w:rsid w:val="00BA09A2"/>
    <w:rsid w:val="00BA0CE3"/>
    <w:rsid w:val="00BA16FC"/>
    <w:rsid w:val="00BA1A02"/>
    <w:rsid w:val="00BA2DA8"/>
    <w:rsid w:val="00BA347C"/>
    <w:rsid w:val="00BA4C79"/>
    <w:rsid w:val="00BA4D84"/>
    <w:rsid w:val="00BA512A"/>
    <w:rsid w:val="00BA517A"/>
    <w:rsid w:val="00BA6017"/>
    <w:rsid w:val="00BA64E8"/>
    <w:rsid w:val="00BA6747"/>
    <w:rsid w:val="00BA6761"/>
    <w:rsid w:val="00BA6D5B"/>
    <w:rsid w:val="00BA7234"/>
    <w:rsid w:val="00BA749B"/>
    <w:rsid w:val="00BB0574"/>
    <w:rsid w:val="00BB0604"/>
    <w:rsid w:val="00BB0ECC"/>
    <w:rsid w:val="00BB2278"/>
    <w:rsid w:val="00BB2334"/>
    <w:rsid w:val="00BB298A"/>
    <w:rsid w:val="00BB3469"/>
    <w:rsid w:val="00BB3D71"/>
    <w:rsid w:val="00BB405D"/>
    <w:rsid w:val="00BB47EC"/>
    <w:rsid w:val="00BB483C"/>
    <w:rsid w:val="00BB4FAB"/>
    <w:rsid w:val="00BB57CA"/>
    <w:rsid w:val="00BB5C49"/>
    <w:rsid w:val="00BB6240"/>
    <w:rsid w:val="00BB6285"/>
    <w:rsid w:val="00BB6405"/>
    <w:rsid w:val="00BB6567"/>
    <w:rsid w:val="00BB670B"/>
    <w:rsid w:val="00BB69F5"/>
    <w:rsid w:val="00BB6E48"/>
    <w:rsid w:val="00BB70B1"/>
    <w:rsid w:val="00BB7EC3"/>
    <w:rsid w:val="00BC04B1"/>
    <w:rsid w:val="00BC0B25"/>
    <w:rsid w:val="00BC1096"/>
    <w:rsid w:val="00BC176D"/>
    <w:rsid w:val="00BC1E49"/>
    <w:rsid w:val="00BC1E85"/>
    <w:rsid w:val="00BC23FD"/>
    <w:rsid w:val="00BC2413"/>
    <w:rsid w:val="00BC2468"/>
    <w:rsid w:val="00BC33CC"/>
    <w:rsid w:val="00BC33F0"/>
    <w:rsid w:val="00BC470E"/>
    <w:rsid w:val="00BC4B9A"/>
    <w:rsid w:val="00BC4DD7"/>
    <w:rsid w:val="00BC4F39"/>
    <w:rsid w:val="00BC653C"/>
    <w:rsid w:val="00BC6C53"/>
    <w:rsid w:val="00BC6CA0"/>
    <w:rsid w:val="00BC6F96"/>
    <w:rsid w:val="00BC74FE"/>
    <w:rsid w:val="00BC7D64"/>
    <w:rsid w:val="00BD0178"/>
    <w:rsid w:val="00BD02C3"/>
    <w:rsid w:val="00BD0332"/>
    <w:rsid w:val="00BD0830"/>
    <w:rsid w:val="00BD1656"/>
    <w:rsid w:val="00BD2FF9"/>
    <w:rsid w:val="00BD3119"/>
    <w:rsid w:val="00BD31A6"/>
    <w:rsid w:val="00BD3B3E"/>
    <w:rsid w:val="00BD500D"/>
    <w:rsid w:val="00BD57AD"/>
    <w:rsid w:val="00BD6657"/>
    <w:rsid w:val="00BD7483"/>
    <w:rsid w:val="00BD7638"/>
    <w:rsid w:val="00BD784C"/>
    <w:rsid w:val="00BE0063"/>
    <w:rsid w:val="00BE020A"/>
    <w:rsid w:val="00BE0546"/>
    <w:rsid w:val="00BE08C6"/>
    <w:rsid w:val="00BE0EA5"/>
    <w:rsid w:val="00BE13DF"/>
    <w:rsid w:val="00BE18B1"/>
    <w:rsid w:val="00BE1B26"/>
    <w:rsid w:val="00BE1EF0"/>
    <w:rsid w:val="00BE25D7"/>
    <w:rsid w:val="00BE3166"/>
    <w:rsid w:val="00BE3247"/>
    <w:rsid w:val="00BE3C71"/>
    <w:rsid w:val="00BE479D"/>
    <w:rsid w:val="00BE4A01"/>
    <w:rsid w:val="00BE4BFB"/>
    <w:rsid w:val="00BE58E8"/>
    <w:rsid w:val="00BE5D4A"/>
    <w:rsid w:val="00BE6DC2"/>
    <w:rsid w:val="00BF0401"/>
    <w:rsid w:val="00BF092C"/>
    <w:rsid w:val="00BF21D1"/>
    <w:rsid w:val="00BF2627"/>
    <w:rsid w:val="00BF27A0"/>
    <w:rsid w:val="00BF2B9B"/>
    <w:rsid w:val="00BF3004"/>
    <w:rsid w:val="00BF32C5"/>
    <w:rsid w:val="00BF378E"/>
    <w:rsid w:val="00BF3DF2"/>
    <w:rsid w:val="00BF40E6"/>
    <w:rsid w:val="00BF4CB6"/>
    <w:rsid w:val="00BF51E1"/>
    <w:rsid w:val="00BF5206"/>
    <w:rsid w:val="00BF5405"/>
    <w:rsid w:val="00BF5D23"/>
    <w:rsid w:val="00BF5EE0"/>
    <w:rsid w:val="00BF6CBD"/>
    <w:rsid w:val="00BF7471"/>
    <w:rsid w:val="00BF780D"/>
    <w:rsid w:val="00BF7A90"/>
    <w:rsid w:val="00C004D8"/>
    <w:rsid w:val="00C00736"/>
    <w:rsid w:val="00C0078C"/>
    <w:rsid w:val="00C00DA7"/>
    <w:rsid w:val="00C00FE4"/>
    <w:rsid w:val="00C034FB"/>
    <w:rsid w:val="00C03C5C"/>
    <w:rsid w:val="00C03E47"/>
    <w:rsid w:val="00C04C4F"/>
    <w:rsid w:val="00C04CDE"/>
    <w:rsid w:val="00C059D5"/>
    <w:rsid w:val="00C05C2E"/>
    <w:rsid w:val="00C06389"/>
    <w:rsid w:val="00C064E2"/>
    <w:rsid w:val="00C068A6"/>
    <w:rsid w:val="00C0794A"/>
    <w:rsid w:val="00C1122F"/>
    <w:rsid w:val="00C117D6"/>
    <w:rsid w:val="00C11A7D"/>
    <w:rsid w:val="00C11DEA"/>
    <w:rsid w:val="00C12768"/>
    <w:rsid w:val="00C12D70"/>
    <w:rsid w:val="00C13ED2"/>
    <w:rsid w:val="00C143D3"/>
    <w:rsid w:val="00C144C8"/>
    <w:rsid w:val="00C14E14"/>
    <w:rsid w:val="00C16724"/>
    <w:rsid w:val="00C172B2"/>
    <w:rsid w:val="00C17D98"/>
    <w:rsid w:val="00C21206"/>
    <w:rsid w:val="00C21B09"/>
    <w:rsid w:val="00C21B37"/>
    <w:rsid w:val="00C2259A"/>
    <w:rsid w:val="00C226D9"/>
    <w:rsid w:val="00C2380B"/>
    <w:rsid w:val="00C244FD"/>
    <w:rsid w:val="00C255BE"/>
    <w:rsid w:val="00C25EFF"/>
    <w:rsid w:val="00C2673A"/>
    <w:rsid w:val="00C277BE"/>
    <w:rsid w:val="00C278CD"/>
    <w:rsid w:val="00C27B58"/>
    <w:rsid w:val="00C27C1C"/>
    <w:rsid w:val="00C30667"/>
    <w:rsid w:val="00C3166C"/>
    <w:rsid w:val="00C33186"/>
    <w:rsid w:val="00C33912"/>
    <w:rsid w:val="00C35374"/>
    <w:rsid w:val="00C35996"/>
    <w:rsid w:val="00C37FA4"/>
    <w:rsid w:val="00C400E1"/>
    <w:rsid w:val="00C402A6"/>
    <w:rsid w:val="00C403BE"/>
    <w:rsid w:val="00C40521"/>
    <w:rsid w:val="00C40693"/>
    <w:rsid w:val="00C416E6"/>
    <w:rsid w:val="00C420F9"/>
    <w:rsid w:val="00C421AB"/>
    <w:rsid w:val="00C42BCD"/>
    <w:rsid w:val="00C42FCE"/>
    <w:rsid w:val="00C435F3"/>
    <w:rsid w:val="00C43961"/>
    <w:rsid w:val="00C4485F"/>
    <w:rsid w:val="00C44BC1"/>
    <w:rsid w:val="00C44DED"/>
    <w:rsid w:val="00C45A55"/>
    <w:rsid w:val="00C46C13"/>
    <w:rsid w:val="00C46DDC"/>
    <w:rsid w:val="00C4747E"/>
    <w:rsid w:val="00C5151E"/>
    <w:rsid w:val="00C52256"/>
    <w:rsid w:val="00C53090"/>
    <w:rsid w:val="00C5318E"/>
    <w:rsid w:val="00C5342C"/>
    <w:rsid w:val="00C53507"/>
    <w:rsid w:val="00C53B2B"/>
    <w:rsid w:val="00C540DD"/>
    <w:rsid w:val="00C54349"/>
    <w:rsid w:val="00C547F5"/>
    <w:rsid w:val="00C56D78"/>
    <w:rsid w:val="00C56FDC"/>
    <w:rsid w:val="00C57465"/>
    <w:rsid w:val="00C60272"/>
    <w:rsid w:val="00C603D4"/>
    <w:rsid w:val="00C60629"/>
    <w:rsid w:val="00C60D99"/>
    <w:rsid w:val="00C61021"/>
    <w:rsid w:val="00C61AC7"/>
    <w:rsid w:val="00C6256A"/>
    <w:rsid w:val="00C628C9"/>
    <w:rsid w:val="00C632F4"/>
    <w:rsid w:val="00C63FDA"/>
    <w:rsid w:val="00C647FC"/>
    <w:rsid w:val="00C64AE3"/>
    <w:rsid w:val="00C64D27"/>
    <w:rsid w:val="00C64EBC"/>
    <w:rsid w:val="00C65411"/>
    <w:rsid w:val="00C664D2"/>
    <w:rsid w:val="00C66F49"/>
    <w:rsid w:val="00C677E1"/>
    <w:rsid w:val="00C70A0A"/>
    <w:rsid w:val="00C70E6E"/>
    <w:rsid w:val="00C710E2"/>
    <w:rsid w:val="00C71C3F"/>
    <w:rsid w:val="00C72395"/>
    <w:rsid w:val="00C7241E"/>
    <w:rsid w:val="00C72515"/>
    <w:rsid w:val="00C72954"/>
    <w:rsid w:val="00C734EB"/>
    <w:rsid w:val="00C736DD"/>
    <w:rsid w:val="00C7409E"/>
    <w:rsid w:val="00C748EA"/>
    <w:rsid w:val="00C74D15"/>
    <w:rsid w:val="00C74D6D"/>
    <w:rsid w:val="00C75CDC"/>
    <w:rsid w:val="00C76188"/>
    <w:rsid w:val="00C76E76"/>
    <w:rsid w:val="00C76FE1"/>
    <w:rsid w:val="00C7756A"/>
    <w:rsid w:val="00C77891"/>
    <w:rsid w:val="00C77B74"/>
    <w:rsid w:val="00C81B83"/>
    <w:rsid w:val="00C81BB2"/>
    <w:rsid w:val="00C82062"/>
    <w:rsid w:val="00C82417"/>
    <w:rsid w:val="00C829A9"/>
    <w:rsid w:val="00C8319D"/>
    <w:rsid w:val="00C84219"/>
    <w:rsid w:val="00C842DA"/>
    <w:rsid w:val="00C865C8"/>
    <w:rsid w:val="00C875F6"/>
    <w:rsid w:val="00C8791E"/>
    <w:rsid w:val="00C87B80"/>
    <w:rsid w:val="00C87CAD"/>
    <w:rsid w:val="00C87F74"/>
    <w:rsid w:val="00C90330"/>
    <w:rsid w:val="00C90927"/>
    <w:rsid w:val="00C91449"/>
    <w:rsid w:val="00C9153A"/>
    <w:rsid w:val="00C91A34"/>
    <w:rsid w:val="00C92D10"/>
    <w:rsid w:val="00C92F79"/>
    <w:rsid w:val="00C945CB"/>
    <w:rsid w:val="00C94BA6"/>
    <w:rsid w:val="00C95200"/>
    <w:rsid w:val="00C95425"/>
    <w:rsid w:val="00C95FFB"/>
    <w:rsid w:val="00C96B62"/>
    <w:rsid w:val="00C96EC0"/>
    <w:rsid w:val="00CA03B3"/>
    <w:rsid w:val="00CA06F9"/>
    <w:rsid w:val="00CA1047"/>
    <w:rsid w:val="00CA10E8"/>
    <w:rsid w:val="00CA14BB"/>
    <w:rsid w:val="00CA1C6A"/>
    <w:rsid w:val="00CA230C"/>
    <w:rsid w:val="00CA27C3"/>
    <w:rsid w:val="00CA34D2"/>
    <w:rsid w:val="00CA3C97"/>
    <w:rsid w:val="00CA48D9"/>
    <w:rsid w:val="00CA4A73"/>
    <w:rsid w:val="00CA5969"/>
    <w:rsid w:val="00CA7C22"/>
    <w:rsid w:val="00CA7CBF"/>
    <w:rsid w:val="00CA7E07"/>
    <w:rsid w:val="00CB1193"/>
    <w:rsid w:val="00CB237F"/>
    <w:rsid w:val="00CB2E2F"/>
    <w:rsid w:val="00CB306F"/>
    <w:rsid w:val="00CB34FD"/>
    <w:rsid w:val="00CB358A"/>
    <w:rsid w:val="00CB401B"/>
    <w:rsid w:val="00CB40DD"/>
    <w:rsid w:val="00CB4767"/>
    <w:rsid w:val="00CB493D"/>
    <w:rsid w:val="00CB68BA"/>
    <w:rsid w:val="00CC023B"/>
    <w:rsid w:val="00CC0CB2"/>
    <w:rsid w:val="00CC1040"/>
    <w:rsid w:val="00CC1BA1"/>
    <w:rsid w:val="00CC2224"/>
    <w:rsid w:val="00CC2613"/>
    <w:rsid w:val="00CC33AE"/>
    <w:rsid w:val="00CC3B97"/>
    <w:rsid w:val="00CC3CF8"/>
    <w:rsid w:val="00CC4F30"/>
    <w:rsid w:val="00CC5534"/>
    <w:rsid w:val="00CC7E15"/>
    <w:rsid w:val="00CD0312"/>
    <w:rsid w:val="00CD0589"/>
    <w:rsid w:val="00CD24FF"/>
    <w:rsid w:val="00CD2BBF"/>
    <w:rsid w:val="00CD31CA"/>
    <w:rsid w:val="00CD4050"/>
    <w:rsid w:val="00CD4A8C"/>
    <w:rsid w:val="00CD6257"/>
    <w:rsid w:val="00CD6BDF"/>
    <w:rsid w:val="00CD742A"/>
    <w:rsid w:val="00CD7B6F"/>
    <w:rsid w:val="00CD7C0B"/>
    <w:rsid w:val="00CE0449"/>
    <w:rsid w:val="00CE10C4"/>
    <w:rsid w:val="00CE2343"/>
    <w:rsid w:val="00CE27B5"/>
    <w:rsid w:val="00CE2BDF"/>
    <w:rsid w:val="00CE35CA"/>
    <w:rsid w:val="00CE3B69"/>
    <w:rsid w:val="00CE3BC9"/>
    <w:rsid w:val="00CE49E9"/>
    <w:rsid w:val="00CE691D"/>
    <w:rsid w:val="00CE6D24"/>
    <w:rsid w:val="00CE6D63"/>
    <w:rsid w:val="00CE6DAF"/>
    <w:rsid w:val="00CE73E4"/>
    <w:rsid w:val="00CF05CE"/>
    <w:rsid w:val="00CF15B8"/>
    <w:rsid w:val="00CF1C33"/>
    <w:rsid w:val="00CF36B6"/>
    <w:rsid w:val="00CF3B08"/>
    <w:rsid w:val="00CF3ECF"/>
    <w:rsid w:val="00CF410A"/>
    <w:rsid w:val="00CF4456"/>
    <w:rsid w:val="00CF47B8"/>
    <w:rsid w:val="00CF4BC0"/>
    <w:rsid w:val="00CF6144"/>
    <w:rsid w:val="00CF6851"/>
    <w:rsid w:val="00CF6C52"/>
    <w:rsid w:val="00CF6C8F"/>
    <w:rsid w:val="00CF7528"/>
    <w:rsid w:val="00CF7C9D"/>
    <w:rsid w:val="00CF7FDE"/>
    <w:rsid w:val="00D001F5"/>
    <w:rsid w:val="00D012AF"/>
    <w:rsid w:val="00D014B6"/>
    <w:rsid w:val="00D02ADE"/>
    <w:rsid w:val="00D02B83"/>
    <w:rsid w:val="00D0312E"/>
    <w:rsid w:val="00D0321E"/>
    <w:rsid w:val="00D044D1"/>
    <w:rsid w:val="00D05457"/>
    <w:rsid w:val="00D069EB"/>
    <w:rsid w:val="00D07A8A"/>
    <w:rsid w:val="00D10E31"/>
    <w:rsid w:val="00D11199"/>
    <w:rsid w:val="00D11A24"/>
    <w:rsid w:val="00D11E15"/>
    <w:rsid w:val="00D12DBE"/>
    <w:rsid w:val="00D14071"/>
    <w:rsid w:val="00D1455A"/>
    <w:rsid w:val="00D14573"/>
    <w:rsid w:val="00D148F4"/>
    <w:rsid w:val="00D14A70"/>
    <w:rsid w:val="00D1639A"/>
    <w:rsid w:val="00D1644F"/>
    <w:rsid w:val="00D16CF9"/>
    <w:rsid w:val="00D16D98"/>
    <w:rsid w:val="00D16D9A"/>
    <w:rsid w:val="00D17B50"/>
    <w:rsid w:val="00D207EA"/>
    <w:rsid w:val="00D20928"/>
    <w:rsid w:val="00D20AE9"/>
    <w:rsid w:val="00D20CCE"/>
    <w:rsid w:val="00D211FB"/>
    <w:rsid w:val="00D2160E"/>
    <w:rsid w:val="00D21BA0"/>
    <w:rsid w:val="00D22093"/>
    <w:rsid w:val="00D23075"/>
    <w:rsid w:val="00D2354E"/>
    <w:rsid w:val="00D25A3C"/>
    <w:rsid w:val="00D25FF5"/>
    <w:rsid w:val="00D2726C"/>
    <w:rsid w:val="00D27AAD"/>
    <w:rsid w:val="00D27E0C"/>
    <w:rsid w:val="00D30106"/>
    <w:rsid w:val="00D31105"/>
    <w:rsid w:val="00D31150"/>
    <w:rsid w:val="00D3138B"/>
    <w:rsid w:val="00D31410"/>
    <w:rsid w:val="00D31C0E"/>
    <w:rsid w:val="00D31FCE"/>
    <w:rsid w:val="00D32599"/>
    <w:rsid w:val="00D3280C"/>
    <w:rsid w:val="00D32B18"/>
    <w:rsid w:val="00D32C7A"/>
    <w:rsid w:val="00D33344"/>
    <w:rsid w:val="00D3406A"/>
    <w:rsid w:val="00D3431B"/>
    <w:rsid w:val="00D34955"/>
    <w:rsid w:val="00D34D24"/>
    <w:rsid w:val="00D34F02"/>
    <w:rsid w:val="00D37813"/>
    <w:rsid w:val="00D4042C"/>
    <w:rsid w:val="00D40B11"/>
    <w:rsid w:val="00D40D26"/>
    <w:rsid w:val="00D41AC0"/>
    <w:rsid w:val="00D4200F"/>
    <w:rsid w:val="00D42388"/>
    <w:rsid w:val="00D42864"/>
    <w:rsid w:val="00D429EC"/>
    <w:rsid w:val="00D441F1"/>
    <w:rsid w:val="00D4572C"/>
    <w:rsid w:val="00D469B2"/>
    <w:rsid w:val="00D47B9B"/>
    <w:rsid w:val="00D505C0"/>
    <w:rsid w:val="00D50899"/>
    <w:rsid w:val="00D51C1E"/>
    <w:rsid w:val="00D52B24"/>
    <w:rsid w:val="00D52EAA"/>
    <w:rsid w:val="00D52ECF"/>
    <w:rsid w:val="00D5375D"/>
    <w:rsid w:val="00D53ABF"/>
    <w:rsid w:val="00D5411A"/>
    <w:rsid w:val="00D54B09"/>
    <w:rsid w:val="00D54B88"/>
    <w:rsid w:val="00D55D5F"/>
    <w:rsid w:val="00D57915"/>
    <w:rsid w:val="00D61BE9"/>
    <w:rsid w:val="00D6243E"/>
    <w:rsid w:val="00D62935"/>
    <w:rsid w:val="00D629A6"/>
    <w:rsid w:val="00D62B61"/>
    <w:rsid w:val="00D65658"/>
    <w:rsid w:val="00D65709"/>
    <w:rsid w:val="00D67EB2"/>
    <w:rsid w:val="00D70349"/>
    <w:rsid w:val="00D7167A"/>
    <w:rsid w:val="00D71B7F"/>
    <w:rsid w:val="00D71F68"/>
    <w:rsid w:val="00D72B6F"/>
    <w:rsid w:val="00D72C65"/>
    <w:rsid w:val="00D741EB"/>
    <w:rsid w:val="00D74CEA"/>
    <w:rsid w:val="00D76039"/>
    <w:rsid w:val="00D76486"/>
    <w:rsid w:val="00D7679C"/>
    <w:rsid w:val="00D773B5"/>
    <w:rsid w:val="00D81081"/>
    <w:rsid w:val="00D817A9"/>
    <w:rsid w:val="00D81C0F"/>
    <w:rsid w:val="00D820F3"/>
    <w:rsid w:val="00D835FF"/>
    <w:rsid w:val="00D83605"/>
    <w:rsid w:val="00D83A5D"/>
    <w:rsid w:val="00D83B92"/>
    <w:rsid w:val="00D84934"/>
    <w:rsid w:val="00D8509A"/>
    <w:rsid w:val="00D852A3"/>
    <w:rsid w:val="00D866EB"/>
    <w:rsid w:val="00D86E27"/>
    <w:rsid w:val="00D86F11"/>
    <w:rsid w:val="00D87D1A"/>
    <w:rsid w:val="00D90481"/>
    <w:rsid w:val="00D906DA"/>
    <w:rsid w:val="00D91271"/>
    <w:rsid w:val="00D919F5"/>
    <w:rsid w:val="00D92735"/>
    <w:rsid w:val="00D92E54"/>
    <w:rsid w:val="00D933E7"/>
    <w:rsid w:val="00D939D9"/>
    <w:rsid w:val="00D945F6"/>
    <w:rsid w:val="00D94AEA"/>
    <w:rsid w:val="00D94F03"/>
    <w:rsid w:val="00D94F1A"/>
    <w:rsid w:val="00D95161"/>
    <w:rsid w:val="00D95C23"/>
    <w:rsid w:val="00D95DED"/>
    <w:rsid w:val="00D96FB7"/>
    <w:rsid w:val="00D9792B"/>
    <w:rsid w:val="00DA0A82"/>
    <w:rsid w:val="00DA0D14"/>
    <w:rsid w:val="00DA1DF8"/>
    <w:rsid w:val="00DA1FC9"/>
    <w:rsid w:val="00DA2A7B"/>
    <w:rsid w:val="00DA2CB5"/>
    <w:rsid w:val="00DA2CE6"/>
    <w:rsid w:val="00DA2F04"/>
    <w:rsid w:val="00DA32AE"/>
    <w:rsid w:val="00DA358F"/>
    <w:rsid w:val="00DA383E"/>
    <w:rsid w:val="00DA40AF"/>
    <w:rsid w:val="00DA4791"/>
    <w:rsid w:val="00DA4BAC"/>
    <w:rsid w:val="00DA569B"/>
    <w:rsid w:val="00DA6870"/>
    <w:rsid w:val="00DA6AC6"/>
    <w:rsid w:val="00DA722E"/>
    <w:rsid w:val="00DA792A"/>
    <w:rsid w:val="00DB0151"/>
    <w:rsid w:val="00DB0160"/>
    <w:rsid w:val="00DB04D7"/>
    <w:rsid w:val="00DB04FE"/>
    <w:rsid w:val="00DB23A8"/>
    <w:rsid w:val="00DB2616"/>
    <w:rsid w:val="00DB3144"/>
    <w:rsid w:val="00DB3B14"/>
    <w:rsid w:val="00DB4609"/>
    <w:rsid w:val="00DB487C"/>
    <w:rsid w:val="00DB50E1"/>
    <w:rsid w:val="00DB5861"/>
    <w:rsid w:val="00DB76D6"/>
    <w:rsid w:val="00DB7FC9"/>
    <w:rsid w:val="00DC0566"/>
    <w:rsid w:val="00DC05E1"/>
    <w:rsid w:val="00DC1499"/>
    <w:rsid w:val="00DC16CF"/>
    <w:rsid w:val="00DC19E6"/>
    <w:rsid w:val="00DC2C3E"/>
    <w:rsid w:val="00DC3137"/>
    <w:rsid w:val="00DC3A71"/>
    <w:rsid w:val="00DC3B53"/>
    <w:rsid w:val="00DC431B"/>
    <w:rsid w:val="00DC4595"/>
    <w:rsid w:val="00DC4880"/>
    <w:rsid w:val="00DC52F0"/>
    <w:rsid w:val="00DC57F7"/>
    <w:rsid w:val="00DC581F"/>
    <w:rsid w:val="00DC5E90"/>
    <w:rsid w:val="00DC682C"/>
    <w:rsid w:val="00DC688E"/>
    <w:rsid w:val="00DC6EC3"/>
    <w:rsid w:val="00DD0BE9"/>
    <w:rsid w:val="00DD102C"/>
    <w:rsid w:val="00DD1DE3"/>
    <w:rsid w:val="00DD21BB"/>
    <w:rsid w:val="00DD25C1"/>
    <w:rsid w:val="00DD26F9"/>
    <w:rsid w:val="00DD2C70"/>
    <w:rsid w:val="00DD2D36"/>
    <w:rsid w:val="00DD350E"/>
    <w:rsid w:val="00DD3CD3"/>
    <w:rsid w:val="00DD42AB"/>
    <w:rsid w:val="00DD5462"/>
    <w:rsid w:val="00DD74AD"/>
    <w:rsid w:val="00DD7669"/>
    <w:rsid w:val="00DD7A38"/>
    <w:rsid w:val="00DD7EC4"/>
    <w:rsid w:val="00DE06AF"/>
    <w:rsid w:val="00DE0A6E"/>
    <w:rsid w:val="00DE0DB1"/>
    <w:rsid w:val="00DE1367"/>
    <w:rsid w:val="00DE26E8"/>
    <w:rsid w:val="00DE2B21"/>
    <w:rsid w:val="00DE4C1C"/>
    <w:rsid w:val="00DE588C"/>
    <w:rsid w:val="00DE6D27"/>
    <w:rsid w:val="00DE76EA"/>
    <w:rsid w:val="00DE7F7A"/>
    <w:rsid w:val="00DF0095"/>
    <w:rsid w:val="00DF0194"/>
    <w:rsid w:val="00DF01F8"/>
    <w:rsid w:val="00DF021D"/>
    <w:rsid w:val="00DF108D"/>
    <w:rsid w:val="00DF1172"/>
    <w:rsid w:val="00DF14EE"/>
    <w:rsid w:val="00DF217D"/>
    <w:rsid w:val="00DF2353"/>
    <w:rsid w:val="00DF26A7"/>
    <w:rsid w:val="00DF298B"/>
    <w:rsid w:val="00DF3277"/>
    <w:rsid w:val="00DF40A4"/>
    <w:rsid w:val="00DF470E"/>
    <w:rsid w:val="00DF4777"/>
    <w:rsid w:val="00DF4D9D"/>
    <w:rsid w:val="00DF5C87"/>
    <w:rsid w:val="00DF5E75"/>
    <w:rsid w:val="00DF6A31"/>
    <w:rsid w:val="00DF7407"/>
    <w:rsid w:val="00DF77A1"/>
    <w:rsid w:val="00DF7919"/>
    <w:rsid w:val="00DF793D"/>
    <w:rsid w:val="00E01771"/>
    <w:rsid w:val="00E0207E"/>
    <w:rsid w:val="00E02514"/>
    <w:rsid w:val="00E02703"/>
    <w:rsid w:val="00E02AE6"/>
    <w:rsid w:val="00E02EDE"/>
    <w:rsid w:val="00E03912"/>
    <w:rsid w:val="00E0409D"/>
    <w:rsid w:val="00E04728"/>
    <w:rsid w:val="00E04748"/>
    <w:rsid w:val="00E04ADE"/>
    <w:rsid w:val="00E060AF"/>
    <w:rsid w:val="00E0623B"/>
    <w:rsid w:val="00E078D9"/>
    <w:rsid w:val="00E07B16"/>
    <w:rsid w:val="00E10293"/>
    <w:rsid w:val="00E103A0"/>
    <w:rsid w:val="00E1043F"/>
    <w:rsid w:val="00E10956"/>
    <w:rsid w:val="00E1157E"/>
    <w:rsid w:val="00E11F44"/>
    <w:rsid w:val="00E12630"/>
    <w:rsid w:val="00E13996"/>
    <w:rsid w:val="00E13E60"/>
    <w:rsid w:val="00E15627"/>
    <w:rsid w:val="00E156F4"/>
    <w:rsid w:val="00E15FE4"/>
    <w:rsid w:val="00E164B3"/>
    <w:rsid w:val="00E16910"/>
    <w:rsid w:val="00E177DF"/>
    <w:rsid w:val="00E207E2"/>
    <w:rsid w:val="00E21164"/>
    <w:rsid w:val="00E2247D"/>
    <w:rsid w:val="00E22C8D"/>
    <w:rsid w:val="00E239E2"/>
    <w:rsid w:val="00E2400D"/>
    <w:rsid w:val="00E24E09"/>
    <w:rsid w:val="00E26B6A"/>
    <w:rsid w:val="00E27234"/>
    <w:rsid w:val="00E2758F"/>
    <w:rsid w:val="00E27A4C"/>
    <w:rsid w:val="00E30614"/>
    <w:rsid w:val="00E311B7"/>
    <w:rsid w:val="00E32878"/>
    <w:rsid w:val="00E3495C"/>
    <w:rsid w:val="00E34EA9"/>
    <w:rsid w:val="00E358A8"/>
    <w:rsid w:val="00E360B9"/>
    <w:rsid w:val="00E404FA"/>
    <w:rsid w:val="00E40E52"/>
    <w:rsid w:val="00E412F5"/>
    <w:rsid w:val="00E42401"/>
    <w:rsid w:val="00E42BDB"/>
    <w:rsid w:val="00E449F8"/>
    <w:rsid w:val="00E451D9"/>
    <w:rsid w:val="00E467DA"/>
    <w:rsid w:val="00E46876"/>
    <w:rsid w:val="00E47D47"/>
    <w:rsid w:val="00E50DB5"/>
    <w:rsid w:val="00E51AA6"/>
    <w:rsid w:val="00E524A9"/>
    <w:rsid w:val="00E53F1A"/>
    <w:rsid w:val="00E5487F"/>
    <w:rsid w:val="00E54B97"/>
    <w:rsid w:val="00E5726D"/>
    <w:rsid w:val="00E572A0"/>
    <w:rsid w:val="00E57EEB"/>
    <w:rsid w:val="00E57F52"/>
    <w:rsid w:val="00E60660"/>
    <w:rsid w:val="00E62D94"/>
    <w:rsid w:val="00E62ECC"/>
    <w:rsid w:val="00E6306D"/>
    <w:rsid w:val="00E63422"/>
    <w:rsid w:val="00E639FF"/>
    <w:rsid w:val="00E643AA"/>
    <w:rsid w:val="00E64F37"/>
    <w:rsid w:val="00E64FD9"/>
    <w:rsid w:val="00E65091"/>
    <w:rsid w:val="00E65393"/>
    <w:rsid w:val="00E659CC"/>
    <w:rsid w:val="00E65E54"/>
    <w:rsid w:val="00E661C7"/>
    <w:rsid w:val="00E66679"/>
    <w:rsid w:val="00E67576"/>
    <w:rsid w:val="00E67A05"/>
    <w:rsid w:val="00E71B95"/>
    <w:rsid w:val="00E72803"/>
    <w:rsid w:val="00E7327E"/>
    <w:rsid w:val="00E732C4"/>
    <w:rsid w:val="00E736F1"/>
    <w:rsid w:val="00E74E41"/>
    <w:rsid w:val="00E75151"/>
    <w:rsid w:val="00E75181"/>
    <w:rsid w:val="00E7526D"/>
    <w:rsid w:val="00E760DE"/>
    <w:rsid w:val="00E768D0"/>
    <w:rsid w:val="00E7692E"/>
    <w:rsid w:val="00E80155"/>
    <w:rsid w:val="00E80546"/>
    <w:rsid w:val="00E80779"/>
    <w:rsid w:val="00E8134B"/>
    <w:rsid w:val="00E81D31"/>
    <w:rsid w:val="00E81E0D"/>
    <w:rsid w:val="00E81EEE"/>
    <w:rsid w:val="00E81F28"/>
    <w:rsid w:val="00E83D54"/>
    <w:rsid w:val="00E83F37"/>
    <w:rsid w:val="00E848C0"/>
    <w:rsid w:val="00E84BB8"/>
    <w:rsid w:val="00E84E57"/>
    <w:rsid w:val="00E85270"/>
    <w:rsid w:val="00E858D3"/>
    <w:rsid w:val="00E86B43"/>
    <w:rsid w:val="00E86B8C"/>
    <w:rsid w:val="00E86F92"/>
    <w:rsid w:val="00E87743"/>
    <w:rsid w:val="00E902AB"/>
    <w:rsid w:val="00E90EA0"/>
    <w:rsid w:val="00E91B96"/>
    <w:rsid w:val="00E92929"/>
    <w:rsid w:val="00E92B9C"/>
    <w:rsid w:val="00E92F2E"/>
    <w:rsid w:val="00E935DA"/>
    <w:rsid w:val="00E93D1E"/>
    <w:rsid w:val="00E941A1"/>
    <w:rsid w:val="00E94B36"/>
    <w:rsid w:val="00E94C28"/>
    <w:rsid w:val="00E95CE3"/>
    <w:rsid w:val="00E95F9A"/>
    <w:rsid w:val="00E976DC"/>
    <w:rsid w:val="00EA00F1"/>
    <w:rsid w:val="00EA0856"/>
    <w:rsid w:val="00EA1DC4"/>
    <w:rsid w:val="00EA1F01"/>
    <w:rsid w:val="00EA252F"/>
    <w:rsid w:val="00EA2825"/>
    <w:rsid w:val="00EA2EFE"/>
    <w:rsid w:val="00EA30F9"/>
    <w:rsid w:val="00EA3F86"/>
    <w:rsid w:val="00EA45AD"/>
    <w:rsid w:val="00EA5027"/>
    <w:rsid w:val="00EA52DB"/>
    <w:rsid w:val="00EA596E"/>
    <w:rsid w:val="00EA64C2"/>
    <w:rsid w:val="00EA6518"/>
    <w:rsid w:val="00EA671D"/>
    <w:rsid w:val="00EA67F3"/>
    <w:rsid w:val="00EA6F0B"/>
    <w:rsid w:val="00EA7009"/>
    <w:rsid w:val="00EA71A2"/>
    <w:rsid w:val="00EA71D0"/>
    <w:rsid w:val="00EA7466"/>
    <w:rsid w:val="00EA7EAC"/>
    <w:rsid w:val="00EA7EDE"/>
    <w:rsid w:val="00EB03FA"/>
    <w:rsid w:val="00EB05B3"/>
    <w:rsid w:val="00EB0B2E"/>
    <w:rsid w:val="00EB0B63"/>
    <w:rsid w:val="00EB1573"/>
    <w:rsid w:val="00EB1936"/>
    <w:rsid w:val="00EB1F93"/>
    <w:rsid w:val="00EB20C6"/>
    <w:rsid w:val="00EB3545"/>
    <w:rsid w:val="00EB37BE"/>
    <w:rsid w:val="00EB4BAE"/>
    <w:rsid w:val="00EB5088"/>
    <w:rsid w:val="00EB5334"/>
    <w:rsid w:val="00EB6B25"/>
    <w:rsid w:val="00EB7210"/>
    <w:rsid w:val="00EC0A3F"/>
    <w:rsid w:val="00EC1AC5"/>
    <w:rsid w:val="00EC2726"/>
    <w:rsid w:val="00EC377A"/>
    <w:rsid w:val="00EC38EA"/>
    <w:rsid w:val="00EC575E"/>
    <w:rsid w:val="00EC5F59"/>
    <w:rsid w:val="00EC64CF"/>
    <w:rsid w:val="00EC681C"/>
    <w:rsid w:val="00EC715F"/>
    <w:rsid w:val="00EC7B87"/>
    <w:rsid w:val="00EC7E06"/>
    <w:rsid w:val="00ED13AF"/>
    <w:rsid w:val="00ED1644"/>
    <w:rsid w:val="00ED190C"/>
    <w:rsid w:val="00ED2479"/>
    <w:rsid w:val="00ED24D0"/>
    <w:rsid w:val="00ED2593"/>
    <w:rsid w:val="00ED3709"/>
    <w:rsid w:val="00ED37B5"/>
    <w:rsid w:val="00ED3F31"/>
    <w:rsid w:val="00ED432F"/>
    <w:rsid w:val="00ED4A9A"/>
    <w:rsid w:val="00ED4F76"/>
    <w:rsid w:val="00ED58C1"/>
    <w:rsid w:val="00ED5D7D"/>
    <w:rsid w:val="00ED7D55"/>
    <w:rsid w:val="00ED7D9C"/>
    <w:rsid w:val="00EE00A7"/>
    <w:rsid w:val="00EE0DF6"/>
    <w:rsid w:val="00EE112C"/>
    <w:rsid w:val="00EE1480"/>
    <w:rsid w:val="00EE18F5"/>
    <w:rsid w:val="00EE2F77"/>
    <w:rsid w:val="00EE3158"/>
    <w:rsid w:val="00EE31A2"/>
    <w:rsid w:val="00EE36BB"/>
    <w:rsid w:val="00EE41D1"/>
    <w:rsid w:val="00EE4329"/>
    <w:rsid w:val="00EE506C"/>
    <w:rsid w:val="00EE534F"/>
    <w:rsid w:val="00EE5919"/>
    <w:rsid w:val="00EE5B2E"/>
    <w:rsid w:val="00EE5D4C"/>
    <w:rsid w:val="00EE6203"/>
    <w:rsid w:val="00EE62CF"/>
    <w:rsid w:val="00EE64B6"/>
    <w:rsid w:val="00EE6BD9"/>
    <w:rsid w:val="00EE733D"/>
    <w:rsid w:val="00EE776A"/>
    <w:rsid w:val="00EE7E3E"/>
    <w:rsid w:val="00EF0069"/>
    <w:rsid w:val="00EF081D"/>
    <w:rsid w:val="00EF0A6E"/>
    <w:rsid w:val="00EF1898"/>
    <w:rsid w:val="00EF27D0"/>
    <w:rsid w:val="00EF3C52"/>
    <w:rsid w:val="00EF44A0"/>
    <w:rsid w:val="00EF4580"/>
    <w:rsid w:val="00EF4FED"/>
    <w:rsid w:val="00EF570D"/>
    <w:rsid w:val="00EF59E8"/>
    <w:rsid w:val="00EF5F45"/>
    <w:rsid w:val="00EF607E"/>
    <w:rsid w:val="00EF6843"/>
    <w:rsid w:val="00EF6941"/>
    <w:rsid w:val="00EF6B80"/>
    <w:rsid w:val="00EF6FB3"/>
    <w:rsid w:val="00EF70D9"/>
    <w:rsid w:val="00EF77A3"/>
    <w:rsid w:val="00EF7818"/>
    <w:rsid w:val="00EF7C65"/>
    <w:rsid w:val="00F0068B"/>
    <w:rsid w:val="00F007C6"/>
    <w:rsid w:val="00F0172E"/>
    <w:rsid w:val="00F01F19"/>
    <w:rsid w:val="00F02D0A"/>
    <w:rsid w:val="00F039E0"/>
    <w:rsid w:val="00F03CE4"/>
    <w:rsid w:val="00F050BD"/>
    <w:rsid w:val="00F05657"/>
    <w:rsid w:val="00F05AB0"/>
    <w:rsid w:val="00F119D5"/>
    <w:rsid w:val="00F12814"/>
    <w:rsid w:val="00F12C74"/>
    <w:rsid w:val="00F13214"/>
    <w:rsid w:val="00F1402A"/>
    <w:rsid w:val="00F1410C"/>
    <w:rsid w:val="00F145B2"/>
    <w:rsid w:val="00F14773"/>
    <w:rsid w:val="00F1559A"/>
    <w:rsid w:val="00F16CF3"/>
    <w:rsid w:val="00F16E40"/>
    <w:rsid w:val="00F17D80"/>
    <w:rsid w:val="00F17ED6"/>
    <w:rsid w:val="00F20676"/>
    <w:rsid w:val="00F209E2"/>
    <w:rsid w:val="00F21233"/>
    <w:rsid w:val="00F22A0F"/>
    <w:rsid w:val="00F22FD4"/>
    <w:rsid w:val="00F2398F"/>
    <w:rsid w:val="00F24B17"/>
    <w:rsid w:val="00F25046"/>
    <w:rsid w:val="00F25419"/>
    <w:rsid w:val="00F25578"/>
    <w:rsid w:val="00F25707"/>
    <w:rsid w:val="00F258E5"/>
    <w:rsid w:val="00F25B9C"/>
    <w:rsid w:val="00F25CD2"/>
    <w:rsid w:val="00F26671"/>
    <w:rsid w:val="00F2675A"/>
    <w:rsid w:val="00F26CC6"/>
    <w:rsid w:val="00F26E20"/>
    <w:rsid w:val="00F27A8C"/>
    <w:rsid w:val="00F300BC"/>
    <w:rsid w:val="00F305FA"/>
    <w:rsid w:val="00F30877"/>
    <w:rsid w:val="00F31809"/>
    <w:rsid w:val="00F3263C"/>
    <w:rsid w:val="00F32770"/>
    <w:rsid w:val="00F32C86"/>
    <w:rsid w:val="00F32F8D"/>
    <w:rsid w:val="00F3334E"/>
    <w:rsid w:val="00F336D8"/>
    <w:rsid w:val="00F3573A"/>
    <w:rsid w:val="00F35D72"/>
    <w:rsid w:val="00F364D7"/>
    <w:rsid w:val="00F36C28"/>
    <w:rsid w:val="00F36CCB"/>
    <w:rsid w:val="00F374E5"/>
    <w:rsid w:val="00F37B93"/>
    <w:rsid w:val="00F37BAD"/>
    <w:rsid w:val="00F37ECA"/>
    <w:rsid w:val="00F37EE7"/>
    <w:rsid w:val="00F37FF9"/>
    <w:rsid w:val="00F40A1C"/>
    <w:rsid w:val="00F40C01"/>
    <w:rsid w:val="00F41425"/>
    <w:rsid w:val="00F41823"/>
    <w:rsid w:val="00F41C19"/>
    <w:rsid w:val="00F4278F"/>
    <w:rsid w:val="00F4289F"/>
    <w:rsid w:val="00F43AF2"/>
    <w:rsid w:val="00F43EE9"/>
    <w:rsid w:val="00F444A5"/>
    <w:rsid w:val="00F45216"/>
    <w:rsid w:val="00F46664"/>
    <w:rsid w:val="00F468BF"/>
    <w:rsid w:val="00F4749F"/>
    <w:rsid w:val="00F5007E"/>
    <w:rsid w:val="00F503CB"/>
    <w:rsid w:val="00F508F6"/>
    <w:rsid w:val="00F50EC4"/>
    <w:rsid w:val="00F50F76"/>
    <w:rsid w:val="00F52232"/>
    <w:rsid w:val="00F52649"/>
    <w:rsid w:val="00F527B1"/>
    <w:rsid w:val="00F52DC2"/>
    <w:rsid w:val="00F538B7"/>
    <w:rsid w:val="00F538CF"/>
    <w:rsid w:val="00F53A8D"/>
    <w:rsid w:val="00F54AF9"/>
    <w:rsid w:val="00F55080"/>
    <w:rsid w:val="00F550CF"/>
    <w:rsid w:val="00F5516F"/>
    <w:rsid w:val="00F553D2"/>
    <w:rsid w:val="00F560E2"/>
    <w:rsid w:val="00F56A2D"/>
    <w:rsid w:val="00F56E6E"/>
    <w:rsid w:val="00F57372"/>
    <w:rsid w:val="00F5791A"/>
    <w:rsid w:val="00F57A6D"/>
    <w:rsid w:val="00F6044B"/>
    <w:rsid w:val="00F61202"/>
    <w:rsid w:val="00F62F19"/>
    <w:rsid w:val="00F63622"/>
    <w:rsid w:val="00F638CC"/>
    <w:rsid w:val="00F64BBD"/>
    <w:rsid w:val="00F64C9E"/>
    <w:rsid w:val="00F64CC1"/>
    <w:rsid w:val="00F6682A"/>
    <w:rsid w:val="00F67742"/>
    <w:rsid w:val="00F70735"/>
    <w:rsid w:val="00F708B1"/>
    <w:rsid w:val="00F72317"/>
    <w:rsid w:val="00F73DC1"/>
    <w:rsid w:val="00F745AA"/>
    <w:rsid w:val="00F74E27"/>
    <w:rsid w:val="00F75075"/>
    <w:rsid w:val="00F75988"/>
    <w:rsid w:val="00F75BB8"/>
    <w:rsid w:val="00F77714"/>
    <w:rsid w:val="00F778FF"/>
    <w:rsid w:val="00F77CAB"/>
    <w:rsid w:val="00F803BE"/>
    <w:rsid w:val="00F80475"/>
    <w:rsid w:val="00F80E6E"/>
    <w:rsid w:val="00F81390"/>
    <w:rsid w:val="00F81F7A"/>
    <w:rsid w:val="00F8237E"/>
    <w:rsid w:val="00F8238D"/>
    <w:rsid w:val="00F8247A"/>
    <w:rsid w:val="00F82E5C"/>
    <w:rsid w:val="00F83900"/>
    <w:rsid w:val="00F83E86"/>
    <w:rsid w:val="00F83F58"/>
    <w:rsid w:val="00F85206"/>
    <w:rsid w:val="00F85D23"/>
    <w:rsid w:val="00F86699"/>
    <w:rsid w:val="00F8716B"/>
    <w:rsid w:val="00F87ADC"/>
    <w:rsid w:val="00F87C7A"/>
    <w:rsid w:val="00F87CEA"/>
    <w:rsid w:val="00F902C9"/>
    <w:rsid w:val="00F91242"/>
    <w:rsid w:val="00F915FA"/>
    <w:rsid w:val="00F91C85"/>
    <w:rsid w:val="00F91CAE"/>
    <w:rsid w:val="00F922C6"/>
    <w:rsid w:val="00F9265D"/>
    <w:rsid w:val="00F93648"/>
    <w:rsid w:val="00F93F7A"/>
    <w:rsid w:val="00F9404B"/>
    <w:rsid w:val="00F944E2"/>
    <w:rsid w:val="00F94F96"/>
    <w:rsid w:val="00F952D1"/>
    <w:rsid w:val="00F95965"/>
    <w:rsid w:val="00F9629A"/>
    <w:rsid w:val="00F96CFA"/>
    <w:rsid w:val="00F97165"/>
    <w:rsid w:val="00F972F9"/>
    <w:rsid w:val="00F9765C"/>
    <w:rsid w:val="00F97EFC"/>
    <w:rsid w:val="00FA0B04"/>
    <w:rsid w:val="00FA0C7C"/>
    <w:rsid w:val="00FA0FBB"/>
    <w:rsid w:val="00FA11CB"/>
    <w:rsid w:val="00FA1BDD"/>
    <w:rsid w:val="00FA2186"/>
    <w:rsid w:val="00FA305C"/>
    <w:rsid w:val="00FA462E"/>
    <w:rsid w:val="00FA4DD5"/>
    <w:rsid w:val="00FA5026"/>
    <w:rsid w:val="00FA577C"/>
    <w:rsid w:val="00FA5883"/>
    <w:rsid w:val="00FA6055"/>
    <w:rsid w:val="00FA6446"/>
    <w:rsid w:val="00FA6ED7"/>
    <w:rsid w:val="00FB0B39"/>
    <w:rsid w:val="00FB269F"/>
    <w:rsid w:val="00FB322F"/>
    <w:rsid w:val="00FB34C0"/>
    <w:rsid w:val="00FB3E69"/>
    <w:rsid w:val="00FB3E78"/>
    <w:rsid w:val="00FB427A"/>
    <w:rsid w:val="00FB442F"/>
    <w:rsid w:val="00FB4BBB"/>
    <w:rsid w:val="00FB6328"/>
    <w:rsid w:val="00FB6446"/>
    <w:rsid w:val="00FB75AC"/>
    <w:rsid w:val="00FC0D75"/>
    <w:rsid w:val="00FC118C"/>
    <w:rsid w:val="00FC1929"/>
    <w:rsid w:val="00FC1E66"/>
    <w:rsid w:val="00FC1F89"/>
    <w:rsid w:val="00FC2A45"/>
    <w:rsid w:val="00FC39B4"/>
    <w:rsid w:val="00FC44D9"/>
    <w:rsid w:val="00FC4740"/>
    <w:rsid w:val="00FC5B46"/>
    <w:rsid w:val="00FC5BD4"/>
    <w:rsid w:val="00FC5C87"/>
    <w:rsid w:val="00FC6F9D"/>
    <w:rsid w:val="00FC7088"/>
    <w:rsid w:val="00FC7659"/>
    <w:rsid w:val="00FD08ED"/>
    <w:rsid w:val="00FD1999"/>
    <w:rsid w:val="00FD1D4F"/>
    <w:rsid w:val="00FD20A4"/>
    <w:rsid w:val="00FD24BF"/>
    <w:rsid w:val="00FD289E"/>
    <w:rsid w:val="00FD2BF9"/>
    <w:rsid w:val="00FD3227"/>
    <w:rsid w:val="00FD3229"/>
    <w:rsid w:val="00FD3B6E"/>
    <w:rsid w:val="00FD4140"/>
    <w:rsid w:val="00FD4F86"/>
    <w:rsid w:val="00FD57EB"/>
    <w:rsid w:val="00FD5A33"/>
    <w:rsid w:val="00FD5AD2"/>
    <w:rsid w:val="00FD6D8E"/>
    <w:rsid w:val="00FE0663"/>
    <w:rsid w:val="00FE0AFB"/>
    <w:rsid w:val="00FE0E94"/>
    <w:rsid w:val="00FE15D2"/>
    <w:rsid w:val="00FE2509"/>
    <w:rsid w:val="00FE2E73"/>
    <w:rsid w:val="00FE369C"/>
    <w:rsid w:val="00FE3CD9"/>
    <w:rsid w:val="00FE4301"/>
    <w:rsid w:val="00FE5BA0"/>
    <w:rsid w:val="00FE5C93"/>
    <w:rsid w:val="00FE617B"/>
    <w:rsid w:val="00FE62B1"/>
    <w:rsid w:val="00FE6FF7"/>
    <w:rsid w:val="00FF00BD"/>
    <w:rsid w:val="00FF067C"/>
    <w:rsid w:val="00FF0B13"/>
    <w:rsid w:val="00FF1672"/>
    <w:rsid w:val="00FF1ED4"/>
    <w:rsid w:val="00FF276C"/>
    <w:rsid w:val="00FF2801"/>
    <w:rsid w:val="00FF30DE"/>
    <w:rsid w:val="00FF3757"/>
    <w:rsid w:val="00FF3D72"/>
    <w:rsid w:val="00FF452F"/>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423729"/>
    <w:rsid w:val="069F379E"/>
    <w:rsid w:val="076CEE75"/>
    <w:rsid w:val="08185FB9"/>
    <w:rsid w:val="082A09EB"/>
    <w:rsid w:val="089BC592"/>
    <w:rsid w:val="0A0C7AE1"/>
    <w:rsid w:val="0A663D94"/>
    <w:rsid w:val="0B1BF5E7"/>
    <w:rsid w:val="0CC5848D"/>
    <w:rsid w:val="0CF130DF"/>
    <w:rsid w:val="0CFE1DFD"/>
    <w:rsid w:val="0D4FC7CF"/>
    <w:rsid w:val="0DC4E36E"/>
    <w:rsid w:val="0E5E506F"/>
    <w:rsid w:val="0F5CF529"/>
    <w:rsid w:val="0F8D2047"/>
    <w:rsid w:val="0FC31246"/>
    <w:rsid w:val="1023E0F9"/>
    <w:rsid w:val="10A20FC9"/>
    <w:rsid w:val="1272477B"/>
    <w:rsid w:val="12B95C68"/>
    <w:rsid w:val="13742B40"/>
    <w:rsid w:val="14F07869"/>
    <w:rsid w:val="15107A79"/>
    <w:rsid w:val="1559BAC6"/>
    <w:rsid w:val="162998A6"/>
    <w:rsid w:val="17FD5F39"/>
    <w:rsid w:val="18657CF4"/>
    <w:rsid w:val="18BEB7AC"/>
    <w:rsid w:val="19890FA6"/>
    <w:rsid w:val="19B44400"/>
    <w:rsid w:val="19F2311B"/>
    <w:rsid w:val="19F7AA11"/>
    <w:rsid w:val="1A0D3C6A"/>
    <w:rsid w:val="1A2D1BE7"/>
    <w:rsid w:val="1A8A0C43"/>
    <w:rsid w:val="1B0BFFE7"/>
    <w:rsid w:val="1B4DABE9"/>
    <w:rsid w:val="1B88D271"/>
    <w:rsid w:val="1D4E7C25"/>
    <w:rsid w:val="1D6033D6"/>
    <w:rsid w:val="1DDBDA0D"/>
    <w:rsid w:val="1E382E8C"/>
    <w:rsid w:val="1E938E64"/>
    <w:rsid w:val="1EAFF635"/>
    <w:rsid w:val="1F3EECBD"/>
    <w:rsid w:val="1F9D217E"/>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2FF67C"/>
    <w:rsid w:val="29365BD7"/>
    <w:rsid w:val="29882150"/>
    <w:rsid w:val="29E0E709"/>
    <w:rsid w:val="2AA490C3"/>
    <w:rsid w:val="2AB480AD"/>
    <w:rsid w:val="2B8D5B09"/>
    <w:rsid w:val="2BC733F8"/>
    <w:rsid w:val="2C4C1D68"/>
    <w:rsid w:val="2C7C3DFB"/>
    <w:rsid w:val="2C94791C"/>
    <w:rsid w:val="2D470254"/>
    <w:rsid w:val="2DECC312"/>
    <w:rsid w:val="2E4579D6"/>
    <w:rsid w:val="2EF0545B"/>
    <w:rsid w:val="2FC97F8A"/>
    <w:rsid w:val="300EDF22"/>
    <w:rsid w:val="3079EB0D"/>
    <w:rsid w:val="307D714D"/>
    <w:rsid w:val="3093AC95"/>
    <w:rsid w:val="30E8B387"/>
    <w:rsid w:val="30ED8AB6"/>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9F2BB3"/>
    <w:rsid w:val="3EDC23CB"/>
    <w:rsid w:val="40771079"/>
    <w:rsid w:val="40930EF5"/>
    <w:rsid w:val="4110CDB4"/>
    <w:rsid w:val="42691D0F"/>
    <w:rsid w:val="4372D6C2"/>
    <w:rsid w:val="443448FB"/>
    <w:rsid w:val="44505BFC"/>
    <w:rsid w:val="450F5A46"/>
    <w:rsid w:val="456C4AA2"/>
    <w:rsid w:val="45AEF7D4"/>
    <w:rsid w:val="4641A0D0"/>
    <w:rsid w:val="483DA525"/>
    <w:rsid w:val="4873567A"/>
    <w:rsid w:val="48F582C0"/>
    <w:rsid w:val="495D9BBE"/>
    <w:rsid w:val="49B7B512"/>
    <w:rsid w:val="4A462E24"/>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234E7F"/>
    <w:rsid w:val="5347EE8E"/>
    <w:rsid w:val="53B39A2E"/>
    <w:rsid w:val="54920CF5"/>
    <w:rsid w:val="54C17BA2"/>
    <w:rsid w:val="553311EF"/>
    <w:rsid w:val="55ACD1A0"/>
    <w:rsid w:val="56AFA43F"/>
    <w:rsid w:val="579CB704"/>
    <w:rsid w:val="57C30608"/>
    <w:rsid w:val="58963761"/>
    <w:rsid w:val="59185BFB"/>
    <w:rsid w:val="593F501C"/>
    <w:rsid w:val="5A05D725"/>
    <w:rsid w:val="5A4B07C8"/>
    <w:rsid w:val="5ADD90BE"/>
    <w:rsid w:val="5B1E38D7"/>
    <w:rsid w:val="5B9D8C93"/>
    <w:rsid w:val="5CB076C8"/>
    <w:rsid w:val="5D5832E9"/>
    <w:rsid w:val="5D80A09E"/>
    <w:rsid w:val="5DC1C88E"/>
    <w:rsid w:val="5DF2A876"/>
    <w:rsid w:val="5EACEEBD"/>
    <w:rsid w:val="5EAD019D"/>
    <w:rsid w:val="5EBDDC85"/>
    <w:rsid w:val="5F6B4399"/>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7A85C9"/>
    <w:rsid w:val="6996A15B"/>
    <w:rsid w:val="699B3EBB"/>
    <w:rsid w:val="69A7D5B7"/>
    <w:rsid w:val="6A2AAF49"/>
    <w:rsid w:val="6AEA2C27"/>
    <w:rsid w:val="6BAD574D"/>
    <w:rsid w:val="6CA77350"/>
    <w:rsid w:val="6DA40DFD"/>
    <w:rsid w:val="70971A32"/>
    <w:rsid w:val="709A626A"/>
    <w:rsid w:val="716D6D8F"/>
    <w:rsid w:val="731BA24E"/>
    <w:rsid w:val="73C131A7"/>
    <w:rsid w:val="73C929CD"/>
    <w:rsid w:val="73E7CF48"/>
    <w:rsid w:val="75B5D97D"/>
    <w:rsid w:val="75B9CE48"/>
    <w:rsid w:val="764DA178"/>
    <w:rsid w:val="76E52FC1"/>
    <w:rsid w:val="77B642A1"/>
    <w:rsid w:val="78063D85"/>
    <w:rsid w:val="78168F3E"/>
    <w:rsid w:val="78E271BD"/>
    <w:rsid w:val="78E93C4E"/>
    <w:rsid w:val="7945D114"/>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7F44AA"/>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32" w:qFormat="1"/>
    <w:lsdException w:name="Book Title" w:uiPriority="69"/>
    <w:lsdException w:name="Bibliography" w:semiHidden="1" w:uiPriority="7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97A"/>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44D2D"/>
    <w:pPr>
      <w:keepNext/>
      <w:keepLines/>
      <w:spacing w:before="40"/>
      <w:outlineLvl w:val="3"/>
    </w:pPr>
    <w:rPr>
      <w:rFonts w:ascii="Aptos" w:hAnsi="Aptos"/>
      <w:i/>
      <w:iCs/>
      <w:color w:val="2E74B5"/>
      <w:sz w:val="20"/>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nhideWhenUsed/>
    <w:qFormat/>
    <w:rsid w:val="00144D2D"/>
    <w:pPr>
      <w:keepNext/>
      <w:keepLines/>
      <w:spacing w:before="40"/>
      <w:outlineLvl w:val="6"/>
    </w:pPr>
    <w:rPr>
      <w:rFonts w:ascii="Aptos" w:hAnsi="Aptos"/>
      <w:color w:val="595959"/>
      <w:sz w:val="20"/>
      <w:szCs w:val="20"/>
    </w:rPr>
  </w:style>
  <w:style w:type="paragraph" w:styleId="Heading8">
    <w:name w:val="heading 8"/>
    <w:basedOn w:val="Normal"/>
    <w:next w:val="Normal"/>
    <w:link w:val="Heading8Char"/>
    <w:uiPriority w:val="7"/>
    <w:unhideWhenUsed/>
    <w:qFormat/>
    <w:rsid w:val="00144D2D"/>
    <w:pPr>
      <w:keepNext/>
      <w:keepLines/>
      <w:spacing w:before="40"/>
      <w:outlineLvl w:val="7"/>
    </w:pPr>
    <w:rPr>
      <w:rFonts w:ascii="Aptos" w:hAnsi="Aptos"/>
      <w:i/>
      <w:iCs/>
      <w:color w:val="272727"/>
      <w:sz w:val="20"/>
      <w:szCs w:val="20"/>
    </w:rPr>
  </w:style>
  <w:style w:type="paragraph" w:styleId="Heading9">
    <w:name w:val="heading 9"/>
    <w:basedOn w:val="Normal"/>
    <w:next w:val="Normal"/>
    <w:link w:val="Heading9Char"/>
    <w:unhideWhenUsed/>
    <w:qFormat/>
    <w:rsid w:val="00144D2D"/>
    <w:pPr>
      <w:keepNext/>
      <w:keepLines/>
      <w:spacing w:before="40"/>
      <w:outlineLvl w:val="8"/>
    </w:pPr>
    <w:rPr>
      <w:rFonts w:ascii="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CMA Table Templat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Table Legend,Bullet1,Bullet 1,Bullet List,Section 5,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Table Legend Char,Bullet1 Char,Bullet 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unhideWhenUsed/>
    <w:rsid w:val="00BA6D5B"/>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BA6D5B"/>
    <w:rPr>
      <w:b/>
      <w:bCs/>
    </w:rPr>
  </w:style>
  <w:style w:type="paragraph" w:styleId="FootnoteText">
    <w:name w:val="footnote text"/>
    <w:basedOn w:val="Normal"/>
    <w:link w:val="FootnoteTextChar"/>
    <w:uiPriority w:val="99"/>
    <w:unhideWhenUsed/>
    <w:rsid w:val="006E0242"/>
    <w:rPr>
      <w:sz w:val="20"/>
      <w:szCs w:val="20"/>
    </w:rPr>
  </w:style>
  <w:style w:type="character" w:customStyle="1" w:styleId="FootnoteTextChar">
    <w:name w:val="Footnote Text Char"/>
    <w:basedOn w:val="DefaultParagraphFont"/>
    <w:link w:val="FootnoteText"/>
    <w:uiPriority w:val="99"/>
    <w:rsid w:val="006E0242"/>
    <w:rPr>
      <w:rFonts w:ascii="Calibri" w:hAnsi="Calibri"/>
    </w:rPr>
  </w:style>
  <w:style w:type="character" w:styleId="FootnoteReference">
    <w:name w:val="footnote reference"/>
    <w:basedOn w:val="DefaultParagraphFont"/>
    <w:uiPriority w:val="99"/>
    <w:unhideWhenUsed/>
    <w:rsid w:val="006E0242"/>
    <w:rPr>
      <w:vertAlign w:val="superscript"/>
    </w:rPr>
  </w:style>
  <w:style w:type="paragraph" w:customStyle="1" w:styleId="pf0">
    <w:name w:val="pf0"/>
    <w:basedOn w:val="Normal"/>
    <w:rsid w:val="00BE0546"/>
    <w:pPr>
      <w:spacing w:before="100" w:beforeAutospacing="1" w:after="100" w:afterAutospacing="1"/>
      <w:jc w:val="left"/>
    </w:pPr>
    <w:rPr>
      <w:rFonts w:ascii="Times New Roman" w:hAnsi="Times New Roman"/>
    </w:rPr>
  </w:style>
  <w:style w:type="paragraph" w:customStyle="1" w:styleId="Heading41">
    <w:name w:val="Heading 41"/>
    <w:basedOn w:val="Normal"/>
    <w:next w:val="Normal"/>
    <w:uiPriority w:val="9"/>
    <w:semiHidden/>
    <w:unhideWhenUsed/>
    <w:qFormat/>
    <w:rsid w:val="00144D2D"/>
    <w:pPr>
      <w:keepNext/>
      <w:keepLines/>
      <w:spacing w:before="80" w:after="40"/>
      <w:outlineLvl w:val="3"/>
    </w:pPr>
    <w:rPr>
      <w:rFonts w:ascii="Aptos" w:hAnsi="Aptos"/>
      <w:i/>
      <w:iCs/>
      <w:color w:val="2E74B5"/>
    </w:rPr>
  </w:style>
  <w:style w:type="paragraph" w:customStyle="1" w:styleId="Heading71">
    <w:name w:val="Heading 71"/>
    <w:basedOn w:val="Normal"/>
    <w:next w:val="Normal"/>
    <w:uiPriority w:val="9"/>
    <w:semiHidden/>
    <w:unhideWhenUsed/>
    <w:qFormat/>
    <w:rsid w:val="00144D2D"/>
    <w:pPr>
      <w:keepNext/>
      <w:keepLines/>
      <w:spacing w:before="40"/>
      <w:outlineLvl w:val="6"/>
    </w:pPr>
    <w:rPr>
      <w:rFonts w:ascii="Aptos" w:hAnsi="Aptos"/>
      <w:color w:val="595959"/>
    </w:rPr>
  </w:style>
  <w:style w:type="paragraph" w:customStyle="1" w:styleId="Heading81">
    <w:name w:val="Heading 81"/>
    <w:basedOn w:val="Normal"/>
    <w:next w:val="Normal"/>
    <w:uiPriority w:val="9"/>
    <w:semiHidden/>
    <w:unhideWhenUsed/>
    <w:qFormat/>
    <w:rsid w:val="00144D2D"/>
    <w:pPr>
      <w:keepNext/>
      <w:keepLines/>
      <w:outlineLvl w:val="7"/>
    </w:pPr>
    <w:rPr>
      <w:rFonts w:ascii="Aptos" w:hAnsi="Aptos"/>
      <w:i/>
      <w:iCs/>
      <w:color w:val="272727"/>
    </w:rPr>
  </w:style>
  <w:style w:type="paragraph" w:customStyle="1" w:styleId="Heading91">
    <w:name w:val="Heading 91"/>
    <w:basedOn w:val="Normal"/>
    <w:next w:val="Normal"/>
    <w:uiPriority w:val="9"/>
    <w:semiHidden/>
    <w:unhideWhenUsed/>
    <w:qFormat/>
    <w:rsid w:val="00144D2D"/>
    <w:pPr>
      <w:keepNext/>
      <w:keepLines/>
      <w:outlineLvl w:val="8"/>
    </w:pPr>
    <w:rPr>
      <w:rFonts w:ascii="Aptos" w:hAnsi="Aptos"/>
      <w:color w:val="272727"/>
    </w:rPr>
  </w:style>
  <w:style w:type="character" w:customStyle="1" w:styleId="Heading4Char">
    <w:name w:val="Heading 4 Char"/>
    <w:basedOn w:val="DefaultParagraphFont"/>
    <w:link w:val="Heading4"/>
    <w:rsid w:val="00144D2D"/>
    <w:rPr>
      <w:rFonts w:ascii="Aptos" w:eastAsia="Times New Roman" w:hAnsi="Aptos" w:cs="Times New Roman"/>
      <w:i/>
      <w:iCs/>
      <w:color w:val="2E74B5"/>
      <w:lang w:eastAsia="en-AU"/>
    </w:rPr>
  </w:style>
  <w:style w:type="character" w:customStyle="1" w:styleId="Heading5Char">
    <w:name w:val="Heading 5 Char"/>
    <w:basedOn w:val="DefaultParagraphFont"/>
    <w:link w:val="Heading5"/>
    <w:rsid w:val="00144D2D"/>
    <w:rPr>
      <w:rFonts w:ascii="Calibri" w:hAnsi="Calibri"/>
      <w:b/>
      <w:bCs/>
      <w:i/>
      <w:iCs/>
      <w:sz w:val="26"/>
      <w:szCs w:val="26"/>
    </w:rPr>
  </w:style>
  <w:style w:type="character" w:customStyle="1" w:styleId="Heading6Char">
    <w:name w:val="Heading 6 Char"/>
    <w:basedOn w:val="DefaultParagraphFont"/>
    <w:link w:val="Heading6"/>
    <w:rsid w:val="00144D2D"/>
    <w:rPr>
      <w:rFonts w:ascii="Calibri" w:hAnsi="Calibri"/>
      <w:b/>
      <w:bCs/>
      <w:sz w:val="22"/>
      <w:szCs w:val="22"/>
    </w:rPr>
  </w:style>
  <w:style w:type="character" w:customStyle="1" w:styleId="Heading7Char">
    <w:name w:val="Heading 7 Char"/>
    <w:basedOn w:val="DefaultParagraphFont"/>
    <w:link w:val="Heading7"/>
    <w:rsid w:val="00144D2D"/>
    <w:rPr>
      <w:rFonts w:ascii="Aptos" w:eastAsia="Times New Roman" w:hAnsi="Aptos" w:cs="Times New Roman"/>
      <w:color w:val="595959"/>
      <w:lang w:eastAsia="en-AU"/>
    </w:rPr>
  </w:style>
  <w:style w:type="character" w:customStyle="1" w:styleId="Heading8Char">
    <w:name w:val="Heading 8 Char"/>
    <w:basedOn w:val="DefaultParagraphFont"/>
    <w:link w:val="Heading8"/>
    <w:rsid w:val="00144D2D"/>
    <w:rPr>
      <w:rFonts w:ascii="Aptos" w:eastAsia="Times New Roman" w:hAnsi="Aptos" w:cs="Times New Roman"/>
      <w:i/>
      <w:iCs/>
      <w:color w:val="272727"/>
      <w:lang w:eastAsia="en-AU"/>
    </w:rPr>
  </w:style>
  <w:style w:type="character" w:customStyle="1" w:styleId="Heading9Char">
    <w:name w:val="Heading 9 Char"/>
    <w:basedOn w:val="DefaultParagraphFont"/>
    <w:link w:val="Heading9"/>
    <w:rsid w:val="00144D2D"/>
    <w:rPr>
      <w:rFonts w:ascii="Aptos" w:eastAsia="Times New Roman" w:hAnsi="Aptos" w:cs="Times New Roman"/>
      <w:color w:val="272727"/>
      <w:lang w:eastAsia="en-AU"/>
    </w:rPr>
  </w:style>
  <w:style w:type="paragraph" w:customStyle="1" w:styleId="Quote1">
    <w:name w:val="Quote1"/>
    <w:basedOn w:val="Normal"/>
    <w:next w:val="Normal"/>
    <w:uiPriority w:val="29"/>
    <w:qFormat/>
    <w:rsid w:val="00144D2D"/>
    <w:pPr>
      <w:spacing w:before="160"/>
      <w:jc w:val="center"/>
    </w:pPr>
    <w:rPr>
      <w:i/>
      <w:iCs/>
      <w:color w:val="404040"/>
    </w:rPr>
  </w:style>
  <w:style w:type="character" w:customStyle="1" w:styleId="QuoteChar">
    <w:name w:val="Quote Char"/>
    <w:basedOn w:val="DefaultParagraphFont"/>
    <w:link w:val="Quote"/>
    <w:uiPriority w:val="29"/>
    <w:rsid w:val="00144D2D"/>
    <w:rPr>
      <w:rFonts w:ascii="Calibri" w:eastAsia="Times New Roman" w:hAnsi="Calibri"/>
      <w:i/>
      <w:iCs/>
      <w:color w:val="404040"/>
      <w:lang w:eastAsia="en-AU"/>
    </w:rPr>
  </w:style>
  <w:style w:type="character" w:customStyle="1" w:styleId="IntenseEmphasis1">
    <w:name w:val="Intense Emphasis1"/>
    <w:basedOn w:val="DefaultParagraphFont"/>
    <w:uiPriority w:val="21"/>
    <w:qFormat/>
    <w:rsid w:val="00144D2D"/>
    <w:rPr>
      <w:i/>
      <w:iCs/>
      <w:color w:val="2E74B5"/>
    </w:rPr>
  </w:style>
  <w:style w:type="paragraph" w:customStyle="1" w:styleId="IntenseQuote2">
    <w:name w:val="Intense Quote2"/>
    <w:basedOn w:val="Normal"/>
    <w:next w:val="Normal"/>
    <w:uiPriority w:val="30"/>
    <w:qFormat/>
    <w:rsid w:val="00144D2D"/>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30"/>
    <w:rsid w:val="00144D2D"/>
    <w:rPr>
      <w:rFonts w:ascii="Calibri" w:eastAsia="Times New Roman" w:hAnsi="Calibri"/>
      <w:i/>
      <w:iCs/>
      <w:color w:val="2E74B5"/>
      <w:lang w:eastAsia="en-AU"/>
    </w:rPr>
  </w:style>
  <w:style w:type="character" w:customStyle="1" w:styleId="IntenseReference1">
    <w:name w:val="Intense Reference1"/>
    <w:basedOn w:val="DefaultParagraphFont"/>
    <w:uiPriority w:val="32"/>
    <w:qFormat/>
    <w:rsid w:val="00144D2D"/>
    <w:rPr>
      <w:b/>
      <w:bCs/>
      <w:smallCaps/>
      <w:color w:val="2E74B5"/>
      <w:spacing w:val="5"/>
    </w:rPr>
  </w:style>
  <w:style w:type="character" w:customStyle="1" w:styleId="BalloonTextChar">
    <w:name w:val="Balloon Text Char"/>
    <w:basedOn w:val="DefaultParagraphFont"/>
    <w:link w:val="BalloonText"/>
    <w:uiPriority w:val="99"/>
    <w:semiHidden/>
    <w:rsid w:val="00144D2D"/>
    <w:rPr>
      <w:rFonts w:ascii="Tahoma" w:hAnsi="Tahoma" w:cs="Tahoma"/>
      <w:sz w:val="16"/>
      <w:szCs w:val="16"/>
    </w:rPr>
  </w:style>
  <w:style w:type="character" w:customStyle="1" w:styleId="BodyText3Char">
    <w:name w:val="Body Text 3 Char"/>
    <w:basedOn w:val="DefaultParagraphFont"/>
    <w:link w:val="BodyText3"/>
    <w:rsid w:val="00144D2D"/>
    <w:rPr>
      <w:rFonts w:ascii="Calibri" w:hAnsi="Calibri"/>
      <w:sz w:val="16"/>
      <w:szCs w:val="16"/>
    </w:rPr>
  </w:style>
  <w:style w:type="character" w:customStyle="1" w:styleId="Heading4Char1">
    <w:name w:val="Heading 4 Char1"/>
    <w:basedOn w:val="DefaultParagraphFont"/>
    <w:semiHidden/>
    <w:rsid w:val="00144D2D"/>
    <w:rPr>
      <w:rFonts w:asciiTheme="majorHAnsi" w:eastAsiaTheme="majorEastAsia" w:hAnsiTheme="majorHAnsi" w:cstheme="majorBidi"/>
      <w:i/>
      <w:iCs/>
      <w:color w:val="365F91" w:themeColor="accent1" w:themeShade="BF"/>
      <w:sz w:val="24"/>
      <w:szCs w:val="24"/>
    </w:rPr>
  </w:style>
  <w:style w:type="character" w:customStyle="1" w:styleId="Heading7Char1">
    <w:name w:val="Heading 7 Char1"/>
    <w:basedOn w:val="DefaultParagraphFont"/>
    <w:semiHidden/>
    <w:rsid w:val="00144D2D"/>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144D2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144D2D"/>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144D2D"/>
    <w:pPr>
      <w:spacing w:before="200" w:after="160"/>
      <w:ind w:left="864" w:right="864"/>
      <w:jc w:val="center"/>
    </w:pPr>
    <w:rPr>
      <w:i/>
      <w:iCs/>
      <w:color w:val="404040"/>
      <w:sz w:val="20"/>
      <w:szCs w:val="20"/>
    </w:rPr>
  </w:style>
  <w:style w:type="character" w:customStyle="1" w:styleId="QuoteChar1">
    <w:name w:val="Quote Char1"/>
    <w:basedOn w:val="DefaultParagraphFont"/>
    <w:uiPriority w:val="73"/>
    <w:rsid w:val="00144D2D"/>
    <w:rPr>
      <w:rFonts w:ascii="Calibri" w:hAnsi="Calibri"/>
      <w:i/>
      <w:iCs/>
      <w:color w:val="404040" w:themeColor="text1" w:themeTint="BF"/>
      <w:sz w:val="24"/>
      <w:szCs w:val="24"/>
    </w:rPr>
  </w:style>
  <w:style w:type="character" w:styleId="IntenseEmphasis">
    <w:name w:val="Intense Emphasis"/>
    <w:basedOn w:val="DefaultParagraphFont"/>
    <w:uiPriority w:val="21"/>
    <w:qFormat/>
    <w:rsid w:val="00144D2D"/>
    <w:rPr>
      <w:i/>
      <w:iCs/>
      <w:color w:val="4F81BD" w:themeColor="accent1"/>
    </w:rPr>
  </w:style>
  <w:style w:type="paragraph" w:styleId="IntenseQuote">
    <w:name w:val="Intense Quote"/>
    <w:basedOn w:val="Normal"/>
    <w:next w:val="Normal"/>
    <w:link w:val="IntenseQuoteChar"/>
    <w:uiPriority w:val="30"/>
    <w:qFormat/>
    <w:rsid w:val="00144D2D"/>
    <w:pPr>
      <w:pBdr>
        <w:top w:val="single" w:sz="4" w:space="10" w:color="4F81BD" w:themeColor="accent1"/>
        <w:bottom w:val="single" w:sz="4" w:space="10" w:color="4F81BD" w:themeColor="accent1"/>
      </w:pBdr>
      <w:spacing w:before="360" w:after="360"/>
      <w:ind w:left="864" w:right="864"/>
      <w:jc w:val="center"/>
    </w:pPr>
    <w:rPr>
      <w:i/>
      <w:iCs/>
      <w:color w:val="2E74B5"/>
      <w:sz w:val="20"/>
      <w:szCs w:val="20"/>
    </w:rPr>
  </w:style>
  <w:style w:type="character" w:customStyle="1" w:styleId="IntenseQuoteChar1">
    <w:name w:val="Intense Quote Char1"/>
    <w:basedOn w:val="DefaultParagraphFont"/>
    <w:uiPriority w:val="60"/>
    <w:rsid w:val="00144D2D"/>
    <w:rPr>
      <w:rFonts w:ascii="Calibri" w:hAnsi="Calibri"/>
      <w:i/>
      <w:iCs/>
      <w:color w:val="4F81BD" w:themeColor="accent1"/>
      <w:sz w:val="24"/>
      <w:szCs w:val="24"/>
    </w:rPr>
  </w:style>
  <w:style w:type="character" w:styleId="IntenseReference">
    <w:name w:val="Intense Reference"/>
    <w:basedOn w:val="DefaultParagraphFont"/>
    <w:uiPriority w:val="32"/>
    <w:qFormat/>
    <w:rsid w:val="00144D2D"/>
    <w:rPr>
      <w:b/>
      <w:bCs/>
      <w:smallCaps/>
      <w:color w:val="4F81BD" w:themeColor="accent1"/>
      <w:spacing w:val="5"/>
    </w:rPr>
  </w:style>
  <w:style w:type="paragraph" w:customStyle="1" w:styleId="TableHeader">
    <w:name w:val="Table Header"/>
    <w:basedOn w:val="Normal"/>
    <w:uiPriority w:val="3"/>
    <w:rsid w:val="00923294"/>
    <w:rPr>
      <w:rFonts w:cs="Arial"/>
      <w:b/>
      <w:sz w:val="20"/>
    </w:rPr>
  </w:style>
  <w:style w:type="character" w:customStyle="1" w:styleId="CaptionChar">
    <w:name w:val="Caption Char"/>
    <w:link w:val="Caption"/>
    <w:rsid w:val="00923294"/>
    <w:rPr>
      <w:rFonts w:ascii="Calibri" w:hAnsi="Calibri"/>
      <w:i/>
      <w:iCs/>
      <w:color w:val="000000" w:themeColor="text1"/>
      <w:sz w:val="18"/>
      <w:szCs w:val="18"/>
    </w:rPr>
  </w:style>
  <w:style w:type="paragraph" w:customStyle="1" w:styleId="RegularText">
    <w:name w:val="Regular Text"/>
    <w:basedOn w:val="BodyText"/>
    <w:link w:val="RegularTextChar"/>
    <w:rsid w:val="00923294"/>
    <w:pPr>
      <w:spacing w:after="0"/>
      <w:jc w:val="left"/>
    </w:pPr>
    <w:rPr>
      <w:rFonts w:cs="Arial"/>
      <w:b/>
    </w:rPr>
  </w:style>
  <w:style w:type="character" w:customStyle="1" w:styleId="RegularTextChar">
    <w:name w:val="Regular Text Char"/>
    <w:basedOn w:val="BodyTextChar"/>
    <w:link w:val="RegularText"/>
    <w:rsid w:val="00923294"/>
    <w:rPr>
      <w:rFonts w:ascii="Calibri" w:hAnsi="Calibri" w:cs="Arial"/>
      <w:b/>
      <w:sz w:val="24"/>
      <w:szCs w:val="24"/>
    </w:rPr>
  </w:style>
  <w:style w:type="paragraph" w:customStyle="1" w:styleId="Corpsdetextemarge">
    <w:name w:val="Corps de texte marge"/>
    <w:basedOn w:val="BodyText"/>
    <w:uiPriority w:val="99"/>
    <w:rsid w:val="00923294"/>
    <w:pPr>
      <w:spacing w:after="0"/>
    </w:pPr>
    <w:rPr>
      <w:rFonts w:ascii="Times" w:hAnsi="Times"/>
      <w:snapToGrid w:val="0"/>
      <w:lang w:val="en-US"/>
    </w:rPr>
  </w:style>
  <w:style w:type="paragraph" w:styleId="TOC2">
    <w:name w:val="toc 2"/>
    <w:basedOn w:val="Normal"/>
    <w:next w:val="Normal"/>
    <w:autoRedefine/>
    <w:uiPriority w:val="39"/>
    <w:rsid w:val="00923294"/>
    <w:pPr>
      <w:tabs>
        <w:tab w:val="left" w:pos="713"/>
        <w:tab w:val="left" w:pos="880"/>
        <w:tab w:val="right" w:leader="dot" w:pos="9016"/>
      </w:tabs>
      <w:spacing w:before="40"/>
      <w:ind w:left="221"/>
      <w:jc w:val="left"/>
    </w:pPr>
    <w:rPr>
      <w:rFonts w:cs="Arial"/>
      <w:iCs/>
      <w:sz w:val="20"/>
    </w:rPr>
  </w:style>
  <w:style w:type="paragraph" w:styleId="TOC1">
    <w:name w:val="toc 1"/>
    <w:basedOn w:val="Normal"/>
    <w:next w:val="Normal"/>
    <w:autoRedefine/>
    <w:uiPriority w:val="39"/>
    <w:rsid w:val="00923294"/>
    <w:pPr>
      <w:tabs>
        <w:tab w:val="left" w:pos="440"/>
        <w:tab w:val="right" w:leader="dot" w:pos="9016"/>
      </w:tabs>
      <w:spacing w:after="120"/>
      <w:jc w:val="left"/>
    </w:pPr>
    <w:rPr>
      <w:rFonts w:asciiTheme="minorHAnsi" w:hAnsiTheme="minorHAnsi" w:cstheme="minorHAnsi"/>
      <w:bCs/>
      <w:noProof/>
      <w:sz w:val="20"/>
      <w:szCs w:val="20"/>
    </w:rPr>
  </w:style>
  <w:style w:type="paragraph" w:styleId="TOCHeading">
    <w:name w:val="TOC Heading"/>
    <w:basedOn w:val="Heading1"/>
    <w:next w:val="Normal"/>
    <w:uiPriority w:val="39"/>
    <w:unhideWhenUsed/>
    <w:rsid w:val="00923294"/>
    <w:pPr>
      <w:keepNext/>
      <w:keepLines/>
      <w:spacing w:before="480" w:after="0" w:line="276" w:lineRule="auto"/>
      <w:ind w:firstLine="0"/>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923294"/>
    <w:pPr>
      <w:ind w:left="440"/>
      <w:jc w:val="left"/>
    </w:pPr>
    <w:rPr>
      <w:rFonts w:asciiTheme="minorHAnsi" w:hAnsiTheme="minorHAnsi" w:cs="Arial"/>
      <w:sz w:val="20"/>
    </w:rPr>
  </w:style>
  <w:style w:type="paragraph" w:styleId="TOC4">
    <w:name w:val="toc 4"/>
    <w:basedOn w:val="Normal"/>
    <w:next w:val="Normal"/>
    <w:autoRedefine/>
    <w:rsid w:val="00923294"/>
    <w:pPr>
      <w:ind w:left="660"/>
      <w:jc w:val="left"/>
    </w:pPr>
    <w:rPr>
      <w:rFonts w:asciiTheme="minorHAnsi" w:hAnsiTheme="minorHAnsi" w:cs="Arial"/>
      <w:sz w:val="20"/>
    </w:rPr>
  </w:style>
  <w:style w:type="paragraph" w:styleId="TOC5">
    <w:name w:val="toc 5"/>
    <w:basedOn w:val="Normal"/>
    <w:next w:val="Normal"/>
    <w:autoRedefine/>
    <w:rsid w:val="00923294"/>
    <w:pPr>
      <w:ind w:left="880"/>
      <w:jc w:val="left"/>
    </w:pPr>
    <w:rPr>
      <w:rFonts w:asciiTheme="minorHAnsi" w:hAnsiTheme="minorHAnsi" w:cs="Arial"/>
      <w:sz w:val="20"/>
    </w:rPr>
  </w:style>
  <w:style w:type="paragraph" w:styleId="TOC6">
    <w:name w:val="toc 6"/>
    <w:basedOn w:val="Normal"/>
    <w:next w:val="Normal"/>
    <w:autoRedefine/>
    <w:rsid w:val="00923294"/>
    <w:pPr>
      <w:ind w:left="1100"/>
      <w:jc w:val="left"/>
    </w:pPr>
    <w:rPr>
      <w:rFonts w:asciiTheme="minorHAnsi" w:hAnsiTheme="minorHAnsi" w:cs="Arial"/>
      <w:sz w:val="20"/>
    </w:rPr>
  </w:style>
  <w:style w:type="paragraph" w:styleId="TOC7">
    <w:name w:val="toc 7"/>
    <w:basedOn w:val="Normal"/>
    <w:next w:val="Normal"/>
    <w:autoRedefine/>
    <w:rsid w:val="00923294"/>
    <w:pPr>
      <w:ind w:left="1320"/>
      <w:jc w:val="left"/>
    </w:pPr>
    <w:rPr>
      <w:rFonts w:asciiTheme="minorHAnsi" w:hAnsiTheme="minorHAnsi" w:cs="Arial"/>
      <w:sz w:val="20"/>
    </w:rPr>
  </w:style>
  <w:style w:type="paragraph" w:styleId="TOC8">
    <w:name w:val="toc 8"/>
    <w:basedOn w:val="Normal"/>
    <w:next w:val="Normal"/>
    <w:autoRedefine/>
    <w:rsid w:val="00923294"/>
    <w:pPr>
      <w:ind w:left="1540"/>
      <w:jc w:val="left"/>
    </w:pPr>
    <w:rPr>
      <w:rFonts w:asciiTheme="minorHAnsi" w:hAnsiTheme="minorHAnsi" w:cs="Arial"/>
      <w:sz w:val="20"/>
    </w:rPr>
  </w:style>
  <w:style w:type="paragraph" w:customStyle="1" w:styleId="TableName">
    <w:name w:val="TableName"/>
    <w:basedOn w:val="Normal"/>
    <w:rsid w:val="00923294"/>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923294"/>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923294"/>
    <w:pPr>
      <w:keepNext/>
      <w:spacing w:after="0"/>
    </w:pPr>
  </w:style>
  <w:style w:type="paragraph" w:styleId="BodyTextIndent">
    <w:name w:val="Body Text Indent"/>
    <w:basedOn w:val="Normal"/>
    <w:link w:val="BodyTextIndentChar"/>
    <w:rsid w:val="00923294"/>
    <w:pPr>
      <w:spacing w:after="120"/>
      <w:ind w:left="283"/>
    </w:pPr>
    <w:rPr>
      <w:rFonts w:cs="Arial"/>
    </w:rPr>
  </w:style>
  <w:style w:type="character" w:customStyle="1" w:styleId="BodyTextIndentChar">
    <w:name w:val="Body Text Indent Char"/>
    <w:basedOn w:val="DefaultParagraphFont"/>
    <w:link w:val="BodyTextIndent"/>
    <w:rsid w:val="00923294"/>
    <w:rPr>
      <w:rFonts w:ascii="Calibri" w:hAnsi="Calibri" w:cs="Arial"/>
      <w:sz w:val="24"/>
      <w:szCs w:val="24"/>
    </w:rPr>
  </w:style>
  <w:style w:type="character" w:customStyle="1" w:styleId="SubtitleChar1">
    <w:name w:val="Subtitle Char1"/>
    <w:basedOn w:val="DefaultParagraphFont"/>
    <w:rsid w:val="00923294"/>
    <w:rPr>
      <w:rFonts w:asciiTheme="majorHAnsi" w:eastAsiaTheme="majorEastAsia" w:hAnsiTheme="majorHAnsi" w:cstheme="majorBidi"/>
      <w:i/>
      <w:iCs/>
      <w:snapToGrid w:val="0"/>
      <w:color w:val="4F81BD" w:themeColor="accent1"/>
      <w:spacing w:val="15"/>
      <w:sz w:val="24"/>
      <w:szCs w:val="24"/>
      <w:lang w:eastAsia="en-US"/>
    </w:rPr>
  </w:style>
  <w:style w:type="table" w:customStyle="1" w:styleId="PlainTable21">
    <w:name w:val="Plain Table 21"/>
    <w:basedOn w:val="TableNormal"/>
    <w:uiPriority w:val="42"/>
    <w:rsid w:val="0092329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italics">
    <w:name w:val="Comment (italics)"/>
    <w:basedOn w:val="Normal"/>
    <w:next w:val="Normal"/>
    <w:rsid w:val="00923294"/>
    <w:rPr>
      <w:rFonts w:cs="Arial"/>
      <w:i/>
    </w:rPr>
  </w:style>
  <w:style w:type="paragraph" w:customStyle="1" w:styleId="V50Tablename">
    <w:name w:val="V5.0 Table name"/>
    <w:basedOn w:val="Normal"/>
    <w:link w:val="V50TablenameChar"/>
    <w:rsid w:val="00923294"/>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923294"/>
    <w:rPr>
      <w:rFonts w:asciiTheme="minorHAnsi" w:eastAsiaTheme="minorHAnsi" w:hAnsiTheme="minorHAnsi" w:cstheme="minorBidi"/>
      <w:b/>
      <w:snapToGrid w:val="0"/>
      <w:szCs w:val="24"/>
      <w:lang w:val="en-US"/>
    </w:rPr>
  </w:style>
  <w:style w:type="paragraph" w:customStyle="1" w:styleId="ExecSumBodyText">
    <w:name w:val="Exec Sum Body Text"/>
    <w:basedOn w:val="Normal"/>
    <w:link w:val="ExecSumBodyTextChar"/>
    <w:uiPriority w:val="99"/>
    <w:rsid w:val="00923294"/>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923294"/>
    <w:rPr>
      <w:rFonts w:asciiTheme="minorHAnsi" w:hAnsiTheme="minorHAnsi" w:cs="Arial"/>
      <w:snapToGrid w:val="0"/>
      <w:sz w:val="24"/>
      <w:szCs w:val="24"/>
    </w:rPr>
  </w:style>
  <w:style w:type="paragraph" w:customStyle="1" w:styleId="bullet">
    <w:name w:val="bullet"/>
    <w:basedOn w:val="ListParagraph"/>
    <w:link w:val="bulletChar"/>
    <w:rsid w:val="00923294"/>
    <w:pPr>
      <w:numPr>
        <w:numId w:val="94"/>
      </w:numPr>
      <w:jc w:val="both"/>
    </w:pPr>
    <w:rPr>
      <w:rFonts w:ascii="Calibri" w:hAnsi="Calibri" w:cstheme="minorBidi"/>
      <w:i/>
      <w:snapToGrid/>
      <w:sz w:val="22"/>
      <w:szCs w:val="22"/>
      <w:lang w:eastAsia="en-US"/>
    </w:rPr>
  </w:style>
  <w:style w:type="character" w:customStyle="1" w:styleId="bulletChar">
    <w:name w:val="bullet Char"/>
    <w:basedOn w:val="DefaultParagraphFont"/>
    <w:link w:val="bullet"/>
    <w:rsid w:val="00923294"/>
    <w:rPr>
      <w:rFonts w:ascii="Calibri" w:hAnsi="Calibri" w:cstheme="minorBidi"/>
      <w:i/>
      <w:sz w:val="22"/>
      <w:szCs w:val="22"/>
      <w:lang w:eastAsia="en-US"/>
    </w:rPr>
  </w:style>
  <w:style w:type="character" w:customStyle="1" w:styleId="text-widget">
    <w:name w:val="text-widget"/>
    <w:basedOn w:val="DefaultParagraphFont"/>
    <w:rsid w:val="00923294"/>
  </w:style>
  <w:style w:type="table" w:customStyle="1" w:styleId="TableGrid1">
    <w:name w:val="Table Grid1"/>
    <w:basedOn w:val="TableNormal"/>
    <w:next w:val="TableGrid"/>
    <w:uiPriority w:val="39"/>
    <w:rsid w:val="00923294"/>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3294"/>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92329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923294"/>
    <w:rPr>
      <w:rFonts w:asciiTheme="minorHAnsi" w:eastAsiaTheme="majorEastAsia" w:hAnsiTheme="minorHAnsi" w:cstheme="majorBidi"/>
      <w:b/>
      <w:i/>
      <w:spacing w:val="5"/>
      <w:kern w:val="28"/>
      <w:sz w:val="28"/>
      <w:szCs w:val="36"/>
      <w:lang w:eastAsia="en-US"/>
    </w:rPr>
  </w:style>
  <w:style w:type="paragraph" w:customStyle="1" w:styleId="PBACheading10">
    <w:name w:val="PBAC heading 1"/>
    <w:qFormat/>
    <w:rsid w:val="001175D0"/>
    <w:pPr>
      <w:snapToGrid w:val="0"/>
      <w:ind w:left="720" w:hanging="720"/>
      <w:outlineLvl w:val="0"/>
    </w:pPr>
    <w:rPr>
      <w:rFonts w:ascii="Arial" w:hAnsi="Arial" w:cs="Arial"/>
      <w:b/>
      <w:sz w:val="22"/>
      <w:szCs w:val="22"/>
      <w:lang w:eastAsia="en-US"/>
    </w:rPr>
  </w:style>
  <w:style w:type="character" w:customStyle="1" w:styleId="normaltextrun">
    <w:name w:val="normaltextrun"/>
    <w:basedOn w:val="DefaultParagraphFont"/>
    <w:rsid w:val="00F27A8C"/>
  </w:style>
  <w:style w:type="character" w:customStyle="1" w:styleId="eop">
    <w:name w:val="eop"/>
    <w:basedOn w:val="DefaultParagraphFont"/>
    <w:rsid w:val="00F27A8C"/>
  </w:style>
  <w:style w:type="paragraph" w:customStyle="1" w:styleId="paragraph">
    <w:name w:val="paragraph"/>
    <w:basedOn w:val="Normal"/>
    <w:rsid w:val="00F27A8C"/>
    <w:pPr>
      <w:spacing w:before="100" w:beforeAutospacing="1" w:after="100" w:afterAutospacing="1"/>
      <w:jc w:val="left"/>
    </w:pPr>
    <w:rPr>
      <w:rFonts w:ascii="Times New Roman" w:hAnsi="Times New Roman"/>
    </w:rPr>
  </w:style>
  <w:style w:type="paragraph" w:customStyle="1" w:styleId="PBACESHeading1">
    <w:name w:val="PBAC ES Heading 1"/>
    <w:basedOn w:val="Heading1"/>
    <w:next w:val="ListParagraph"/>
    <w:uiPriority w:val="1"/>
    <w:rsid w:val="00852466"/>
    <w:pPr>
      <w:keepNext/>
      <w:keepLines/>
      <w:tabs>
        <w:tab w:val="left" w:pos="1077"/>
      </w:tabs>
      <w:spacing w:before="240"/>
      <w:ind w:left="720" w:hanging="720"/>
    </w:pPr>
    <w:rPr>
      <w:rFonts w:ascii="Calibri" w:hAnsi="Calibri"/>
      <w:sz w:val="32"/>
      <w:szCs w:val="32"/>
      <w:lang w:eastAsia="en-US"/>
    </w:rPr>
  </w:style>
  <w:style w:type="paragraph" w:customStyle="1" w:styleId="PBACESHeading2">
    <w:name w:val="PBAC ES Heading 2"/>
    <w:basedOn w:val="Heading2"/>
    <w:uiPriority w:val="1"/>
    <w:rsid w:val="00852466"/>
    <w:pPr>
      <w:keepLines/>
      <w:spacing w:before="360" w:after="120"/>
      <w:ind w:left="720" w:hanging="720"/>
      <w:jc w:val="left"/>
    </w:pPr>
    <w:rPr>
      <w:rFonts w:ascii="Calibri Light" w:eastAsia="SimSun" w:hAnsi="Calibri Light"/>
      <w:snapToGrid w:val="0"/>
      <w:sz w:val="28"/>
      <w:szCs w:val="28"/>
      <w:lang w:eastAsia="en-US"/>
    </w:rPr>
  </w:style>
  <w:style w:type="paragraph" w:customStyle="1" w:styleId="PBACESHeadingCAPS">
    <w:name w:val="PBAC ES Heading CAPS"/>
    <w:basedOn w:val="PBACESHeading2"/>
    <w:uiPriority w:val="1"/>
    <w:rsid w:val="00852466"/>
    <w:rPr>
      <w:i w:val="0"/>
      <w:smallCaps/>
      <w:sz w:val="32"/>
    </w:rPr>
  </w:style>
  <w:style w:type="paragraph" w:customStyle="1" w:styleId="PBACESHeading3">
    <w:name w:val="PBAC ES Heading 3"/>
    <w:basedOn w:val="PBACESHeading2"/>
    <w:uiPriority w:val="1"/>
    <w:rsid w:val="00852466"/>
    <w:pPr>
      <w:ind w:left="1080" w:hanging="1080"/>
    </w:pPr>
    <w:rPr>
      <w:i w:val="0"/>
      <w:sz w:val="24"/>
    </w:rPr>
  </w:style>
  <w:style w:type="paragraph" w:customStyle="1" w:styleId="MSACHeading1">
    <w:name w:val="MSAC Heading 1"/>
    <w:basedOn w:val="Heading1"/>
    <w:next w:val="Normal"/>
    <w:uiPriority w:val="1"/>
    <w:rsid w:val="00852466"/>
    <w:pPr>
      <w:keepNext/>
      <w:keepLines/>
      <w:tabs>
        <w:tab w:val="num" w:pos="360"/>
      </w:tabs>
      <w:spacing w:before="160" w:after="240" w:line="259" w:lineRule="auto"/>
      <w:ind w:left="360" w:hanging="360"/>
    </w:pPr>
    <w:rPr>
      <w:rFonts w:ascii="Arial" w:eastAsia="SimSun" w:hAnsi="Arial" w:cs="Times New Roman"/>
      <w:snapToGrid/>
      <w:szCs w:val="28"/>
      <w:lang w:eastAsia="en-US"/>
    </w:rPr>
  </w:style>
  <w:style w:type="paragraph" w:customStyle="1" w:styleId="MSACESHeading2">
    <w:name w:val="MSAC ES Heading 2"/>
    <w:basedOn w:val="Heading2"/>
    <w:next w:val="Normal"/>
    <w:uiPriority w:val="1"/>
    <w:rsid w:val="00852466"/>
    <w:pPr>
      <w:keepLines/>
      <w:tabs>
        <w:tab w:val="num" w:pos="360"/>
      </w:tabs>
      <w:spacing w:before="360" w:after="120"/>
      <w:ind w:left="360" w:hanging="360"/>
      <w:jc w:val="left"/>
    </w:pPr>
    <w:rPr>
      <w:rFonts w:ascii="Cambria" w:eastAsia="SimSun" w:hAnsi="Cambria"/>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679">
      <w:bodyDiv w:val="1"/>
      <w:marLeft w:val="0"/>
      <w:marRight w:val="0"/>
      <w:marTop w:val="0"/>
      <w:marBottom w:val="0"/>
      <w:divBdr>
        <w:top w:val="none" w:sz="0" w:space="0" w:color="auto"/>
        <w:left w:val="none" w:sz="0" w:space="0" w:color="auto"/>
        <w:bottom w:val="none" w:sz="0" w:space="0" w:color="auto"/>
        <w:right w:val="none" w:sz="0" w:space="0" w:color="auto"/>
      </w:divBdr>
      <w:divsChild>
        <w:div w:id="637800143">
          <w:marLeft w:val="0"/>
          <w:marRight w:val="0"/>
          <w:marTop w:val="0"/>
          <w:marBottom w:val="0"/>
          <w:divBdr>
            <w:top w:val="none" w:sz="0" w:space="0" w:color="auto"/>
            <w:left w:val="none" w:sz="0" w:space="0" w:color="auto"/>
            <w:bottom w:val="none" w:sz="0" w:space="0" w:color="auto"/>
            <w:right w:val="none" w:sz="0" w:space="0" w:color="auto"/>
          </w:divBdr>
          <w:divsChild>
            <w:div w:id="223567656">
              <w:marLeft w:val="0"/>
              <w:marRight w:val="0"/>
              <w:marTop w:val="0"/>
              <w:marBottom w:val="0"/>
              <w:divBdr>
                <w:top w:val="none" w:sz="0" w:space="0" w:color="auto"/>
                <w:left w:val="none" w:sz="0" w:space="0" w:color="auto"/>
                <w:bottom w:val="none" w:sz="0" w:space="0" w:color="auto"/>
                <w:right w:val="none" w:sz="0" w:space="0" w:color="auto"/>
              </w:divBdr>
            </w:div>
          </w:divsChild>
        </w:div>
        <w:div w:id="1356079797">
          <w:marLeft w:val="0"/>
          <w:marRight w:val="0"/>
          <w:marTop w:val="0"/>
          <w:marBottom w:val="0"/>
          <w:divBdr>
            <w:top w:val="none" w:sz="0" w:space="0" w:color="auto"/>
            <w:left w:val="none" w:sz="0" w:space="0" w:color="auto"/>
            <w:bottom w:val="none" w:sz="0" w:space="0" w:color="auto"/>
            <w:right w:val="none" w:sz="0" w:space="0" w:color="auto"/>
          </w:divBdr>
          <w:divsChild>
            <w:div w:id="849373934">
              <w:marLeft w:val="0"/>
              <w:marRight w:val="0"/>
              <w:marTop w:val="0"/>
              <w:marBottom w:val="0"/>
              <w:divBdr>
                <w:top w:val="none" w:sz="0" w:space="0" w:color="auto"/>
                <w:left w:val="none" w:sz="0" w:space="0" w:color="auto"/>
                <w:bottom w:val="none" w:sz="0" w:space="0" w:color="auto"/>
                <w:right w:val="none" w:sz="0" w:space="0" w:color="auto"/>
              </w:divBdr>
            </w:div>
          </w:divsChild>
        </w:div>
        <w:div w:id="1794209427">
          <w:marLeft w:val="0"/>
          <w:marRight w:val="0"/>
          <w:marTop w:val="0"/>
          <w:marBottom w:val="0"/>
          <w:divBdr>
            <w:top w:val="none" w:sz="0" w:space="0" w:color="auto"/>
            <w:left w:val="none" w:sz="0" w:space="0" w:color="auto"/>
            <w:bottom w:val="none" w:sz="0" w:space="0" w:color="auto"/>
            <w:right w:val="none" w:sz="0" w:space="0" w:color="auto"/>
          </w:divBdr>
          <w:divsChild>
            <w:div w:id="4938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499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7440403">
      <w:bodyDiv w:val="1"/>
      <w:marLeft w:val="0"/>
      <w:marRight w:val="0"/>
      <w:marTop w:val="0"/>
      <w:marBottom w:val="0"/>
      <w:divBdr>
        <w:top w:val="none" w:sz="0" w:space="0" w:color="auto"/>
        <w:left w:val="none" w:sz="0" w:space="0" w:color="auto"/>
        <w:bottom w:val="none" w:sz="0" w:space="0" w:color="auto"/>
        <w:right w:val="none" w:sz="0" w:space="0" w:color="auto"/>
      </w:divBdr>
    </w:div>
    <w:div w:id="70279261">
      <w:bodyDiv w:val="1"/>
      <w:marLeft w:val="0"/>
      <w:marRight w:val="0"/>
      <w:marTop w:val="0"/>
      <w:marBottom w:val="0"/>
      <w:divBdr>
        <w:top w:val="none" w:sz="0" w:space="0" w:color="auto"/>
        <w:left w:val="none" w:sz="0" w:space="0" w:color="auto"/>
        <w:bottom w:val="none" w:sz="0" w:space="0" w:color="auto"/>
        <w:right w:val="none" w:sz="0" w:space="0" w:color="auto"/>
      </w:divBdr>
      <w:divsChild>
        <w:div w:id="459959851">
          <w:marLeft w:val="0"/>
          <w:marRight w:val="0"/>
          <w:marTop w:val="0"/>
          <w:marBottom w:val="0"/>
          <w:divBdr>
            <w:top w:val="none" w:sz="0" w:space="0" w:color="auto"/>
            <w:left w:val="none" w:sz="0" w:space="0" w:color="auto"/>
            <w:bottom w:val="none" w:sz="0" w:space="0" w:color="auto"/>
            <w:right w:val="none" w:sz="0" w:space="0" w:color="auto"/>
          </w:divBdr>
          <w:divsChild>
            <w:div w:id="1162308349">
              <w:marLeft w:val="0"/>
              <w:marRight w:val="0"/>
              <w:marTop w:val="0"/>
              <w:marBottom w:val="0"/>
              <w:divBdr>
                <w:top w:val="none" w:sz="0" w:space="0" w:color="auto"/>
                <w:left w:val="none" w:sz="0" w:space="0" w:color="auto"/>
                <w:bottom w:val="none" w:sz="0" w:space="0" w:color="auto"/>
                <w:right w:val="none" w:sz="0" w:space="0" w:color="auto"/>
              </w:divBdr>
            </w:div>
          </w:divsChild>
        </w:div>
        <w:div w:id="1761370538">
          <w:marLeft w:val="0"/>
          <w:marRight w:val="0"/>
          <w:marTop w:val="0"/>
          <w:marBottom w:val="0"/>
          <w:divBdr>
            <w:top w:val="none" w:sz="0" w:space="0" w:color="auto"/>
            <w:left w:val="none" w:sz="0" w:space="0" w:color="auto"/>
            <w:bottom w:val="none" w:sz="0" w:space="0" w:color="auto"/>
            <w:right w:val="none" w:sz="0" w:space="0" w:color="auto"/>
          </w:divBdr>
          <w:divsChild>
            <w:div w:id="1576282815">
              <w:marLeft w:val="0"/>
              <w:marRight w:val="0"/>
              <w:marTop w:val="0"/>
              <w:marBottom w:val="0"/>
              <w:divBdr>
                <w:top w:val="none" w:sz="0" w:space="0" w:color="auto"/>
                <w:left w:val="none" w:sz="0" w:space="0" w:color="auto"/>
                <w:bottom w:val="none" w:sz="0" w:space="0" w:color="auto"/>
                <w:right w:val="none" w:sz="0" w:space="0" w:color="auto"/>
              </w:divBdr>
            </w:div>
          </w:divsChild>
        </w:div>
        <w:div w:id="1951551449">
          <w:marLeft w:val="0"/>
          <w:marRight w:val="0"/>
          <w:marTop w:val="0"/>
          <w:marBottom w:val="0"/>
          <w:divBdr>
            <w:top w:val="none" w:sz="0" w:space="0" w:color="auto"/>
            <w:left w:val="none" w:sz="0" w:space="0" w:color="auto"/>
            <w:bottom w:val="none" w:sz="0" w:space="0" w:color="auto"/>
            <w:right w:val="none" w:sz="0" w:space="0" w:color="auto"/>
          </w:divBdr>
          <w:divsChild>
            <w:div w:id="1315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9397400">
      <w:bodyDiv w:val="1"/>
      <w:marLeft w:val="0"/>
      <w:marRight w:val="0"/>
      <w:marTop w:val="0"/>
      <w:marBottom w:val="0"/>
      <w:divBdr>
        <w:top w:val="none" w:sz="0" w:space="0" w:color="auto"/>
        <w:left w:val="none" w:sz="0" w:space="0" w:color="auto"/>
        <w:bottom w:val="none" w:sz="0" w:space="0" w:color="auto"/>
        <w:right w:val="none" w:sz="0" w:space="0" w:color="auto"/>
      </w:divBdr>
      <w:divsChild>
        <w:div w:id="892425359">
          <w:marLeft w:val="0"/>
          <w:marRight w:val="0"/>
          <w:marTop w:val="0"/>
          <w:marBottom w:val="0"/>
          <w:divBdr>
            <w:top w:val="none" w:sz="0" w:space="0" w:color="auto"/>
            <w:left w:val="none" w:sz="0" w:space="0" w:color="auto"/>
            <w:bottom w:val="none" w:sz="0" w:space="0" w:color="auto"/>
            <w:right w:val="none" w:sz="0" w:space="0" w:color="auto"/>
          </w:divBdr>
        </w:div>
        <w:div w:id="1135413838">
          <w:marLeft w:val="0"/>
          <w:marRight w:val="0"/>
          <w:marTop w:val="0"/>
          <w:marBottom w:val="0"/>
          <w:divBdr>
            <w:top w:val="none" w:sz="0" w:space="0" w:color="auto"/>
            <w:left w:val="none" w:sz="0" w:space="0" w:color="auto"/>
            <w:bottom w:val="none" w:sz="0" w:space="0" w:color="auto"/>
            <w:right w:val="none" w:sz="0" w:space="0" w:color="auto"/>
          </w:divBdr>
        </w:div>
        <w:div w:id="1728993578">
          <w:marLeft w:val="0"/>
          <w:marRight w:val="0"/>
          <w:marTop w:val="0"/>
          <w:marBottom w:val="0"/>
          <w:divBdr>
            <w:top w:val="none" w:sz="0" w:space="0" w:color="auto"/>
            <w:left w:val="none" w:sz="0" w:space="0" w:color="auto"/>
            <w:bottom w:val="none" w:sz="0" w:space="0" w:color="auto"/>
            <w:right w:val="none" w:sz="0" w:space="0" w:color="auto"/>
          </w:divBdr>
        </w:div>
      </w:divsChild>
    </w:div>
    <w:div w:id="109278114">
      <w:bodyDiv w:val="1"/>
      <w:marLeft w:val="0"/>
      <w:marRight w:val="0"/>
      <w:marTop w:val="0"/>
      <w:marBottom w:val="0"/>
      <w:divBdr>
        <w:top w:val="none" w:sz="0" w:space="0" w:color="auto"/>
        <w:left w:val="none" w:sz="0" w:space="0" w:color="auto"/>
        <w:bottom w:val="none" w:sz="0" w:space="0" w:color="auto"/>
        <w:right w:val="none" w:sz="0" w:space="0" w:color="auto"/>
      </w:divBdr>
    </w:div>
    <w:div w:id="148711958">
      <w:bodyDiv w:val="1"/>
      <w:marLeft w:val="0"/>
      <w:marRight w:val="0"/>
      <w:marTop w:val="0"/>
      <w:marBottom w:val="0"/>
      <w:divBdr>
        <w:top w:val="none" w:sz="0" w:space="0" w:color="auto"/>
        <w:left w:val="none" w:sz="0" w:space="0" w:color="auto"/>
        <w:bottom w:val="none" w:sz="0" w:space="0" w:color="auto"/>
        <w:right w:val="none" w:sz="0" w:space="0" w:color="auto"/>
      </w:divBdr>
      <w:divsChild>
        <w:div w:id="1015378212">
          <w:marLeft w:val="0"/>
          <w:marRight w:val="0"/>
          <w:marTop w:val="0"/>
          <w:marBottom w:val="0"/>
          <w:divBdr>
            <w:top w:val="none" w:sz="0" w:space="0" w:color="auto"/>
            <w:left w:val="none" w:sz="0" w:space="0" w:color="auto"/>
            <w:bottom w:val="none" w:sz="0" w:space="0" w:color="auto"/>
            <w:right w:val="none" w:sz="0" w:space="0" w:color="auto"/>
          </w:divBdr>
          <w:divsChild>
            <w:div w:id="1703628880">
              <w:marLeft w:val="0"/>
              <w:marRight w:val="0"/>
              <w:marTop w:val="0"/>
              <w:marBottom w:val="0"/>
              <w:divBdr>
                <w:top w:val="none" w:sz="0" w:space="0" w:color="auto"/>
                <w:left w:val="none" w:sz="0" w:space="0" w:color="auto"/>
                <w:bottom w:val="none" w:sz="0" w:space="0" w:color="auto"/>
                <w:right w:val="none" w:sz="0" w:space="0" w:color="auto"/>
              </w:divBdr>
            </w:div>
          </w:divsChild>
        </w:div>
        <w:div w:id="1775204340">
          <w:marLeft w:val="0"/>
          <w:marRight w:val="0"/>
          <w:marTop w:val="0"/>
          <w:marBottom w:val="0"/>
          <w:divBdr>
            <w:top w:val="none" w:sz="0" w:space="0" w:color="auto"/>
            <w:left w:val="none" w:sz="0" w:space="0" w:color="auto"/>
            <w:bottom w:val="none" w:sz="0" w:space="0" w:color="auto"/>
            <w:right w:val="none" w:sz="0" w:space="0" w:color="auto"/>
          </w:divBdr>
          <w:divsChild>
            <w:div w:id="608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472">
      <w:bodyDiv w:val="1"/>
      <w:marLeft w:val="0"/>
      <w:marRight w:val="0"/>
      <w:marTop w:val="0"/>
      <w:marBottom w:val="0"/>
      <w:divBdr>
        <w:top w:val="none" w:sz="0" w:space="0" w:color="auto"/>
        <w:left w:val="none" w:sz="0" w:space="0" w:color="auto"/>
        <w:bottom w:val="none" w:sz="0" w:space="0" w:color="auto"/>
        <w:right w:val="none" w:sz="0" w:space="0" w:color="auto"/>
      </w:divBdr>
      <w:divsChild>
        <w:div w:id="532350577">
          <w:marLeft w:val="0"/>
          <w:marRight w:val="0"/>
          <w:marTop w:val="0"/>
          <w:marBottom w:val="0"/>
          <w:divBdr>
            <w:top w:val="none" w:sz="0" w:space="0" w:color="auto"/>
            <w:left w:val="none" w:sz="0" w:space="0" w:color="auto"/>
            <w:bottom w:val="none" w:sz="0" w:space="0" w:color="auto"/>
            <w:right w:val="none" w:sz="0" w:space="0" w:color="auto"/>
          </w:divBdr>
          <w:divsChild>
            <w:div w:id="100345402">
              <w:marLeft w:val="0"/>
              <w:marRight w:val="0"/>
              <w:marTop w:val="0"/>
              <w:marBottom w:val="0"/>
              <w:divBdr>
                <w:top w:val="none" w:sz="0" w:space="0" w:color="auto"/>
                <w:left w:val="none" w:sz="0" w:space="0" w:color="auto"/>
                <w:bottom w:val="none" w:sz="0" w:space="0" w:color="auto"/>
                <w:right w:val="none" w:sz="0" w:space="0" w:color="auto"/>
              </w:divBdr>
            </w:div>
          </w:divsChild>
        </w:div>
        <w:div w:id="1568951892">
          <w:marLeft w:val="0"/>
          <w:marRight w:val="0"/>
          <w:marTop w:val="0"/>
          <w:marBottom w:val="0"/>
          <w:divBdr>
            <w:top w:val="none" w:sz="0" w:space="0" w:color="auto"/>
            <w:left w:val="none" w:sz="0" w:space="0" w:color="auto"/>
            <w:bottom w:val="none" w:sz="0" w:space="0" w:color="auto"/>
            <w:right w:val="none" w:sz="0" w:space="0" w:color="auto"/>
          </w:divBdr>
          <w:divsChild>
            <w:div w:id="6408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8921">
      <w:bodyDiv w:val="1"/>
      <w:marLeft w:val="0"/>
      <w:marRight w:val="0"/>
      <w:marTop w:val="0"/>
      <w:marBottom w:val="0"/>
      <w:divBdr>
        <w:top w:val="none" w:sz="0" w:space="0" w:color="auto"/>
        <w:left w:val="none" w:sz="0" w:space="0" w:color="auto"/>
        <w:bottom w:val="none" w:sz="0" w:space="0" w:color="auto"/>
        <w:right w:val="none" w:sz="0" w:space="0" w:color="auto"/>
      </w:divBdr>
      <w:divsChild>
        <w:div w:id="598106499">
          <w:marLeft w:val="0"/>
          <w:marRight w:val="0"/>
          <w:marTop w:val="0"/>
          <w:marBottom w:val="0"/>
          <w:divBdr>
            <w:top w:val="none" w:sz="0" w:space="0" w:color="auto"/>
            <w:left w:val="none" w:sz="0" w:space="0" w:color="auto"/>
            <w:bottom w:val="none" w:sz="0" w:space="0" w:color="auto"/>
            <w:right w:val="none" w:sz="0" w:space="0" w:color="auto"/>
          </w:divBdr>
          <w:divsChild>
            <w:div w:id="2024093370">
              <w:marLeft w:val="0"/>
              <w:marRight w:val="0"/>
              <w:marTop w:val="0"/>
              <w:marBottom w:val="0"/>
              <w:divBdr>
                <w:top w:val="none" w:sz="0" w:space="0" w:color="auto"/>
                <w:left w:val="none" w:sz="0" w:space="0" w:color="auto"/>
                <w:bottom w:val="none" w:sz="0" w:space="0" w:color="auto"/>
                <w:right w:val="none" w:sz="0" w:space="0" w:color="auto"/>
              </w:divBdr>
            </w:div>
          </w:divsChild>
        </w:div>
        <w:div w:id="1005934836">
          <w:marLeft w:val="0"/>
          <w:marRight w:val="0"/>
          <w:marTop w:val="0"/>
          <w:marBottom w:val="0"/>
          <w:divBdr>
            <w:top w:val="none" w:sz="0" w:space="0" w:color="auto"/>
            <w:left w:val="none" w:sz="0" w:space="0" w:color="auto"/>
            <w:bottom w:val="none" w:sz="0" w:space="0" w:color="auto"/>
            <w:right w:val="none" w:sz="0" w:space="0" w:color="auto"/>
          </w:divBdr>
          <w:divsChild>
            <w:div w:id="971638496">
              <w:marLeft w:val="0"/>
              <w:marRight w:val="0"/>
              <w:marTop w:val="0"/>
              <w:marBottom w:val="0"/>
              <w:divBdr>
                <w:top w:val="none" w:sz="0" w:space="0" w:color="auto"/>
                <w:left w:val="none" w:sz="0" w:space="0" w:color="auto"/>
                <w:bottom w:val="none" w:sz="0" w:space="0" w:color="auto"/>
                <w:right w:val="none" w:sz="0" w:space="0" w:color="auto"/>
              </w:divBdr>
            </w:div>
          </w:divsChild>
        </w:div>
        <w:div w:id="1214001375">
          <w:marLeft w:val="0"/>
          <w:marRight w:val="0"/>
          <w:marTop w:val="0"/>
          <w:marBottom w:val="0"/>
          <w:divBdr>
            <w:top w:val="none" w:sz="0" w:space="0" w:color="auto"/>
            <w:left w:val="none" w:sz="0" w:space="0" w:color="auto"/>
            <w:bottom w:val="none" w:sz="0" w:space="0" w:color="auto"/>
            <w:right w:val="none" w:sz="0" w:space="0" w:color="auto"/>
          </w:divBdr>
          <w:divsChild>
            <w:div w:id="5512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2304">
      <w:bodyDiv w:val="1"/>
      <w:marLeft w:val="0"/>
      <w:marRight w:val="0"/>
      <w:marTop w:val="0"/>
      <w:marBottom w:val="0"/>
      <w:divBdr>
        <w:top w:val="none" w:sz="0" w:space="0" w:color="auto"/>
        <w:left w:val="none" w:sz="0" w:space="0" w:color="auto"/>
        <w:bottom w:val="none" w:sz="0" w:space="0" w:color="auto"/>
        <w:right w:val="none" w:sz="0" w:space="0" w:color="auto"/>
      </w:divBdr>
      <w:divsChild>
        <w:div w:id="501776266">
          <w:marLeft w:val="0"/>
          <w:marRight w:val="0"/>
          <w:marTop w:val="0"/>
          <w:marBottom w:val="0"/>
          <w:divBdr>
            <w:top w:val="none" w:sz="0" w:space="0" w:color="auto"/>
            <w:left w:val="none" w:sz="0" w:space="0" w:color="auto"/>
            <w:bottom w:val="none" w:sz="0" w:space="0" w:color="auto"/>
            <w:right w:val="none" w:sz="0" w:space="0" w:color="auto"/>
          </w:divBdr>
          <w:divsChild>
            <w:div w:id="102307709">
              <w:marLeft w:val="0"/>
              <w:marRight w:val="0"/>
              <w:marTop w:val="0"/>
              <w:marBottom w:val="0"/>
              <w:divBdr>
                <w:top w:val="none" w:sz="0" w:space="0" w:color="auto"/>
                <w:left w:val="none" w:sz="0" w:space="0" w:color="auto"/>
                <w:bottom w:val="none" w:sz="0" w:space="0" w:color="auto"/>
                <w:right w:val="none" w:sz="0" w:space="0" w:color="auto"/>
              </w:divBdr>
            </w:div>
          </w:divsChild>
        </w:div>
        <w:div w:id="2016226878">
          <w:marLeft w:val="0"/>
          <w:marRight w:val="0"/>
          <w:marTop w:val="0"/>
          <w:marBottom w:val="0"/>
          <w:divBdr>
            <w:top w:val="none" w:sz="0" w:space="0" w:color="auto"/>
            <w:left w:val="none" w:sz="0" w:space="0" w:color="auto"/>
            <w:bottom w:val="none" w:sz="0" w:space="0" w:color="auto"/>
            <w:right w:val="none" w:sz="0" w:space="0" w:color="auto"/>
          </w:divBdr>
          <w:divsChild>
            <w:div w:id="62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089">
      <w:bodyDiv w:val="1"/>
      <w:marLeft w:val="0"/>
      <w:marRight w:val="0"/>
      <w:marTop w:val="0"/>
      <w:marBottom w:val="0"/>
      <w:divBdr>
        <w:top w:val="none" w:sz="0" w:space="0" w:color="auto"/>
        <w:left w:val="none" w:sz="0" w:space="0" w:color="auto"/>
        <w:bottom w:val="none" w:sz="0" w:space="0" w:color="auto"/>
        <w:right w:val="none" w:sz="0" w:space="0" w:color="auto"/>
      </w:divBdr>
    </w:div>
    <w:div w:id="252596631">
      <w:bodyDiv w:val="1"/>
      <w:marLeft w:val="0"/>
      <w:marRight w:val="0"/>
      <w:marTop w:val="0"/>
      <w:marBottom w:val="0"/>
      <w:divBdr>
        <w:top w:val="none" w:sz="0" w:space="0" w:color="auto"/>
        <w:left w:val="none" w:sz="0" w:space="0" w:color="auto"/>
        <w:bottom w:val="none" w:sz="0" w:space="0" w:color="auto"/>
        <w:right w:val="none" w:sz="0" w:space="0" w:color="auto"/>
      </w:divBdr>
      <w:divsChild>
        <w:div w:id="859971476">
          <w:marLeft w:val="0"/>
          <w:marRight w:val="0"/>
          <w:marTop w:val="0"/>
          <w:marBottom w:val="0"/>
          <w:divBdr>
            <w:top w:val="none" w:sz="0" w:space="0" w:color="auto"/>
            <w:left w:val="none" w:sz="0" w:space="0" w:color="auto"/>
            <w:bottom w:val="none" w:sz="0" w:space="0" w:color="auto"/>
            <w:right w:val="none" w:sz="0" w:space="0" w:color="auto"/>
          </w:divBdr>
          <w:divsChild>
            <w:div w:id="1854493870">
              <w:marLeft w:val="0"/>
              <w:marRight w:val="0"/>
              <w:marTop w:val="0"/>
              <w:marBottom w:val="0"/>
              <w:divBdr>
                <w:top w:val="none" w:sz="0" w:space="0" w:color="auto"/>
                <w:left w:val="none" w:sz="0" w:space="0" w:color="auto"/>
                <w:bottom w:val="none" w:sz="0" w:space="0" w:color="auto"/>
                <w:right w:val="none" w:sz="0" w:space="0" w:color="auto"/>
              </w:divBdr>
            </w:div>
          </w:divsChild>
        </w:div>
        <w:div w:id="1249773004">
          <w:marLeft w:val="0"/>
          <w:marRight w:val="0"/>
          <w:marTop w:val="0"/>
          <w:marBottom w:val="0"/>
          <w:divBdr>
            <w:top w:val="none" w:sz="0" w:space="0" w:color="auto"/>
            <w:left w:val="none" w:sz="0" w:space="0" w:color="auto"/>
            <w:bottom w:val="none" w:sz="0" w:space="0" w:color="auto"/>
            <w:right w:val="none" w:sz="0" w:space="0" w:color="auto"/>
          </w:divBdr>
          <w:divsChild>
            <w:div w:id="149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58605405">
      <w:bodyDiv w:val="1"/>
      <w:marLeft w:val="0"/>
      <w:marRight w:val="0"/>
      <w:marTop w:val="0"/>
      <w:marBottom w:val="0"/>
      <w:divBdr>
        <w:top w:val="none" w:sz="0" w:space="0" w:color="auto"/>
        <w:left w:val="none" w:sz="0" w:space="0" w:color="auto"/>
        <w:bottom w:val="none" w:sz="0" w:space="0" w:color="auto"/>
        <w:right w:val="none" w:sz="0" w:space="0" w:color="auto"/>
      </w:divBdr>
      <w:divsChild>
        <w:div w:id="148599023">
          <w:marLeft w:val="0"/>
          <w:marRight w:val="0"/>
          <w:marTop w:val="0"/>
          <w:marBottom w:val="0"/>
          <w:divBdr>
            <w:top w:val="none" w:sz="0" w:space="0" w:color="auto"/>
            <w:left w:val="none" w:sz="0" w:space="0" w:color="auto"/>
            <w:bottom w:val="none" w:sz="0" w:space="0" w:color="auto"/>
            <w:right w:val="none" w:sz="0" w:space="0" w:color="auto"/>
          </w:divBdr>
          <w:divsChild>
            <w:div w:id="375008546">
              <w:marLeft w:val="0"/>
              <w:marRight w:val="0"/>
              <w:marTop w:val="0"/>
              <w:marBottom w:val="0"/>
              <w:divBdr>
                <w:top w:val="none" w:sz="0" w:space="0" w:color="auto"/>
                <w:left w:val="none" w:sz="0" w:space="0" w:color="auto"/>
                <w:bottom w:val="none" w:sz="0" w:space="0" w:color="auto"/>
                <w:right w:val="none" w:sz="0" w:space="0" w:color="auto"/>
              </w:divBdr>
              <w:divsChild>
                <w:div w:id="57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2952">
          <w:marLeft w:val="0"/>
          <w:marRight w:val="0"/>
          <w:marTop w:val="0"/>
          <w:marBottom w:val="0"/>
          <w:divBdr>
            <w:top w:val="none" w:sz="0" w:space="0" w:color="auto"/>
            <w:left w:val="none" w:sz="0" w:space="0" w:color="auto"/>
            <w:bottom w:val="none" w:sz="0" w:space="0" w:color="auto"/>
            <w:right w:val="none" w:sz="0" w:space="0" w:color="auto"/>
          </w:divBdr>
          <w:divsChild>
            <w:div w:id="39747518">
              <w:marLeft w:val="0"/>
              <w:marRight w:val="0"/>
              <w:marTop w:val="0"/>
              <w:marBottom w:val="0"/>
              <w:divBdr>
                <w:top w:val="none" w:sz="0" w:space="0" w:color="auto"/>
                <w:left w:val="none" w:sz="0" w:space="0" w:color="auto"/>
                <w:bottom w:val="none" w:sz="0" w:space="0" w:color="auto"/>
                <w:right w:val="none" w:sz="0" w:space="0" w:color="auto"/>
              </w:divBdr>
              <w:divsChild>
                <w:div w:id="1341547063">
                  <w:marLeft w:val="0"/>
                  <w:marRight w:val="0"/>
                  <w:marTop w:val="0"/>
                  <w:marBottom w:val="0"/>
                  <w:divBdr>
                    <w:top w:val="none" w:sz="0" w:space="0" w:color="auto"/>
                    <w:left w:val="none" w:sz="0" w:space="0" w:color="auto"/>
                    <w:bottom w:val="none" w:sz="0" w:space="0" w:color="auto"/>
                    <w:right w:val="none" w:sz="0" w:space="0" w:color="auto"/>
                  </w:divBdr>
                </w:div>
              </w:divsChild>
            </w:div>
            <w:div w:id="1568882706">
              <w:marLeft w:val="0"/>
              <w:marRight w:val="0"/>
              <w:marTop w:val="0"/>
              <w:marBottom w:val="0"/>
              <w:divBdr>
                <w:top w:val="none" w:sz="0" w:space="0" w:color="auto"/>
                <w:left w:val="none" w:sz="0" w:space="0" w:color="auto"/>
                <w:bottom w:val="none" w:sz="0" w:space="0" w:color="auto"/>
                <w:right w:val="none" w:sz="0" w:space="0" w:color="auto"/>
              </w:divBdr>
              <w:divsChild>
                <w:div w:id="12012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7803">
          <w:marLeft w:val="0"/>
          <w:marRight w:val="0"/>
          <w:marTop w:val="0"/>
          <w:marBottom w:val="0"/>
          <w:divBdr>
            <w:top w:val="none" w:sz="0" w:space="0" w:color="auto"/>
            <w:left w:val="none" w:sz="0" w:space="0" w:color="auto"/>
            <w:bottom w:val="none" w:sz="0" w:space="0" w:color="auto"/>
            <w:right w:val="none" w:sz="0" w:space="0" w:color="auto"/>
          </w:divBdr>
          <w:divsChild>
            <w:div w:id="528563758">
              <w:marLeft w:val="0"/>
              <w:marRight w:val="0"/>
              <w:marTop w:val="0"/>
              <w:marBottom w:val="0"/>
              <w:divBdr>
                <w:top w:val="none" w:sz="0" w:space="0" w:color="auto"/>
                <w:left w:val="none" w:sz="0" w:space="0" w:color="auto"/>
                <w:bottom w:val="none" w:sz="0" w:space="0" w:color="auto"/>
                <w:right w:val="none" w:sz="0" w:space="0" w:color="auto"/>
              </w:divBdr>
              <w:divsChild>
                <w:div w:id="16728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336">
          <w:marLeft w:val="0"/>
          <w:marRight w:val="0"/>
          <w:marTop w:val="0"/>
          <w:marBottom w:val="0"/>
          <w:divBdr>
            <w:top w:val="none" w:sz="0" w:space="0" w:color="auto"/>
            <w:left w:val="none" w:sz="0" w:space="0" w:color="auto"/>
            <w:bottom w:val="none" w:sz="0" w:space="0" w:color="auto"/>
            <w:right w:val="none" w:sz="0" w:space="0" w:color="auto"/>
          </w:divBdr>
          <w:divsChild>
            <w:div w:id="953439722">
              <w:marLeft w:val="0"/>
              <w:marRight w:val="0"/>
              <w:marTop w:val="0"/>
              <w:marBottom w:val="0"/>
              <w:divBdr>
                <w:top w:val="none" w:sz="0" w:space="0" w:color="auto"/>
                <w:left w:val="none" w:sz="0" w:space="0" w:color="auto"/>
                <w:bottom w:val="none" w:sz="0" w:space="0" w:color="auto"/>
                <w:right w:val="none" w:sz="0" w:space="0" w:color="auto"/>
              </w:divBdr>
              <w:divsChild>
                <w:div w:id="4768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58878">
          <w:marLeft w:val="0"/>
          <w:marRight w:val="0"/>
          <w:marTop w:val="0"/>
          <w:marBottom w:val="0"/>
          <w:divBdr>
            <w:top w:val="none" w:sz="0" w:space="0" w:color="auto"/>
            <w:left w:val="none" w:sz="0" w:space="0" w:color="auto"/>
            <w:bottom w:val="none" w:sz="0" w:space="0" w:color="auto"/>
            <w:right w:val="none" w:sz="0" w:space="0" w:color="auto"/>
          </w:divBdr>
          <w:divsChild>
            <w:div w:id="554128274">
              <w:marLeft w:val="0"/>
              <w:marRight w:val="0"/>
              <w:marTop w:val="0"/>
              <w:marBottom w:val="0"/>
              <w:divBdr>
                <w:top w:val="none" w:sz="0" w:space="0" w:color="auto"/>
                <w:left w:val="none" w:sz="0" w:space="0" w:color="auto"/>
                <w:bottom w:val="none" w:sz="0" w:space="0" w:color="auto"/>
                <w:right w:val="none" w:sz="0" w:space="0" w:color="auto"/>
              </w:divBdr>
              <w:divsChild>
                <w:div w:id="17775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6889">
          <w:marLeft w:val="0"/>
          <w:marRight w:val="0"/>
          <w:marTop w:val="0"/>
          <w:marBottom w:val="0"/>
          <w:divBdr>
            <w:top w:val="none" w:sz="0" w:space="0" w:color="auto"/>
            <w:left w:val="none" w:sz="0" w:space="0" w:color="auto"/>
            <w:bottom w:val="none" w:sz="0" w:space="0" w:color="auto"/>
            <w:right w:val="none" w:sz="0" w:space="0" w:color="auto"/>
          </w:divBdr>
          <w:divsChild>
            <w:div w:id="801078732">
              <w:marLeft w:val="0"/>
              <w:marRight w:val="0"/>
              <w:marTop w:val="0"/>
              <w:marBottom w:val="0"/>
              <w:divBdr>
                <w:top w:val="none" w:sz="0" w:space="0" w:color="auto"/>
                <w:left w:val="none" w:sz="0" w:space="0" w:color="auto"/>
                <w:bottom w:val="none" w:sz="0" w:space="0" w:color="auto"/>
                <w:right w:val="none" w:sz="0" w:space="0" w:color="auto"/>
              </w:divBdr>
              <w:divsChild>
                <w:div w:id="8970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6929">
          <w:marLeft w:val="0"/>
          <w:marRight w:val="0"/>
          <w:marTop w:val="0"/>
          <w:marBottom w:val="0"/>
          <w:divBdr>
            <w:top w:val="none" w:sz="0" w:space="0" w:color="auto"/>
            <w:left w:val="none" w:sz="0" w:space="0" w:color="auto"/>
            <w:bottom w:val="none" w:sz="0" w:space="0" w:color="auto"/>
            <w:right w:val="none" w:sz="0" w:space="0" w:color="auto"/>
          </w:divBdr>
          <w:divsChild>
            <w:div w:id="378364439">
              <w:marLeft w:val="0"/>
              <w:marRight w:val="0"/>
              <w:marTop w:val="0"/>
              <w:marBottom w:val="0"/>
              <w:divBdr>
                <w:top w:val="none" w:sz="0" w:space="0" w:color="auto"/>
                <w:left w:val="none" w:sz="0" w:space="0" w:color="auto"/>
                <w:bottom w:val="none" w:sz="0" w:space="0" w:color="auto"/>
                <w:right w:val="none" w:sz="0" w:space="0" w:color="auto"/>
              </w:divBdr>
              <w:divsChild>
                <w:div w:id="164827718">
                  <w:marLeft w:val="0"/>
                  <w:marRight w:val="0"/>
                  <w:marTop w:val="0"/>
                  <w:marBottom w:val="0"/>
                  <w:divBdr>
                    <w:top w:val="none" w:sz="0" w:space="0" w:color="auto"/>
                    <w:left w:val="none" w:sz="0" w:space="0" w:color="auto"/>
                    <w:bottom w:val="none" w:sz="0" w:space="0" w:color="auto"/>
                    <w:right w:val="none" w:sz="0" w:space="0" w:color="auto"/>
                  </w:divBdr>
                </w:div>
              </w:divsChild>
            </w:div>
            <w:div w:id="699939090">
              <w:marLeft w:val="0"/>
              <w:marRight w:val="0"/>
              <w:marTop w:val="0"/>
              <w:marBottom w:val="0"/>
              <w:divBdr>
                <w:top w:val="none" w:sz="0" w:space="0" w:color="auto"/>
                <w:left w:val="none" w:sz="0" w:space="0" w:color="auto"/>
                <w:bottom w:val="none" w:sz="0" w:space="0" w:color="auto"/>
                <w:right w:val="none" w:sz="0" w:space="0" w:color="auto"/>
              </w:divBdr>
              <w:divsChild>
                <w:div w:id="8168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8514">
          <w:marLeft w:val="0"/>
          <w:marRight w:val="0"/>
          <w:marTop w:val="0"/>
          <w:marBottom w:val="0"/>
          <w:divBdr>
            <w:top w:val="none" w:sz="0" w:space="0" w:color="auto"/>
            <w:left w:val="none" w:sz="0" w:space="0" w:color="auto"/>
            <w:bottom w:val="none" w:sz="0" w:space="0" w:color="auto"/>
            <w:right w:val="none" w:sz="0" w:space="0" w:color="auto"/>
          </w:divBdr>
          <w:divsChild>
            <w:div w:id="913857019">
              <w:marLeft w:val="0"/>
              <w:marRight w:val="0"/>
              <w:marTop w:val="0"/>
              <w:marBottom w:val="0"/>
              <w:divBdr>
                <w:top w:val="none" w:sz="0" w:space="0" w:color="auto"/>
                <w:left w:val="none" w:sz="0" w:space="0" w:color="auto"/>
                <w:bottom w:val="none" w:sz="0" w:space="0" w:color="auto"/>
                <w:right w:val="none" w:sz="0" w:space="0" w:color="auto"/>
              </w:divBdr>
              <w:divsChild>
                <w:div w:id="1962377210">
                  <w:marLeft w:val="0"/>
                  <w:marRight w:val="0"/>
                  <w:marTop w:val="0"/>
                  <w:marBottom w:val="0"/>
                  <w:divBdr>
                    <w:top w:val="none" w:sz="0" w:space="0" w:color="auto"/>
                    <w:left w:val="none" w:sz="0" w:space="0" w:color="auto"/>
                    <w:bottom w:val="none" w:sz="0" w:space="0" w:color="auto"/>
                    <w:right w:val="none" w:sz="0" w:space="0" w:color="auto"/>
                  </w:divBdr>
                </w:div>
              </w:divsChild>
            </w:div>
            <w:div w:id="1734498335">
              <w:marLeft w:val="0"/>
              <w:marRight w:val="0"/>
              <w:marTop w:val="0"/>
              <w:marBottom w:val="0"/>
              <w:divBdr>
                <w:top w:val="none" w:sz="0" w:space="0" w:color="auto"/>
                <w:left w:val="none" w:sz="0" w:space="0" w:color="auto"/>
                <w:bottom w:val="none" w:sz="0" w:space="0" w:color="auto"/>
                <w:right w:val="none" w:sz="0" w:space="0" w:color="auto"/>
              </w:divBdr>
              <w:divsChild>
                <w:div w:id="222840419">
                  <w:marLeft w:val="0"/>
                  <w:marRight w:val="0"/>
                  <w:marTop w:val="0"/>
                  <w:marBottom w:val="0"/>
                  <w:divBdr>
                    <w:top w:val="none" w:sz="0" w:space="0" w:color="auto"/>
                    <w:left w:val="none" w:sz="0" w:space="0" w:color="auto"/>
                    <w:bottom w:val="none" w:sz="0" w:space="0" w:color="auto"/>
                    <w:right w:val="none" w:sz="0" w:space="0" w:color="auto"/>
                  </w:divBdr>
                </w:div>
              </w:divsChild>
            </w:div>
            <w:div w:id="1887178636">
              <w:marLeft w:val="0"/>
              <w:marRight w:val="0"/>
              <w:marTop w:val="0"/>
              <w:marBottom w:val="0"/>
              <w:divBdr>
                <w:top w:val="none" w:sz="0" w:space="0" w:color="auto"/>
                <w:left w:val="none" w:sz="0" w:space="0" w:color="auto"/>
                <w:bottom w:val="none" w:sz="0" w:space="0" w:color="auto"/>
                <w:right w:val="none" w:sz="0" w:space="0" w:color="auto"/>
              </w:divBdr>
              <w:divsChild>
                <w:div w:id="1768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4206">
          <w:marLeft w:val="0"/>
          <w:marRight w:val="0"/>
          <w:marTop w:val="0"/>
          <w:marBottom w:val="0"/>
          <w:divBdr>
            <w:top w:val="none" w:sz="0" w:space="0" w:color="auto"/>
            <w:left w:val="none" w:sz="0" w:space="0" w:color="auto"/>
            <w:bottom w:val="none" w:sz="0" w:space="0" w:color="auto"/>
            <w:right w:val="none" w:sz="0" w:space="0" w:color="auto"/>
          </w:divBdr>
          <w:divsChild>
            <w:div w:id="1014725452">
              <w:marLeft w:val="0"/>
              <w:marRight w:val="0"/>
              <w:marTop w:val="0"/>
              <w:marBottom w:val="0"/>
              <w:divBdr>
                <w:top w:val="none" w:sz="0" w:space="0" w:color="auto"/>
                <w:left w:val="none" w:sz="0" w:space="0" w:color="auto"/>
                <w:bottom w:val="none" w:sz="0" w:space="0" w:color="auto"/>
                <w:right w:val="none" w:sz="0" w:space="0" w:color="auto"/>
              </w:divBdr>
              <w:divsChild>
                <w:div w:id="20601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680">
          <w:marLeft w:val="0"/>
          <w:marRight w:val="0"/>
          <w:marTop w:val="0"/>
          <w:marBottom w:val="0"/>
          <w:divBdr>
            <w:top w:val="none" w:sz="0" w:space="0" w:color="auto"/>
            <w:left w:val="none" w:sz="0" w:space="0" w:color="auto"/>
            <w:bottom w:val="none" w:sz="0" w:space="0" w:color="auto"/>
            <w:right w:val="none" w:sz="0" w:space="0" w:color="auto"/>
          </w:divBdr>
          <w:divsChild>
            <w:div w:id="604650255">
              <w:marLeft w:val="0"/>
              <w:marRight w:val="0"/>
              <w:marTop w:val="0"/>
              <w:marBottom w:val="0"/>
              <w:divBdr>
                <w:top w:val="none" w:sz="0" w:space="0" w:color="auto"/>
                <w:left w:val="none" w:sz="0" w:space="0" w:color="auto"/>
                <w:bottom w:val="none" w:sz="0" w:space="0" w:color="auto"/>
                <w:right w:val="none" w:sz="0" w:space="0" w:color="auto"/>
              </w:divBdr>
              <w:divsChild>
                <w:div w:id="14374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1933">
          <w:marLeft w:val="0"/>
          <w:marRight w:val="0"/>
          <w:marTop w:val="0"/>
          <w:marBottom w:val="0"/>
          <w:divBdr>
            <w:top w:val="none" w:sz="0" w:space="0" w:color="auto"/>
            <w:left w:val="none" w:sz="0" w:space="0" w:color="auto"/>
            <w:bottom w:val="none" w:sz="0" w:space="0" w:color="auto"/>
            <w:right w:val="none" w:sz="0" w:space="0" w:color="auto"/>
          </w:divBdr>
          <w:divsChild>
            <w:div w:id="225647456">
              <w:marLeft w:val="0"/>
              <w:marRight w:val="0"/>
              <w:marTop w:val="0"/>
              <w:marBottom w:val="0"/>
              <w:divBdr>
                <w:top w:val="none" w:sz="0" w:space="0" w:color="auto"/>
                <w:left w:val="none" w:sz="0" w:space="0" w:color="auto"/>
                <w:bottom w:val="none" w:sz="0" w:space="0" w:color="auto"/>
                <w:right w:val="none" w:sz="0" w:space="0" w:color="auto"/>
              </w:divBdr>
              <w:divsChild>
                <w:div w:id="18565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22753">
          <w:marLeft w:val="0"/>
          <w:marRight w:val="0"/>
          <w:marTop w:val="0"/>
          <w:marBottom w:val="0"/>
          <w:divBdr>
            <w:top w:val="none" w:sz="0" w:space="0" w:color="auto"/>
            <w:left w:val="none" w:sz="0" w:space="0" w:color="auto"/>
            <w:bottom w:val="none" w:sz="0" w:space="0" w:color="auto"/>
            <w:right w:val="none" w:sz="0" w:space="0" w:color="auto"/>
          </w:divBdr>
          <w:divsChild>
            <w:div w:id="1778452225">
              <w:marLeft w:val="0"/>
              <w:marRight w:val="0"/>
              <w:marTop w:val="0"/>
              <w:marBottom w:val="0"/>
              <w:divBdr>
                <w:top w:val="none" w:sz="0" w:space="0" w:color="auto"/>
                <w:left w:val="none" w:sz="0" w:space="0" w:color="auto"/>
                <w:bottom w:val="none" w:sz="0" w:space="0" w:color="auto"/>
                <w:right w:val="none" w:sz="0" w:space="0" w:color="auto"/>
              </w:divBdr>
              <w:divsChild>
                <w:div w:id="18191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1597">
          <w:marLeft w:val="0"/>
          <w:marRight w:val="0"/>
          <w:marTop w:val="0"/>
          <w:marBottom w:val="0"/>
          <w:divBdr>
            <w:top w:val="none" w:sz="0" w:space="0" w:color="auto"/>
            <w:left w:val="none" w:sz="0" w:space="0" w:color="auto"/>
            <w:bottom w:val="none" w:sz="0" w:space="0" w:color="auto"/>
            <w:right w:val="none" w:sz="0" w:space="0" w:color="auto"/>
          </w:divBdr>
          <w:divsChild>
            <w:div w:id="1567060868">
              <w:marLeft w:val="0"/>
              <w:marRight w:val="0"/>
              <w:marTop w:val="0"/>
              <w:marBottom w:val="0"/>
              <w:divBdr>
                <w:top w:val="none" w:sz="0" w:space="0" w:color="auto"/>
                <w:left w:val="none" w:sz="0" w:space="0" w:color="auto"/>
                <w:bottom w:val="none" w:sz="0" w:space="0" w:color="auto"/>
                <w:right w:val="none" w:sz="0" w:space="0" w:color="auto"/>
              </w:divBdr>
              <w:divsChild>
                <w:div w:id="1460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5069">
          <w:marLeft w:val="0"/>
          <w:marRight w:val="0"/>
          <w:marTop w:val="0"/>
          <w:marBottom w:val="0"/>
          <w:divBdr>
            <w:top w:val="none" w:sz="0" w:space="0" w:color="auto"/>
            <w:left w:val="none" w:sz="0" w:space="0" w:color="auto"/>
            <w:bottom w:val="none" w:sz="0" w:space="0" w:color="auto"/>
            <w:right w:val="none" w:sz="0" w:space="0" w:color="auto"/>
          </w:divBdr>
          <w:divsChild>
            <w:div w:id="522864907">
              <w:marLeft w:val="0"/>
              <w:marRight w:val="0"/>
              <w:marTop w:val="0"/>
              <w:marBottom w:val="0"/>
              <w:divBdr>
                <w:top w:val="none" w:sz="0" w:space="0" w:color="auto"/>
                <w:left w:val="none" w:sz="0" w:space="0" w:color="auto"/>
                <w:bottom w:val="none" w:sz="0" w:space="0" w:color="auto"/>
                <w:right w:val="none" w:sz="0" w:space="0" w:color="auto"/>
              </w:divBdr>
              <w:divsChild>
                <w:div w:id="5685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7240">
          <w:marLeft w:val="0"/>
          <w:marRight w:val="0"/>
          <w:marTop w:val="0"/>
          <w:marBottom w:val="0"/>
          <w:divBdr>
            <w:top w:val="none" w:sz="0" w:space="0" w:color="auto"/>
            <w:left w:val="none" w:sz="0" w:space="0" w:color="auto"/>
            <w:bottom w:val="none" w:sz="0" w:space="0" w:color="auto"/>
            <w:right w:val="none" w:sz="0" w:space="0" w:color="auto"/>
          </w:divBdr>
          <w:divsChild>
            <w:div w:id="1888637699">
              <w:marLeft w:val="0"/>
              <w:marRight w:val="0"/>
              <w:marTop w:val="0"/>
              <w:marBottom w:val="0"/>
              <w:divBdr>
                <w:top w:val="none" w:sz="0" w:space="0" w:color="auto"/>
                <w:left w:val="none" w:sz="0" w:space="0" w:color="auto"/>
                <w:bottom w:val="none" w:sz="0" w:space="0" w:color="auto"/>
                <w:right w:val="none" w:sz="0" w:space="0" w:color="auto"/>
              </w:divBdr>
              <w:divsChild>
                <w:div w:id="11553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1366">
          <w:marLeft w:val="0"/>
          <w:marRight w:val="0"/>
          <w:marTop w:val="0"/>
          <w:marBottom w:val="0"/>
          <w:divBdr>
            <w:top w:val="none" w:sz="0" w:space="0" w:color="auto"/>
            <w:left w:val="none" w:sz="0" w:space="0" w:color="auto"/>
            <w:bottom w:val="none" w:sz="0" w:space="0" w:color="auto"/>
            <w:right w:val="none" w:sz="0" w:space="0" w:color="auto"/>
          </w:divBdr>
          <w:divsChild>
            <w:div w:id="863904445">
              <w:marLeft w:val="0"/>
              <w:marRight w:val="0"/>
              <w:marTop w:val="0"/>
              <w:marBottom w:val="0"/>
              <w:divBdr>
                <w:top w:val="none" w:sz="0" w:space="0" w:color="auto"/>
                <w:left w:val="none" w:sz="0" w:space="0" w:color="auto"/>
                <w:bottom w:val="none" w:sz="0" w:space="0" w:color="auto"/>
                <w:right w:val="none" w:sz="0" w:space="0" w:color="auto"/>
              </w:divBdr>
              <w:divsChild>
                <w:div w:id="14776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216">
          <w:marLeft w:val="0"/>
          <w:marRight w:val="0"/>
          <w:marTop w:val="0"/>
          <w:marBottom w:val="0"/>
          <w:divBdr>
            <w:top w:val="none" w:sz="0" w:space="0" w:color="auto"/>
            <w:left w:val="none" w:sz="0" w:space="0" w:color="auto"/>
            <w:bottom w:val="none" w:sz="0" w:space="0" w:color="auto"/>
            <w:right w:val="none" w:sz="0" w:space="0" w:color="auto"/>
          </w:divBdr>
          <w:divsChild>
            <w:div w:id="213546842">
              <w:marLeft w:val="0"/>
              <w:marRight w:val="0"/>
              <w:marTop w:val="0"/>
              <w:marBottom w:val="0"/>
              <w:divBdr>
                <w:top w:val="none" w:sz="0" w:space="0" w:color="auto"/>
                <w:left w:val="none" w:sz="0" w:space="0" w:color="auto"/>
                <w:bottom w:val="none" w:sz="0" w:space="0" w:color="auto"/>
                <w:right w:val="none" w:sz="0" w:space="0" w:color="auto"/>
              </w:divBdr>
              <w:divsChild>
                <w:div w:id="8659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9187">
          <w:marLeft w:val="0"/>
          <w:marRight w:val="0"/>
          <w:marTop w:val="0"/>
          <w:marBottom w:val="0"/>
          <w:divBdr>
            <w:top w:val="none" w:sz="0" w:space="0" w:color="auto"/>
            <w:left w:val="none" w:sz="0" w:space="0" w:color="auto"/>
            <w:bottom w:val="none" w:sz="0" w:space="0" w:color="auto"/>
            <w:right w:val="none" w:sz="0" w:space="0" w:color="auto"/>
          </w:divBdr>
          <w:divsChild>
            <w:div w:id="654139064">
              <w:marLeft w:val="0"/>
              <w:marRight w:val="0"/>
              <w:marTop w:val="0"/>
              <w:marBottom w:val="0"/>
              <w:divBdr>
                <w:top w:val="none" w:sz="0" w:space="0" w:color="auto"/>
                <w:left w:val="none" w:sz="0" w:space="0" w:color="auto"/>
                <w:bottom w:val="none" w:sz="0" w:space="0" w:color="auto"/>
                <w:right w:val="none" w:sz="0" w:space="0" w:color="auto"/>
              </w:divBdr>
              <w:divsChild>
                <w:div w:id="14902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4016">
          <w:marLeft w:val="0"/>
          <w:marRight w:val="0"/>
          <w:marTop w:val="0"/>
          <w:marBottom w:val="0"/>
          <w:divBdr>
            <w:top w:val="none" w:sz="0" w:space="0" w:color="auto"/>
            <w:left w:val="none" w:sz="0" w:space="0" w:color="auto"/>
            <w:bottom w:val="none" w:sz="0" w:space="0" w:color="auto"/>
            <w:right w:val="none" w:sz="0" w:space="0" w:color="auto"/>
          </w:divBdr>
          <w:divsChild>
            <w:div w:id="15544203">
              <w:marLeft w:val="0"/>
              <w:marRight w:val="0"/>
              <w:marTop w:val="0"/>
              <w:marBottom w:val="0"/>
              <w:divBdr>
                <w:top w:val="none" w:sz="0" w:space="0" w:color="auto"/>
                <w:left w:val="none" w:sz="0" w:space="0" w:color="auto"/>
                <w:bottom w:val="none" w:sz="0" w:space="0" w:color="auto"/>
                <w:right w:val="none" w:sz="0" w:space="0" w:color="auto"/>
              </w:divBdr>
              <w:divsChild>
                <w:div w:id="15569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634">
          <w:marLeft w:val="0"/>
          <w:marRight w:val="0"/>
          <w:marTop w:val="0"/>
          <w:marBottom w:val="0"/>
          <w:divBdr>
            <w:top w:val="none" w:sz="0" w:space="0" w:color="auto"/>
            <w:left w:val="none" w:sz="0" w:space="0" w:color="auto"/>
            <w:bottom w:val="none" w:sz="0" w:space="0" w:color="auto"/>
            <w:right w:val="none" w:sz="0" w:space="0" w:color="auto"/>
          </w:divBdr>
          <w:divsChild>
            <w:div w:id="987126780">
              <w:marLeft w:val="0"/>
              <w:marRight w:val="0"/>
              <w:marTop w:val="0"/>
              <w:marBottom w:val="0"/>
              <w:divBdr>
                <w:top w:val="none" w:sz="0" w:space="0" w:color="auto"/>
                <w:left w:val="none" w:sz="0" w:space="0" w:color="auto"/>
                <w:bottom w:val="none" w:sz="0" w:space="0" w:color="auto"/>
                <w:right w:val="none" w:sz="0" w:space="0" w:color="auto"/>
              </w:divBdr>
              <w:divsChild>
                <w:div w:id="1097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1308">
          <w:marLeft w:val="0"/>
          <w:marRight w:val="0"/>
          <w:marTop w:val="0"/>
          <w:marBottom w:val="0"/>
          <w:divBdr>
            <w:top w:val="none" w:sz="0" w:space="0" w:color="auto"/>
            <w:left w:val="none" w:sz="0" w:space="0" w:color="auto"/>
            <w:bottom w:val="none" w:sz="0" w:space="0" w:color="auto"/>
            <w:right w:val="none" w:sz="0" w:space="0" w:color="auto"/>
          </w:divBdr>
          <w:divsChild>
            <w:div w:id="692347437">
              <w:marLeft w:val="0"/>
              <w:marRight w:val="0"/>
              <w:marTop w:val="0"/>
              <w:marBottom w:val="0"/>
              <w:divBdr>
                <w:top w:val="none" w:sz="0" w:space="0" w:color="auto"/>
                <w:left w:val="none" w:sz="0" w:space="0" w:color="auto"/>
                <w:bottom w:val="none" w:sz="0" w:space="0" w:color="auto"/>
                <w:right w:val="none" w:sz="0" w:space="0" w:color="auto"/>
              </w:divBdr>
              <w:divsChild>
                <w:div w:id="19658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9678">
          <w:marLeft w:val="0"/>
          <w:marRight w:val="0"/>
          <w:marTop w:val="0"/>
          <w:marBottom w:val="0"/>
          <w:divBdr>
            <w:top w:val="none" w:sz="0" w:space="0" w:color="auto"/>
            <w:left w:val="none" w:sz="0" w:space="0" w:color="auto"/>
            <w:bottom w:val="none" w:sz="0" w:space="0" w:color="auto"/>
            <w:right w:val="none" w:sz="0" w:space="0" w:color="auto"/>
          </w:divBdr>
          <w:divsChild>
            <w:div w:id="1288899041">
              <w:marLeft w:val="0"/>
              <w:marRight w:val="0"/>
              <w:marTop w:val="0"/>
              <w:marBottom w:val="0"/>
              <w:divBdr>
                <w:top w:val="none" w:sz="0" w:space="0" w:color="auto"/>
                <w:left w:val="none" w:sz="0" w:space="0" w:color="auto"/>
                <w:bottom w:val="none" w:sz="0" w:space="0" w:color="auto"/>
                <w:right w:val="none" w:sz="0" w:space="0" w:color="auto"/>
              </w:divBdr>
              <w:divsChild>
                <w:div w:id="15867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55940">
      <w:bodyDiv w:val="1"/>
      <w:marLeft w:val="0"/>
      <w:marRight w:val="0"/>
      <w:marTop w:val="0"/>
      <w:marBottom w:val="0"/>
      <w:divBdr>
        <w:top w:val="none" w:sz="0" w:space="0" w:color="auto"/>
        <w:left w:val="none" w:sz="0" w:space="0" w:color="auto"/>
        <w:bottom w:val="none" w:sz="0" w:space="0" w:color="auto"/>
        <w:right w:val="none" w:sz="0" w:space="0" w:color="auto"/>
      </w:divBdr>
      <w:divsChild>
        <w:div w:id="52775795">
          <w:marLeft w:val="0"/>
          <w:marRight w:val="0"/>
          <w:marTop w:val="0"/>
          <w:marBottom w:val="0"/>
          <w:divBdr>
            <w:top w:val="none" w:sz="0" w:space="0" w:color="auto"/>
            <w:left w:val="none" w:sz="0" w:space="0" w:color="auto"/>
            <w:bottom w:val="none" w:sz="0" w:space="0" w:color="auto"/>
            <w:right w:val="none" w:sz="0" w:space="0" w:color="auto"/>
          </w:divBdr>
          <w:divsChild>
            <w:div w:id="448167491">
              <w:marLeft w:val="0"/>
              <w:marRight w:val="0"/>
              <w:marTop w:val="0"/>
              <w:marBottom w:val="0"/>
              <w:divBdr>
                <w:top w:val="none" w:sz="0" w:space="0" w:color="auto"/>
                <w:left w:val="none" w:sz="0" w:space="0" w:color="auto"/>
                <w:bottom w:val="none" w:sz="0" w:space="0" w:color="auto"/>
                <w:right w:val="none" w:sz="0" w:space="0" w:color="auto"/>
              </w:divBdr>
            </w:div>
          </w:divsChild>
        </w:div>
        <w:div w:id="537619317">
          <w:marLeft w:val="0"/>
          <w:marRight w:val="0"/>
          <w:marTop w:val="0"/>
          <w:marBottom w:val="0"/>
          <w:divBdr>
            <w:top w:val="none" w:sz="0" w:space="0" w:color="auto"/>
            <w:left w:val="none" w:sz="0" w:space="0" w:color="auto"/>
            <w:bottom w:val="none" w:sz="0" w:space="0" w:color="auto"/>
            <w:right w:val="none" w:sz="0" w:space="0" w:color="auto"/>
          </w:divBdr>
          <w:divsChild>
            <w:div w:id="8593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0727">
      <w:bodyDiv w:val="1"/>
      <w:marLeft w:val="0"/>
      <w:marRight w:val="0"/>
      <w:marTop w:val="0"/>
      <w:marBottom w:val="0"/>
      <w:divBdr>
        <w:top w:val="none" w:sz="0" w:space="0" w:color="auto"/>
        <w:left w:val="none" w:sz="0" w:space="0" w:color="auto"/>
        <w:bottom w:val="none" w:sz="0" w:space="0" w:color="auto"/>
        <w:right w:val="none" w:sz="0" w:space="0" w:color="auto"/>
      </w:divBdr>
      <w:divsChild>
        <w:div w:id="502092025">
          <w:marLeft w:val="0"/>
          <w:marRight w:val="0"/>
          <w:marTop w:val="0"/>
          <w:marBottom w:val="0"/>
          <w:divBdr>
            <w:top w:val="none" w:sz="0" w:space="0" w:color="auto"/>
            <w:left w:val="none" w:sz="0" w:space="0" w:color="auto"/>
            <w:bottom w:val="none" w:sz="0" w:space="0" w:color="auto"/>
            <w:right w:val="none" w:sz="0" w:space="0" w:color="auto"/>
          </w:divBdr>
          <w:divsChild>
            <w:div w:id="437414590">
              <w:marLeft w:val="0"/>
              <w:marRight w:val="0"/>
              <w:marTop w:val="0"/>
              <w:marBottom w:val="0"/>
              <w:divBdr>
                <w:top w:val="none" w:sz="0" w:space="0" w:color="auto"/>
                <w:left w:val="none" w:sz="0" w:space="0" w:color="auto"/>
                <w:bottom w:val="none" w:sz="0" w:space="0" w:color="auto"/>
                <w:right w:val="none" w:sz="0" w:space="0" w:color="auto"/>
              </w:divBdr>
            </w:div>
          </w:divsChild>
        </w:div>
        <w:div w:id="1171676400">
          <w:marLeft w:val="0"/>
          <w:marRight w:val="0"/>
          <w:marTop w:val="0"/>
          <w:marBottom w:val="0"/>
          <w:divBdr>
            <w:top w:val="none" w:sz="0" w:space="0" w:color="auto"/>
            <w:left w:val="none" w:sz="0" w:space="0" w:color="auto"/>
            <w:bottom w:val="none" w:sz="0" w:space="0" w:color="auto"/>
            <w:right w:val="none" w:sz="0" w:space="0" w:color="auto"/>
          </w:divBdr>
          <w:divsChild>
            <w:div w:id="2084642797">
              <w:marLeft w:val="0"/>
              <w:marRight w:val="0"/>
              <w:marTop w:val="0"/>
              <w:marBottom w:val="0"/>
              <w:divBdr>
                <w:top w:val="none" w:sz="0" w:space="0" w:color="auto"/>
                <w:left w:val="none" w:sz="0" w:space="0" w:color="auto"/>
                <w:bottom w:val="none" w:sz="0" w:space="0" w:color="auto"/>
                <w:right w:val="none" w:sz="0" w:space="0" w:color="auto"/>
              </w:divBdr>
            </w:div>
          </w:divsChild>
        </w:div>
        <w:div w:id="1863283780">
          <w:marLeft w:val="0"/>
          <w:marRight w:val="0"/>
          <w:marTop w:val="0"/>
          <w:marBottom w:val="0"/>
          <w:divBdr>
            <w:top w:val="none" w:sz="0" w:space="0" w:color="auto"/>
            <w:left w:val="none" w:sz="0" w:space="0" w:color="auto"/>
            <w:bottom w:val="none" w:sz="0" w:space="0" w:color="auto"/>
            <w:right w:val="none" w:sz="0" w:space="0" w:color="auto"/>
          </w:divBdr>
          <w:divsChild>
            <w:div w:id="13156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456">
      <w:bodyDiv w:val="1"/>
      <w:marLeft w:val="0"/>
      <w:marRight w:val="0"/>
      <w:marTop w:val="0"/>
      <w:marBottom w:val="0"/>
      <w:divBdr>
        <w:top w:val="none" w:sz="0" w:space="0" w:color="auto"/>
        <w:left w:val="none" w:sz="0" w:space="0" w:color="auto"/>
        <w:bottom w:val="none" w:sz="0" w:space="0" w:color="auto"/>
        <w:right w:val="none" w:sz="0" w:space="0" w:color="auto"/>
      </w:divBdr>
      <w:divsChild>
        <w:div w:id="1159420644">
          <w:marLeft w:val="0"/>
          <w:marRight w:val="0"/>
          <w:marTop w:val="0"/>
          <w:marBottom w:val="0"/>
          <w:divBdr>
            <w:top w:val="none" w:sz="0" w:space="0" w:color="auto"/>
            <w:left w:val="none" w:sz="0" w:space="0" w:color="auto"/>
            <w:bottom w:val="none" w:sz="0" w:space="0" w:color="auto"/>
            <w:right w:val="none" w:sz="0" w:space="0" w:color="auto"/>
          </w:divBdr>
          <w:divsChild>
            <w:div w:id="1004481341">
              <w:marLeft w:val="0"/>
              <w:marRight w:val="0"/>
              <w:marTop w:val="0"/>
              <w:marBottom w:val="0"/>
              <w:divBdr>
                <w:top w:val="none" w:sz="0" w:space="0" w:color="auto"/>
                <w:left w:val="none" w:sz="0" w:space="0" w:color="auto"/>
                <w:bottom w:val="none" w:sz="0" w:space="0" w:color="auto"/>
                <w:right w:val="none" w:sz="0" w:space="0" w:color="auto"/>
              </w:divBdr>
            </w:div>
          </w:divsChild>
        </w:div>
        <w:div w:id="1723559148">
          <w:marLeft w:val="0"/>
          <w:marRight w:val="0"/>
          <w:marTop w:val="0"/>
          <w:marBottom w:val="0"/>
          <w:divBdr>
            <w:top w:val="none" w:sz="0" w:space="0" w:color="auto"/>
            <w:left w:val="none" w:sz="0" w:space="0" w:color="auto"/>
            <w:bottom w:val="none" w:sz="0" w:space="0" w:color="auto"/>
            <w:right w:val="none" w:sz="0" w:space="0" w:color="auto"/>
          </w:divBdr>
          <w:divsChild>
            <w:div w:id="938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0236">
      <w:bodyDiv w:val="1"/>
      <w:marLeft w:val="0"/>
      <w:marRight w:val="0"/>
      <w:marTop w:val="0"/>
      <w:marBottom w:val="0"/>
      <w:divBdr>
        <w:top w:val="none" w:sz="0" w:space="0" w:color="auto"/>
        <w:left w:val="none" w:sz="0" w:space="0" w:color="auto"/>
        <w:bottom w:val="none" w:sz="0" w:space="0" w:color="auto"/>
        <w:right w:val="none" w:sz="0" w:space="0" w:color="auto"/>
      </w:divBdr>
      <w:divsChild>
        <w:div w:id="1923879411">
          <w:marLeft w:val="0"/>
          <w:marRight w:val="0"/>
          <w:marTop w:val="0"/>
          <w:marBottom w:val="0"/>
          <w:divBdr>
            <w:top w:val="none" w:sz="0" w:space="0" w:color="auto"/>
            <w:left w:val="none" w:sz="0" w:space="0" w:color="auto"/>
            <w:bottom w:val="none" w:sz="0" w:space="0" w:color="auto"/>
            <w:right w:val="none" w:sz="0" w:space="0" w:color="auto"/>
          </w:divBdr>
          <w:divsChild>
            <w:div w:id="2028560283">
              <w:marLeft w:val="0"/>
              <w:marRight w:val="0"/>
              <w:marTop w:val="0"/>
              <w:marBottom w:val="0"/>
              <w:divBdr>
                <w:top w:val="none" w:sz="0" w:space="0" w:color="auto"/>
                <w:left w:val="none" w:sz="0" w:space="0" w:color="auto"/>
                <w:bottom w:val="none" w:sz="0" w:space="0" w:color="auto"/>
                <w:right w:val="none" w:sz="0" w:space="0" w:color="auto"/>
              </w:divBdr>
            </w:div>
          </w:divsChild>
        </w:div>
        <w:div w:id="2099908018">
          <w:marLeft w:val="0"/>
          <w:marRight w:val="0"/>
          <w:marTop w:val="0"/>
          <w:marBottom w:val="0"/>
          <w:divBdr>
            <w:top w:val="none" w:sz="0" w:space="0" w:color="auto"/>
            <w:left w:val="none" w:sz="0" w:space="0" w:color="auto"/>
            <w:bottom w:val="none" w:sz="0" w:space="0" w:color="auto"/>
            <w:right w:val="none" w:sz="0" w:space="0" w:color="auto"/>
          </w:divBdr>
          <w:divsChild>
            <w:div w:id="3506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8418">
      <w:bodyDiv w:val="1"/>
      <w:marLeft w:val="0"/>
      <w:marRight w:val="0"/>
      <w:marTop w:val="0"/>
      <w:marBottom w:val="0"/>
      <w:divBdr>
        <w:top w:val="none" w:sz="0" w:space="0" w:color="auto"/>
        <w:left w:val="none" w:sz="0" w:space="0" w:color="auto"/>
        <w:bottom w:val="none" w:sz="0" w:space="0" w:color="auto"/>
        <w:right w:val="none" w:sz="0" w:space="0" w:color="auto"/>
      </w:divBdr>
    </w:div>
    <w:div w:id="356538812">
      <w:bodyDiv w:val="1"/>
      <w:marLeft w:val="0"/>
      <w:marRight w:val="0"/>
      <w:marTop w:val="0"/>
      <w:marBottom w:val="0"/>
      <w:divBdr>
        <w:top w:val="none" w:sz="0" w:space="0" w:color="auto"/>
        <w:left w:val="none" w:sz="0" w:space="0" w:color="auto"/>
        <w:bottom w:val="none" w:sz="0" w:space="0" w:color="auto"/>
        <w:right w:val="none" w:sz="0" w:space="0" w:color="auto"/>
      </w:divBdr>
      <w:divsChild>
        <w:div w:id="215163552">
          <w:marLeft w:val="0"/>
          <w:marRight w:val="0"/>
          <w:marTop w:val="0"/>
          <w:marBottom w:val="0"/>
          <w:divBdr>
            <w:top w:val="none" w:sz="0" w:space="0" w:color="auto"/>
            <w:left w:val="none" w:sz="0" w:space="0" w:color="auto"/>
            <w:bottom w:val="none" w:sz="0" w:space="0" w:color="auto"/>
            <w:right w:val="none" w:sz="0" w:space="0" w:color="auto"/>
          </w:divBdr>
        </w:div>
        <w:div w:id="1570655098">
          <w:marLeft w:val="0"/>
          <w:marRight w:val="0"/>
          <w:marTop w:val="0"/>
          <w:marBottom w:val="0"/>
          <w:divBdr>
            <w:top w:val="none" w:sz="0" w:space="0" w:color="auto"/>
            <w:left w:val="none" w:sz="0" w:space="0" w:color="auto"/>
            <w:bottom w:val="none" w:sz="0" w:space="0" w:color="auto"/>
            <w:right w:val="none" w:sz="0" w:space="0" w:color="auto"/>
          </w:divBdr>
        </w:div>
        <w:div w:id="2011831267">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0542261">
      <w:bodyDiv w:val="1"/>
      <w:marLeft w:val="0"/>
      <w:marRight w:val="0"/>
      <w:marTop w:val="0"/>
      <w:marBottom w:val="0"/>
      <w:divBdr>
        <w:top w:val="none" w:sz="0" w:space="0" w:color="auto"/>
        <w:left w:val="none" w:sz="0" w:space="0" w:color="auto"/>
        <w:bottom w:val="none" w:sz="0" w:space="0" w:color="auto"/>
        <w:right w:val="none" w:sz="0" w:space="0" w:color="auto"/>
      </w:divBdr>
      <w:divsChild>
        <w:div w:id="250623812">
          <w:marLeft w:val="0"/>
          <w:marRight w:val="0"/>
          <w:marTop w:val="0"/>
          <w:marBottom w:val="0"/>
          <w:divBdr>
            <w:top w:val="none" w:sz="0" w:space="0" w:color="auto"/>
            <w:left w:val="none" w:sz="0" w:space="0" w:color="auto"/>
            <w:bottom w:val="none" w:sz="0" w:space="0" w:color="auto"/>
            <w:right w:val="none" w:sz="0" w:space="0" w:color="auto"/>
          </w:divBdr>
          <w:divsChild>
            <w:div w:id="1564222250">
              <w:marLeft w:val="0"/>
              <w:marRight w:val="0"/>
              <w:marTop w:val="0"/>
              <w:marBottom w:val="0"/>
              <w:divBdr>
                <w:top w:val="none" w:sz="0" w:space="0" w:color="auto"/>
                <w:left w:val="none" w:sz="0" w:space="0" w:color="auto"/>
                <w:bottom w:val="none" w:sz="0" w:space="0" w:color="auto"/>
                <w:right w:val="none" w:sz="0" w:space="0" w:color="auto"/>
              </w:divBdr>
            </w:div>
          </w:divsChild>
        </w:div>
        <w:div w:id="802431759">
          <w:marLeft w:val="0"/>
          <w:marRight w:val="0"/>
          <w:marTop w:val="0"/>
          <w:marBottom w:val="0"/>
          <w:divBdr>
            <w:top w:val="none" w:sz="0" w:space="0" w:color="auto"/>
            <w:left w:val="none" w:sz="0" w:space="0" w:color="auto"/>
            <w:bottom w:val="none" w:sz="0" w:space="0" w:color="auto"/>
            <w:right w:val="none" w:sz="0" w:space="0" w:color="auto"/>
          </w:divBdr>
          <w:divsChild>
            <w:div w:id="11860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2659">
      <w:bodyDiv w:val="1"/>
      <w:marLeft w:val="0"/>
      <w:marRight w:val="0"/>
      <w:marTop w:val="0"/>
      <w:marBottom w:val="0"/>
      <w:divBdr>
        <w:top w:val="none" w:sz="0" w:space="0" w:color="auto"/>
        <w:left w:val="none" w:sz="0" w:space="0" w:color="auto"/>
        <w:bottom w:val="none" w:sz="0" w:space="0" w:color="auto"/>
        <w:right w:val="none" w:sz="0" w:space="0" w:color="auto"/>
      </w:divBdr>
      <w:divsChild>
        <w:div w:id="164632844">
          <w:marLeft w:val="0"/>
          <w:marRight w:val="0"/>
          <w:marTop w:val="0"/>
          <w:marBottom w:val="0"/>
          <w:divBdr>
            <w:top w:val="none" w:sz="0" w:space="0" w:color="auto"/>
            <w:left w:val="none" w:sz="0" w:space="0" w:color="auto"/>
            <w:bottom w:val="none" w:sz="0" w:space="0" w:color="auto"/>
            <w:right w:val="none" w:sz="0" w:space="0" w:color="auto"/>
          </w:divBdr>
          <w:divsChild>
            <w:div w:id="2141217175">
              <w:marLeft w:val="0"/>
              <w:marRight w:val="0"/>
              <w:marTop w:val="0"/>
              <w:marBottom w:val="0"/>
              <w:divBdr>
                <w:top w:val="none" w:sz="0" w:space="0" w:color="auto"/>
                <w:left w:val="none" w:sz="0" w:space="0" w:color="auto"/>
                <w:bottom w:val="none" w:sz="0" w:space="0" w:color="auto"/>
                <w:right w:val="none" w:sz="0" w:space="0" w:color="auto"/>
              </w:divBdr>
            </w:div>
          </w:divsChild>
        </w:div>
        <w:div w:id="594243565">
          <w:marLeft w:val="0"/>
          <w:marRight w:val="0"/>
          <w:marTop w:val="0"/>
          <w:marBottom w:val="0"/>
          <w:divBdr>
            <w:top w:val="none" w:sz="0" w:space="0" w:color="auto"/>
            <w:left w:val="none" w:sz="0" w:space="0" w:color="auto"/>
            <w:bottom w:val="none" w:sz="0" w:space="0" w:color="auto"/>
            <w:right w:val="none" w:sz="0" w:space="0" w:color="auto"/>
          </w:divBdr>
          <w:divsChild>
            <w:div w:id="347490223">
              <w:marLeft w:val="0"/>
              <w:marRight w:val="0"/>
              <w:marTop w:val="0"/>
              <w:marBottom w:val="0"/>
              <w:divBdr>
                <w:top w:val="none" w:sz="0" w:space="0" w:color="auto"/>
                <w:left w:val="none" w:sz="0" w:space="0" w:color="auto"/>
                <w:bottom w:val="none" w:sz="0" w:space="0" w:color="auto"/>
                <w:right w:val="none" w:sz="0" w:space="0" w:color="auto"/>
              </w:divBdr>
            </w:div>
          </w:divsChild>
        </w:div>
        <w:div w:id="2121685629">
          <w:marLeft w:val="0"/>
          <w:marRight w:val="0"/>
          <w:marTop w:val="0"/>
          <w:marBottom w:val="0"/>
          <w:divBdr>
            <w:top w:val="none" w:sz="0" w:space="0" w:color="auto"/>
            <w:left w:val="none" w:sz="0" w:space="0" w:color="auto"/>
            <w:bottom w:val="none" w:sz="0" w:space="0" w:color="auto"/>
            <w:right w:val="none" w:sz="0" w:space="0" w:color="auto"/>
          </w:divBdr>
          <w:divsChild>
            <w:div w:id="20233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7407644">
      <w:bodyDiv w:val="1"/>
      <w:marLeft w:val="0"/>
      <w:marRight w:val="0"/>
      <w:marTop w:val="0"/>
      <w:marBottom w:val="0"/>
      <w:divBdr>
        <w:top w:val="none" w:sz="0" w:space="0" w:color="auto"/>
        <w:left w:val="none" w:sz="0" w:space="0" w:color="auto"/>
        <w:bottom w:val="none" w:sz="0" w:space="0" w:color="auto"/>
        <w:right w:val="none" w:sz="0" w:space="0" w:color="auto"/>
      </w:divBdr>
      <w:divsChild>
        <w:div w:id="553587056">
          <w:marLeft w:val="0"/>
          <w:marRight w:val="0"/>
          <w:marTop w:val="0"/>
          <w:marBottom w:val="0"/>
          <w:divBdr>
            <w:top w:val="none" w:sz="0" w:space="0" w:color="auto"/>
            <w:left w:val="none" w:sz="0" w:space="0" w:color="auto"/>
            <w:bottom w:val="none" w:sz="0" w:space="0" w:color="auto"/>
            <w:right w:val="none" w:sz="0" w:space="0" w:color="auto"/>
          </w:divBdr>
          <w:divsChild>
            <w:div w:id="1581989756">
              <w:marLeft w:val="0"/>
              <w:marRight w:val="0"/>
              <w:marTop w:val="0"/>
              <w:marBottom w:val="0"/>
              <w:divBdr>
                <w:top w:val="none" w:sz="0" w:space="0" w:color="auto"/>
                <w:left w:val="none" w:sz="0" w:space="0" w:color="auto"/>
                <w:bottom w:val="none" w:sz="0" w:space="0" w:color="auto"/>
                <w:right w:val="none" w:sz="0" w:space="0" w:color="auto"/>
              </w:divBdr>
            </w:div>
          </w:divsChild>
        </w:div>
        <w:div w:id="1241407839">
          <w:marLeft w:val="0"/>
          <w:marRight w:val="0"/>
          <w:marTop w:val="0"/>
          <w:marBottom w:val="0"/>
          <w:divBdr>
            <w:top w:val="none" w:sz="0" w:space="0" w:color="auto"/>
            <w:left w:val="none" w:sz="0" w:space="0" w:color="auto"/>
            <w:bottom w:val="none" w:sz="0" w:space="0" w:color="auto"/>
            <w:right w:val="none" w:sz="0" w:space="0" w:color="auto"/>
          </w:divBdr>
          <w:divsChild>
            <w:div w:id="2602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1521">
      <w:bodyDiv w:val="1"/>
      <w:marLeft w:val="0"/>
      <w:marRight w:val="0"/>
      <w:marTop w:val="0"/>
      <w:marBottom w:val="0"/>
      <w:divBdr>
        <w:top w:val="none" w:sz="0" w:space="0" w:color="auto"/>
        <w:left w:val="none" w:sz="0" w:space="0" w:color="auto"/>
        <w:bottom w:val="none" w:sz="0" w:space="0" w:color="auto"/>
        <w:right w:val="none" w:sz="0" w:space="0" w:color="auto"/>
      </w:divBdr>
      <w:divsChild>
        <w:div w:id="36778827">
          <w:marLeft w:val="0"/>
          <w:marRight w:val="0"/>
          <w:marTop w:val="0"/>
          <w:marBottom w:val="0"/>
          <w:divBdr>
            <w:top w:val="none" w:sz="0" w:space="0" w:color="auto"/>
            <w:left w:val="none" w:sz="0" w:space="0" w:color="auto"/>
            <w:bottom w:val="none" w:sz="0" w:space="0" w:color="auto"/>
            <w:right w:val="none" w:sz="0" w:space="0" w:color="auto"/>
          </w:divBdr>
        </w:div>
        <w:div w:id="1633713462">
          <w:marLeft w:val="0"/>
          <w:marRight w:val="0"/>
          <w:marTop w:val="0"/>
          <w:marBottom w:val="0"/>
          <w:divBdr>
            <w:top w:val="none" w:sz="0" w:space="0" w:color="auto"/>
            <w:left w:val="none" w:sz="0" w:space="0" w:color="auto"/>
            <w:bottom w:val="none" w:sz="0" w:space="0" w:color="auto"/>
            <w:right w:val="none" w:sz="0" w:space="0" w:color="auto"/>
          </w:divBdr>
        </w:div>
        <w:div w:id="1996105197">
          <w:marLeft w:val="0"/>
          <w:marRight w:val="0"/>
          <w:marTop w:val="0"/>
          <w:marBottom w:val="0"/>
          <w:divBdr>
            <w:top w:val="none" w:sz="0" w:space="0" w:color="auto"/>
            <w:left w:val="none" w:sz="0" w:space="0" w:color="auto"/>
            <w:bottom w:val="none" w:sz="0" w:space="0" w:color="auto"/>
            <w:right w:val="none" w:sz="0" w:space="0" w:color="auto"/>
          </w:divBdr>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7043287">
      <w:bodyDiv w:val="1"/>
      <w:marLeft w:val="0"/>
      <w:marRight w:val="0"/>
      <w:marTop w:val="0"/>
      <w:marBottom w:val="0"/>
      <w:divBdr>
        <w:top w:val="none" w:sz="0" w:space="0" w:color="auto"/>
        <w:left w:val="none" w:sz="0" w:space="0" w:color="auto"/>
        <w:bottom w:val="none" w:sz="0" w:space="0" w:color="auto"/>
        <w:right w:val="none" w:sz="0" w:space="0" w:color="auto"/>
      </w:divBdr>
    </w:div>
    <w:div w:id="538126412">
      <w:bodyDiv w:val="1"/>
      <w:marLeft w:val="0"/>
      <w:marRight w:val="0"/>
      <w:marTop w:val="0"/>
      <w:marBottom w:val="0"/>
      <w:divBdr>
        <w:top w:val="none" w:sz="0" w:space="0" w:color="auto"/>
        <w:left w:val="none" w:sz="0" w:space="0" w:color="auto"/>
        <w:bottom w:val="none" w:sz="0" w:space="0" w:color="auto"/>
        <w:right w:val="none" w:sz="0" w:space="0" w:color="auto"/>
      </w:divBdr>
      <w:divsChild>
        <w:div w:id="1885871457">
          <w:marLeft w:val="0"/>
          <w:marRight w:val="0"/>
          <w:marTop w:val="0"/>
          <w:marBottom w:val="0"/>
          <w:divBdr>
            <w:top w:val="none" w:sz="0" w:space="0" w:color="auto"/>
            <w:left w:val="none" w:sz="0" w:space="0" w:color="auto"/>
            <w:bottom w:val="none" w:sz="0" w:space="0" w:color="auto"/>
            <w:right w:val="none" w:sz="0" w:space="0" w:color="auto"/>
          </w:divBdr>
          <w:divsChild>
            <w:div w:id="84688883">
              <w:marLeft w:val="0"/>
              <w:marRight w:val="0"/>
              <w:marTop w:val="0"/>
              <w:marBottom w:val="0"/>
              <w:divBdr>
                <w:top w:val="none" w:sz="0" w:space="0" w:color="auto"/>
                <w:left w:val="none" w:sz="0" w:space="0" w:color="auto"/>
                <w:bottom w:val="none" w:sz="0" w:space="0" w:color="auto"/>
                <w:right w:val="none" w:sz="0" w:space="0" w:color="auto"/>
              </w:divBdr>
            </w:div>
          </w:divsChild>
        </w:div>
        <w:div w:id="2000384969">
          <w:marLeft w:val="0"/>
          <w:marRight w:val="0"/>
          <w:marTop w:val="0"/>
          <w:marBottom w:val="0"/>
          <w:divBdr>
            <w:top w:val="none" w:sz="0" w:space="0" w:color="auto"/>
            <w:left w:val="none" w:sz="0" w:space="0" w:color="auto"/>
            <w:bottom w:val="none" w:sz="0" w:space="0" w:color="auto"/>
            <w:right w:val="none" w:sz="0" w:space="0" w:color="auto"/>
          </w:divBdr>
          <w:divsChild>
            <w:div w:id="1340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6587">
      <w:bodyDiv w:val="1"/>
      <w:marLeft w:val="0"/>
      <w:marRight w:val="0"/>
      <w:marTop w:val="0"/>
      <w:marBottom w:val="0"/>
      <w:divBdr>
        <w:top w:val="none" w:sz="0" w:space="0" w:color="auto"/>
        <w:left w:val="none" w:sz="0" w:space="0" w:color="auto"/>
        <w:bottom w:val="none" w:sz="0" w:space="0" w:color="auto"/>
        <w:right w:val="none" w:sz="0" w:space="0" w:color="auto"/>
      </w:divBdr>
    </w:div>
    <w:div w:id="561644322">
      <w:bodyDiv w:val="1"/>
      <w:marLeft w:val="0"/>
      <w:marRight w:val="0"/>
      <w:marTop w:val="0"/>
      <w:marBottom w:val="0"/>
      <w:divBdr>
        <w:top w:val="none" w:sz="0" w:space="0" w:color="auto"/>
        <w:left w:val="none" w:sz="0" w:space="0" w:color="auto"/>
        <w:bottom w:val="none" w:sz="0" w:space="0" w:color="auto"/>
        <w:right w:val="none" w:sz="0" w:space="0" w:color="auto"/>
      </w:divBdr>
      <w:divsChild>
        <w:div w:id="891187742">
          <w:marLeft w:val="0"/>
          <w:marRight w:val="0"/>
          <w:marTop w:val="0"/>
          <w:marBottom w:val="0"/>
          <w:divBdr>
            <w:top w:val="none" w:sz="0" w:space="0" w:color="auto"/>
            <w:left w:val="none" w:sz="0" w:space="0" w:color="auto"/>
            <w:bottom w:val="none" w:sz="0" w:space="0" w:color="auto"/>
            <w:right w:val="none" w:sz="0" w:space="0" w:color="auto"/>
          </w:divBdr>
          <w:divsChild>
            <w:div w:id="1661038244">
              <w:marLeft w:val="0"/>
              <w:marRight w:val="0"/>
              <w:marTop w:val="0"/>
              <w:marBottom w:val="0"/>
              <w:divBdr>
                <w:top w:val="none" w:sz="0" w:space="0" w:color="auto"/>
                <w:left w:val="none" w:sz="0" w:space="0" w:color="auto"/>
                <w:bottom w:val="none" w:sz="0" w:space="0" w:color="auto"/>
                <w:right w:val="none" w:sz="0" w:space="0" w:color="auto"/>
              </w:divBdr>
            </w:div>
          </w:divsChild>
        </w:div>
        <w:div w:id="1197159530">
          <w:marLeft w:val="0"/>
          <w:marRight w:val="0"/>
          <w:marTop w:val="0"/>
          <w:marBottom w:val="0"/>
          <w:divBdr>
            <w:top w:val="none" w:sz="0" w:space="0" w:color="auto"/>
            <w:left w:val="none" w:sz="0" w:space="0" w:color="auto"/>
            <w:bottom w:val="none" w:sz="0" w:space="0" w:color="auto"/>
            <w:right w:val="none" w:sz="0" w:space="0" w:color="auto"/>
          </w:divBdr>
          <w:divsChild>
            <w:div w:id="1678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6312">
      <w:bodyDiv w:val="1"/>
      <w:marLeft w:val="0"/>
      <w:marRight w:val="0"/>
      <w:marTop w:val="0"/>
      <w:marBottom w:val="0"/>
      <w:divBdr>
        <w:top w:val="none" w:sz="0" w:space="0" w:color="auto"/>
        <w:left w:val="none" w:sz="0" w:space="0" w:color="auto"/>
        <w:bottom w:val="none" w:sz="0" w:space="0" w:color="auto"/>
        <w:right w:val="none" w:sz="0" w:space="0" w:color="auto"/>
      </w:divBdr>
    </w:div>
    <w:div w:id="601109943">
      <w:bodyDiv w:val="1"/>
      <w:marLeft w:val="0"/>
      <w:marRight w:val="0"/>
      <w:marTop w:val="0"/>
      <w:marBottom w:val="0"/>
      <w:divBdr>
        <w:top w:val="none" w:sz="0" w:space="0" w:color="auto"/>
        <w:left w:val="none" w:sz="0" w:space="0" w:color="auto"/>
        <w:bottom w:val="none" w:sz="0" w:space="0" w:color="auto"/>
        <w:right w:val="none" w:sz="0" w:space="0" w:color="auto"/>
      </w:divBdr>
    </w:div>
    <w:div w:id="616182222">
      <w:bodyDiv w:val="1"/>
      <w:marLeft w:val="0"/>
      <w:marRight w:val="0"/>
      <w:marTop w:val="0"/>
      <w:marBottom w:val="0"/>
      <w:divBdr>
        <w:top w:val="none" w:sz="0" w:space="0" w:color="auto"/>
        <w:left w:val="none" w:sz="0" w:space="0" w:color="auto"/>
        <w:bottom w:val="none" w:sz="0" w:space="0" w:color="auto"/>
        <w:right w:val="none" w:sz="0" w:space="0" w:color="auto"/>
      </w:divBdr>
      <w:divsChild>
        <w:div w:id="96410938">
          <w:marLeft w:val="0"/>
          <w:marRight w:val="0"/>
          <w:marTop w:val="0"/>
          <w:marBottom w:val="0"/>
          <w:divBdr>
            <w:top w:val="none" w:sz="0" w:space="0" w:color="auto"/>
            <w:left w:val="none" w:sz="0" w:space="0" w:color="auto"/>
            <w:bottom w:val="none" w:sz="0" w:space="0" w:color="auto"/>
            <w:right w:val="none" w:sz="0" w:space="0" w:color="auto"/>
          </w:divBdr>
          <w:divsChild>
            <w:div w:id="919020600">
              <w:marLeft w:val="0"/>
              <w:marRight w:val="0"/>
              <w:marTop w:val="0"/>
              <w:marBottom w:val="0"/>
              <w:divBdr>
                <w:top w:val="none" w:sz="0" w:space="0" w:color="auto"/>
                <w:left w:val="none" w:sz="0" w:space="0" w:color="auto"/>
                <w:bottom w:val="none" w:sz="0" w:space="0" w:color="auto"/>
                <w:right w:val="none" w:sz="0" w:space="0" w:color="auto"/>
              </w:divBdr>
              <w:divsChild>
                <w:div w:id="8089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37">
          <w:marLeft w:val="0"/>
          <w:marRight w:val="0"/>
          <w:marTop w:val="0"/>
          <w:marBottom w:val="0"/>
          <w:divBdr>
            <w:top w:val="none" w:sz="0" w:space="0" w:color="auto"/>
            <w:left w:val="none" w:sz="0" w:space="0" w:color="auto"/>
            <w:bottom w:val="none" w:sz="0" w:space="0" w:color="auto"/>
            <w:right w:val="none" w:sz="0" w:space="0" w:color="auto"/>
          </w:divBdr>
          <w:divsChild>
            <w:div w:id="1479835607">
              <w:marLeft w:val="0"/>
              <w:marRight w:val="0"/>
              <w:marTop w:val="0"/>
              <w:marBottom w:val="0"/>
              <w:divBdr>
                <w:top w:val="none" w:sz="0" w:space="0" w:color="auto"/>
                <w:left w:val="none" w:sz="0" w:space="0" w:color="auto"/>
                <w:bottom w:val="none" w:sz="0" w:space="0" w:color="auto"/>
                <w:right w:val="none" w:sz="0" w:space="0" w:color="auto"/>
              </w:divBdr>
              <w:divsChild>
                <w:div w:id="21059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664">
          <w:marLeft w:val="0"/>
          <w:marRight w:val="0"/>
          <w:marTop w:val="0"/>
          <w:marBottom w:val="0"/>
          <w:divBdr>
            <w:top w:val="none" w:sz="0" w:space="0" w:color="auto"/>
            <w:left w:val="none" w:sz="0" w:space="0" w:color="auto"/>
            <w:bottom w:val="none" w:sz="0" w:space="0" w:color="auto"/>
            <w:right w:val="none" w:sz="0" w:space="0" w:color="auto"/>
          </w:divBdr>
          <w:divsChild>
            <w:div w:id="277564979">
              <w:marLeft w:val="0"/>
              <w:marRight w:val="0"/>
              <w:marTop w:val="0"/>
              <w:marBottom w:val="0"/>
              <w:divBdr>
                <w:top w:val="none" w:sz="0" w:space="0" w:color="auto"/>
                <w:left w:val="none" w:sz="0" w:space="0" w:color="auto"/>
                <w:bottom w:val="none" w:sz="0" w:space="0" w:color="auto"/>
                <w:right w:val="none" w:sz="0" w:space="0" w:color="auto"/>
              </w:divBdr>
              <w:divsChild>
                <w:div w:id="6437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4729">
          <w:marLeft w:val="0"/>
          <w:marRight w:val="0"/>
          <w:marTop w:val="0"/>
          <w:marBottom w:val="0"/>
          <w:divBdr>
            <w:top w:val="none" w:sz="0" w:space="0" w:color="auto"/>
            <w:left w:val="none" w:sz="0" w:space="0" w:color="auto"/>
            <w:bottom w:val="none" w:sz="0" w:space="0" w:color="auto"/>
            <w:right w:val="none" w:sz="0" w:space="0" w:color="auto"/>
          </w:divBdr>
          <w:divsChild>
            <w:div w:id="1485976677">
              <w:marLeft w:val="0"/>
              <w:marRight w:val="0"/>
              <w:marTop w:val="0"/>
              <w:marBottom w:val="0"/>
              <w:divBdr>
                <w:top w:val="none" w:sz="0" w:space="0" w:color="auto"/>
                <w:left w:val="none" w:sz="0" w:space="0" w:color="auto"/>
                <w:bottom w:val="none" w:sz="0" w:space="0" w:color="auto"/>
                <w:right w:val="none" w:sz="0" w:space="0" w:color="auto"/>
              </w:divBdr>
              <w:divsChild>
                <w:div w:id="19226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1759">
          <w:marLeft w:val="0"/>
          <w:marRight w:val="0"/>
          <w:marTop w:val="0"/>
          <w:marBottom w:val="0"/>
          <w:divBdr>
            <w:top w:val="none" w:sz="0" w:space="0" w:color="auto"/>
            <w:left w:val="none" w:sz="0" w:space="0" w:color="auto"/>
            <w:bottom w:val="none" w:sz="0" w:space="0" w:color="auto"/>
            <w:right w:val="none" w:sz="0" w:space="0" w:color="auto"/>
          </w:divBdr>
          <w:divsChild>
            <w:div w:id="148061719">
              <w:marLeft w:val="0"/>
              <w:marRight w:val="0"/>
              <w:marTop w:val="0"/>
              <w:marBottom w:val="0"/>
              <w:divBdr>
                <w:top w:val="none" w:sz="0" w:space="0" w:color="auto"/>
                <w:left w:val="none" w:sz="0" w:space="0" w:color="auto"/>
                <w:bottom w:val="none" w:sz="0" w:space="0" w:color="auto"/>
                <w:right w:val="none" w:sz="0" w:space="0" w:color="auto"/>
              </w:divBdr>
              <w:divsChild>
                <w:div w:id="19920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2957">
          <w:marLeft w:val="0"/>
          <w:marRight w:val="0"/>
          <w:marTop w:val="0"/>
          <w:marBottom w:val="0"/>
          <w:divBdr>
            <w:top w:val="none" w:sz="0" w:space="0" w:color="auto"/>
            <w:left w:val="none" w:sz="0" w:space="0" w:color="auto"/>
            <w:bottom w:val="none" w:sz="0" w:space="0" w:color="auto"/>
            <w:right w:val="none" w:sz="0" w:space="0" w:color="auto"/>
          </w:divBdr>
          <w:divsChild>
            <w:div w:id="405224116">
              <w:marLeft w:val="0"/>
              <w:marRight w:val="0"/>
              <w:marTop w:val="0"/>
              <w:marBottom w:val="0"/>
              <w:divBdr>
                <w:top w:val="none" w:sz="0" w:space="0" w:color="auto"/>
                <w:left w:val="none" w:sz="0" w:space="0" w:color="auto"/>
                <w:bottom w:val="none" w:sz="0" w:space="0" w:color="auto"/>
                <w:right w:val="none" w:sz="0" w:space="0" w:color="auto"/>
              </w:divBdr>
              <w:divsChild>
                <w:div w:id="9132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7010">
          <w:marLeft w:val="0"/>
          <w:marRight w:val="0"/>
          <w:marTop w:val="0"/>
          <w:marBottom w:val="0"/>
          <w:divBdr>
            <w:top w:val="none" w:sz="0" w:space="0" w:color="auto"/>
            <w:left w:val="none" w:sz="0" w:space="0" w:color="auto"/>
            <w:bottom w:val="none" w:sz="0" w:space="0" w:color="auto"/>
            <w:right w:val="none" w:sz="0" w:space="0" w:color="auto"/>
          </w:divBdr>
          <w:divsChild>
            <w:div w:id="1382749533">
              <w:marLeft w:val="0"/>
              <w:marRight w:val="0"/>
              <w:marTop w:val="0"/>
              <w:marBottom w:val="0"/>
              <w:divBdr>
                <w:top w:val="none" w:sz="0" w:space="0" w:color="auto"/>
                <w:left w:val="none" w:sz="0" w:space="0" w:color="auto"/>
                <w:bottom w:val="none" w:sz="0" w:space="0" w:color="auto"/>
                <w:right w:val="none" w:sz="0" w:space="0" w:color="auto"/>
              </w:divBdr>
              <w:divsChild>
                <w:div w:id="18094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20506">
          <w:marLeft w:val="0"/>
          <w:marRight w:val="0"/>
          <w:marTop w:val="0"/>
          <w:marBottom w:val="0"/>
          <w:divBdr>
            <w:top w:val="none" w:sz="0" w:space="0" w:color="auto"/>
            <w:left w:val="none" w:sz="0" w:space="0" w:color="auto"/>
            <w:bottom w:val="none" w:sz="0" w:space="0" w:color="auto"/>
            <w:right w:val="none" w:sz="0" w:space="0" w:color="auto"/>
          </w:divBdr>
          <w:divsChild>
            <w:div w:id="2029021783">
              <w:marLeft w:val="0"/>
              <w:marRight w:val="0"/>
              <w:marTop w:val="0"/>
              <w:marBottom w:val="0"/>
              <w:divBdr>
                <w:top w:val="none" w:sz="0" w:space="0" w:color="auto"/>
                <w:left w:val="none" w:sz="0" w:space="0" w:color="auto"/>
                <w:bottom w:val="none" w:sz="0" w:space="0" w:color="auto"/>
                <w:right w:val="none" w:sz="0" w:space="0" w:color="auto"/>
              </w:divBdr>
              <w:divsChild>
                <w:div w:id="7598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7644">
          <w:marLeft w:val="0"/>
          <w:marRight w:val="0"/>
          <w:marTop w:val="0"/>
          <w:marBottom w:val="0"/>
          <w:divBdr>
            <w:top w:val="none" w:sz="0" w:space="0" w:color="auto"/>
            <w:left w:val="none" w:sz="0" w:space="0" w:color="auto"/>
            <w:bottom w:val="none" w:sz="0" w:space="0" w:color="auto"/>
            <w:right w:val="none" w:sz="0" w:space="0" w:color="auto"/>
          </w:divBdr>
          <w:divsChild>
            <w:div w:id="1848597648">
              <w:marLeft w:val="0"/>
              <w:marRight w:val="0"/>
              <w:marTop w:val="0"/>
              <w:marBottom w:val="0"/>
              <w:divBdr>
                <w:top w:val="none" w:sz="0" w:space="0" w:color="auto"/>
                <w:left w:val="none" w:sz="0" w:space="0" w:color="auto"/>
                <w:bottom w:val="none" w:sz="0" w:space="0" w:color="auto"/>
                <w:right w:val="none" w:sz="0" w:space="0" w:color="auto"/>
              </w:divBdr>
              <w:divsChild>
                <w:div w:id="1823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148">
          <w:marLeft w:val="0"/>
          <w:marRight w:val="0"/>
          <w:marTop w:val="0"/>
          <w:marBottom w:val="0"/>
          <w:divBdr>
            <w:top w:val="none" w:sz="0" w:space="0" w:color="auto"/>
            <w:left w:val="none" w:sz="0" w:space="0" w:color="auto"/>
            <w:bottom w:val="none" w:sz="0" w:space="0" w:color="auto"/>
            <w:right w:val="none" w:sz="0" w:space="0" w:color="auto"/>
          </w:divBdr>
          <w:divsChild>
            <w:div w:id="1233736361">
              <w:marLeft w:val="0"/>
              <w:marRight w:val="0"/>
              <w:marTop w:val="0"/>
              <w:marBottom w:val="0"/>
              <w:divBdr>
                <w:top w:val="none" w:sz="0" w:space="0" w:color="auto"/>
                <w:left w:val="none" w:sz="0" w:space="0" w:color="auto"/>
                <w:bottom w:val="none" w:sz="0" w:space="0" w:color="auto"/>
                <w:right w:val="none" w:sz="0" w:space="0" w:color="auto"/>
              </w:divBdr>
              <w:divsChild>
                <w:div w:id="1751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1888">
          <w:marLeft w:val="0"/>
          <w:marRight w:val="0"/>
          <w:marTop w:val="0"/>
          <w:marBottom w:val="0"/>
          <w:divBdr>
            <w:top w:val="none" w:sz="0" w:space="0" w:color="auto"/>
            <w:left w:val="none" w:sz="0" w:space="0" w:color="auto"/>
            <w:bottom w:val="none" w:sz="0" w:space="0" w:color="auto"/>
            <w:right w:val="none" w:sz="0" w:space="0" w:color="auto"/>
          </w:divBdr>
          <w:divsChild>
            <w:div w:id="853883482">
              <w:marLeft w:val="0"/>
              <w:marRight w:val="0"/>
              <w:marTop w:val="0"/>
              <w:marBottom w:val="0"/>
              <w:divBdr>
                <w:top w:val="none" w:sz="0" w:space="0" w:color="auto"/>
                <w:left w:val="none" w:sz="0" w:space="0" w:color="auto"/>
                <w:bottom w:val="none" w:sz="0" w:space="0" w:color="auto"/>
                <w:right w:val="none" w:sz="0" w:space="0" w:color="auto"/>
              </w:divBdr>
              <w:divsChild>
                <w:div w:id="333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9119">
          <w:marLeft w:val="0"/>
          <w:marRight w:val="0"/>
          <w:marTop w:val="0"/>
          <w:marBottom w:val="0"/>
          <w:divBdr>
            <w:top w:val="none" w:sz="0" w:space="0" w:color="auto"/>
            <w:left w:val="none" w:sz="0" w:space="0" w:color="auto"/>
            <w:bottom w:val="none" w:sz="0" w:space="0" w:color="auto"/>
            <w:right w:val="none" w:sz="0" w:space="0" w:color="auto"/>
          </w:divBdr>
          <w:divsChild>
            <w:div w:id="1314602894">
              <w:marLeft w:val="0"/>
              <w:marRight w:val="0"/>
              <w:marTop w:val="0"/>
              <w:marBottom w:val="0"/>
              <w:divBdr>
                <w:top w:val="none" w:sz="0" w:space="0" w:color="auto"/>
                <w:left w:val="none" w:sz="0" w:space="0" w:color="auto"/>
                <w:bottom w:val="none" w:sz="0" w:space="0" w:color="auto"/>
                <w:right w:val="none" w:sz="0" w:space="0" w:color="auto"/>
              </w:divBdr>
              <w:divsChild>
                <w:div w:id="18947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7028">
          <w:marLeft w:val="0"/>
          <w:marRight w:val="0"/>
          <w:marTop w:val="0"/>
          <w:marBottom w:val="0"/>
          <w:divBdr>
            <w:top w:val="none" w:sz="0" w:space="0" w:color="auto"/>
            <w:left w:val="none" w:sz="0" w:space="0" w:color="auto"/>
            <w:bottom w:val="none" w:sz="0" w:space="0" w:color="auto"/>
            <w:right w:val="none" w:sz="0" w:space="0" w:color="auto"/>
          </w:divBdr>
          <w:divsChild>
            <w:div w:id="1004629445">
              <w:marLeft w:val="0"/>
              <w:marRight w:val="0"/>
              <w:marTop w:val="0"/>
              <w:marBottom w:val="0"/>
              <w:divBdr>
                <w:top w:val="none" w:sz="0" w:space="0" w:color="auto"/>
                <w:left w:val="none" w:sz="0" w:space="0" w:color="auto"/>
                <w:bottom w:val="none" w:sz="0" w:space="0" w:color="auto"/>
                <w:right w:val="none" w:sz="0" w:space="0" w:color="auto"/>
              </w:divBdr>
              <w:divsChild>
                <w:div w:id="13895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8857">
          <w:marLeft w:val="0"/>
          <w:marRight w:val="0"/>
          <w:marTop w:val="0"/>
          <w:marBottom w:val="0"/>
          <w:divBdr>
            <w:top w:val="none" w:sz="0" w:space="0" w:color="auto"/>
            <w:left w:val="none" w:sz="0" w:space="0" w:color="auto"/>
            <w:bottom w:val="none" w:sz="0" w:space="0" w:color="auto"/>
            <w:right w:val="none" w:sz="0" w:space="0" w:color="auto"/>
          </w:divBdr>
          <w:divsChild>
            <w:div w:id="1393769581">
              <w:marLeft w:val="0"/>
              <w:marRight w:val="0"/>
              <w:marTop w:val="0"/>
              <w:marBottom w:val="0"/>
              <w:divBdr>
                <w:top w:val="none" w:sz="0" w:space="0" w:color="auto"/>
                <w:left w:val="none" w:sz="0" w:space="0" w:color="auto"/>
                <w:bottom w:val="none" w:sz="0" w:space="0" w:color="auto"/>
                <w:right w:val="none" w:sz="0" w:space="0" w:color="auto"/>
              </w:divBdr>
              <w:divsChild>
                <w:div w:id="8534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4320">
          <w:marLeft w:val="0"/>
          <w:marRight w:val="0"/>
          <w:marTop w:val="0"/>
          <w:marBottom w:val="0"/>
          <w:divBdr>
            <w:top w:val="none" w:sz="0" w:space="0" w:color="auto"/>
            <w:left w:val="none" w:sz="0" w:space="0" w:color="auto"/>
            <w:bottom w:val="none" w:sz="0" w:space="0" w:color="auto"/>
            <w:right w:val="none" w:sz="0" w:space="0" w:color="auto"/>
          </w:divBdr>
          <w:divsChild>
            <w:div w:id="589969567">
              <w:marLeft w:val="0"/>
              <w:marRight w:val="0"/>
              <w:marTop w:val="0"/>
              <w:marBottom w:val="0"/>
              <w:divBdr>
                <w:top w:val="none" w:sz="0" w:space="0" w:color="auto"/>
                <w:left w:val="none" w:sz="0" w:space="0" w:color="auto"/>
                <w:bottom w:val="none" w:sz="0" w:space="0" w:color="auto"/>
                <w:right w:val="none" w:sz="0" w:space="0" w:color="auto"/>
              </w:divBdr>
              <w:divsChild>
                <w:div w:id="960653700">
                  <w:marLeft w:val="0"/>
                  <w:marRight w:val="0"/>
                  <w:marTop w:val="0"/>
                  <w:marBottom w:val="0"/>
                  <w:divBdr>
                    <w:top w:val="none" w:sz="0" w:space="0" w:color="auto"/>
                    <w:left w:val="none" w:sz="0" w:space="0" w:color="auto"/>
                    <w:bottom w:val="none" w:sz="0" w:space="0" w:color="auto"/>
                    <w:right w:val="none" w:sz="0" w:space="0" w:color="auto"/>
                  </w:divBdr>
                </w:div>
              </w:divsChild>
            </w:div>
            <w:div w:id="957300605">
              <w:marLeft w:val="0"/>
              <w:marRight w:val="0"/>
              <w:marTop w:val="0"/>
              <w:marBottom w:val="0"/>
              <w:divBdr>
                <w:top w:val="none" w:sz="0" w:space="0" w:color="auto"/>
                <w:left w:val="none" w:sz="0" w:space="0" w:color="auto"/>
                <w:bottom w:val="none" w:sz="0" w:space="0" w:color="auto"/>
                <w:right w:val="none" w:sz="0" w:space="0" w:color="auto"/>
              </w:divBdr>
              <w:divsChild>
                <w:div w:id="917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947">
          <w:marLeft w:val="0"/>
          <w:marRight w:val="0"/>
          <w:marTop w:val="0"/>
          <w:marBottom w:val="0"/>
          <w:divBdr>
            <w:top w:val="none" w:sz="0" w:space="0" w:color="auto"/>
            <w:left w:val="none" w:sz="0" w:space="0" w:color="auto"/>
            <w:bottom w:val="none" w:sz="0" w:space="0" w:color="auto"/>
            <w:right w:val="none" w:sz="0" w:space="0" w:color="auto"/>
          </w:divBdr>
          <w:divsChild>
            <w:div w:id="2050494093">
              <w:marLeft w:val="0"/>
              <w:marRight w:val="0"/>
              <w:marTop w:val="0"/>
              <w:marBottom w:val="0"/>
              <w:divBdr>
                <w:top w:val="none" w:sz="0" w:space="0" w:color="auto"/>
                <w:left w:val="none" w:sz="0" w:space="0" w:color="auto"/>
                <w:bottom w:val="none" w:sz="0" w:space="0" w:color="auto"/>
                <w:right w:val="none" w:sz="0" w:space="0" w:color="auto"/>
              </w:divBdr>
              <w:divsChild>
                <w:div w:id="4605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218">
          <w:marLeft w:val="0"/>
          <w:marRight w:val="0"/>
          <w:marTop w:val="0"/>
          <w:marBottom w:val="0"/>
          <w:divBdr>
            <w:top w:val="none" w:sz="0" w:space="0" w:color="auto"/>
            <w:left w:val="none" w:sz="0" w:space="0" w:color="auto"/>
            <w:bottom w:val="none" w:sz="0" w:space="0" w:color="auto"/>
            <w:right w:val="none" w:sz="0" w:space="0" w:color="auto"/>
          </w:divBdr>
          <w:divsChild>
            <w:div w:id="958991583">
              <w:marLeft w:val="0"/>
              <w:marRight w:val="0"/>
              <w:marTop w:val="0"/>
              <w:marBottom w:val="0"/>
              <w:divBdr>
                <w:top w:val="none" w:sz="0" w:space="0" w:color="auto"/>
                <w:left w:val="none" w:sz="0" w:space="0" w:color="auto"/>
                <w:bottom w:val="none" w:sz="0" w:space="0" w:color="auto"/>
                <w:right w:val="none" w:sz="0" w:space="0" w:color="auto"/>
              </w:divBdr>
              <w:divsChild>
                <w:div w:id="1747534714">
                  <w:marLeft w:val="0"/>
                  <w:marRight w:val="0"/>
                  <w:marTop w:val="0"/>
                  <w:marBottom w:val="0"/>
                  <w:divBdr>
                    <w:top w:val="none" w:sz="0" w:space="0" w:color="auto"/>
                    <w:left w:val="none" w:sz="0" w:space="0" w:color="auto"/>
                    <w:bottom w:val="none" w:sz="0" w:space="0" w:color="auto"/>
                    <w:right w:val="none" w:sz="0" w:space="0" w:color="auto"/>
                  </w:divBdr>
                </w:div>
              </w:divsChild>
            </w:div>
            <w:div w:id="1561287596">
              <w:marLeft w:val="0"/>
              <w:marRight w:val="0"/>
              <w:marTop w:val="0"/>
              <w:marBottom w:val="0"/>
              <w:divBdr>
                <w:top w:val="none" w:sz="0" w:space="0" w:color="auto"/>
                <w:left w:val="none" w:sz="0" w:space="0" w:color="auto"/>
                <w:bottom w:val="none" w:sz="0" w:space="0" w:color="auto"/>
                <w:right w:val="none" w:sz="0" w:space="0" w:color="auto"/>
              </w:divBdr>
              <w:divsChild>
                <w:div w:id="1974751707">
                  <w:marLeft w:val="0"/>
                  <w:marRight w:val="0"/>
                  <w:marTop w:val="0"/>
                  <w:marBottom w:val="0"/>
                  <w:divBdr>
                    <w:top w:val="none" w:sz="0" w:space="0" w:color="auto"/>
                    <w:left w:val="none" w:sz="0" w:space="0" w:color="auto"/>
                    <w:bottom w:val="none" w:sz="0" w:space="0" w:color="auto"/>
                    <w:right w:val="none" w:sz="0" w:space="0" w:color="auto"/>
                  </w:divBdr>
                </w:div>
              </w:divsChild>
            </w:div>
            <w:div w:id="2006013970">
              <w:marLeft w:val="0"/>
              <w:marRight w:val="0"/>
              <w:marTop w:val="0"/>
              <w:marBottom w:val="0"/>
              <w:divBdr>
                <w:top w:val="none" w:sz="0" w:space="0" w:color="auto"/>
                <w:left w:val="none" w:sz="0" w:space="0" w:color="auto"/>
                <w:bottom w:val="none" w:sz="0" w:space="0" w:color="auto"/>
                <w:right w:val="none" w:sz="0" w:space="0" w:color="auto"/>
              </w:divBdr>
              <w:divsChild>
                <w:div w:id="15454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3877">
          <w:marLeft w:val="0"/>
          <w:marRight w:val="0"/>
          <w:marTop w:val="0"/>
          <w:marBottom w:val="0"/>
          <w:divBdr>
            <w:top w:val="none" w:sz="0" w:space="0" w:color="auto"/>
            <w:left w:val="none" w:sz="0" w:space="0" w:color="auto"/>
            <w:bottom w:val="none" w:sz="0" w:space="0" w:color="auto"/>
            <w:right w:val="none" w:sz="0" w:space="0" w:color="auto"/>
          </w:divBdr>
          <w:divsChild>
            <w:div w:id="1018892381">
              <w:marLeft w:val="0"/>
              <w:marRight w:val="0"/>
              <w:marTop w:val="0"/>
              <w:marBottom w:val="0"/>
              <w:divBdr>
                <w:top w:val="none" w:sz="0" w:space="0" w:color="auto"/>
                <w:left w:val="none" w:sz="0" w:space="0" w:color="auto"/>
                <w:bottom w:val="none" w:sz="0" w:space="0" w:color="auto"/>
                <w:right w:val="none" w:sz="0" w:space="0" w:color="auto"/>
              </w:divBdr>
              <w:divsChild>
                <w:div w:id="1294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1304">
          <w:marLeft w:val="0"/>
          <w:marRight w:val="0"/>
          <w:marTop w:val="0"/>
          <w:marBottom w:val="0"/>
          <w:divBdr>
            <w:top w:val="none" w:sz="0" w:space="0" w:color="auto"/>
            <w:left w:val="none" w:sz="0" w:space="0" w:color="auto"/>
            <w:bottom w:val="none" w:sz="0" w:space="0" w:color="auto"/>
            <w:right w:val="none" w:sz="0" w:space="0" w:color="auto"/>
          </w:divBdr>
          <w:divsChild>
            <w:div w:id="2146316394">
              <w:marLeft w:val="0"/>
              <w:marRight w:val="0"/>
              <w:marTop w:val="0"/>
              <w:marBottom w:val="0"/>
              <w:divBdr>
                <w:top w:val="none" w:sz="0" w:space="0" w:color="auto"/>
                <w:left w:val="none" w:sz="0" w:space="0" w:color="auto"/>
                <w:bottom w:val="none" w:sz="0" w:space="0" w:color="auto"/>
                <w:right w:val="none" w:sz="0" w:space="0" w:color="auto"/>
              </w:divBdr>
              <w:divsChild>
                <w:div w:id="12935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6563">
          <w:marLeft w:val="0"/>
          <w:marRight w:val="0"/>
          <w:marTop w:val="0"/>
          <w:marBottom w:val="0"/>
          <w:divBdr>
            <w:top w:val="none" w:sz="0" w:space="0" w:color="auto"/>
            <w:left w:val="none" w:sz="0" w:space="0" w:color="auto"/>
            <w:bottom w:val="none" w:sz="0" w:space="0" w:color="auto"/>
            <w:right w:val="none" w:sz="0" w:space="0" w:color="auto"/>
          </w:divBdr>
          <w:divsChild>
            <w:div w:id="1267300786">
              <w:marLeft w:val="0"/>
              <w:marRight w:val="0"/>
              <w:marTop w:val="0"/>
              <w:marBottom w:val="0"/>
              <w:divBdr>
                <w:top w:val="none" w:sz="0" w:space="0" w:color="auto"/>
                <w:left w:val="none" w:sz="0" w:space="0" w:color="auto"/>
                <w:bottom w:val="none" w:sz="0" w:space="0" w:color="auto"/>
                <w:right w:val="none" w:sz="0" w:space="0" w:color="auto"/>
              </w:divBdr>
              <w:divsChild>
                <w:div w:id="13927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9858">
          <w:marLeft w:val="0"/>
          <w:marRight w:val="0"/>
          <w:marTop w:val="0"/>
          <w:marBottom w:val="0"/>
          <w:divBdr>
            <w:top w:val="none" w:sz="0" w:space="0" w:color="auto"/>
            <w:left w:val="none" w:sz="0" w:space="0" w:color="auto"/>
            <w:bottom w:val="none" w:sz="0" w:space="0" w:color="auto"/>
            <w:right w:val="none" w:sz="0" w:space="0" w:color="auto"/>
          </w:divBdr>
          <w:divsChild>
            <w:div w:id="106975313">
              <w:marLeft w:val="0"/>
              <w:marRight w:val="0"/>
              <w:marTop w:val="0"/>
              <w:marBottom w:val="0"/>
              <w:divBdr>
                <w:top w:val="none" w:sz="0" w:space="0" w:color="auto"/>
                <w:left w:val="none" w:sz="0" w:space="0" w:color="auto"/>
                <w:bottom w:val="none" w:sz="0" w:space="0" w:color="auto"/>
                <w:right w:val="none" w:sz="0" w:space="0" w:color="auto"/>
              </w:divBdr>
              <w:divsChild>
                <w:div w:id="114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9349">
          <w:marLeft w:val="0"/>
          <w:marRight w:val="0"/>
          <w:marTop w:val="0"/>
          <w:marBottom w:val="0"/>
          <w:divBdr>
            <w:top w:val="none" w:sz="0" w:space="0" w:color="auto"/>
            <w:left w:val="none" w:sz="0" w:space="0" w:color="auto"/>
            <w:bottom w:val="none" w:sz="0" w:space="0" w:color="auto"/>
            <w:right w:val="none" w:sz="0" w:space="0" w:color="auto"/>
          </w:divBdr>
          <w:divsChild>
            <w:div w:id="269120299">
              <w:marLeft w:val="0"/>
              <w:marRight w:val="0"/>
              <w:marTop w:val="0"/>
              <w:marBottom w:val="0"/>
              <w:divBdr>
                <w:top w:val="none" w:sz="0" w:space="0" w:color="auto"/>
                <w:left w:val="none" w:sz="0" w:space="0" w:color="auto"/>
                <w:bottom w:val="none" w:sz="0" w:space="0" w:color="auto"/>
                <w:right w:val="none" w:sz="0" w:space="0" w:color="auto"/>
              </w:divBdr>
              <w:divsChild>
                <w:div w:id="1318265625">
                  <w:marLeft w:val="0"/>
                  <w:marRight w:val="0"/>
                  <w:marTop w:val="0"/>
                  <w:marBottom w:val="0"/>
                  <w:divBdr>
                    <w:top w:val="none" w:sz="0" w:space="0" w:color="auto"/>
                    <w:left w:val="none" w:sz="0" w:space="0" w:color="auto"/>
                    <w:bottom w:val="none" w:sz="0" w:space="0" w:color="auto"/>
                    <w:right w:val="none" w:sz="0" w:space="0" w:color="auto"/>
                  </w:divBdr>
                </w:div>
              </w:divsChild>
            </w:div>
            <w:div w:id="300615235">
              <w:marLeft w:val="0"/>
              <w:marRight w:val="0"/>
              <w:marTop w:val="0"/>
              <w:marBottom w:val="0"/>
              <w:divBdr>
                <w:top w:val="none" w:sz="0" w:space="0" w:color="auto"/>
                <w:left w:val="none" w:sz="0" w:space="0" w:color="auto"/>
                <w:bottom w:val="none" w:sz="0" w:space="0" w:color="auto"/>
                <w:right w:val="none" w:sz="0" w:space="0" w:color="auto"/>
              </w:divBdr>
              <w:divsChild>
                <w:div w:id="4579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1356">
      <w:bodyDiv w:val="1"/>
      <w:marLeft w:val="0"/>
      <w:marRight w:val="0"/>
      <w:marTop w:val="0"/>
      <w:marBottom w:val="0"/>
      <w:divBdr>
        <w:top w:val="none" w:sz="0" w:space="0" w:color="auto"/>
        <w:left w:val="none" w:sz="0" w:space="0" w:color="auto"/>
        <w:bottom w:val="none" w:sz="0" w:space="0" w:color="auto"/>
        <w:right w:val="none" w:sz="0" w:space="0" w:color="auto"/>
      </w:divBdr>
      <w:divsChild>
        <w:div w:id="993876334">
          <w:marLeft w:val="0"/>
          <w:marRight w:val="0"/>
          <w:marTop w:val="0"/>
          <w:marBottom w:val="0"/>
          <w:divBdr>
            <w:top w:val="none" w:sz="0" w:space="0" w:color="auto"/>
            <w:left w:val="none" w:sz="0" w:space="0" w:color="auto"/>
            <w:bottom w:val="none" w:sz="0" w:space="0" w:color="auto"/>
            <w:right w:val="none" w:sz="0" w:space="0" w:color="auto"/>
          </w:divBdr>
          <w:divsChild>
            <w:div w:id="100564662">
              <w:marLeft w:val="0"/>
              <w:marRight w:val="0"/>
              <w:marTop w:val="0"/>
              <w:marBottom w:val="0"/>
              <w:divBdr>
                <w:top w:val="none" w:sz="0" w:space="0" w:color="auto"/>
                <w:left w:val="none" w:sz="0" w:space="0" w:color="auto"/>
                <w:bottom w:val="none" w:sz="0" w:space="0" w:color="auto"/>
                <w:right w:val="none" w:sz="0" w:space="0" w:color="auto"/>
              </w:divBdr>
            </w:div>
          </w:divsChild>
        </w:div>
        <w:div w:id="1877816098">
          <w:marLeft w:val="0"/>
          <w:marRight w:val="0"/>
          <w:marTop w:val="0"/>
          <w:marBottom w:val="0"/>
          <w:divBdr>
            <w:top w:val="none" w:sz="0" w:space="0" w:color="auto"/>
            <w:left w:val="none" w:sz="0" w:space="0" w:color="auto"/>
            <w:bottom w:val="none" w:sz="0" w:space="0" w:color="auto"/>
            <w:right w:val="none" w:sz="0" w:space="0" w:color="auto"/>
          </w:divBdr>
          <w:divsChild>
            <w:div w:id="18957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769">
      <w:bodyDiv w:val="1"/>
      <w:marLeft w:val="0"/>
      <w:marRight w:val="0"/>
      <w:marTop w:val="0"/>
      <w:marBottom w:val="0"/>
      <w:divBdr>
        <w:top w:val="none" w:sz="0" w:space="0" w:color="auto"/>
        <w:left w:val="none" w:sz="0" w:space="0" w:color="auto"/>
        <w:bottom w:val="none" w:sz="0" w:space="0" w:color="auto"/>
        <w:right w:val="none" w:sz="0" w:space="0" w:color="auto"/>
      </w:divBdr>
      <w:divsChild>
        <w:div w:id="97800469">
          <w:marLeft w:val="0"/>
          <w:marRight w:val="0"/>
          <w:marTop w:val="0"/>
          <w:marBottom w:val="0"/>
          <w:divBdr>
            <w:top w:val="none" w:sz="0" w:space="0" w:color="auto"/>
            <w:left w:val="none" w:sz="0" w:space="0" w:color="auto"/>
            <w:bottom w:val="none" w:sz="0" w:space="0" w:color="auto"/>
            <w:right w:val="none" w:sz="0" w:space="0" w:color="auto"/>
          </w:divBdr>
          <w:divsChild>
            <w:div w:id="1031805450">
              <w:marLeft w:val="0"/>
              <w:marRight w:val="0"/>
              <w:marTop w:val="0"/>
              <w:marBottom w:val="0"/>
              <w:divBdr>
                <w:top w:val="none" w:sz="0" w:space="0" w:color="auto"/>
                <w:left w:val="none" w:sz="0" w:space="0" w:color="auto"/>
                <w:bottom w:val="none" w:sz="0" w:space="0" w:color="auto"/>
                <w:right w:val="none" w:sz="0" w:space="0" w:color="auto"/>
              </w:divBdr>
              <w:divsChild>
                <w:div w:id="5494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6521">
          <w:marLeft w:val="0"/>
          <w:marRight w:val="0"/>
          <w:marTop w:val="0"/>
          <w:marBottom w:val="0"/>
          <w:divBdr>
            <w:top w:val="none" w:sz="0" w:space="0" w:color="auto"/>
            <w:left w:val="none" w:sz="0" w:space="0" w:color="auto"/>
            <w:bottom w:val="none" w:sz="0" w:space="0" w:color="auto"/>
            <w:right w:val="none" w:sz="0" w:space="0" w:color="auto"/>
          </w:divBdr>
          <w:divsChild>
            <w:div w:id="1612544076">
              <w:marLeft w:val="0"/>
              <w:marRight w:val="0"/>
              <w:marTop w:val="0"/>
              <w:marBottom w:val="0"/>
              <w:divBdr>
                <w:top w:val="none" w:sz="0" w:space="0" w:color="auto"/>
                <w:left w:val="none" w:sz="0" w:space="0" w:color="auto"/>
                <w:bottom w:val="none" w:sz="0" w:space="0" w:color="auto"/>
                <w:right w:val="none" w:sz="0" w:space="0" w:color="auto"/>
              </w:divBdr>
              <w:divsChild>
                <w:div w:id="487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969">
          <w:marLeft w:val="0"/>
          <w:marRight w:val="0"/>
          <w:marTop w:val="0"/>
          <w:marBottom w:val="0"/>
          <w:divBdr>
            <w:top w:val="none" w:sz="0" w:space="0" w:color="auto"/>
            <w:left w:val="none" w:sz="0" w:space="0" w:color="auto"/>
            <w:bottom w:val="none" w:sz="0" w:space="0" w:color="auto"/>
            <w:right w:val="none" w:sz="0" w:space="0" w:color="auto"/>
          </w:divBdr>
          <w:divsChild>
            <w:div w:id="617878517">
              <w:marLeft w:val="0"/>
              <w:marRight w:val="0"/>
              <w:marTop w:val="0"/>
              <w:marBottom w:val="0"/>
              <w:divBdr>
                <w:top w:val="none" w:sz="0" w:space="0" w:color="auto"/>
                <w:left w:val="none" w:sz="0" w:space="0" w:color="auto"/>
                <w:bottom w:val="none" w:sz="0" w:space="0" w:color="auto"/>
                <w:right w:val="none" w:sz="0" w:space="0" w:color="auto"/>
              </w:divBdr>
              <w:divsChild>
                <w:div w:id="11271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9284">
          <w:marLeft w:val="0"/>
          <w:marRight w:val="0"/>
          <w:marTop w:val="0"/>
          <w:marBottom w:val="0"/>
          <w:divBdr>
            <w:top w:val="none" w:sz="0" w:space="0" w:color="auto"/>
            <w:left w:val="none" w:sz="0" w:space="0" w:color="auto"/>
            <w:bottom w:val="none" w:sz="0" w:space="0" w:color="auto"/>
            <w:right w:val="none" w:sz="0" w:space="0" w:color="auto"/>
          </w:divBdr>
          <w:divsChild>
            <w:div w:id="1633830047">
              <w:marLeft w:val="0"/>
              <w:marRight w:val="0"/>
              <w:marTop w:val="0"/>
              <w:marBottom w:val="0"/>
              <w:divBdr>
                <w:top w:val="none" w:sz="0" w:space="0" w:color="auto"/>
                <w:left w:val="none" w:sz="0" w:space="0" w:color="auto"/>
                <w:bottom w:val="none" w:sz="0" w:space="0" w:color="auto"/>
                <w:right w:val="none" w:sz="0" w:space="0" w:color="auto"/>
              </w:divBdr>
              <w:divsChild>
                <w:div w:id="12399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6015">
          <w:marLeft w:val="0"/>
          <w:marRight w:val="0"/>
          <w:marTop w:val="0"/>
          <w:marBottom w:val="0"/>
          <w:divBdr>
            <w:top w:val="none" w:sz="0" w:space="0" w:color="auto"/>
            <w:left w:val="none" w:sz="0" w:space="0" w:color="auto"/>
            <w:bottom w:val="none" w:sz="0" w:space="0" w:color="auto"/>
            <w:right w:val="none" w:sz="0" w:space="0" w:color="auto"/>
          </w:divBdr>
          <w:divsChild>
            <w:div w:id="1983652724">
              <w:marLeft w:val="0"/>
              <w:marRight w:val="0"/>
              <w:marTop w:val="0"/>
              <w:marBottom w:val="0"/>
              <w:divBdr>
                <w:top w:val="none" w:sz="0" w:space="0" w:color="auto"/>
                <w:left w:val="none" w:sz="0" w:space="0" w:color="auto"/>
                <w:bottom w:val="none" w:sz="0" w:space="0" w:color="auto"/>
                <w:right w:val="none" w:sz="0" w:space="0" w:color="auto"/>
              </w:divBdr>
              <w:divsChild>
                <w:div w:id="14020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77971">
          <w:marLeft w:val="0"/>
          <w:marRight w:val="0"/>
          <w:marTop w:val="0"/>
          <w:marBottom w:val="0"/>
          <w:divBdr>
            <w:top w:val="none" w:sz="0" w:space="0" w:color="auto"/>
            <w:left w:val="none" w:sz="0" w:space="0" w:color="auto"/>
            <w:bottom w:val="none" w:sz="0" w:space="0" w:color="auto"/>
            <w:right w:val="none" w:sz="0" w:space="0" w:color="auto"/>
          </w:divBdr>
          <w:divsChild>
            <w:div w:id="1276787395">
              <w:marLeft w:val="0"/>
              <w:marRight w:val="0"/>
              <w:marTop w:val="0"/>
              <w:marBottom w:val="0"/>
              <w:divBdr>
                <w:top w:val="none" w:sz="0" w:space="0" w:color="auto"/>
                <w:left w:val="none" w:sz="0" w:space="0" w:color="auto"/>
                <w:bottom w:val="none" w:sz="0" w:space="0" w:color="auto"/>
                <w:right w:val="none" w:sz="0" w:space="0" w:color="auto"/>
              </w:divBdr>
              <w:divsChild>
                <w:div w:id="714357392">
                  <w:marLeft w:val="0"/>
                  <w:marRight w:val="0"/>
                  <w:marTop w:val="0"/>
                  <w:marBottom w:val="0"/>
                  <w:divBdr>
                    <w:top w:val="none" w:sz="0" w:space="0" w:color="auto"/>
                    <w:left w:val="none" w:sz="0" w:space="0" w:color="auto"/>
                    <w:bottom w:val="none" w:sz="0" w:space="0" w:color="auto"/>
                    <w:right w:val="none" w:sz="0" w:space="0" w:color="auto"/>
                  </w:divBdr>
                </w:div>
              </w:divsChild>
            </w:div>
            <w:div w:id="1920560784">
              <w:marLeft w:val="0"/>
              <w:marRight w:val="0"/>
              <w:marTop w:val="0"/>
              <w:marBottom w:val="0"/>
              <w:divBdr>
                <w:top w:val="none" w:sz="0" w:space="0" w:color="auto"/>
                <w:left w:val="none" w:sz="0" w:space="0" w:color="auto"/>
                <w:bottom w:val="none" w:sz="0" w:space="0" w:color="auto"/>
                <w:right w:val="none" w:sz="0" w:space="0" w:color="auto"/>
              </w:divBdr>
              <w:divsChild>
                <w:div w:id="1461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4833">
          <w:marLeft w:val="0"/>
          <w:marRight w:val="0"/>
          <w:marTop w:val="0"/>
          <w:marBottom w:val="0"/>
          <w:divBdr>
            <w:top w:val="none" w:sz="0" w:space="0" w:color="auto"/>
            <w:left w:val="none" w:sz="0" w:space="0" w:color="auto"/>
            <w:bottom w:val="none" w:sz="0" w:space="0" w:color="auto"/>
            <w:right w:val="none" w:sz="0" w:space="0" w:color="auto"/>
          </w:divBdr>
          <w:divsChild>
            <w:div w:id="605579363">
              <w:marLeft w:val="0"/>
              <w:marRight w:val="0"/>
              <w:marTop w:val="0"/>
              <w:marBottom w:val="0"/>
              <w:divBdr>
                <w:top w:val="none" w:sz="0" w:space="0" w:color="auto"/>
                <w:left w:val="none" w:sz="0" w:space="0" w:color="auto"/>
                <w:bottom w:val="none" w:sz="0" w:space="0" w:color="auto"/>
                <w:right w:val="none" w:sz="0" w:space="0" w:color="auto"/>
              </w:divBdr>
              <w:divsChild>
                <w:div w:id="17184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9308">
          <w:marLeft w:val="0"/>
          <w:marRight w:val="0"/>
          <w:marTop w:val="0"/>
          <w:marBottom w:val="0"/>
          <w:divBdr>
            <w:top w:val="none" w:sz="0" w:space="0" w:color="auto"/>
            <w:left w:val="none" w:sz="0" w:space="0" w:color="auto"/>
            <w:bottom w:val="none" w:sz="0" w:space="0" w:color="auto"/>
            <w:right w:val="none" w:sz="0" w:space="0" w:color="auto"/>
          </w:divBdr>
          <w:divsChild>
            <w:div w:id="1605459656">
              <w:marLeft w:val="0"/>
              <w:marRight w:val="0"/>
              <w:marTop w:val="0"/>
              <w:marBottom w:val="0"/>
              <w:divBdr>
                <w:top w:val="none" w:sz="0" w:space="0" w:color="auto"/>
                <w:left w:val="none" w:sz="0" w:space="0" w:color="auto"/>
                <w:bottom w:val="none" w:sz="0" w:space="0" w:color="auto"/>
                <w:right w:val="none" w:sz="0" w:space="0" w:color="auto"/>
              </w:divBdr>
              <w:divsChild>
                <w:div w:id="17273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4981">
          <w:marLeft w:val="0"/>
          <w:marRight w:val="0"/>
          <w:marTop w:val="0"/>
          <w:marBottom w:val="0"/>
          <w:divBdr>
            <w:top w:val="none" w:sz="0" w:space="0" w:color="auto"/>
            <w:left w:val="none" w:sz="0" w:space="0" w:color="auto"/>
            <w:bottom w:val="none" w:sz="0" w:space="0" w:color="auto"/>
            <w:right w:val="none" w:sz="0" w:space="0" w:color="auto"/>
          </w:divBdr>
          <w:divsChild>
            <w:div w:id="253632886">
              <w:marLeft w:val="0"/>
              <w:marRight w:val="0"/>
              <w:marTop w:val="0"/>
              <w:marBottom w:val="0"/>
              <w:divBdr>
                <w:top w:val="none" w:sz="0" w:space="0" w:color="auto"/>
                <w:left w:val="none" w:sz="0" w:space="0" w:color="auto"/>
                <w:bottom w:val="none" w:sz="0" w:space="0" w:color="auto"/>
                <w:right w:val="none" w:sz="0" w:space="0" w:color="auto"/>
              </w:divBdr>
              <w:divsChild>
                <w:div w:id="17380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2387">
          <w:marLeft w:val="0"/>
          <w:marRight w:val="0"/>
          <w:marTop w:val="0"/>
          <w:marBottom w:val="0"/>
          <w:divBdr>
            <w:top w:val="none" w:sz="0" w:space="0" w:color="auto"/>
            <w:left w:val="none" w:sz="0" w:space="0" w:color="auto"/>
            <w:bottom w:val="none" w:sz="0" w:space="0" w:color="auto"/>
            <w:right w:val="none" w:sz="0" w:space="0" w:color="auto"/>
          </w:divBdr>
          <w:divsChild>
            <w:div w:id="635598955">
              <w:marLeft w:val="0"/>
              <w:marRight w:val="0"/>
              <w:marTop w:val="0"/>
              <w:marBottom w:val="0"/>
              <w:divBdr>
                <w:top w:val="none" w:sz="0" w:space="0" w:color="auto"/>
                <w:left w:val="none" w:sz="0" w:space="0" w:color="auto"/>
                <w:bottom w:val="none" w:sz="0" w:space="0" w:color="auto"/>
                <w:right w:val="none" w:sz="0" w:space="0" w:color="auto"/>
              </w:divBdr>
              <w:divsChild>
                <w:div w:id="313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5370">
          <w:marLeft w:val="0"/>
          <w:marRight w:val="0"/>
          <w:marTop w:val="0"/>
          <w:marBottom w:val="0"/>
          <w:divBdr>
            <w:top w:val="none" w:sz="0" w:space="0" w:color="auto"/>
            <w:left w:val="none" w:sz="0" w:space="0" w:color="auto"/>
            <w:bottom w:val="none" w:sz="0" w:space="0" w:color="auto"/>
            <w:right w:val="none" w:sz="0" w:space="0" w:color="auto"/>
          </w:divBdr>
          <w:divsChild>
            <w:div w:id="1419138453">
              <w:marLeft w:val="0"/>
              <w:marRight w:val="0"/>
              <w:marTop w:val="0"/>
              <w:marBottom w:val="0"/>
              <w:divBdr>
                <w:top w:val="none" w:sz="0" w:space="0" w:color="auto"/>
                <w:left w:val="none" w:sz="0" w:space="0" w:color="auto"/>
                <w:bottom w:val="none" w:sz="0" w:space="0" w:color="auto"/>
                <w:right w:val="none" w:sz="0" w:space="0" w:color="auto"/>
              </w:divBdr>
              <w:divsChild>
                <w:div w:id="17492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7864">
          <w:marLeft w:val="0"/>
          <w:marRight w:val="0"/>
          <w:marTop w:val="0"/>
          <w:marBottom w:val="0"/>
          <w:divBdr>
            <w:top w:val="none" w:sz="0" w:space="0" w:color="auto"/>
            <w:left w:val="none" w:sz="0" w:space="0" w:color="auto"/>
            <w:bottom w:val="none" w:sz="0" w:space="0" w:color="auto"/>
            <w:right w:val="none" w:sz="0" w:space="0" w:color="auto"/>
          </w:divBdr>
          <w:divsChild>
            <w:div w:id="1437364687">
              <w:marLeft w:val="0"/>
              <w:marRight w:val="0"/>
              <w:marTop w:val="0"/>
              <w:marBottom w:val="0"/>
              <w:divBdr>
                <w:top w:val="none" w:sz="0" w:space="0" w:color="auto"/>
                <w:left w:val="none" w:sz="0" w:space="0" w:color="auto"/>
                <w:bottom w:val="none" w:sz="0" w:space="0" w:color="auto"/>
                <w:right w:val="none" w:sz="0" w:space="0" w:color="auto"/>
              </w:divBdr>
              <w:divsChild>
                <w:div w:id="20198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106">
          <w:marLeft w:val="0"/>
          <w:marRight w:val="0"/>
          <w:marTop w:val="0"/>
          <w:marBottom w:val="0"/>
          <w:divBdr>
            <w:top w:val="none" w:sz="0" w:space="0" w:color="auto"/>
            <w:left w:val="none" w:sz="0" w:space="0" w:color="auto"/>
            <w:bottom w:val="none" w:sz="0" w:space="0" w:color="auto"/>
            <w:right w:val="none" w:sz="0" w:space="0" w:color="auto"/>
          </w:divBdr>
          <w:divsChild>
            <w:div w:id="18093333">
              <w:marLeft w:val="0"/>
              <w:marRight w:val="0"/>
              <w:marTop w:val="0"/>
              <w:marBottom w:val="0"/>
              <w:divBdr>
                <w:top w:val="none" w:sz="0" w:space="0" w:color="auto"/>
                <w:left w:val="none" w:sz="0" w:space="0" w:color="auto"/>
                <w:bottom w:val="none" w:sz="0" w:space="0" w:color="auto"/>
                <w:right w:val="none" w:sz="0" w:space="0" w:color="auto"/>
              </w:divBdr>
              <w:divsChild>
                <w:div w:id="1265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2080">
          <w:marLeft w:val="0"/>
          <w:marRight w:val="0"/>
          <w:marTop w:val="0"/>
          <w:marBottom w:val="0"/>
          <w:divBdr>
            <w:top w:val="none" w:sz="0" w:space="0" w:color="auto"/>
            <w:left w:val="none" w:sz="0" w:space="0" w:color="auto"/>
            <w:bottom w:val="none" w:sz="0" w:space="0" w:color="auto"/>
            <w:right w:val="none" w:sz="0" w:space="0" w:color="auto"/>
          </w:divBdr>
          <w:divsChild>
            <w:div w:id="1966887120">
              <w:marLeft w:val="0"/>
              <w:marRight w:val="0"/>
              <w:marTop w:val="0"/>
              <w:marBottom w:val="0"/>
              <w:divBdr>
                <w:top w:val="none" w:sz="0" w:space="0" w:color="auto"/>
                <w:left w:val="none" w:sz="0" w:space="0" w:color="auto"/>
                <w:bottom w:val="none" w:sz="0" w:space="0" w:color="auto"/>
                <w:right w:val="none" w:sz="0" w:space="0" w:color="auto"/>
              </w:divBdr>
              <w:divsChild>
                <w:div w:id="7080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2479">
          <w:marLeft w:val="0"/>
          <w:marRight w:val="0"/>
          <w:marTop w:val="0"/>
          <w:marBottom w:val="0"/>
          <w:divBdr>
            <w:top w:val="none" w:sz="0" w:space="0" w:color="auto"/>
            <w:left w:val="none" w:sz="0" w:space="0" w:color="auto"/>
            <w:bottom w:val="none" w:sz="0" w:space="0" w:color="auto"/>
            <w:right w:val="none" w:sz="0" w:space="0" w:color="auto"/>
          </w:divBdr>
          <w:divsChild>
            <w:div w:id="458106351">
              <w:marLeft w:val="0"/>
              <w:marRight w:val="0"/>
              <w:marTop w:val="0"/>
              <w:marBottom w:val="0"/>
              <w:divBdr>
                <w:top w:val="none" w:sz="0" w:space="0" w:color="auto"/>
                <w:left w:val="none" w:sz="0" w:space="0" w:color="auto"/>
                <w:bottom w:val="none" w:sz="0" w:space="0" w:color="auto"/>
                <w:right w:val="none" w:sz="0" w:space="0" w:color="auto"/>
              </w:divBdr>
              <w:divsChild>
                <w:div w:id="17995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1387">
          <w:marLeft w:val="0"/>
          <w:marRight w:val="0"/>
          <w:marTop w:val="0"/>
          <w:marBottom w:val="0"/>
          <w:divBdr>
            <w:top w:val="none" w:sz="0" w:space="0" w:color="auto"/>
            <w:left w:val="none" w:sz="0" w:space="0" w:color="auto"/>
            <w:bottom w:val="none" w:sz="0" w:space="0" w:color="auto"/>
            <w:right w:val="none" w:sz="0" w:space="0" w:color="auto"/>
          </w:divBdr>
          <w:divsChild>
            <w:div w:id="164904039">
              <w:marLeft w:val="0"/>
              <w:marRight w:val="0"/>
              <w:marTop w:val="0"/>
              <w:marBottom w:val="0"/>
              <w:divBdr>
                <w:top w:val="none" w:sz="0" w:space="0" w:color="auto"/>
                <w:left w:val="none" w:sz="0" w:space="0" w:color="auto"/>
                <w:bottom w:val="none" w:sz="0" w:space="0" w:color="auto"/>
                <w:right w:val="none" w:sz="0" w:space="0" w:color="auto"/>
              </w:divBdr>
              <w:divsChild>
                <w:div w:id="2128039708">
                  <w:marLeft w:val="0"/>
                  <w:marRight w:val="0"/>
                  <w:marTop w:val="0"/>
                  <w:marBottom w:val="0"/>
                  <w:divBdr>
                    <w:top w:val="none" w:sz="0" w:space="0" w:color="auto"/>
                    <w:left w:val="none" w:sz="0" w:space="0" w:color="auto"/>
                    <w:bottom w:val="none" w:sz="0" w:space="0" w:color="auto"/>
                    <w:right w:val="none" w:sz="0" w:space="0" w:color="auto"/>
                  </w:divBdr>
                </w:div>
              </w:divsChild>
            </w:div>
            <w:div w:id="343172673">
              <w:marLeft w:val="0"/>
              <w:marRight w:val="0"/>
              <w:marTop w:val="0"/>
              <w:marBottom w:val="0"/>
              <w:divBdr>
                <w:top w:val="none" w:sz="0" w:space="0" w:color="auto"/>
                <w:left w:val="none" w:sz="0" w:space="0" w:color="auto"/>
                <w:bottom w:val="none" w:sz="0" w:space="0" w:color="auto"/>
                <w:right w:val="none" w:sz="0" w:space="0" w:color="auto"/>
              </w:divBdr>
              <w:divsChild>
                <w:div w:id="12162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8794">
          <w:marLeft w:val="0"/>
          <w:marRight w:val="0"/>
          <w:marTop w:val="0"/>
          <w:marBottom w:val="0"/>
          <w:divBdr>
            <w:top w:val="none" w:sz="0" w:space="0" w:color="auto"/>
            <w:left w:val="none" w:sz="0" w:space="0" w:color="auto"/>
            <w:bottom w:val="none" w:sz="0" w:space="0" w:color="auto"/>
            <w:right w:val="none" w:sz="0" w:space="0" w:color="auto"/>
          </w:divBdr>
          <w:divsChild>
            <w:div w:id="878131704">
              <w:marLeft w:val="0"/>
              <w:marRight w:val="0"/>
              <w:marTop w:val="0"/>
              <w:marBottom w:val="0"/>
              <w:divBdr>
                <w:top w:val="none" w:sz="0" w:space="0" w:color="auto"/>
                <w:left w:val="none" w:sz="0" w:space="0" w:color="auto"/>
                <w:bottom w:val="none" w:sz="0" w:space="0" w:color="auto"/>
                <w:right w:val="none" w:sz="0" w:space="0" w:color="auto"/>
              </w:divBdr>
              <w:divsChild>
                <w:div w:id="16183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255">
          <w:marLeft w:val="0"/>
          <w:marRight w:val="0"/>
          <w:marTop w:val="0"/>
          <w:marBottom w:val="0"/>
          <w:divBdr>
            <w:top w:val="none" w:sz="0" w:space="0" w:color="auto"/>
            <w:left w:val="none" w:sz="0" w:space="0" w:color="auto"/>
            <w:bottom w:val="none" w:sz="0" w:space="0" w:color="auto"/>
            <w:right w:val="none" w:sz="0" w:space="0" w:color="auto"/>
          </w:divBdr>
          <w:divsChild>
            <w:div w:id="724837977">
              <w:marLeft w:val="0"/>
              <w:marRight w:val="0"/>
              <w:marTop w:val="0"/>
              <w:marBottom w:val="0"/>
              <w:divBdr>
                <w:top w:val="none" w:sz="0" w:space="0" w:color="auto"/>
                <w:left w:val="none" w:sz="0" w:space="0" w:color="auto"/>
                <w:bottom w:val="none" w:sz="0" w:space="0" w:color="auto"/>
                <w:right w:val="none" w:sz="0" w:space="0" w:color="auto"/>
              </w:divBdr>
              <w:divsChild>
                <w:div w:id="1403525903">
                  <w:marLeft w:val="0"/>
                  <w:marRight w:val="0"/>
                  <w:marTop w:val="0"/>
                  <w:marBottom w:val="0"/>
                  <w:divBdr>
                    <w:top w:val="none" w:sz="0" w:space="0" w:color="auto"/>
                    <w:left w:val="none" w:sz="0" w:space="0" w:color="auto"/>
                    <w:bottom w:val="none" w:sz="0" w:space="0" w:color="auto"/>
                    <w:right w:val="none" w:sz="0" w:space="0" w:color="auto"/>
                  </w:divBdr>
                </w:div>
              </w:divsChild>
            </w:div>
            <w:div w:id="1221016569">
              <w:marLeft w:val="0"/>
              <w:marRight w:val="0"/>
              <w:marTop w:val="0"/>
              <w:marBottom w:val="0"/>
              <w:divBdr>
                <w:top w:val="none" w:sz="0" w:space="0" w:color="auto"/>
                <w:left w:val="none" w:sz="0" w:space="0" w:color="auto"/>
                <w:bottom w:val="none" w:sz="0" w:space="0" w:color="auto"/>
                <w:right w:val="none" w:sz="0" w:space="0" w:color="auto"/>
              </w:divBdr>
              <w:divsChild>
                <w:div w:id="629626865">
                  <w:marLeft w:val="0"/>
                  <w:marRight w:val="0"/>
                  <w:marTop w:val="0"/>
                  <w:marBottom w:val="0"/>
                  <w:divBdr>
                    <w:top w:val="none" w:sz="0" w:space="0" w:color="auto"/>
                    <w:left w:val="none" w:sz="0" w:space="0" w:color="auto"/>
                    <w:bottom w:val="none" w:sz="0" w:space="0" w:color="auto"/>
                    <w:right w:val="none" w:sz="0" w:space="0" w:color="auto"/>
                  </w:divBdr>
                </w:div>
              </w:divsChild>
            </w:div>
            <w:div w:id="1581283122">
              <w:marLeft w:val="0"/>
              <w:marRight w:val="0"/>
              <w:marTop w:val="0"/>
              <w:marBottom w:val="0"/>
              <w:divBdr>
                <w:top w:val="none" w:sz="0" w:space="0" w:color="auto"/>
                <w:left w:val="none" w:sz="0" w:space="0" w:color="auto"/>
                <w:bottom w:val="none" w:sz="0" w:space="0" w:color="auto"/>
                <w:right w:val="none" w:sz="0" w:space="0" w:color="auto"/>
              </w:divBdr>
              <w:divsChild>
                <w:div w:id="14269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8284">
          <w:marLeft w:val="0"/>
          <w:marRight w:val="0"/>
          <w:marTop w:val="0"/>
          <w:marBottom w:val="0"/>
          <w:divBdr>
            <w:top w:val="none" w:sz="0" w:space="0" w:color="auto"/>
            <w:left w:val="none" w:sz="0" w:space="0" w:color="auto"/>
            <w:bottom w:val="none" w:sz="0" w:space="0" w:color="auto"/>
            <w:right w:val="none" w:sz="0" w:space="0" w:color="auto"/>
          </w:divBdr>
          <w:divsChild>
            <w:div w:id="1619020101">
              <w:marLeft w:val="0"/>
              <w:marRight w:val="0"/>
              <w:marTop w:val="0"/>
              <w:marBottom w:val="0"/>
              <w:divBdr>
                <w:top w:val="none" w:sz="0" w:space="0" w:color="auto"/>
                <w:left w:val="none" w:sz="0" w:space="0" w:color="auto"/>
                <w:bottom w:val="none" w:sz="0" w:space="0" w:color="auto"/>
                <w:right w:val="none" w:sz="0" w:space="0" w:color="auto"/>
              </w:divBdr>
              <w:divsChild>
                <w:div w:id="16260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1362">
          <w:marLeft w:val="0"/>
          <w:marRight w:val="0"/>
          <w:marTop w:val="0"/>
          <w:marBottom w:val="0"/>
          <w:divBdr>
            <w:top w:val="none" w:sz="0" w:space="0" w:color="auto"/>
            <w:left w:val="none" w:sz="0" w:space="0" w:color="auto"/>
            <w:bottom w:val="none" w:sz="0" w:space="0" w:color="auto"/>
            <w:right w:val="none" w:sz="0" w:space="0" w:color="auto"/>
          </w:divBdr>
          <w:divsChild>
            <w:div w:id="1986228959">
              <w:marLeft w:val="0"/>
              <w:marRight w:val="0"/>
              <w:marTop w:val="0"/>
              <w:marBottom w:val="0"/>
              <w:divBdr>
                <w:top w:val="none" w:sz="0" w:space="0" w:color="auto"/>
                <w:left w:val="none" w:sz="0" w:space="0" w:color="auto"/>
                <w:bottom w:val="none" w:sz="0" w:space="0" w:color="auto"/>
                <w:right w:val="none" w:sz="0" w:space="0" w:color="auto"/>
              </w:divBdr>
              <w:divsChild>
                <w:div w:id="9964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923">
          <w:marLeft w:val="0"/>
          <w:marRight w:val="0"/>
          <w:marTop w:val="0"/>
          <w:marBottom w:val="0"/>
          <w:divBdr>
            <w:top w:val="none" w:sz="0" w:space="0" w:color="auto"/>
            <w:left w:val="none" w:sz="0" w:space="0" w:color="auto"/>
            <w:bottom w:val="none" w:sz="0" w:space="0" w:color="auto"/>
            <w:right w:val="none" w:sz="0" w:space="0" w:color="auto"/>
          </w:divBdr>
          <w:divsChild>
            <w:div w:id="1428187610">
              <w:marLeft w:val="0"/>
              <w:marRight w:val="0"/>
              <w:marTop w:val="0"/>
              <w:marBottom w:val="0"/>
              <w:divBdr>
                <w:top w:val="none" w:sz="0" w:space="0" w:color="auto"/>
                <w:left w:val="none" w:sz="0" w:space="0" w:color="auto"/>
                <w:bottom w:val="none" w:sz="0" w:space="0" w:color="auto"/>
                <w:right w:val="none" w:sz="0" w:space="0" w:color="auto"/>
              </w:divBdr>
              <w:divsChild>
                <w:div w:id="15926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6432">
          <w:marLeft w:val="0"/>
          <w:marRight w:val="0"/>
          <w:marTop w:val="0"/>
          <w:marBottom w:val="0"/>
          <w:divBdr>
            <w:top w:val="none" w:sz="0" w:space="0" w:color="auto"/>
            <w:left w:val="none" w:sz="0" w:space="0" w:color="auto"/>
            <w:bottom w:val="none" w:sz="0" w:space="0" w:color="auto"/>
            <w:right w:val="none" w:sz="0" w:space="0" w:color="auto"/>
          </w:divBdr>
          <w:divsChild>
            <w:div w:id="1255162598">
              <w:marLeft w:val="0"/>
              <w:marRight w:val="0"/>
              <w:marTop w:val="0"/>
              <w:marBottom w:val="0"/>
              <w:divBdr>
                <w:top w:val="none" w:sz="0" w:space="0" w:color="auto"/>
                <w:left w:val="none" w:sz="0" w:space="0" w:color="auto"/>
                <w:bottom w:val="none" w:sz="0" w:space="0" w:color="auto"/>
                <w:right w:val="none" w:sz="0" w:space="0" w:color="auto"/>
              </w:divBdr>
              <w:divsChild>
                <w:div w:id="1001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261">
      <w:bodyDiv w:val="1"/>
      <w:marLeft w:val="0"/>
      <w:marRight w:val="0"/>
      <w:marTop w:val="0"/>
      <w:marBottom w:val="0"/>
      <w:divBdr>
        <w:top w:val="none" w:sz="0" w:space="0" w:color="auto"/>
        <w:left w:val="none" w:sz="0" w:space="0" w:color="auto"/>
        <w:bottom w:val="none" w:sz="0" w:space="0" w:color="auto"/>
        <w:right w:val="none" w:sz="0" w:space="0" w:color="auto"/>
      </w:divBdr>
      <w:divsChild>
        <w:div w:id="517238276">
          <w:marLeft w:val="0"/>
          <w:marRight w:val="0"/>
          <w:marTop w:val="0"/>
          <w:marBottom w:val="0"/>
          <w:divBdr>
            <w:top w:val="none" w:sz="0" w:space="0" w:color="auto"/>
            <w:left w:val="none" w:sz="0" w:space="0" w:color="auto"/>
            <w:bottom w:val="none" w:sz="0" w:space="0" w:color="auto"/>
            <w:right w:val="none" w:sz="0" w:space="0" w:color="auto"/>
          </w:divBdr>
          <w:divsChild>
            <w:div w:id="391344227">
              <w:marLeft w:val="0"/>
              <w:marRight w:val="0"/>
              <w:marTop w:val="0"/>
              <w:marBottom w:val="0"/>
              <w:divBdr>
                <w:top w:val="none" w:sz="0" w:space="0" w:color="auto"/>
                <w:left w:val="none" w:sz="0" w:space="0" w:color="auto"/>
                <w:bottom w:val="none" w:sz="0" w:space="0" w:color="auto"/>
                <w:right w:val="none" w:sz="0" w:space="0" w:color="auto"/>
              </w:divBdr>
            </w:div>
          </w:divsChild>
        </w:div>
        <w:div w:id="651838769">
          <w:marLeft w:val="0"/>
          <w:marRight w:val="0"/>
          <w:marTop w:val="0"/>
          <w:marBottom w:val="0"/>
          <w:divBdr>
            <w:top w:val="none" w:sz="0" w:space="0" w:color="auto"/>
            <w:left w:val="none" w:sz="0" w:space="0" w:color="auto"/>
            <w:bottom w:val="none" w:sz="0" w:space="0" w:color="auto"/>
            <w:right w:val="none" w:sz="0" w:space="0" w:color="auto"/>
          </w:divBdr>
          <w:divsChild>
            <w:div w:id="10282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8962">
      <w:bodyDiv w:val="1"/>
      <w:marLeft w:val="0"/>
      <w:marRight w:val="0"/>
      <w:marTop w:val="0"/>
      <w:marBottom w:val="0"/>
      <w:divBdr>
        <w:top w:val="none" w:sz="0" w:space="0" w:color="auto"/>
        <w:left w:val="none" w:sz="0" w:space="0" w:color="auto"/>
        <w:bottom w:val="none" w:sz="0" w:space="0" w:color="auto"/>
        <w:right w:val="none" w:sz="0" w:space="0" w:color="auto"/>
      </w:divBdr>
      <w:divsChild>
        <w:div w:id="1475290387">
          <w:marLeft w:val="0"/>
          <w:marRight w:val="0"/>
          <w:marTop w:val="0"/>
          <w:marBottom w:val="0"/>
          <w:divBdr>
            <w:top w:val="none" w:sz="0" w:space="0" w:color="auto"/>
            <w:left w:val="none" w:sz="0" w:space="0" w:color="auto"/>
            <w:bottom w:val="none" w:sz="0" w:space="0" w:color="auto"/>
            <w:right w:val="none" w:sz="0" w:space="0" w:color="auto"/>
          </w:divBdr>
          <w:divsChild>
            <w:div w:id="1713459111">
              <w:marLeft w:val="0"/>
              <w:marRight w:val="0"/>
              <w:marTop w:val="0"/>
              <w:marBottom w:val="0"/>
              <w:divBdr>
                <w:top w:val="none" w:sz="0" w:space="0" w:color="auto"/>
                <w:left w:val="none" w:sz="0" w:space="0" w:color="auto"/>
                <w:bottom w:val="none" w:sz="0" w:space="0" w:color="auto"/>
                <w:right w:val="none" w:sz="0" w:space="0" w:color="auto"/>
              </w:divBdr>
            </w:div>
          </w:divsChild>
        </w:div>
        <w:div w:id="1738437240">
          <w:marLeft w:val="0"/>
          <w:marRight w:val="0"/>
          <w:marTop w:val="0"/>
          <w:marBottom w:val="0"/>
          <w:divBdr>
            <w:top w:val="none" w:sz="0" w:space="0" w:color="auto"/>
            <w:left w:val="none" w:sz="0" w:space="0" w:color="auto"/>
            <w:bottom w:val="none" w:sz="0" w:space="0" w:color="auto"/>
            <w:right w:val="none" w:sz="0" w:space="0" w:color="auto"/>
          </w:divBdr>
          <w:divsChild>
            <w:div w:id="1780563318">
              <w:marLeft w:val="0"/>
              <w:marRight w:val="0"/>
              <w:marTop w:val="0"/>
              <w:marBottom w:val="0"/>
              <w:divBdr>
                <w:top w:val="none" w:sz="0" w:space="0" w:color="auto"/>
                <w:left w:val="none" w:sz="0" w:space="0" w:color="auto"/>
                <w:bottom w:val="none" w:sz="0" w:space="0" w:color="auto"/>
                <w:right w:val="none" w:sz="0" w:space="0" w:color="auto"/>
              </w:divBdr>
            </w:div>
          </w:divsChild>
        </w:div>
        <w:div w:id="1872568607">
          <w:marLeft w:val="0"/>
          <w:marRight w:val="0"/>
          <w:marTop w:val="0"/>
          <w:marBottom w:val="0"/>
          <w:divBdr>
            <w:top w:val="none" w:sz="0" w:space="0" w:color="auto"/>
            <w:left w:val="none" w:sz="0" w:space="0" w:color="auto"/>
            <w:bottom w:val="none" w:sz="0" w:space="0" w:color="auto"/>
            <w:right w:val="none" w:sz="0" w:space="0" w:color="auto"/>
          </w:divBdr>
          <w:divsChild>
            <w:div w:id="21305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7992614">
      <w:bodyDiv w:val="1"/>
      <w:marLeft w:val="0"/>
      <w:marRight w:val="0"/>
      <w:marTop w:val="0"/>
      <w:marBottom w:val="0"/>
      <w:divBdr>
        <w:top w:val="none" w:sz="0" w:space="0" w:color="auto"/>
        <w:left w:val="none" w:sz="0" w:space="0" w:color="auto"/>
        <w:bottom w:val="none" w:sz="0" w:space="0" w:color="auto"/>
        <w:right w:val="none" w:sz="0" w:space="0" w:color="auto"/>
      </w:divBdr>
      <w:divsChild>
        <w:div w:id="65148705">
          <w:marLeft w:val="0"/>
          <w:marRight w:val="0"/>
          <w:marTop w:val="0"/>
          <w:marBottom w:val="0"/>
          <w:divBdr>
            <w:top w:val="none" w:sz="0" w:space="0" w:color="auto"/>
            <w:left w:val="none" w:sz="0" w:space="0" w:color="auto"/>
            <w:bottom w:val="none" w:sz="0" w:space="0" w:color="auto"/>
            <w:right w:val="none" w:sz="0" w:space="0" w:color="auto"/>
          </w:divBdr>
          <w:divsChild>
            <w:div w:id="1846242285">
              <w:marLeft w:val="0"/>
              <w:marRight w:val="0"/>
              <w:marTop w:val="0"/>
              <w:marBottom w:val="0"/>
              <w:divBdr>
                <w:top w:val="none" w:sz="0" w:space="0" w:color="auto"/>
                <w:left w:val="none" w:sz="0" w:space="0" w:color="auto"/>
                <w:bottom w:val="none" w:sz="0" w:space="0" w:color="auto"/>
                <w:right w:val="none" w:sz="0" w:space="0" w:color="auto"/>
              </w:divBdr>
              <w:divsChild>
                <w:div w:id="20141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0154">
          <w:marLeft w:val="0"/>
          <w:marRight w:val="0"/>
          <w:marTop w:val="0"/>
          <w:marBottom w:val="0"/>
          <w:divBdr>
            <w:top w:val="none" w:sz="0" w:space="0" w:color="auto"/>
            <w:left w:val="none" w:sz="0" w:space="0" w:color="auto"/>
            <w:bottom w:val="none" w:sz="0" w:space="0" w:color="auto"/>
            <w:right w:val="none" w:sz="0" w:space="0" w:color="auto"/>
          </w:divBdr>
          <w:divsChild>
            <w:div w:id="1162312486">
              <w:marLeft w:val="0"/>
              <w:marRight w:val="0"/>
              <w:marTop w:val="0"/>
              <w:marBottom w:val="0"/>
              <w:divBdr>
                <w:top w:val="none" w:sz="0" w:space="0" w:color="auto"/>
                <w:left w:val="none" w:sz="0" w:space="0" w:color="auto"/>
                <w:bottom w:val="none" w:sz="0" w:space="0" w:color="auto"/>
                <w:right w:val="none" w:sz="0" w:space="0" w:color="auto"/>
              </w:divBdr>
              <w:divsChild>
                <w:div w:id="1770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370">
          <w:marLeft w:val="0"/>
          <w:marRight w:val="0"/>
          <w:marTop w:val="0"/>
          <w:marBottom w:val="0"/>
          <w:divBdr>
            <w:top w:val="none" w:sz="0" w:space="0" w:color="auto"/>
            <w:left w:val="none" w:sz="0" w:space="0" w:color="auto"/>
            <w:bottom w:val="none" w:sz="0" w:space="0" w:color="auto"/>
            <w:right w:val="none" w:sz="0" w:space="0" w:color="auto"/>
          </w:divBdr>
          <w:divsChild>
            <w:div w:id="1053237995">
              <w:marLeft w:val="0"/>
              <w:marRight w:val="0"/>
              <w:marTop w:val="0"/>
              <w:marBottom w:val="0"/>
              <w:divBdr>
                <w:top w:val="none" w:sz="0" w:space="0" w:color="auto"/>
                <w:left w:val="none" w:sz="0" w:space="0" w:color="auto"/>
                <w:bottom w:val="none" w:sz="0" w:space="0" w:color="auto"/>
                <w:right w:val="none" w:sz="0" w:space="0" w:color="auto"/>
              </w:divBdr>
              <w:divsChild>
                <w:div w:id="2887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994">
          <w:marLeft w:val="0"/>
          <w:marRight w:val="0"/>
          <w:marTop w:val="0"/>
          <w:marBottom w:val="0"/>
          <w:divBdr>
            <w:top w:val="none" w:sz="0" w:space="0" w:color="auto"/>
            <w:left w:val="none" w:sz="0" w:space="0" w:color="auto"/>
            <w:bottom w:val="none" w:sz="0" w:space="0" w:color="auto"/>
            <w:right w:val="none" w:sz="0" w:space="0" w:color="auto"/>
          </w:divBdr>
          <w:divsChild>
            <w:div w:id="37780081">
              <w:marLeft w:val="0"/>
              <w:marRight w:val="0"/>
              <w:marTop w:val="0"/>
              <w:marBottom w:val="0"/>
              <w:divBdr>
                <w:top w:val="none" w:sz="0" w:space="0" w:color="auto"/>
                <w:left w:val="none" w:sz="0" w:space="0" w:color="auto"/>
                <w:bottom w:val="none" w:sz="0" w:space="0" w:color="auto"/>
                <w:right w:val="none" w:sz="0" w:space="0" w:color="auto"/>
              </w:divBdr>
              <w:divsChild>
                <w:div w:id="20504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3478">
          <w:marLeft w:val="0"/>
          <w:marRight w:val="0"/>
          <w:marTop w:val="0"/>
          <w:marBottom w:val="0"/>
          <w:divBdr>
            <w:top w:val="none" w:sz="0" w:space="0" w:color="auto"/>
            <w:left w:val="none" w:sz="0" w:space="0" w:color="auto"/>
            <w:bottom w:val="none" w:sz="0" w:space="0" w:color="auto"/>
            <w:right w:val="none" w:sz="0" w:space="0" w:color="auto"/>
          </w:divBdr>
          <w:divsChild>
            <w:div w:id="1963879041">
              <w:marLeft w:val="0"/>
              <w:marRight w:val="0"/>
              <w:marTop w:val="0"/>
              <w:marBottom w:val="0"/>
              <w:divBdr>
                <w:top w:val="none" w:sz="0" w:space="0" w:color="auto"/>
                <w:left w:val="none" w:sz="0" w:space="0" w:color="auto"/>
                <w:bottom w:val="none" w:sz="0" w:space="0" w:color="auto"/>
                <w:right w:val="none" w:sz="0" w:space="0" w:color="auto"/>
              </w:divBdr>
              <w:divsChild>
                <w:div w:id="9818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4896">
          <w:marLeft w:val="0"/>
          <w:marRight w:val="0"/>
          <w:marTop w:val="0"/>
          <w:marBottom w:val="0"/>
          <w:divBdr>
            <w:top w:val="none" w:sz="0" w:space="0" w:color="auto"/>
            <w:left w:val="none" w:sz="0" w:space="0" w:color="auto"/>
            <w:bottom w:val="none" w:sz="0" w:space="0" w:color="auto"/>
            <w:right w:val="none" w:sz="0" w:space="0" w:color="auto"/>
          </w:divBdr>
          <w:divsChild>
            <w:div w:id="862717081">
              <w:marLeft w:val="0"/>
              <w:marRight w:val="0"/>
              <w:marTop w:val="0"/>
              <w:marBottom w:val="0"/>
              <w:divBdr>
                <w:top w:val="none" w:sz="0" w:space="0" w:color="auto"/>
                <w:left w:val="none" w:sz="0" w:space="0" w:color="auto"/>
                <w:bottom w:val="none" w:sz="0" w:space="0" w:color="auto"/>
                <w:right w:val="none" w:sz="0" w:space="0" w:color="auto"/>
              </w:divBdr>
              <w:divsChild>
                <w:div w:id="19718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0820">
          <w:marLeft w:val="0"/>
          <w:marRight w:val="0"/>
          <w:marTop w:val="0"/>
          <w:marBottom w:val="0"/>
          <w:divBdr>
            <w:top w:val="none" w:sz="0" w:space="0" w:color="auto"/>
            <w:left w:val="none" w:sz="0" w:space="0" w:color="auto"/>
            <w:bottom w:val="none" w:sz="0" w:space="0" w:color="auto"/>
            <w:right w:val="none" w:sz="0" w:space="0" w:color="auto"/>
          </w:divBdr>
          <w:divsChild>
            <w:div w:id="1881935115">
              <w:marLeft w:val="0"/>
              <w:marRight w:val="0"/>
              <w:marTop w:val="0"/>
              <w:marBottom w:val="0"/>
              <w:divBdr>
                <w:top w:val="none" w:sz="0" w:space="0" w:color="auto"/>
                <w:left w:val="none" w:sz="0" w:space="0" w:color="auto"/>
                <w:bottom w:val="none" w:sz="0" w:space="0" w:color="auto"/>
                <w:right w:val="none" w:sz="0" w:space="0" w:color="auto"/>
              </w:divBdr>
              <w:divsChild>
                <w:div w:id="13332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0764">
      <w:bodyDiv w:val="1"/>
      <w:marLeft w:val="0"/>
      <w:marRight w:val="0"/>
      <w:marTop w:val="0"/>
      <w:marBottom w:val="0"/>
      <w:divBdr>
        <w:top w:val="none" w:sz="0" w:space="0" w:color="auto"/>
        <w:left w:val="none" w:sz="0" w:space="0" w:color="auto"/>
        <w:bottom w:val="none" w:sz="0" w:space="0" w:color="auto"/>
        <w:right w:val="none" w:sz="0" w:space="0" w:color="auto"/>
      </w:divBdr>
      <w:divsChild>
        <w:div w:id="448545461">
          <w:marLeft w:val="0"/>
          <w:marRight w:val="0"/>
          <w:marTop w:val="0"/>
          <w:marBottom w:val="0"/>
          <w:divBdr>
            <w:top w:val="none" w:sz="0" w:space="0" w:color="auto"/>
            <w:left w:val="none" w:sz="0" w:space="0" w:color="auto"/>
            <w:bottom w:val="none" w:sz="0" w:space="0" w:color="auto"/>
            <w:right w:val="none" w:sz="0" w:space="0" w:color="auto"/>
          </w:divBdr>
          <w:divsChild>
            <w:div w:id="28343899">
              <w:marLeft w:val="0"/>
              <w:marRight w:val="0"/>
              <w:marTop w:val="0"/>
              <w:marBottom w:val="0"/>
              <w:divBdr>
                <w:top w:val="none" w:sz="0" w:space="0" w:color="auto"/>
                <w:left w:val="none" w:sz="0" w:space="0" w:color="auto"/>
                <w:bottom w:val="none" w:sz="0" w:space="0" w:color="auto"/>
                <w:right w:val="none" w:sz="0" w:space="0" w:color="auto"/>
              </w:divBdr>
            </w:div>
          </w:divsChild>
        </w:div>
        <w:div w:id="1227573827">
          <w:marLeft w:val="0"/>
          <w:marRight w:val="0"/>
          <w:marTop w:val="0"/>
          <w:marBottom w:val="0"/>
          <w:divBdr>
            <w:top w:val="none" w:sz="0" w:space="0" w:color="auto"/>
            <w:left w:val="none" w:sz="0" w:space="0" w:color="auto"/>
            <w:bottom w:val="none" w:sz="0" w:space="0" w:color="auto"/>
            <w:right w:val="none" w:sz="0" w:space="0" w:color="auto"/>
          </w:divBdr>
          <w:divsChild>
            <w:div w:id="11217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63">
      <w:bodyDiv w:val="1"/>
      <w:marLeft w:val="0"/>
      <w:marRight w:val="0"/>
      <w:marTop w:val="0"/>
      <w:marBottom w:val="0"/>
      <w:divBdr>
        <w:top w:val="none" w:sz="0" w:space="0" w:color="auto"/>
        <w:left w:val="none" w:sz="0" w:space="0" w:color="auto"/>
        <w:bottom w:val="none" w:sz="0" w:space="0" w:color="auto"/>
        <w:right w:val="none" w:sz="0" w:space="0" w:color="auto"/>
      </w:divBdr>
      <w:divsChild>
        <w:div w:id="1895506310">
          <w:marLeft w:val="0"/>
          <w:marRight w:val="0"/>
          <w:marTop w:val="0"/>
          <w:marBottom w:val="0"/>
          <w:divBdr>
            <w:top w:val="none" w:sz="0" w:space="0" w:color="auto"/>
            <w:left w:val="none" w:sz="0" w:space="0" w:color="auto"/>
            <w:bottom w:val="none" w:sz="0" w:space="0" w:color="auto"/>
            <w:right w:val="none" w:sz="0" w:space="0" w:color="auto"/>
          </w:divBdr>
          <w:divsChild>
            <w:div w:id="698357638">
              <w:marLeft w:val="0"/>
              <w:marRight w:val="0"/>
              <w:marTop w:val="0"/>
              <w:marBottom w:val="0"/>
              <w:divBdr>
                <w:top w:val="none" w:sz="0" w:space="0" w:color="auto"/>
                <w:left w:val="none" w:sz="0" w:space="0" w:color="auto"/>
                <w:bottom w:val="none" w:sz="0" w:space="0" w:color="auto"/>
                <w:right w:val="none" w:sz="0" w:space="0" w:color="auto"/>
              </w:divBdr>
            </w:div>
          </w:divsChild>
        </w:div>
        <w:div w:id="2037849912">
          <w:marLeft w:val="0"/>
          <w:marRight w:val="0"/>
          <w:marTop w:val="0"/>
          <w:marBottom w:val="0"/>
          <w:divBdr>
            <w:top w:val="none" w:sz="0" w:space="0" w:color="auto"/>
            <w:left w:val="none" w:sz="0" w:space="0" w:color="auto"/>
            <w:bottom w:val="none" w:sz="0" w:space="0" w:color="auto"/>
            <w:right w:val="none" w:sz="0" w:space="0" w:color="auto"/>
          </w:divBdr>
          <w:divsChild>
            <w:div w:id="17087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4664028">
      <w:bodyDiv w:val="1"/>
      <w:marLeft w:val="0"/>
      <w:marRight w:val="0"/>
      <w:marTop w:val="0"/>
      <w:marBottom w:val="0"/>
      <w:divBdr>
        <w:top w:val="none" w:sz="0" w:space="0" w:color="auto"/>
        <w:left w:val="none" w:sz="0" w:space="0" w:color="auto"/>
        <w:bottom w:val="none" w:sz="0" w:space="0" w:color="auto"/>
        <w:right w:val="none" w:sz="0" w:space="0" w:color="auto"/>
      </w:divBdr>
      <w:divsChild>
        <w:div w:id="99688711">
          <w:marLeft w:val="0"/>
          <w:marRight w:val="0"/>
          <w:marTop w:val="0"/>
          <w:marBottom w:val="0"/>
          <w:divBdr>
            <w:top w:val="none" w:sz="0" w:space="0" w:color="auto"/>
            <w:left w:val="none" w:sz="0" w:space="0" w:color="auto"/>
            <w:bottom w:val="none" w:sz="0" w:space="0" w:color="auto"/>
            <w:right w:val="none" w:sz="0" w:space="0" w:color="auto"/>
          </w:divBdr>
          <w:divsChild>
            <w:div w:id="829324770">
              <w:marLeft w:val="0"/>
              <w:marRight w:val="0"/>
              <w:marTop w:val="0"/>
              <w:marBottom w:val="0"/>
              <w:divBdr>
                <w:top w:val="none" w:sz="0" w:space="0" w:color="auto"/>
                <w:left w:val="none" w:sz="0" w:space="0" w:color="auto"/>
                <w:bottom w:val="none" w:sz="0" w:space="0" w:color="auto"/>
                <w:right w:val="none" w:sz="0" w:space="0" w:color="auto"/>
              </w:divBdr>
              <w:divsChild>
                <w:div w:id="2096124735">
                  <w:marLeft w:val="0"/>
                  <w:marRight w:val="0"/>
                  <w:marTop w:val="0"/>
                  <w:marBottom w:val="0"/>
                  <w:divBdr>
                    <w:top w:val="none" w:sz="0" w:space="0" w:color="auto"/>
                    <w:left w:val="none" w:sz="0" w:space="0" w:color="auto"/>
                    <w:bottom w:val="none" w:sz="0" w:space="0" w:color="auto"/>
                    <w:right w:val="none" w:sz="0" w:space="0" w:color="auto"/>
                  </w:divBdr>
                </w:div>
              </w:divsChild>
            </w:div>
            <w:div w:id="1458447976">
              <w:marLeft w:val="0"/>
              <w:marRight w:val="0"/>
              <w:marTop w:val="0"/>
              <w:marBottom w:val="0"/>
              <w:divBdr>
                <w:top w:val="none" w:sz="0" w:space="0" w:color="auto"/>
                <w:left w:val="none" w:sz="0" w:space="0" w:color="auto"/>
                <w:bottom w:val="none" w:sz="0" w:space="0" w:color="auto"/>
                <w:right w:val="none" w:sz="0" w:space="0" w:color="auto"/>
              </w:divBdr>
              <w:divsChild>
                <w:div w:id="1849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7750">
          <w:marLeft w:val="0"/>
          <w:marRight w:val="0"/>
          <w:marTop w:val="0"/>
          <w:marBottom w:val="0"/>
          <w:divBdr>
            <w:top w:val="none" w:sz="0" w:space="0" w:color="auto"/>
            <w:left w:val="none" w:sz="0" w:space="0" w:color="auto"/>
            <w:bottom w:val="none" w:sz="0" w:space="0" w:color="auto"/>
            <w:right w:val="none" w:sz="0" w:space="0" w:color="auto"/>
          </w:divBdr>
          <w:divsChild>
            <w:div w:id="140318161">
              <w:marLeft w:val="0"/>
              <w:marRight w:val="0"/>
              <w:marTop w:val="0"/>
              <w:marBottom w:val="0"/>
              <w:divBdr>
                <w:top w:val="none" w:sz="0" w:space="0" w:color="auto"/>
                <w:left w:val="none" w:sz="0" w:space="0" w:color="auto"/>
                <w:bottom w:val="none" w:sz="0" w:space="0" w:color="auto"/>
                <w:right w:val="none" w:sz="0" w:space="0" w:color="auto"/>
              </w:divBdr>
              <w:divsChild>
                <w:div w:id="1755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5457">
          <w:marLeft w:val="0"/>
          <w:marRight w:val="0"/>
          <w:marTop w:val="0"/>
          <w:marBottom w:val="0"/>
          <w:divBdr>
            <w:top w:val="none" w:sz="0" w:space="0" w:color="auto"/>
            <w:left w:val="none" w:sz="0" w:space="0" w:color="auto"/>
            <w:bottom w:val="none" w:sz="0" w:space="0" w:color="auto"/>
            <w:right w:val="none" w:sz="0" w:space="0" w:color="auto"/>
          </w:divBdr>
          <w:divsChild>
            <w:div w:id="1049263944">
              <w:marLeft w:val="0"/>
              <w:marRight w:val="0"/>
              <w:marTop w:val="0"/>
              <w:marBottom w:val="0"/>
              <w:divBdr>
                <w:top w:val="none" w:sz="0" w:space="0" w:color="auto"/>
                <w:left w:val="none" w:sz="0" w:space="0" w:color="auto"/>
                <w:bottom w:val="none" w:sz="0" w:space="0" w:color="auto"/>
                <w:right w:val="none" w:sz="0" w:space="0" w:color="auto"/>
              </w:divBdr>
              <w:divsChild>
                <w:div w:id="20288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536">
          <w:marLeft w:val="0"/>
          <w:marRight w:val="0"/>
          <w:marTop w:val="0"/>
          <w:marBottom w:val="0"/>
          <w:divBdr>
            <w:top w:val="none" w:sz="0" w:space="0" w:color="auto"/>
            <w:left w:val="none" w:sz="0" w:space="0" w:color="auto"/>
            <w:bottom w:val="none" w:sz="0" w:space="0" w:color="auto"/>
            <w:right w:val="none" w:sz="0" w:space="0" w:color="auto"/>
          </w:divBdr>
          <w:divsChild>
            <w:div w:id="1663704103">
              <w:marLeft w:val="0"/>
              <w:marRight w:val="0"/>
              <w:marTop w:val="0"/>
              <w:marBottom w:val="0"/>
              <w:divBdr>
                <w:top w:val="none" w:sz="0" w:space="0" w:color="auto"/>
                <w:left w:val="none" w:sz="0" w:space="0" w:color="auto"/>
                <w:bottom w:val="none" w:sz="0" w:space="0" w:color="auto"/>
                <w:right w:val="none" w:sz="0" w:space="0" w:color="auto"/>
              </w:divBdr>
              <w:divsChild>
                <w:div w:id="14452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7138">
          <w:marLeft w:val="0"/>
          <w:marRight w:val="0"/>
          <w:marTop w:val="0"/>
          <w:marBottom w:val="0"/>
          <w:divBdr>
            <w:top w:val="none" w:sz="0" w:space="0" w:color="auto"/>
            <w:left w:val="none" w:sz="0" w:space="0" w:color="auto"/>
            <w:bottom w:val="none" w:sz="0" w:space="0" w:color="auto"/>
            <w:right w:val="none" w:sz="0" w:space="0" w:color="auto"/>
          </w:divBdr>
          <w:divsChild>
            <w:div w:id="1075249927">
              <w:marLeft w:val="0"/>
              <w:marRight w:val="0"/>
              <w:marTop w:val="0"/>
              <w:marBottom w:val="0"/>
              <w:divBdr>
                <w:top w:val="none" w:sz="0" w:space="0" w:color="auto"/>
                <w:left w:val="none" w:sz="0" w:space="0" w:color="auto"/>
                <w:bottom w:val="none" w:sz="0" w:space="0" w:color="auto"/>
                <w:right w:val="none" w:sz="0" w:space="0" w:color="auto"/>
              </w:divBdr>
              <w:divsChild>
                <w:div w:id="2154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2180">
          <w:marLeft w:val="0"/>
          <w:marRight w:val="0"/>
          <w:marTop w:val="0"/>
          <w:marBottom w:val="0"/>
          <w:divBdr>
            <w:top w:val="none" w:sz="0" w:space="0" w:color="auto"/>
            <w:left w:val="none" w:sz="0" w:space="0" w:color="auto"/>
            <w:bottom w:val="none" w:sz="0" w:space="0" w:color="auto"/>
            <w:right w:val="none" w:sz="0" w:space="0" w:color="auto"/>
          </w:divBdr>
          <w:divsChild>
            <w:div w:id="73863270">
              <w:marLeft w:val="0"/>
              <w:marRight w:val="0"/>
              <w:marTop w:val="0"/>
              <w:marBottom w:val="0"/>
              <w:divBdr>
                <w:top w:val="none" w:sz="0" w:space="0" w:color="auto"/>
                <w:left w:val="none" w:sz="0" w:space="0" w:color="auto"/>
                <w:bottom w:val="none" w:sz="0" w:space="0" w:color="auto"/>
                <w:right w:val="none" w:sz="0" w:space="0" w:color="auto"/>
              </w:divBdr>
              <w:divsChild>
                <w:div w:id="2786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0858">
          <w:marLeft w:val="0"/>
          <w:marRight w:val="0"/>
          <w:marTop w:val="0"/>
          <w:marBottom w:val="0"/>
          <w:divBdr>
            <w:top w:val="none" w:sz="0" w:space="0" w:color="auto"/>
            <w:left w:val="none" w:sz="0" w:space="0" w:color="auto"/>
            <w:bottom w:val="none" w:sz="0" w:space="0" w:color="auto"/>
            <w:right w:val="none" w:sz="0" w:space="0" w:color="auto"/>
          </w:divBdr>
          <w:divsChild>
            <w:div w:id="258561047">
              <w:marLeft w:val="0"/>
              <w:marRight w:val="0"/>
              <w:marTop w:val="0"/>
              <w:marBottom w:val="0"/>
              <w:divBdr>
                <w:top w:val="none" w:sz="0" w:space="0" w:color="auto"/>
                <w:left w:val="none" w:sz="0" w:space="0" w:color="auto"/>
                <w:bottom w:val="none" w:sz="0" w:space="0" w:color="auto"/>
                <w:right w:val="none" w:sz="0" w:space="0" w:color="auto"/>
              </w:divBdr>
              <w:divsChild>
                <w:div w:id="17074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6874">
          <w:marLeft w:val="0"/>
          <w:marRight w:val="0"/>
          <w:marTop w:val="0"/>
          <w:marBottom w:val="0"/>
          <w:divBdr>
            <w:top w:val="none" w:sz="0" w:space="0" w:color="auto"/>
            <w:left w:val="none" w:sz="0" w:space="0" w:color="auto"/>
            <w:bottom w:val="none" w:sz="0" w:space="0" w:color="auto"/>
            <w:right w:val="none" w:sz="0" w:space="0" w:color="auto"/>
          </w:divBdr>
          <w:divsChild>
            <w:div w:id="429131324">
              <w:marLeft w:val="0"/>
              <w:marRight w:val="0"/>
              <w:marTop w:val="0"/>
              <w:marBottom w:val="0"/>
              <w:divBdr>
                <w:top w:val="none" w:sz="0" w:space="0" w:color="auto"/>
                <w:left w:val="none" w:sz="0" w:space="0" w:color="auto"/>
                <w:bottom w:val="none" w:sz="0" w:space="0" w:color="auto"/>
                <w:right w:val="none" w:sz="0" w:space="0" w:color="auto"/>
              </w:divBdr>
              <w:divsChild>
                <w:div w:id="1560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7490">
          <w:marLeft w:val="0"/>
          <w:marRight w:val="0"/>
          <w:marTop w:val="0"/>
          <w:marBottom w:val="0"/>
          <w:divBdr>
            <w:top w:val="none" w:sz="0" w:space="0" w:color="auto"/>
            <w:left w:val="none" w:sz="0" w:space="0" w:color="auto"/>
            <w:bottom w:val="none" w:sz="0" w:space="0" w:color="auto"/>
            <w:right w:val="none" w:sz="0" w:space="0" w:color="auto"/>
          </w:divBdr>
          <w:divsChild>
            <w:div w:id="256602858">
              <w:marLeft w:val="0"/>
              <w:marRight w:val="0"/>
              <w:marTop w:val="0"/>
              <w:marBottom w:val="0"/>
              <w:divBdr>
                <w:top w:val="none" w:sz="0" w:space="0" w:color="auto"/>
                <w:left w:val="none" w:sz="0" w:space="0" w:color="auto"/>
                <w:bottom w:val="none" w:sz="0" w:space="0" w:color="auto"/>
                <w:right w:val="none" w:sz="0" w:space="0" w:color="auto"/>
              </w:divBdr>
              <w:divsChild>
                <w:div w:id="15075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5989">
          <w:marLeft w:val="0"/>
          <w:marRight w:val="0"/>
          <w:marTop w:val="0"/>
          <w:marBottom w:val="0"/>
          <w:divBdr>
            <w:top w:val="none" w:sz="0" w:space="0" w:color="auto"/>
            <w:left w:val="none" w:sz="0" w:space="0" w:color="auto"/>
            <w:bottom w:val="none" w:sz="0" w:space="0" w:color="auto"/>
            <w:right w:val="none" w:sz="0" w:space="0" w:color="auto"/>
          </w:divBdr>
          <w:divsChild>
            <w:div w:id="598174513">
              <w:marLeft w:val="0"/>
              <w:marRight w:val="0"/>
              <w:marTop w:val="0"/>
              <w:marBottom w:val="0"/>
              <w:divBdr>
                <w:top w:val="none" w:sz="0" w:space="0" w:color="auto"/>
                <w:left w:val="none" w:sz="0" w:space="0" w:color="auto"/>
                <w:bottom w:val="none" w:sz="0" w:space="0" w:color="auto"/>
                <w:right w:val="none" w:sz="0" w:space="0" w:color="auto"/>
              </w:divBdr>
              <w:divsChild>
                <w:div w:id="1945111153">
                  <w:marLeft w:val="0"/>
                  <w:marRight w:val="0"/>
                  <w:marTop w:val="0"/>
                  <w:marBottom w:val="0"/>
                  <w:divBdr>
                    <w:top w:val="none" w:sz="0" w:space="0" w:color="auto"/>
                    <w:left w:val="none" w:sz="0" w:space="0" w:color="auto"/>
                    <w:bottom w:val="none" w:sz="0" w:space="0" w:color="auto"/>
                    <w:right w:val="none" w:sz="0" w:space="0" w:color="auto"/>
                  </w:divBdr>
                </w:div>
              </w:divsChild>
            </w:div>
            <w:div w:id="1638414107">
              <w:marLeft w:val="0"/>
              <w:marRight w:val="0"/>
              <w:marTop w:val="0"/>
              <w:marBottom w:val="0"/>
              <w:divBdr>
                <w:top w:val="none" w:sz="0" w:space="0" w:color="auto"/>
                <w:left w:val="none" w:sz="0" w:space="0" w:color="auto"/>
                <w:bottom w:val="none" w:sz="0" w:space="0" w:color="auto"/>
                <w:right w:val="none" w:sz="0" w:space="0" w:color="auto"/>
              </w:divBdr>
              <w:divsChild>
                <w:div w:id="14437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5487">
          <w:marLeft w:val="0"/>
          <w:marRight w:val="0"/>
          <w:marTop w:val="0"/>
          <w:marBottom w:val="0"/>
          <w:divBdr>
            <w:top w:val="none" w:sz="0" w:space="0" w:color="auto"/>
            <w:left w:val="none" w:sz="0" w:space="0" w:color="auto"/>
            <w:bottom w:val="none" w:sz="0" w:space="0" w:color="auto"/>
            <w:right w:val="none" w:sz="0" w:space="0" w:color="auto"/>
          </w:divBdr>
          <w:divsChild>
            <w:div w:id="1085685019">
              <w:marLeft w:val="0"/>
              <w:marRight w:val="0"/>
              <w:marTop w:val="0"/>
              <w:marBottom w:val="0"/>
              <w:divBdr>
                <w:top w:val="none" w:sz="0" w:space="0" w:color="auto"/>
                <w:left w:val="none" w:sz="0" w:space="0" w:color="auto"/>
                <w:bottom w:val="none" w:sz="0" w:space="0" w:color="auto"/>
                <w:right w:val="none" w:sz="0" w:space="0" w:color="auto"/>
              </w:divBdr>
              <w:divsChild>
                <w:div w:id="1071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7223">
          <w:marLeft w:val="0"/>
          <w:marRight w:val="0"/>
          <w:marTop w:val="0"/>
          <w:marBottom w:val="0"/>
          <w:divBdr>
            <w:top w:val="none" w:sz="0" w:space="0" w:color="auto"/>
            <w:left w:val="none" w:sz="0" w:space="0" w:color="auto"/>
            <w:bottom w:val="none" w:sz="0" w:space="0" w:color="auto"/>
            <w:right w:val="none" w:sz="0" w:space="0" w:color="auto"/>
          </w:divBdr>
          <w:divsChild>
            <w:div w:id="605578222">
              <w:marLeft w:val="0"/>
              <w:marRight w:val="0"/>
              <w:marTop w:val="0"/>
              <w:marBottom w:val="0"/>
              <w:divBdr>
                <w:top w:val="none" w:sz="0" w:space="0" w:color="auto"/>
                <w:left w:val="none" w:sz="0" w:space="0" w:color="auto"/>
                <w:bottom w:val="none" w:sz="0" w:space="0" w:color="auto"/>
                <w:right w:val="none" w:sz="0" w:space="0" w:color="auto"/>
              </w:divBdr>
              <w:divsChild>
                <w:div w:id="501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0792">
          <w:marLeft w:val="0"/>
          <w:marRight w:val="0"/>
          <w:marTop w:val="0"/>
          <w:marBottom w:val="0"/>
          <w:divBdr>
            <w:top w:val="none" w:sz="0" w:space="0" w:color="auto"/>
            <w:left w:val="none" w:sz="0" w:space="0" w:color="auto"/>
            <w:bottom w:val="none" w:sz="0" w:space="0" w:color="auto"/>
            <w:right w:val="none" w:sz="0" w:space="0" w:color="auto"/>
          </w:divBdr>
          <w:divsChild>
            <w:div w:id="1734935981">
              <w:marLeft w:val="0"/>
              <w:marRight w:val="0"/>
              <w:marTop w:val="0"/>
              <w:marBottom w:val="0"/>
              <w:divBdr>
                <w:top w:val="none" w:sz="0" w:space="0" w:color="auto"/>
                <w:left w:val="none" w:sz="0" w:space="0" w:color="auto"/>
                <w:bottom w:val="none" w:sz="0" w:space="0" w:color="auto"/>
                <w:right w:val="none" w:sz="0" w:space="0" w:color="auto"/>
              </w:divBdr>
              <w:divsChild>
                <w:div w:id="14036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7753">
          <w:marLeft w:val="0"/>
          <w:marRight w:val="0"/>
          <w:marTop w:val="0"/>
          <w:marBottom w:val="0"/>
          <w:divBdr>
            <w:top w:val="none" w:sz="0" w:space="0" w:color="auto"/>
            <w:left w:val="none" w:sz="0" w:space="0" w:color="auto"/>
            <w:bottom w:val="none" w:sz="0" w:space="0" w:color="auto"/>
            <w:right w:val="none" w:sz="0" w:space="0" w:color="auto"/>
          </w:divBdr>
          <w:divsChild>
            <w:div w:id="173157958">
              <w:marLeft w:val="0"/>
              <w:marRight w:val="0"/>
              <w:marTop w:val="0"/>
              <w:marBottom w:val="0"/>
              <w:divBdr>
                <w:top w:val="none" w:sz="0" w:space="0" w:color="auto"/>
                <w:left w:val="none" w:sz="0" w:space="0" w:color="auto"/>
                <w:bottom w:val="none" w:sz="0" w:space="0" w:color="auto"/>
                <w:right w:val="none" w:sz="0" w:space="0" w:color="auto"/>
              </w:divBdr>
              <w:divsChild>
                <w:div w:id="4848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966">
          <w:marLeft w:val="0"/>
          <w:marRight w:val="0"/>
          <w:marTop w:val="0"/>
          <w:marBottom w:val="0"/>
          <w:divBdr>
            <w:top w:val="none" w:sz="0" w:space="0" w:color="auto"/>
            <w:left w:val="none" w:sz="0" w:space="0" w:color="auto"/>
            <w:bottom w:val="none" w:sz="0" w:space="0" w:color="auto"/>
            <w:right w:val="none" w:sz="0" w:space="0" w:color="auto"/>
          </w:divBdr>
          <w:divsChild>
            <w:div w:id="958948421">
              <w:marLeft w:val="0"/>
              <w:marRight w:val="0"/>
              <w:marTop w:val="0"/>
              <w:marBottom w:val="0"/>
              <w:divBdr>
                <w:top w:val="none" w:sz="0" w:space="0" w:color="auto"/>
                <w:left w:val="none" w:sz="0" w:space="0" w:color="auto"/>
                <w:bottom w:val="none" w:sz="0" w:space="0" w:color="auto"/>
                <w:right w:val="none" w:sz="0" w:space="0" w:color="auto"/>
              </w:divBdr>
              <w:divsChild>
                <w:div w:id="2387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68677">
          <w:marLeft w:val="0"/>
          <w:marRight w:val="0"/>
          <w:marTop w:val="0"/>
          <w:marBottom w:val="0"/>
          <w:divBdr>
            <w:top w:val="none" w:sz="0" w:space="0" w:color="auto"/>
            <w:left w:val="none" w:sz="0" w:space="0" w:color="auto"/>
            <w:bottom w:val="none" w:sz="0" w:space="0" w:color="auto"/>
            <w:right w:val="none" w:sz="0" w:space="0" w:color="auto"/>
          </w:divBdr>
          <w:divsChild>
            <w:div w:id="88309721">
              <w:marLeft w:val="0"/>
              <w:marRight w:val="0"/>
              <w:marTop w:val="0"/>
              <w:marBottom w:val="0"/>
              <w:divBdr>
                <w:top w:val="none" w:sz="0" w:space="0" w:color="auto"/>
                <w:left w:val="none" w:sz="0" w:space="0" w:color="auto"/>
                <w:bottom w:val="none" w:sz="0" w:space="0" w:color="auto"/>
                <w:right w:val="none" w:sz="0" w:space="0" w:color="auto"/>
              </w:divBdr>
              <w:divsChild>
                <w:div w:id="368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1769">
          <w:marLeft w:val="0"/>
          <w:marRight w:val="0"/>
          <w:marTop w:val="0"/>
          <w:marBottom w:val="0"/>
          <w:divBdr>
            <w:top w:val="none" w:sz="0" w:space="0" w:color="auto"/>
            <w:left w:val="none" w:sz="0" w:space="0" w:color="auto"/>
            <w:bottom w:val="none" w:sz="0" w:space="0" w:color="auto"/>
            <w:right w:val="none" w:sz="0" w:space="0" w:color="auto"/>
          </w:divBdr>
          <w:divsChild>
            <w:div w:id="327640010">
              <w:marLeft w:val="0"/>
              <w:marRight w:val="0"/>
              <w:marTop w:val="0"/>
              <w:marBottom w:val="0"/>
              <w:divBdr>
                <w:top w:val="none" w:sz="0" w:space="0" w:color="auto"/>
                <w:left w:val="none" w:sz="0" w:space="0" w:color="auto"/>
                <w:bottom w:val="none" w:sz="0" w:space="0" w:color="auto"/>
                <w:right w:val="none" w:sz="0" w:space="0" w:color="auto"/>
              </w:divBdr>
              <w:divsChild>
                <w:div w:id="2000114678">
                  <w:marLeft w:val="0"/>
                  <w:marRight w:val="0"/>
                  <w:marTop w:val="0"/>
                  <w:marBottom w:val="0"/>
                  <w:divBdr>
                    <w:top w:val="none" w:sz="0" w:space="0" w:color="auto"/>
                    <w:left w:val="none" w:sz="0" w:space="0" w:color="auto"/>
                    <w:bottom w:val="none" w:sz="0" w:space="0" w:color="auto"/>
                    <w:right w:val="none" w:sz="0" w:space="0" w:color="auto"/>
                  </w:divBdr>
                </w:div>
              </w:divsChild>
            </w:div>
            <w:div w:id="395205725">
              <w:marLeft w:val="0"/>
              <w:marRight w:val="0"/>
              <w:marTop w:val="0"/>
              <w:marBottom w:val="0"/>
              <w:divBdr>
                <w:top w:val="none" w:sz="0" w:space="0" w:color="auto"/>
                <w:left w:val="none" w:sz="0" w:space="0" w:color="auto"/>
                <w:bottom w:val="none" w:sz="0" w:space="0" w:color="auto"/>
                <w:right w:val="none" w:sz="0" w:space="0" w:color="auto"/>
              </w:divBdr>
              <w:divsChild>
                <w:div w:id="1549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8352">
          <w:marLeft w:val="0"/>
          <w:marRight w:val="0"/>
          <w:marTop w:val="0"/>
          <w:marBottom w:val="0"/>
          <w:divBdr>
            <w:top w:val="none" w:sz="0" w:space="0" w:color="auto"/>
            <w:left w:val="none" w:sz="0" w:space="0" w:color="auto"/>
            <w:bottom w:val="none" w:sz="0" w:space="0" w:color="auto"/>
            <w:right w:val="none" w:sz="0" w:space="0" w:color="auto"/>
          </w:divBdr>
          <w:divsChild>
            <w:div w:id="755856488">
              <w:marLeft w:val="0"/>
              <w:marRight w:val="0"/>
              <w:marTop w:val="0"/>
              <w:marBottom w:val="0"/>
              <w:divBdr>
                <w:top w:val="none" w:sz="0" w:space="0" w:color="auto"/>
                <w:left w:val="none" w:sz="0" w:space="0" w:color="auto"/>
                <w:bottom w:val="none" w:sz="0" w:space="0" w:color="auto"/>
                <w:right w:val="none" w:sz="0" w:space="0" w:color="auto"/>
              </w:divBdr>
              <w:divsChild>
                <w:div w:id="7295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380">
          <w:marLeft w:val="0"/>
          <w:marRight w:val="0"/>
          <w:marTop w:val="0"/>
          <w:marBottom w:val="0"/>
          <w:divBdr>
            <w:top w:val="none" w:sz="0" w:space="0" w:color="auto"/>
            <w:left w:val="none" w:sz="0" w:space="0" w:color="auto"/>
            <w:bottom w:val="none" w:sz="0" w:space="0" w:color="auto"/>
            <w:right w:val="none" w:sz="0" w:space="0" w:color="auto"/>
          </w:divBdr>
          <w:divsChild>
            <w:div w:id="2130664727">
              <w:marLeft w:val="0"/>
              <w:marRight w:val="0"/>
              <w:marTop w:val="0"/>
              <w:marBottom w:val="0"/>
              <w:divBdr>
                <w:top w:val="none" w:sz="0" w:space="0" w:color="auto"/>
                <w:left w:val="none" w:sz="0" w:space="0" w:color="auto"/>
                <w:bottom w:val="none" w:sz="0" w:space="0" w:color="auto"/>
                <w:right w:val="none" w:sz="0" w:space="0" w:color="auto"/>
              </w:divBdr>
              <w:divsChild>
                <w:div w:id="10546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186">
          <w:marLeft w:val="0"/>
          <w:marRight w:val="0"/>
          <w:marTop w:val="0"/>
          <w:marBottom w:val="0"/>
          <w:divBdr>
            <w:top w:val="none" w:sz="0" w:space="0" w:color="auto"/>
            <w:left w:val="none" w:sz="0" w:space="0" w:color="auto"/>
            <w:bottom w:val="none" w:sz="0" w:space="0" w:color="auto"/>
            <w:right w:val="none" w:sz="0" w:space="0" w:color="auto"/>
          </w:divBdr>
          <w:divsChild>
            <w:div w:id="698429596">
              <w:marLeft w:val="0"/>
              <w:marRight w:val="0"/>
              <w:marTop w:val="0"/>
              <w:marBottom w:val="0"/>
              <w:divBdr>
                <w:top w:val="none" w:sz="0" w:space="0" w:color="auto"/>
                <w:left w:val="none" w:sz="0" w:space="0" w:color="auto"/>
                <w:bottom w:val="none" w:sz="0" w:space="0" w:color="auto"/>
                <w:right w:val="none" w:sz="0" w:space="0" w:color="auto"/>
              </w:divBdr>
              <w:divsChild>
                <w:div w:id="21464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2726">
          <w:marLeft w:val="0"/>
          <w:marRight w:val="0"/>
          <w:marTop w:val="0"/>
          <w:marBottom w:val="0"/>
          <w:divBdr>
            <w:top w:val="none" w:sz="0" w:space="0" w:color="auto"/>
            <w:left w:val="none" w:sz="0" w:space="0" w:color="auto"/>
            <w:bottom w:val="none" w:sz="0" w:space="0" w:color="auto"/>
            <w:right w:val="none" w:sz="0" w:space="0" w:color="auto"/>
          </w:divBdr>
          <w:divsChild>
            <w:div w:id="1111827131">
              <w:marLeft w:val="0"/>
              <w:marRight w:val="0"/>
              <w:marTop w:val="0"/>
              <w:marBottom w:val="0"/>
              <w:divBdr>
                <w:top w:val="none" w:sz="0" w:space="0" w:color="auto"/>
                <w:left w:val="none" w:sz="0" w:space="0" w:color="auto"/>
                <w:bottom w:val="none" w:sz="0" w:space="0" w:color="auto"/>
                <w:right w:val="none" w:sz="0" w:space="0" w:color="auto"/>
              </w:divBdr>
              <w:divsChild>
                <w:div w:id="16860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634">
          <w:marLeft w:val="0"/>
          <w:marRight w:val="0"/>
          <w:marTop w:val="0"/>
          <w:marBottom w:val="0"/>
          <w:divBdr>
            <w:top w:val="none" w:sz="0" w:space="0" w:color="auto"/>
            <w:left w:val="none" w:sz="0" w:space="0" w:color="auto"/>
            <w:bottom w:val="none" w:sz="0" w:space="0" w:color="auto"/>
            <w:right w:val="none" w:sz="0" w:space="0" w:color="auto"/>
          </w:divBdr>
          <w:divsChild>
            <w:div w:id="65614964">
              <w:marLeft w:val="0"/>
              <w:marRight w:val="0"/>
              <w:marTop w:val="0"/>
              <w:marBottom w:val="0"/>
              <w:divBdr>
                <w:top w:val="none" w:sz="0" w:space="0" w:color="auto"/>
                <w:left w:val="none" w:sz="0" w:space="0" w:color="auto"/>
                <w:bottom w:val="none" w:sz="0" w:space="0" w:color="auto"/>
                <w:right w:val="none" w:sz="0" w:space="0" w:color="auto"/>
              </w:divBdr>
              <w:divsChild>
                <w:div w:id="269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1280">
          <w:marLeft w:val="0"/>
          <w:marRight w:val="0"/>
          <w:marTop w:val="0"/>
          <w:marBottom w:val="0"/>
          <w:divBdr>
            <w:top w:val="none" w:sz="0" w:space="0" w:color="auto"/>
            <w:left w:val="none" w:sz="0" w:space="0" w:color="auto"/>
            <w:bottom w:val="none" w:sz="0" w:space="0" w:color="auto"/>
            <w:right w:val="none" w:sz="0" w:space="0" w:color="auto"/>
          </w:divBdr>
          <w:divsChild>
            <w:div w:id="1682312969">
              <w:marLeft w:val="0"/>
              <w:marRight w:val="0"/>
              <w:marTop w:val="0"/>
              <w:marBottom w:val="0"/>
              <w:divBdr>
                <w:top w:val="none" w:sz="0" w:space="0" w:color="auto"/>
                <w:left w:val="none" w:sz="0" w:space="0" w:color="auto"/>
                <w:bottom w:val="none" w:sz="0" w:space="0" w:color="auto"/>
                <w:right w:val="none" w:sz="0" w:space="0" w:color="auto"/>
              </w:divBdr>
              <w:divsChild>
                <w:div w:id="15388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4295">
          <w:marLeft w:val="0"/>
          <w:marRight w:val="0"/>
          <w:marTop w:val="0"/>
          <w:marBottom w:val="0"/>
          <w:divBdr>
            <w:top w:val="none" w:sz="0" w:space="0" w:color="auto"/>
            <w:left w:val="none" w:sz="0" w:space="0" w:color="auto"/>
            <w:bottom w:val="none" w:sz="0" w:space="0" w:color="auto"/>
            <w:right w:val="none" w:sz="0" w:space="0" w:color="auto"/>
          </w:divBdr>
          <w:divsChild>
            <w:div w:id="188951745">
              <w:marLeft w:val="0"/>
              <w:marRight w:val="0"/>
              <w:marTop w:val="0"/>
              <w:marBottom w:val="0"/>
              <w:divBdr>
                <w:top w:val="none" w:sz="0" w:space="0" w:color="auto"/>
                <w:left w:val="none" w:sz="0" w:space="0" w:color="auto"/>
                <w:bottom w:val="none" w:sz="0" w:space="0" w:color="auto"/>
                <w:right w:val="none" w:sz="0" w:space="0" w:color="auto"/>
              </w:divBdr>
              <w:divsChild>
                <w:div w:id="15403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3464">
          <w:marLeft w:val="0"/>
          <w:marRight w:val="0"/>
          <w:marTop w:val="0"/>
          <w:marBottom w:val="0"/>
          <w:divBdr>
            <w:top w:val="none" w:sz="0" w:space="0" w:color="auto"/>
            <w:left w:val="none" w:sz="0" w:space="0" w:color="auto"/>
            <w:bottom w:val="none" w:sz="0" w:space="0" w:color="auto"/>
            <w:right w:val="none" w:sz="0" w:space="0" w:color="auto"/>
          </w:divBdr>
          <w:divsChild>
            <w:div w:id="1867056815">
              <w:marLeft w:val="0"/>
              <w:marRight w:val="0"/>
              <w:marTop w:val="0"/>
              <w:marBottom w:val="0"/>
              <w:divBdr>
                <w:top w:val="none" w:sz="0" w:space="0" w:color="auto"/>
                <w:left w:val="none" w:sz="0" w:space="0" w:color="auto"/>
                <w:bottom w:val="none" w:sz="0" w:space="0" w:color="auto"/>
                <w:right w:val="none" w:sz="0" w:space="0" w:color="auto"/>
              </w:divBdr>
              <w:divsChild>
                <w:div w:id="9480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03275">
          <w:marLeft w:val="0"/>
          <w:marRight w:val="0"/>
          <w:marTop w:val="0"/>
          <w:marBottom w:val="0"/>
          <w:divBdr>
            <w:top w:val="none" w:sz="0" w:space="0" w:color="auto"/>
            <w:left w:val="none" w:sz="0" w:space="0" w:color="auto"/>
            <w:bottom w:val="none" w:sz="0" w:space="0" w:color="auto"/>
            <w:right w:val="none" w:sz="0" w:space="0" w:color="auto"/>
          </w:divBdr>
          <w:divsChild>
            <w:div w:id="1527519904">
              <w:marLeft w:val="0"/>
              <w:marRight w:val="0"/>
              <w:marTop w:val="0"/>
              <w:marBottom w:val="0"/>
              <w:divBdr>
                <w:top w:val="none" w:sz="0" w:space="0" w:color="auto"/>
                <w:left w:val="none" w:sz="0" w:space="0" w:color="auto"/>
                <w:bottom w:val="none" w:sz="0" w:space="0" w:color="auto"/>
                <w:right w:val="none" w:sz="0" w:space="0" w:color="auto"/>
              </w:divBdr>
              <w:divsChild>
                <w:div w:id="17826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3609">
          <w:marLeft w:val="0"/>
          <w:marRight w:val="0"/>
          <w:marTop w:val="0"/>
          <w:marBottom w:val="0"/>
          <w:divBdr>
            <w:top w:val="none" w:sz="0" w:space="0" w:color="auto"/>
            <w:left w:val="none" w:sz="0" w:space="0" w:color="auto"/>
            <w:bottom w:val="none" w:sz="0" w:space="0" w:color="auto"/>
            <w:right w:val="none" w:sz="0" w:space="0" w:color="auto"/>
          </w:divBdr>
          <w:divsChild>
            <w:div w:id="91826444">
              <w:marLeft w:val="0"/>
              <w:marRight w:val="0"/>
              <w:marTop w:val="0"/>
              <w:marBottom w:val="0"/>
              <w:divBdr>
                <w:top w:val="none" w:sz="0" w:space="0" w:color="auto"/>
                <w:left w:val="none" w:sz="0" w:space="0" w:color="auto"/>
                <w:bottom w:val="none" w:sz="0" w:space="0" w:color="auto"/>
                <w:right w:val="none" w:sz="0" w:space="0" w:color="auto"/>
              </w:divBdr>
              <w:divsChild>
                <w:div w:id="1287154322">
                  <w:marLeft w:val="0"/>
                  <w:marRight w:val="0"/>
                  <w:marTop w:val="0"/>
                  <w:marBottom w:val="0"/>
                  <w:divBdr>
                    <w:top w:val="none" w:sz="0" w:space="0" w:color="auto"/>
                    <w:left w:val="none" w:sz="0" w:space="0" w:color="auto"/>
                    <w:bottom w:val="none" w:sz="0" w:space="0" w:color="auto"/>
                    <w:right w:val="none" w:sz="0" w:space="0" w:color="auto"/>
                  </w:divBdr>
                </w:div>
              </w:divsChild>
            </w:div>
            <w:div w:id="1237594522">
              <w:marLeft w:val="0"/>
              <w:marRight w:val="0"/>
              <w:marTop w:val="0"/>
              <w:marBottom w:val="0"/>
              <w:divBdr>
                <w:top w:val="none" w:sz="0" w:space="0" w:color="auto"/>
                <w:left w:val="none" w:sz="0" w:space="0" w:color="auto"/>
                <w:bottom w:val="none" w:sz="0" w:space="0" w:color="auto"/>
                <w:right w:val="none" w:sz="0" w:space="0" w:color="auto"/>
              </w:divBdr>
              <w:divsChild>
                <w:div w:id="11308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0953">
      <w:bodyDiv w:val="1"/>
      <w:marLeft w:val="0"/>
      <w:marRight w:val="0"/>
      <w:marTop w:val="0"/>
      <w:marBottom w:val="0"/>
      <w:divBdr>
        <w:top w:val="none" w:sz="0" w:space="0" w:color="auto"/>
        <w:left w:val="none" w:sz="0" w:space="0" w:color="auto"/>
        <w:bottom w:val="none" w:sz="0" w:space="0" w:color="auto"/>
        <w:right w:val="none" w:sz="0" w:space="0" w:color="auto"/>
      </w:divBdr>
      <w:divsChild>
        <w:div w:id="466289501">
          <w:marLeft w:val="0"/>
          <w:marRight w:val="0"/>
          <w:marTop w:val="0"/>
          <w:marBottom w:val="0"/>
          <w:divBdr>
            <w:top w:val="none" w:sz="0" w:space="0" w:color="auto"/>
            <w:left w:val="none" w:sz="0" w:space="0" w:color="auto"/>
            <w:bottom w:val="none" w:sz="0" w:space="0" w:color="auto"/>
            <w:right w:val="none" w:sz="0" w:space="0" w:color="auto"/>
          </w:divBdr>
          <w:divsChild>
            <w:div w:id="141317500">
              <w:marLeft w:val="0"/>
              <w:marRight w:val="0"/>
              <w:marTop w:val="0"/>
              <w:marBottom w:val="0"/>
              <w:divBdr>
                <w:top w:val="none" w:sz="0" w:space="0" w:color="auto"/>
                <w:left w:val="none" w:sz="0" w:space="0" w:color="auto"/>
                <w:bottom w:val="none" w:sz="0" w:space="0" w:color="auto"/>
                <w:right w:val="none" w:sz="0" w:space="0" w:color="auto"/>
              </w:divBdr>
              <w:divsChild>
                <w:div w:id="4925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0422">
          <w:marLeft w:val="0"/>
          <w:marRight w:val="0"/>
          <w:marTop w:val="0"/>
          <w:marBottom w:val="0"/>
          <w:divBdr>
            <w:top w:val="none" w:sz="0" w:space="0" w:color="auto"/>
            <w:left w:val="none" w:sz="0" w:space="0" w:color="auto"/>
            <w:bottom w:val="none" w:sz="0" w:space="0" w:color="auto"/>
            <w:right w:val="none" w:sz="0" w:space="0" w:color="auto"/>
          </w:divBdr>
          <w:divsChild>
            <w:div w:id="1651403578">
              <w:marLeft w:val="0"/>
              <w:marRight w:val="0"/>
              <w:marTop w:val="0"/>
              <w:marBottom w:val="0"/>
              <w:divBdr>
                <w:top w:val="none" w:sz="0" w:space="0" w:color="auto"/>
                <w:left w:val="none" w:sz="0" w:space="0" w:color="auto"/>
                <w:bottom w:val="none" w:sz="0" w:space="0" w:color="auto"/>
                <w:right w:val="none" w:sz="0" w:space="0" w:color="auto"/>
              </w:divBdr>
              <w:divsChild>
                <w:div w:id="1896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643">
          <w:marLeft w:val="0"/>
          <w:marRight w:val="0"/>
          <w:marTop w:val="0"/>
          <w:marBottom w:val="0"/>
          <w:divBdr>
            <w:top w:val="none" w:sz="0" w:space="0" w:color="auto"/>
            <w:left w:val="none" w:sz="0" w:space="0" w:color="auto"/>
            <w:bottom w:val="none" w:sz="0" w:space="0" w:color="auto"/>
            <w:right w:val="none" w:sz="0" w:space="0" w:color="auto"/>
          </w:divBdr>
          <w:divsChild>
            <w:div w:id="1442723889">
              <w:marLeft w:val="0"/>
              <w:marRight w:val="0"/>
              <w:marTop w:val="0"/>
              <w:marBottom w:val="0"/>
              <w:divBdr>
                <w:top w:val="none" w:sz="0" w:space="0" w:color="auto"/>
                <w:left w:val="none" w:sz="0" w:space="0" w:color="auto"/>
                <w:bottom w:val="none" w:sz="0" w:space="0" w:color="auto"/>
                <w:right w:val="none" w:sz="0" w:space="0" w:color="auto"/>
              </w:divBdr>
              <w:divsChild>
                <w:div w:id="15478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11643">
          <w:marLeft w:val="0"/>
          <w:marRight w:val="0"/>
          <w:marTop w:val="0"/>
          <w:marBottom w:val="0"/>
          <w:divBdr>
            <w:top w:val="none" w:sz="0" w:space="0" w:color="auto"/>
            <w:left w:val="none" w:sz="0" w:space="0" w:color="auto"/>
            <w:bottom w:val="none" w:sz="0" w:space="0" w:color="auto"/>
            <w:right w:val="none" w:sz="0" w:space="0" w:color="auto"/>
          </w:divBdr>
          <w:divsChild>
            <w:div w:id="53698752">
              <w:marLeft w:val="0"/>
              <w:marRight w:val="0"/>
              <w:marTop w:val="0"/>
              <w:marBottom w:val="0"/>
              <w:divBdr>
                <w:top w:val="none" w:sz="0" w:space="0" w:color="auto"/>
                <w:left w:val="none" w:sz="0" w:space="0" w:color="auto"/>
                <w:bottom w:val="none" w:sz="0" w:space="0" w:color="auto"/>
                <w:right w:val="none" w:sz="0" w:space="0" w:color="auto"/>
              </w:divBdr>
              <w:divsChild>
                <w:div w:id="17981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5525">
          <w:marLeft w:val="0"/>
          <w:marRight w:val="0"/>
          <w:marTop w:val="0"/>
          <w:marBottom w:val="0"/>
          <w:divBdr>
            <w:top w:val="none" w:sz="0" w:space="0" w:color="auto"/>
            <w:left w:val="none" w:sz="0" w:space="0" w:color="auto"/>
            <w:bottom w:val="none" w:sz="0" w:space="0" w:color="auto"/>
            <w:right w:val="none" w:sz="0" w:space="0" w:color="auto"/>
          </w:divBdr>
          <w:divsChild>
            <w:div w:id="2133548855">
              <w:marLeft w:val="0"/>
              <w:marRight w:val="0"/>
              <w:marTop w:val="0"/>
              <w:marBottom w:val="0"/>
              <w:divBdr>
                <w:top w:val="none" w:sz="0" w:space="0" w:color="auto"/>
                <w:left w:val="none" w:sz="0" w:space="0" w:color="auto"/>
                <w:bottom w:val="none" w:sz="0" w:space="0" w:color="auto"/>
                <w:right w:val="none" w:sz="0" w:space="0" w:color="auto"/>
              </w:divBdr>
              <w:divsChild>
                <w:div w:id="19134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9790">
          <w:marLeft w:val="0"/>
          <w:marRight w:val="0"/>
          <w:marTop w:val="0"/>
          <w:marBottom w:val="0"/>
          <w:divBdr>
            <w:top w:val="none" w:sz="0" w:space="0" w:color="auto"/>
            <w:left w:val="none" w:sz="0" w:space="0" w:color="auto"/>
            <w:bottom w:val="none" w:sz="0" w:space="0" w:color="auto"/>
            <w:right w:val="none" w:sz="0" w:space="0" w:color="auto"/>
          </w:divBdr>
          <w:divsChild>
            <w:div w:id="1395275769">
              <w:marLeft w:val="0"/>
              <w:marRight w:val="0"/>
              <w:marTop w:val="0"/>
              <w:marBottom w:val="0"/>
              <w:divBdr>
                <w:top w:val="none" w:sz="0" w:space="0" w:color="auto"/>
                <w:left w:val="none" w:sz="0" w:space="0" w:color="auto"/>
                <w:bottom w:val="none" w:sz="0" w:space="0" w:color="auto"/>
                <w:right w:val="none" w:sz="0" w:space="0" w:color="auto"/>
              </w:divBdr>
              <w:divsChild>
                <w:div w:id="15755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8181">
          <w:marLeft w:val="0"/>
          <w:marRight w:val="0"/>
          <w:marTop w:val="0"/>
          <w:marBottom w:val="0"/>
          <w:divBdr>
            <w:top w:val="none" w:sz="0" w:space="0" w:color="auto"/>
            <w:left w:val="none" w:sz="0" w:space="0" w:color="auto"/>
            <w:bottom w:val="none" w:sz="0" w:space="0" w:color="auto"/>
            <w:right w:val="none" w:sz="0" w:space="0" w:color="auto"/>
          </w:divBdr>
          <w:divsChild>
            <w:div w:id="1889802335">
              <w:marLeft w:val="0"/>
              <w:marRight w:val="0"/>
              <w:marTop w:val="0"/>
              <w:marBottom w:val="0"/>
              <w:divBdr>
                <w:top w:val="none" w:sz="0" w:space="0" w:color="auto"/>
                <w:left w:val="none" w:sz="0" w:space="0" w:color="auto"/>
                <w:bottom w:val="none" w:sz="0" w:space="0" w:color="auto"/>
                <w:right w:val="none" w:sz="0" w:space="0" w:color="auto"/>
              </w:divBdr>
              <w:divsChild>
                <w:div w:id="5223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7572">
      <w:bodyDiv w:val="1"/>
      <w:marLeft w:val="0"/>
      <w:marRight w:val="0"/>
      <w:marTop w:val="0"/>
      <w:marBottom w:val="0"/>
      <w:divBdr>
        <w:top w:val="none" w:sz="0" w:space="0" w:color="auto"/>
        <w:left w:val="none" w:sz="0" w:space="0" w:color="auto"/>
        <w:bottom w:val="none" w:sz="0" w:space="0" w:color="auto"/>
        <w:right w:val="none" w:sz="0" w:space="0" w:color="auto"/>
      </w:divBdr>
    </w:div>
    <w:div w:id="895166590">
      <w:bodyDiv w:val="1"/>
      <w:marLeft w:val="0"/>
      <w:marRight w:val="0"/>
      <w:marTop w:val="0"/>
      <w:marBottom w:val="0"/>
      <w:divBdr>
        <w:top w:val="none" w:sz="0" w:space="0" w:color="auto"/>
        <w:left w:val="none" w:sz="0" w:space="0" w:color="auto"/>
        <w:bottom w:val="none" w:sz="0" w:space="0" w:color="auto"/>
        <w:right w:val="none" w:sz="0" w:space="0" w:color="auto"/>
      </w:divBdr>
      <w:divsChild>
        <w:div w:id="146092044">
          <w:marLeft w:val="0"/>
          <w:marRight w:val="0"/>
          <w:marTop w:val="0"/>
          <w:marBottom w:val="0"/>
          <w:divBdr>
            <w:top w:val="none" w:sz="0" w:space="0" w:color="auto"/>
            <w:left w:val="none" w:sz="0" w:space="0" w:color="auto"/>
            <w:bottom w:val="none" w:sz="0" w:space="0" w:color="auto"/>
            <w:right w:val="none" w:sz="0" w:space="0" w:color="auto"/>
          </w:divBdr>
          <w:divsChild>
            <w:div w:id="1700663728">
              <w:marLeft w:val="0"/>
              <w:marRight w:val="0"/>
              <w:marTop w:val="0"/>
              <w:marBottom w:val="0"/>
              <w:divBdr>
                <w:top w:val="none" w:sz="0" w:space="0" w:color="auto"/>
                <w:left w:val="none" w:sz="0" w:space="0" w:color="auto"/>
                <w:bottom w:val="none" w:sz="0" w:space="0" w:color="auto"/>
                <w:right w:val="none" w:sz="0" w:space="0" w:color="auto"/>
              </w:divBdr>
            </w:div>
          </w:divsChild>
        </w:div>
        <w:div w:id="1831292871">
          <w:marLeft w:val="0"/>
          <w:marRight w:val="0"/>
          <w:marTop w:val="0"/>
          <w:marBottom w:val="0"/>
          <w:divBdr>
            <w:top w:val="none" w:sz="0" w:space="0" w:color="auto"/>
            <w:left w:val="none" w:sz="0" w:space="0" w:color="auto"/>
            <w:bottom w:val="none" w:sz="0" w:space="0" w:color="auto"/>
            <w:right w:val="none" w:sz="0" w:space="0" w:color="auto"/>
          </w:divBdr>
          <w:divsChild>
            <w:div w:id="12493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3979">
      <w:bodyDiv w:val="1"/>
      <w:marLeft w:val="0"/>
      <w:marRight w:val="0"/>
      <w:marTop w:val="0"/>
      <w:marBottom w:val="0"/>
      <w:divBdr>
        <w:top w:val="none" w:sz="0" w:space="0" w:color="auto"/>
        <w:left w:val="none" w:sz="0" w:space="0" w:color="auto"/>
        <w:bottom w:val="none" w:sz="0" w:space="0" w:color="auto"/>
        <w:right w:val="none" w:sz="0" w:space="0" w:color="auto"/>
      </w:divBdr>
      <w:divsChild>
        <w:div w:id="55402289">
          <w:marLeft w:val="0"/>
          <w:marRight w:val="0"/>
          <w:marTop w:val="0"/>
          <w:marBottom w:val="0"/>
          <w:divBdr>
            <w:top w:val="none" w:sz="0" w:space="0" w:color="auto"/>
            <w:left w:val="none" w:sz="0" w:space="0" w:color="auto"/>
            <w:bottom w:val="none" w:sz="0" w:space="0" w:color="auto"/>
            <w:right w:val="none" w:sz="0" w:space="0" w:color="auto"/>
          </w:divBdr>
          <w:divsChild>
            <w:div w:id="1393649571">
              <w:marLeft w:val="0"/>
              <w:marRight w:val="0"/>
              <w:marTop w:val="0"/>
              <w:marBottom w:val="0"/>
              <w:divBdr>
                <w:top w:val="none" w:sz="0" w:space="0" w:color="auto"/>
                <w:left w:val="none" w:sz="0" w:space="0" w:color="auto"/>
                <w:bottom w:val="none" w:sz="0" w:space="0" w:color="auto"/>
                <w:right w:val="none" w:sz="0" w:space="0" w:color="auto"/>
              </w:divBdr>
            </w:div>
          </w:divsChild>
        </w:div>
        <w:div w:id="315763019">
          <w:marLeft w:val="0"/>
          <w:marRight w:val="0"/>
          <w:marTop w:val="0"/>
          <w:marBottom w:val="0"/>
          <w:divBdr>
            <w:top w:val="none" w:sz="0" w:space="0" w:color="auto"/>
            <w:left w:val="none" w:sz="0" w:space="0" w:color="auto"/>
            <w:bottom w:val="none" w:sz="0" w:space="0" w:color="auto"/>
            <w:right w:val="none" w:sz="0" w:space="0" w:color="auto"/>
          </w:divBdr>
          <w:divsChild>
            <w:div w:id="1964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5519">
      <w:bodyDiv w:val="1"/>
      <w:marLeft w:val="0"/>
      <w:marRight w:val="0"/>
      <w:marTop w:val="0"/>
      <w:marBottom w:val="0"/>
      <w:divBdr>
        <w:top w:val="none" w:sz="0" w:space="0" w:color="auto"/>
        <w:left w:val="none" w:sz="0" w:space="0" w:color="auto"/>
        <w:bottom w:val="none" w:sz="0" w:space="0" w:color="auto"/>
        <w:right w:val="none" w:sz="0" w:space="0" w:color="auto"/>
      </w:divBdr>
      <w:divsChild>
        <w:div w:id="25373726">
          <w:marLeft w:val="0"/>
          <w:marRight w:val="0"/>
          <w:marTop w:val="0"/>
          <w:marBottom w:val="0"/>
          <w:divBdr>
            <w:top w:val="none" w:sz="0" w:space="0" w:color="auto"/>
            <w:left w:val="none" w:sz="0" w:space="0" w:color="auto"/>
            <w:bottom w:val="none" w:sz="0" w:space="0" w:color="auto"/>
            <w:right w:val="none" w:sz="0" w:space="0" w:color="auto"/>
          </w:divBdr>
          <w:divsChild>
            <w:div w:id="2077438025">
              <w:marLeft w:val="0"/>
              <w:marRight w:val="0"/>
              <w:marTop w:val="0"/>
              <w:marBottom w:val="0"/>
              <w:divBdr>
                <w:top w:val="none" w:sz="0" w:space="0" w:color="auto"/>
                <w:left w:val="none" w:sz="0" w:space="0" w:color="auto"/>
                <w:bottom w:val="none" w:sz="0" w:space="0" w:color="auto"/>
                <w:right w:val="none" w:sz="0" w:space="0" w:color="auto"/>
              </w:divBdr>
              <w:divsChild>
                <w:div w:id="2881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574">
          <w:marLeft w:val="0"/>
          <w:marRight w:val="0"/>
          <w:marTop w:val="0"/>
          <w:marBottom w:val="0"/>
          <w:divBdr>
            <w:top w:val="none" w:sz="0" w:space="0" w:color="auto"/>
            <w:left w:val="none" w:sz="0" w:space="0" w:color="auto"/>
            <w:bottom w:val="none" w:sz="0" w:space="0" w:color="auto"/>
            <w:right w:val="none" w:sz="0" w:space="0" w:color="auto"/>
          </w:divBdr>
          <w:divsChild>
            <w:div w:id="28067785">
              <w:marLeft w:val="0"/>
              <w:marRight w:val="0"/>
              <w:marTop w:val="0"/>
              <w:marBottom w:val="0"/>
              <w:divBdr>
                <w:top w:val="none" w:sz="0" w:space="0" w:color="auto"/>
                <w:left w:val="none" w:sz="0" w:space="0" w:color="auto"/>
                <w:bottom w:val="none" w:sz="0" w:space="0" w:color="auto"/>
                <w:right w:val="none" w:sz="0" w:space="0" w:color="auto"/>
              </w:divBdr>
              <w:divsChild>
                <w:div w:id="50470434">
                  <w:marLeft w:val="0"/>
                  <w:marRight w:val="0"/>
                  <w:marTop w:val="0"/>
                  <w:marBottom w:val="0"/>
                  <w:divBdr>
                    <w:top w:val="none" w:sz="0" w:space="0" w:color="auto"/>
                    <w:left w:val="none" w:sz="0" w:space="0" w:color="auto"/>
                    <w:bottom w:val="none" w:sz="0" w:space="0" w:color="auto"/>
                    <w:right w:val="none" w:sz="0" w:space="0" w:color="auto"/>
                  </w:divBdr>
                </w:div>
              </w:divsChild>
            </w:div>
            <w:div w:id="1640761645">
              <w:marLeft w:val="0"/>
              <w:marRight w:val="0"/>
              <w:marTop w:val="0"/>
              <w:marBottom w:val="0"/>
              <w:divBdr>
                <w:top w:val="none" w:sz="0" w:space="0" w:color="auto"/>
                <w:left w:val="none" w:sz="0" w:space="0" w:color="auto"/>
                <w:bottom w:val="none" w:sz="0" w:space="0" w:color="auto"/>
                <w:right w:val="none" w:sz="0" w:space="0" w:color="auto"/>
              </w:divBdr>
              <w:divsChild>
                <w:div w:id="8230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041">
          <w:marLeft w:val="0"/>
          <w:marRight w:val="0"/>
          <w:marTop w:val="0"/>
          <w:marBottom w:val="0"/>
          <w:divBdr>
            <w:top w:val="none" w:sz="0" w:space="0" w:color="auto"/>
            <w:left w:val="none" w:sz="0" w:space="0" w:color="auto"/>
            <w:bottom w:val="none" w:sz="0" w:space="0" w:color="auto"/>
            <w:right w:val="none" w:sz="0" w:space="0" w:color="auto"/>
          </w:divBdr>
          <w:divsChild>
            <w:div w:id="1086460025">
              <w:marLeft w:val="0"/>
              <w:marRight w:val="0"/>
              <w:marTop w:val="0"/>
              <w:marBottom w:val="0"/>
              <w:divBdr>
                <w:top w:val="none" w:sz="0" w:space="0" w:color="auto"/>
                <w:left w:val="none" w:sz="0" w:space="0" w:color="auto"/>
                <w:bottom w:val="none" w:sz="0" w:space="0" w:color="auto"/>
                <w:right w:val="none" w:sz="0" w:space="0" w:color="auto"/>
              </w:divBdr>
              <w:divsChild>
                <w:div w:id="15610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7234">
          <w:marLeft w:val="0"/>
          <w:marRight w:val="0"/>
          <w:marTop w:val="0"/>
          <w:marBottom w:val="0"/>
          <w:divBdr>
            <w:top w:val="none" w:sz="0" w:space="0" w:color="auto"/>
            <w:left w:val="none" w:sz="0" w:space="0" w:color="auto"/>
            <w:bottom w:val="none" w:sz="0" w:space="0" w:color="auto"/>
            <w:right w:val="none" w:sz="0" w:space="0" w:color="auto"/>
          </w:divBdr>
          <w:divsChild>
            <w:div w:id="176389699">
              <w:marLeft w:val="0"/>
              <w:marRight w:val="0"/>
              <w:marTop w:val="0"/>
              <w:marBottom w:val="0"/>
              <w:divBdr>
                <w:top w:val="none" w:sz="0" w:space="0" w:color="auto"/>
                <w:left w:val="none" w:sz="0" w:space="0" w:color="auto"/>
                <w:bottom w:val="none" w:sz="0" w:space="0" w:color="auto"/>
                <w:right w:val="none" w:sz="0" w:space="0" w:color="auto"/>
              </w:divBdr>
              <w:divsChild>
                <w:div w:id="6901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2459">
          <w:marLeft w:val="0"/>
          <w:marRight w:val="0"/>
          <w:marTop w:val="0"/>
          <w:marBottom w:val="0"/>
          <w:divBdr>
            <w:top w:val="none" w:sz="0" w:space="0" w:color="auto"/>
            <w:left w:val="none" w:sz="0" w:space="0" w:color="auto"/>
            <w:bottom w:val="none" w:sz="0" w:space="0" w:color="auto"/>
            <w:right w:val="none" w:sz="0" w:space="0" w:color="auto"/>
          </w:divBdr>
          <w:divsChild>
            <w:div w:id="1833450591">
              <w:marLeft w:val="0"/>
              <w:marRight w:val="0"/>
              <w:marTop w:val="0"/>
              <w:marBottom w:val="0"/>
              <w:divBdr>
                <w:top w:val="none" w:sz="0" w:space="0" w:color="auto"/>
                <w:left w:val="none" w:sz="0" w:space="0" w:color="auto"/>
                <w:bottom w:val="none" w:sz="0" w:space="0" w:color="auto"/>
                <w:right w:val="none" w:sz="0" w:space="0" w:color="auto"/>
              </w:divBdr>
              <w:divsChild>
                <w:div w:id="13787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0792">
          <w:marLeft w:val="0"/>
          <w:marRight w:val="0"/>
          <w:marTop w:val="0"/>
          <w:marBottom w:val="0"/>
          <w:divBdr>
            <w:top w:val="none" w:sz="0" w:space="0" w:color="auto"/>
            <w:left w:val="none" w:sz="0" w:space="0" w:color="auto"/>
            <w:bottom w:val="none" w:sz="0" w:space="0" w:color="auto"/>
            <w:right w:val="none" w:sz="0" w:space="0" w:color="auto"/>
          </w:divBdr>
          <w:divsChild>
            <w:div w:id="1605266774">
              <w:marLeft w:val="0"/>
              <w:marRight w:val="0"/>
              <w:marTop w:val="0"/>
              <w:marBottom w:val="0"/>
              <w:divBdr>
                <w:top w:val="none" w:sz="0" w:space="0" w:color="auto"/>
                <w:left w:val="none" w:sz="0" w:space="0" w:color="auto"/>
                <w:bottom w:val="none" w:sz="0" w:space="0" w:color="auto"/>
                <w:right w:val="none" w:sz="0" w:space="0" w:color="auto"/>
              </w:divBdr>
              <w:divsChild>
                <w:div w:id="5520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2976">
          <w:marLeft w:val="0"/>
          <w:marRight w:val="0"/>
          <w:marTop w:val="0"/>
          <w:marBottom w:val="0"/>
          <w:divBdr>
            <w:top w:val="none" w:sz="0" w:space="0" w:color="auto"/>
            <w:left w:val="none" w:sz="0" w:space="0" w:color="auto"/>
            <w:bottom w:val="none" w:sz="0" w:space="0" w:color="auto"/>
            <w:right w:val="none" w:sz="0" w:space="0" w:color="auto"/>
          </w:divBdr>
          <w:divsChild>
            <w:div w:id="1465729950">
              <w:marLeft w:val="0"/>
              <w:marRight w:val="0"/>
              <w:marTop w:val="0"/>
              <w:marBottom w:val="0"/>
              <w:divBdr>
                <w:top w:val="none" w:sz="0" w:space="0" w:color="auto"/>
                <w:left w:val="none" w:sz="0" w:space="0" w:color="auto"/>
                <w:bottom w:val="none" w:sz="0" w:space="0" w:color="auto"/>
                <w:right w:val="none" w:sz="0" w:space="0" w:color="auto"/>
              </w:divBdr>
              <w:divsChild>
                <w:div w:id="18048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0688">
          <w:marLeft w:val="0"/>
          <w:marRight w:val="0"/>
          <w:marTop w:val="0"/>
          <w:marBottom w:val="0"/>
          <w:divBdr>
            <w:top w:val="none" w:sz="0" w:space="0" w:color="auto"/>
            <w:left w:val="none" w:sz="0" w:space="0" w:color="auto"/>
            <w:bottom w:val="none" w:sz="0" w:space="0" w:color="auto"/>
            <w:right w:val="none" w:sz="0" w:space="0" w:color="auto"/>
          </w:divBdr>
          <w:divsChild>
            <w:div w:id="1577476668">
              <w:marLeft w:val="0"/>
              <w:marRight w:val="0"/>
              <w:marTop w:val="0"/>
              <w:marBottom w:val="0"/>
              <w:divBdr>
                <w:top w:val="none" w:sz="0" w:space="0" w:color="auto"/>
                <w:left w:val="none" w:sz="0" w:space="0" w:color="auto"/>
                <w:bottom w:val="none" w:sz="0" w:space="0" w:color="auto"/>
                <w:right w:val="none" w:sz="0" w:space="0" w:color="auto"/>
              </w:divBdr>
              <w:divsChild>
                <w:div w:id="1230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8703">
          <w:marLeft w:val="0"/>
          <w:marRight w:val="0"/>
          <w:marTop w:val="0"/>
          <w:marBottom w:val="0"/>
          <w:divBdr>
            <w:top w:val="none" w:sz="0" w:space="0" w:color="auto"/>
            <w:left w:val="none" w:sz="0" w:space="0" w:color="auto"/>
            <w:bottom w:val="none" w:sz="0" w:space="0" w:color="auto"/>
            <w:right w:val="none" w:sz="0" w:space="0" w:color="auto"/>
          </w:divBdr>
          <w:divsChild>
            <w:div w:id="815102722">
              <w:marLeft w:val="0"/>
              <w:marRight w:val="0"/>
              <w:marTop w:val="0"/>
              <w:marBottom w:val="0"/>
              <w:divBdr>
                <w:top w:val="none" w:sz="0" w:space="0" w:color="auto"/>
                <w:left w:val="none" w:sz="0" w:space="0" w:color="auto"/>
                <w:bottom w:val="none" w:sz="0" w:space="0" w:color="auto"/>
                <w:right w:val="none" w:sz="0" w:space="0" w:color="auto"/>
              </w:divBdr>
              <w:divsChild>
                <w:div w:id="7813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222">
          <w:marLeft w:val="0"/>
          <w:marRight w:val="0"/>
          <w:marTop w:val="0"/>
          <w:marBottom w:val="0"/>
          <w:divBdr>
            <w:top w:val="none" w:sz="0" w:space="0" w:color="auto"/>
            <w:left w:val="none" w:sz="0" w:space="0" w:color="auto"/>
            <w:bottom w:val="none" w:sz="0" w:space="0" w:color="auto"/>
            <w:right w:val="none" w:sz="0" w:space="0" w:color="auto"/>
          </w:divBdr>
          <w:divsChild>
            <w:div w:id="1464494406">
              <w:marLeft w:val="0"/>
              <w:marRight w:val="0"/>
              <w:marTop w:val="0"/>
              <w:marBottom w:val="0"/>
              <w:divBdr>
                <w:top w:val="none" w:sz="0" w:space="0" w:color="auto"/>
                <w:left w:val="none" w:sz="0" w:space="0" w:color="auto"/>
                <w:bottom w:val="none" w:sz="0" w:space="0" w:color="auto"/>
                <w:right w:val="none" w:sz="0" w:space="0" w:color="auto"/>
              </w:divBdr>
              <w:divsChild>
                <w:div w:id="21009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5734">
          <w:marLeft w:val="0"/>
          <w:marRight w:val="0"/>
          <w:marTop w:val="0"/>
          <w:marBottom w:val="0"/>
          <w:divBdr>
            <w:top w:val="none" w:sz="0" w:space="0" w:color="auto"/>
            <w:left w:val="none" w:sz="0" w:space="0" w:color="auto"/>
            <w:bottom w:val="none" w:sz="0" w:space="0" w:color="auto"/>
            <w:right w:val="none" w:sz="0" w:space="0" w:color="auto"/>
          </w:divBdr>
          <w:divsChild>
            <w:div w:id="1542354928">
              <w:marLeft w:val="0"/>
              <w:marRight w:val="0"/>
              <w:marTop w:val="0"/>
              <w:marBottom w:val="0"/>
              <w:divBdr>
                <w:top w:val="none" w:sz="0" w:space="0" w:color="auto"/>
                <w:left w:val="none" w:sz="0" w:space="0" w:color="auto"/>
                <w:bottom w:val="none" w:sz="0" w:space="0" w:color="auto"/>
                <w:right w:val="none" w:sz="0" w:space="0" w:color="auto"/>
              </w:divBdr>
              <w:divsChild>
                <w:div w:id="19565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5192">
          <w:marLeft w:val="0"/>
          <w:marRight w:val="0"/>
          <w:marTop w:val="0"/>
          <w:marBottom w:val="0"/>
          <w:divBdr>
            <w:top w:val="none" w:sz="0" w:space="0" w:color="auto"/>
            <w:left w:val="none" w:sz="0" w:space="0" w:color="auto"/>
            <w:bottom w:val="none" w:sz="0" w:space="0" w:color="auto"/>
            <w:right w:val="none" w:sz="0" w:space="0" w:color="auto"/>
          </w:divBdr>
          <w:divsChild>
            <w:div w:id="505826889">
              <w:marLeft w:val="0"/>
              <w:marRight w:val="0"/>
              <w:marTop w:val="0"/>
              <w:marBottom w:val="0"/>
              <w:divBdr>
                <w:top w:val="none" w:sz="0" w:space="0" w:color="auto"/>
                <w:left w:val="none" w:sz="0" w:space="0" w:color="auto"/>
                <w:bottom w:val="none" w:sz="0" w:space="0" w:color="auto"/>
                <w:right w:val="none" w:sz="0" w:space="0" w:color="auto"/>
              </w:divBdr>
              <w:divsChild>
                <w:div w:id="20315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417">
          <w:marLeft w:val="0"/>
          <w:marRight w:val="0"/>
          <w:marTop w:val="0"/>
          <w:marBottom w:val="0"/>
          <w:divBdr>
            <w:top w:val="none" w:sz="0" w:space="0" w:color="auto"/>
            <w:left w:val="none" w:sz="0" w:space="0" w:color="auto"/>
            <w:bottom w:val="none" w:sz="0" w:space="0" w:color="auto"/>
            <w:right w:val="none" w:sz="0" w:space="0" w:color="auto"/>
          </w:divBdr>
          <w:divsChild>
            <w:div w:id="302318004">
              <w:marLeft w:val="0"/>
              <w:marRight w:val="0"/>
              <w:marTop w:val="0"/>
              <w:marBottom w:val="0"/>
              <w:divBdr>
                <w:top w:val="none" w:sz="0" w:space="0" w:color="auto"/>
                <w:left w:val="none" w:sz="0" w:space="0" w:color="auto"/>
                <w:bottom w:val="none" w:sz="0" w:space="0" w:color="auto"/>
                <w:right w:val="none" w:sz="0" w:space="0" w:color="auto"/>
              </w:divBdr>
              <w:divsChild>
                <w:div w:id="20385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91">
          <w:marLeft w:val="0"/>
          <w:marRight w:val="0"/>
          <w:marTop w:val="0"/>
          <w:marBottom w:val="0"/>
          <w:divBdr>
            <w:top w:val="none" w:sz="0" w:space="0" w:color="auto"/>
            <w:left w:val="none" w:sz="0" w:space="0" w:color="auto"/>
            <w:bottom w:val="none" w:sz="0" w:space="0" w:color="auto"/>
            <w:right w:val="none" w:sz="0" w:space="0" w:color="auto"/>
          </w:divBdr>
          <w:divsChild>
            <w:div w:id="912161890">
              <w:marLeft w:val="0"/>
              <w:marRight w:val="0"/>
              <w:marTop w:val="0"/>
              <w:marBottom w:val="0"/>
              <w:divBdr>
                <w:top w:val="none" w:sz="0" w:space="0" w:color="auto"/>
                <w:left w:val="none" w:sz="0" w:space="0" w:color="auto"/>
                <w:bottom w:val="none" w:sz="0" w:space="0" w:color="auto"/>
                <w:right w:val="none" w:sz="0" w:space="0" w:color="auto"/>
              </w:divBdr>
              <w:divsChild>
                <w:div w:id="15413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6175">
          <w:marLeft w:val="0"/>
          <w:marRight w:val="0"/>
          <w:marTop w:val="0"/>
          <w:marBottom w:val="0"/>
          <w:divBdr>
            <w:top w:val="none" w:sz="0" w:space="0" w:color="auto"/>
            <w:left w:val="none" w:sz="0" w:space="0" w:color="auto"/>
            <w:bottom w:val="none" w:sz="0" w:space="0" w:color="auto"/>
            <w:right w:val="none" w:sz="0" w:space="0" w:color="auto"/>
          </w:divBdr>
          <w:divsChild>
            <w:div w:id="1729305918">
              <w:marLeft w:val="0"/>
              <w:marRight w:val="0"/>
              <w:marTop w:val="0"/>
              <w:marBottom w:val="0"/>
              <w:divBdr>
                <w:top w:val="none" w:sz="0" w:space="0" w:color="auto"/>
                <w:left w:val="none" w:sz="0" w:space="0" w:color="auto"/>
                <w:bottom w:val="none" w:sz="0" w:space="0" w:color="auto"/>
                <w:right w:val="none" w:sz="0" w:space="0" w:color="auto"/>
              </w:divBdr>
              <w:divsChild>
                <w:div w:id="15018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4724">
          <w:marLeft w:val="0"/>
          <w:marRight w:val="0"/>
          <w:marTop w:val="0"/>
          <w:marBottom w:val="0"/>
          <w:divBdr>
            <w:top w:val="none" w:sz="0" w:space="0" w:color="auto"/>
            <w:left w:val="none" w:sz="0" w:space="0" w:color="auto"/>
            <w:bottom w:val="none" w:sz="0" w:space="0" w:color="auto"/>
            <w:right w:val="none" w:sz="0" w:space="0" w:color="auto"/>
          </w:divBdr>
          <w:divsChild>
            <w:div w:id="322509712">
              <w:marLeft w:val="0"/>
              <w:marRight w:val="0"/>
              <w:marTop w:val="0"/>
              <w:marBottom w:val="0"/>
              <w:divBdr>
                <w:top w:val="none" w:sz="0" w:space="0" w:color="auto"/>
                <w:left w:val="none" w:sz="0" w:space="0" w:color="auto"/>
                <w:bottom w:val="none" w:sz="0" w:space="0" w:color="auto"/>
                <w:right w:val="none" w:sz="0" w:space="0" w:color="auto"/>
              </w:divBdr>
              <w:divsChild>
                <w:div w:id="789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4170">
          <w:marLeft w:val="0"/>
          <w:marRight w:val="0"/>
          <w:marTop w:val="0"/>
          <w:marBottom w:val="0"/>
          <w:divBdr>
            <w:top w:val="none" w:sz="0" w:space="0" w:color="auto"/>
            <w:left w:val="none" w:sz="0" w:space="0" w:color="auto"/>
            <w:bottom w:val="none" w:sz="0" w:space="0" w:color="auto"/>
            <w:right w:val="none" w:sz="0" w:space="0" w:color="auto"/>
          </w:divBdr>
          <w:divsChild>
            <w:div w:id="169762715">
              <w:marLeft w:val="0"/>
              <w:marRight w:val="0"/>
              <w:marTop w:val="0"/>
              <w:marBottom w:val="0"/>
              <w:divBdr>
                <w:top w:val="none" w:sz="0" w:space="0" w:color="auto"/>
                <w:left w:val="none" w:sz="0" w:space="0" w:color="auto"/>
                <w:bottom w:val="none" w:sz="0" w:space="0" w:color="auto"/>
                <w:right w:val="none" w:sz="0" w:space="0" w:color="auto"/>
              </w:divBdr>
              <w:divsChild>
                <w:div w:id="582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2857">
          <w:marLeft w:val="0"/>
          <w:marRight w:val="0"/>
          <w:marTop w:val="0"/>
          <w:marBottom w:val="0"/>
          <w:divBdr>
            <w:top w:val="none" w:sz="0" w:space="0" w:color="auto"/>
            <w:left w:val="none" w:sz="0" w:space="0" w:color="auto"/>
            <w:bottom w:val="none" w:sz="0" w:space="0" w:color="auto"/>
            <w:right w:val="none" w:sz="0" w:space="0" w:color="auto"/>
          </w:divBdr>
          <w:divsChild>
            <w:div w:id="862324492">
              <w:marLeft w:val="0"/>
              <w:marRight w:val="0"/>
              <w:marTop w:val="0"/>
              <w:marBottom w:val="0"/>
              <w:divBdr>
                <w:top w:val="none" w:sz="0" w:space="0" w:color="auto"/>
                <w:left w:val="none" w:sz="0" w:space="0" w:color="auto"/>
                <w:bottom w:val="none" w:sz="0" w:space="0" w:color="auto"/>
                <w:right w:val="none" w:sz="0" w:space="0" w:color="auto"/>
              </w:divBdr>
              <w:divsChild>
                <w:div w:id="9045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3052">
          <w:marLeft w:val="0"/>
          <w:marRight w:val="0"/>
          <w:marTop w:val="0"/>
          <w:marBottom w:val="0"/>
          <w:divBdr>
            <w:top w:val="none" w:sz="0" w:space="0" w:color="auto"/>
            <w:left w:val="none" w:sz="0" w:space="0" w:color="auto"/>
            <w:bottom w:val="none" w:sz="0" w:space="0" w:color="auto"/>
            <w:right w:val="none" w:sz="0" w:space="0" w:color="auto"/>
          </w:divBdr>
          <w:divsChild>
            <w:div w:id="1809854607">
              <w:marLeft w:val="0"/>
              <w:marRight w:val="0"/>
              <w:marTop w:val="0"/>
              <w:marBottom w:val="0"/>
              <w:divBdr>
                <w:top w:val="none" w:sz="0" w:space="0" w:color="auto"/>
                <w:left w:val="none" w:sz="0" w:space="0" w:color="auto"/>
                <w:bottom w:val="none" w:sz="0" w:space="0" w:color="auto"/>
                <w:right w:val="none" w:sz="0" w:space="0" w:color="auto"/>
              </w:divBdr>
              <w:divsChild>
                <w:div w:id="18637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2454">
          <w:marLeft w:val="0"/>
          <w:marRight w:val="0"/>
          <w:marTop w:val="0"/>
          <w:marBottom w:val="0"/>
          <w:divBdr>
            <w:top w:val="none" w:sz="0" w:space="0" w:color="auto"/>
            <w:left w:val="none" w:sz="0" w:space="0" w:color="auto"/>
            <w:bottom w:val="none" w:sz="0" w:space="0" w:color="auto"/>
            <w:right w:val="none" w:sz="0" w:space="0" w:color="auto"/>
          </w:divBdr>
          <w:divsChild>
            <w:div w:id="339158819">
              <w:marLeft w:val="0"/>
              <w:marRight w:val="0"/>
              <w:marTop w:val="0"/>
              <w:marBottom w:val="0"/>
              <w:divBdr>
                <w:top w:val="none" w:sz="0" w:space="0" w:color="auto"/>
                <w:left w:val="none" w:sz="0" w:space="0" w:color="auto"/>
                <w:bottom w:val="none" w:sz="0" w:space="0" w:color="auto"/>
                <w:right w:val="none" w:sz="0" w:space="0" w:color="auto"/>
              </w:divBdr>
              <w:divsChild>
                <w:div w:id="6904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184">
          <w:marLeft w:val="0"/>
          <w:marRight w:val="0"/>
          <w:marTop w:val="0"/>
          <w:marBottom w:val="0"/>
          <w:divBdr>
            <w:top w:val="none" w:sz="0" w:space="0" w:color="auto"/>
            <w:left w:val="none" w:sz="0" w:space="0" w:color="auto"/>
            <w:bottom w:val="none" w:sz="0" w:space="0" w:color="auto"/>
            <w:right w:val="none" w:sz="0" w:space="0" w:color="auto"/>
          </w:divBdr>
          <w:divsChild>
            <w:div w:id="404376868">
              <w:marLeft w:val="0"/>
              <w:marRight w:val="0"/>
              <w:marTop w:val="0"/>
              <w:marBottom w:val="0"/>
              <w:divBdr>
                <w:top w:val="none" w:sz="0" w:space="0" w:color="auto"/>
                <w:left w:val="none" w:sz="0" w:space="0" w:color="auto"/>
                <w:bottom w:val="none" w:sz="0" w:space="0" w:color="auto"/>
                <w:right w:val="none" w:sz="0" w:space="0" w:color="auto"/>
              </w:divBdr>
              <w:divsChild>
                <w:div w:id="1823698442">
                  <w:marLeft w:val="0"/>
                  <w:marRight w:val="0"/>
                  <w:marTop w:val="0"/>
                  <w:marBottom w:val="0"/>
                  <w:divBdr>
                    <w:top w:val="none" w:sz="0" w:space="0" w:color="auto"/>
                    <w:left w:val="none" w:sz="0" w:space="0" w:color="auto"/>
                    <w:bottom w:val="none" w:sz="0" w:space="0" w:color="auto"/>
                    <w:right w:val="none" w:sz="0" w:space="0" w:color="auto"/>
                  </w:divBdr>
                </w:div>
              </w:divsChild>
            </w:div>
            <w:div w:id="441608115">
              <w:marLeft w:val="0"/>
              <w:marRight w:val="0"/>
              <w:marTop w:val="0"/>
              <w:marBottom w:val="0"/>
              <w:divBdr>
                <w:top w:val="none" w:sz="0" w:space="0" w:color="auto"/>
                <w:left w:val="none" w:sz="0" w:space="0" w:color="auto"/>
                <w:bottom w:val="none" w:sz="0" w:space="0" w:color="auto"/>
                <w:right w:val="none" w:sz="0" w:space="0" w:color="auto"/>
              </w:divBdr>
              <w:divsChild>
                <w:div w:id="3957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808">
          <w:marLeft w:val="0"/>
          <w:marRight w:val="0"/>
          <w:marTop w:val="0"/>
          <w:marBottom w:val="0"/>
          <w:divBdr>
            <w:top w:val="none" w:sz="0" w:space="0" w:color="auto"/>
            <w:left w:val="none" w:sz="0" w:space="0" w:color="auto"/>
            <w:bottom w:val="none" w:sz="0" w:space="0" w:color="auto"/>
            <w:right w:val="none" w:sz="0" w:space="0" w:color="auto"/>
          </w:divBdr>
          <w:divsChild>
            <w:div w:id="648824323">
              <w:marLeft w:val="0"/>
              <w:marRight w:val="0"/>
              <w:marTop w:val="0"/>
              <w:marBottom w:val="0"/>
              <w:divBdr>
                <w:top w:val="none" w:sz="0" w:space="0" w:color="auto"/>
                <w:left w:val="none" w:sz="0" w:space="0" w:color="auto"/>
                <w:bottom w:val="none" w:sz="0" w:space="0" w:color="auto"/>
                <w:right w:val="none" w:sz="0" w:space="0" w:color="auto"/>
              </w:divBdr>
              <w:divsChild>
                <w:div w:id="8799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710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14976680">
      <w:bodyDiv w:val="1"/>
      <w:marLeft w:val="0"/>
      <w:marRight w:val="0"/>
      <w:marTop w:val="0"/>
      <w:marBottom w:val="0"/>
      <w:divBdr>
        <w:top w:val="none" w:sz="0" w:space="0" w:color="auto"/>
        <w:left w:val="none" w:sz="0" w:space="0" w:color="auto"/>
        <w:bottom w:val="none" w:sz="0" w:space="0" w:color="auto"/>
        <w:right w:val="none" w:sz="0" w:space="0" w:color="auto"/>
      </w:divBdr>
      <w:divsChild>
        <w:div w:id="1969236082">
          <w:marLeft w:val="0"/>
          <w:marRight w:val="0"/>
          <w:marTop w:val="0"/>
          <w:marBottom w:val="0"/>
          <w:divBdr>
            <w:top w:val="none" w:sz="0" w:space="0" w:color="auto"/>
            <w:left w:val="none" w:sz="0" w:space="0" w:color="auto"/>
            <w:bottom w:val="none" w:sz="0" w:space="0" w:color="auto"/>
            <w:right w:val="none" w:sz="0" w:space="0" w:color="auto"/>
          </w:divBdr>
          <w:divsChild>
            <w:div w:id="1747654697">
              <w:marLeft w:val="0"/>
              <w:marRight w:val="0"/>
              <w:marTop w:val="0"/>
              <w:marBottom w:val="0"/>
              <w:divBdr>
                <w:top w:val="none" w:sz="0" w:space="0" w:color="auto"/>
                <w:left w:val="none" w:sz="0" w:space="0" w:color="auto"/>
                <w:bottom w:val="none" w:sz="0" w:space="0" w:color="auto"/>
                <w:right w:val="none" w:sz="0" w:space="0" w:color="auto"/>
              </w:divBdr>
            </w:div>
          </w:divsChild>
        </w:div>
        <w:div w:id="2013022619">
          <w:marLeft w:val="0"/>
          <w:marRight w:val="0"/>
          <w:marTop w:val="0"/>
          <w:marBottom w:val="0"/>
          <w:divBdr>
            <w:top w:val="none" w:sz="0" w:space="0" w:color="auto"/>
            <w:left w:val="none" w:sz="0" w:space="0" w:color="auto"/>
            <w:bottom w:val="none" w:sz="0" w:space="0" w:color="auto"/>
            <w:right w:val="none" w:sz="0" w:space="0" w:color="auto"/>
          </w:divBdr>
          <w:divsChild>
            <w:div w:id="1362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7854">
      <w:bodyDiv w:val="1"/>
      <w:marLeft w:val="0"/>
      <w:marRight w:val="0"/>
      <w:marTop w:val="0"/>
      <w:marBottom w:val="0"/>
      <w:divBdr>
        <w:top w:val="none" w:sz="0" w:space="0" w:color="auto"/>
        <w:left w:val="none" w:sz="0" w:space="0" w:color="auto"/>
        <w:bottom w:val="none" w:sz="0" w:space="0" w:color="auto"/>
        <w:right w:val="none" w:sz="0" w:space="0" w:color="auto"/>
      </w:divBdr>
      <w:divsChild>
        <w:div w:id="11810131">
          <w:marLeft w:val="0"/>
          <w:marRight w:val="0"/>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15343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382">
          <w:marLeft w:val="0"/>
          <w:marRight w:val="0"/>
          <w:marTop w:val="0"/>
          <w:marBottom w:val="0"/>
          <w:divBdr>
            <w:top w:val="none" w:sz="0" w:space="0" w:color="auto"/>
            <w:left w:val="none" w:sz="0" w:space="0" w:color="auto"/>
            <w:bottom w:val="none" w:sz="0" w:space="0" w:color="auto"/>
            <w:right w:val="none" w:sz="0" w:space="0" w:color="auto"/>
          </w:divBdr>
          <w:divsChild>
            <w:div w:id="1105419865">
              <w:marLeft w:val="0"/>
              <w:marRight w:val="0"/>
              <w:marTop w:val="0"/>
              <w:marBottom w:val="0"/>
              <w:divBdr>
                <w:top w:val="none" w:sz="0" w:space="0" w:color="auto"/>
                <w:left w:val="none" w:sz="0" w:space="0" w:color="auto"/>
                <w:bottom w:val="none" w:sz="0" w:space="0" w:color="auto"/>
                <w:right w:val="none" w:sz="0" w:space="0" w:color="auto"/>
              </w:divBdr>
              <w:divsChild>
                <w:div w:id="14720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6085">
          <w:marLeft w:val="0"/>
          <w:marRight w:val="0"/>
          <w:marTop w:val="0"/>
          <w:marBottom w:val="0"/>
          <w:divBdr>
            <w:top w:val="none" w:sz="0" w:space="0" w:color="auto"/>
            <w:left w:val="none" w:sz="0" w:space="0" w:color="auto"/>
            <w:bottom w:val="none" w:sz="0" w:space="0" w:color="auto"/>
            <w:right w:val="none" w:sz="0" w:space="0" w:color="auto"/>
          </w:divBdr>
          <w:divsChild>
            <w:div w:id="826629224">
              <w:marLeft w:val="0"/>
              <w:marRight w:val="0"/>
              <w:marTop w:val="0"/>
              <w:marBottom w:val="0"/>
              <w:divBdr>
                <w:top w:val="none" w:sz="0" w:space="0" w:color="auto"/>
                <w:left w:val="none" w:sz="0" w:space="0" w:color="auto"/>
                <w:bottom w:val="none" w:sz="0" w:space="0" w:color="auto"/>
                <w:right w:val="none" w:sz="0" w:space="0" w:color="auto"/>
              </w:divBdr>
              <w:divsChild>
                <w:div w:id="3388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8489">
          <w:marLeft w:val="0"/>
          <w:marRight w:val="0"/>
          <w:marTop w:val="0"/>
          <w:marBottom w:val="0"/>
          <w:divBdr>
            <w:top w:val="none" w:sz="0" w:space="0" w:color="auto"/>
            <w:left w:val="none" w:sz="0" w:space="0" w:color="auto"/>
            <w:bottom w:val="none" w:sz="0" w:space="0" w:color="auto"/>
            <w:right w:val="none" w:sz="0" w:space="0" w:color="auto"/>
          </w:divBdr>
          <w:divsChild>
            <w:div w:id="585458749">
              <w:marLeft w:val="0"/>
              <w:marRight w:val="0"/>
              <w:marTop w:val="0"/>
              <w:marBottom w:val="0"/>
              <w:divBdr>
                <w:top w:val="none" w:sz="0" w:space="0" w:color="auto"/>
                <w:left w:val="none" w:sz="0" w:space="0" w:color="auto"/>
                <w:bottom w:val="none" w:sz="0" w:space="0" w:color="auto"/>
                <w:right w:val="none" w:sz="0" w:space="0" w:color="auto"/>
              </w:divBdr>
              <w:divsChild>
                <w:div w:id="10107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0124">
          <w:marLeft w:val="0"/>
          <w:marRight w:val="0"/>
          <w:marTop w:val="0"/>
          <w:marBottom w:val="0"/>
          <w:divBdr>
            <w:top w:val="none" w:sz="0" w:space="0" w:color="auto"/>
            <w:left w:val="none" w:sz="0" w:space="0" w:color="auto"/>
            <w:bottom w:val="none" w:sz="0" w:space="0" w:color="auto"/>
            <w:right w:val="none" w:sz="0" w:space="0" w:color="auto"/>
          </w:divBdr>
          <w:divsChild>
            <w:div w:id="534149853">
              <w:marLeft w:val="0"/>
              <w:marRight w:val="0"/>
              <w:marTop w:val="0"/>
              <w:marBottom w:val="0"/>
              <w:divBdr>
                <w:top w:val="none" w:sz="0" w:space="0" w:color="auto"/>
                <w:left w:val="none" w:sz="0" w:space="0" w:color="auto"/>
                <w:bottom w:val="none" w:sz="0" w:space="0" w:color="auto"/>
                <w:right w:val="none" w:sz="0" w:space="0" w:color="auto"/>
              </w:divBdr>
              <w:divsChild>
                <w:div w:id="1635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7785">
          <w:marLeft w:val="0"/>
          <w:marRight w:val="0"/>
          <w:marTop w:val="0"/>
          <w:marBottom w:val="0"/>
          <w:divBdr>
            <w:top w:val="none" w:sz="0" w:space="0" w:color="auto"/>
            <w:left w:val="none" w:sz="0" w:space="0" w:color="auto"/>
            <w:bottom w:val="none" w:sz="0" w:space="0" w:color="auto"/>
            <w:right w:val="none" w:sz="0" w:space="0" w:color="auto"/>
          </w:divBdr>
          <w:divsChild>
            <w:div w:id="1976180299">
              <w:marLeft w:val="0"/>
              <w:marRight w:val="0"/>
              <w:marTop w:val="0"/>
              <w:marBottom w:val="0"/>
              <w:divBdr>
                <w:top w:val="none" w:sz="0" w:space="0" w:color="auto"/>
                <w:left w:val="none" w:sz="0" w:space="0" w:color="auto"/>
                <w:bottom w:val="none" w:sz="0" w:space="0" w:color="auto"/>
                <w:right w:val="none" w:sz="0" w:space="0" w:color="auto"/>
              </w:divBdr>
              <w:divsChild>
                <w:div w:id="1476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2879">
          <w:marLeft w:val="0"/>
          <w:marRight w:val="0"/>
          <w:marTop w:val="0"/>
          <w:marBottom w:val="0"/>
          <w:divBdr>
            <w:top w:val="none" w:sz="0" w:space="0" w:color="auto"/>
            <w:left w:val="none" w:sz="0" w:space="0" w:color="auto"/>
            <w:bottom w:val="none" w:sz="0" w:space="0" w:color="auto"/>
            <w:right w:val="none" w:sz="0" w:space="0" w:color="auto"/>
          </w:divBdr>
          <w:divsChild>
            <w:div w:id="1997031710">
              <w:marLeft w:val="0"/>
              <w:marRight w:val="0"/>
              <w:marTop w:val="0"/>
              <w:marBottom w:val="0"/>
              <w:divBdr>
                <w:top w:val="none" w:sz="0" w:space="0" w:color="auto"/>
                <w:left w:val="none" w:sz="0" w:space="0" w:color="auto"/>
                <w:bottom w:val="none" w:sz="0" w:space="0" w:color="auto"/>
                <w:right w:val="none" w:sz="0" w:space="0" w:color="auto"/>
              </w:divBdr>
              <w:divsChild>
                <w:div w:id="4086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7181">
          <w:marLeft w:val="0"/>
          <w:marRight w:val="0"/>
          <w:marTop w:val="0"/>
          <w:marBottom w:val="0"/>
          <w:divBdr>
            <w:top w:val="none" w:sz="0" w:space="0" w:color="auto"/>
            <w:left w:val="none" w:sz="0" w:space="0" w:color="auto"/>
            <w:bottom w:val="none" w:sz="0" w:space="0" w:color="auto"/>
            <w:right w:val="none" w:sz="0" w:space="0" w:color="auto"/>
          </w:divBdr>
          <w:divsChild>
            <w:div w:id="1915434219">
              <w:marLeft w:val="0"/>
              <w:marRight w:val="0"/>
              <w:marTop w:val="0"/>
              <w:marBottom w:val="0"/>
              <w:divBdr>
                <w:top w:val="none" w:sz="0" w:space="0" w:color="auto"/>
                <w:left w:val="none" w:sz="0" w:space="0" w:color="auto"/>
                <w:bottom w:val="none" w:sz="0" w:space="0" w:color="auto"/>
                <w:right w:val="none" w:sz="0" w:space="0" w:color="auto"/>
              </w:divBdr>
              <w:divsChild>
                <w:div w:id="1596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7073">
          <w:marLeft w:val="0"/>
          <w:marRight w:val="0"/>
          <w:marTop w:val="0"/>
          <w:marBottom w:val="0"/>
          <w:divBdr>
            <w:top w:val="none" w:sz="0" w:space="0" w:color="auto"/>
            <w:left w:val="none" w:sz="0" w:space="0" w:color="auto"/>
            <w:bottom w:val="none" w:sz="0" w:space="0" w:color="auto"/>
            <w:right w:val="none" w:sz="0" w:space="0" w:color="auto"/>
          </w:divBdr>
          <w:divsChild>
            <w:div w:id="1031691312">
              <w:marLeft w:val="0"/>
              <w:marRight w:val="0"/>
              <w:marTop w:val="0"/>
              <w:marBottom w:val="0"/>
              <w:divBdr>
                <w:top w:val="none" w:sz="0" w:space="0" w:color="auto"/>
                <w:left w:val="none" w:sz="0" w:space="0" w:color="auto"/>
                <w:bottom w:val="none" w:sz="0" w:space="0" w:color="auto"/>
                <w:right w:val="none" w:sz="0" w:space="0" w:color="auto"/>
              </w:divBdr>
              <w:divsChild>
                <w:div w:id="1553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0092">
          <w:marLeft w:val="0"/>
          <w:marRight w:val="0"/>
          <w:marTop w:val="0"/>
          <w:marBottom w:val="0"/>
          <w:divBdr>
            <w:top w:val="none" w:sz="0" w:space="0" w:color="auto"/>
            <w:left w:val="none" w:sz="0" w:space="0" w:color="auto"/>
            <w:bottom w:val="none" w:sz="0" w:space="0" w:color="auto"/>
            <w:right w:val="none" w:sz="0" w:space="0" w:color="auto"/>
          </w:divBdr>
          <w:divsChild>
            <w:div w:id="252200463">
              <w:marLeft w:val="0"/>
              <w:marRight w:val="0"/>
              <w:marTop w:val="0"/>
              <w:marBottom w:val="0"/>
              <w:divBdr>
                <w:top w:val="none" w:sz="0" w:space="0" w:color="auto"/>
                <w:left w:val="none" w:sz="0" w:space="0" w:color="auto"/>
                <w:bottom w:val="none" w:sz="0" w:space="0" w:color="auto"/>
                <w:right w:val="none" w:sz="0" w:space="0" w:color="auto"/>
              </w:divBdr>
              <w:divsChild>
                <w:div w:id="20531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4828">
          <w:marLeft w:val="0"/>
          <w:marRight w:val="0"/>
          <w:marTop w:val="0"/>
          <w:marBottom w:val="0"/>
          <w:divBdr>
            <w:top w:val="none" w:sz="0" w:space="0" w:color="auto"/>
            <w:left w:val="none" w:sz="0" w:space="0" w:color="auto"/>
            <w:bottom w:val="none" w:sz="0" w:space="0" w:color="auto"/>
            <w:right w:val="none" w:sz="0" w:space="0" w:color="auto"/>
          </w:divBdr>
          <w:divsChild>
            <w:div w:id="1916352978">
              <w:marLeft w:val="0"/>
              <w:marRight w:val="0"/>
              <w:marTop w:val="0"/>
              <w:marBottom w:val="0"/>
              <w:divBdr>
                <w:top w:val="none" w:sz="0" w:space="0" w:color="auto"/>
                <w:left w:val="none" w:sz="0" w:space="0" w:color="auto"/>
                <w:bottom w:val="none" w:sz="0" w:space="0" w:color="auto"/>
                <w:right w:val="none" w:sz="0" w:space="0" w:color="auto"/>
              </w:divBdr>
              <w:divsChild>
                <w:div w:id="19763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0575">
          <w:marLeft w:val="0"/>
          <w:marRight w:val="0"/>
          <w:marTop w:val="0"/>
          <w:marBottom w:val="0"/>
          <w:divBdr>
            <w:top w:val="none" w:sz="0" w:space="0" w:color="auto"/>
            <w:left w:val="none" w:sz="0" w:space="0" w:color="auto"/>
            <w:bottom w:val="none" w:sz="0" w:space="0" w:color="auto"/>
            <w:right w:val="none" w:sz="0" w:space="0" w:color="auto"/>
          </w:divBdr>
          <w:divsChild>
            <w:div w:id="1588421187">
              <w:marLeft w:val="0"/>
              <w:marRight w:val="0"/>
              <w:marTop w:val="0"/>
              <w:marBottom w:val="0"/>
              <w:divBdr>
                <w:top w:val="none" w:sz="0" w:space="0" w:color="auto"/>
                <w:left w:val="none" w:sz="0" w:space="0" w:color="auto"/>
                <w:bottom w:val="none" w:sz="0" w:space="0" w:color="auto"/>
                <w:right w:val="none" w:sz="0" w:space="0" w:color="auto"/>
              </w:divBdr>
              <w:divsChild>
                <w:div w:id="12417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6904">
          <w:marLeft w:val="0"/>
          <w:marRight w:val="0"/>
          <w:marTop w:val="0"/>
          <w:marBottom w:val="0"/>
          <w:divBdr>
            <w:top w:val="none" w:sz="0" w:space="0" w:color="auto"/>
            <w:left w:val="none" w:sz="0" w:space="0" w:color="auto"/>
            <w:bottom w:val="none" w:sz="0" w:space="0" w:color="auto"/>
            <w:right w:val="none" w:sz="0" w:space="0" w:color="auto"/>
          </w:divBdr>
          <w:divsChild>
            <w:div w:id="1375692012">
              <w:marLeft w:val="0"/>
              <w:marRight w:val="0"/>
              <w:marTop w:val="0"/>
              <w:marBottom w:val="0"/>
              <w:divBdr>
                <w:top w:val="none" w:sz="0" w:space="0" w:color="auto"/>
                <w:left w:val="none" w:sz="0" w:space="0" w:color="auto"/>
                <w:bottom w:val="none" w:sz="0" w:space="0" w:color="auto"/>
                <w:right w:val="none" w:sz="0" w:space="0" w:color="auto"/>
              </w:divBdr>
              <w:divsChild>
                <w:div w:id="9675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7792">
          <w:marLeft w:val="0"/>
          <w:marRight w:val="0"/>
          <w:marTop w:val="0"/>
          <w:marBottom w:val="0"/>
          <w:divBdr>
            <w:top w:val="none" w:sz="0" w:space="0" w:color="auto"/>
            <w:left w:val="none" w:sz="0" w:space="0" w:color="auto"/>
            <w:bottom w:val="none" w:sz="0" w:space="0" w:color="auto"/>
            <w:right w:val="none" w:sz="0" w:space="0" w:color="auto"/>
          </w:divBdr>
          <w:divsChild>
            <w:div w:id="1577587715">
              <w:marLeft w:val="0"/>
              <w:marRight w:val="0"/>
              <w:marTop w:val="0"/>
              <w:marBottom w:val="0"/>
              <w:divBdr>
                <w:top w:val="none" w:sz="0" w:space="0" w:color="auto"/>
                <w:left w:val="none" w:sz="0" w:space="0" w:color="auto"/>
                <w:bottom w:val="none" w:sz="0" w:space="0" w:color="auto"/>
                <w:right w:val="none" w:sz="0" w:space="0" w:color="auto"/>
              </w:divBdr>
              <w:divsChild>
                <w:div w:id="16285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3222">
          <w:marLeft w:val="0"/>
          <w:marRight w:val="0"/>
          <w:marTop w:val="0"/>
          <w:marBottom w:val="0"/>
          <w:divBdr>
            <w:top w:val="none" w:sz="0" w:space="0" w:color="auto"/>
            <w:left w:val="none" w:sz="0" w:space="0" w:color="auto"/>
            <w:bottom w:val="none" w:sz="0" w:space="0" w:color="auto"/>
            <w:right w:val="none" w:sz="0" w:space="0" w:color="auto"/>
          </w:divBdr>
          <w:divsChild>
            <w:div w:id="882252577">
              <w:marLeft w:val="0"/>
              <w:marRight w:val="0"/>
              <w:marTop w:val="0"/>
              <w:marBottom w:val="0"/>
              <w:divBdr>
                <w:top w:val="none" w:sz="0" w:space="0" w:color="auto"/>
                <w:left w:val="none" w:sz="0" w:space="0" w:color="auto"/>
                <w:bottom w:val="none" w:sz="0" w:space="0" w:color="auto"/>
                <w:right w:val="none" w:sz="0" w:space="0" w:color="auto"/>
              </w:divBdr>
              <w:divsChild>
                <w:div w:id="2106150312">
                  <w:marLeft w:val="0"/>
                  <w:marRight w:val="0"/>
                  <w:marTop w:val="0"/>
                  <w:marBottom w:val="0"/>
                  <w:divBdr>
                    <w:top w:val="none" w:sz="0" w:space="0" w:color="auto"/>
                    <w:left w:val="none" w:sz="0" w:space="0" w:color="auto"/>
                    <w:bottom w:val="none" w:sz="0" w:space="0" w:color="auto"/>
                    <w:right w:val="none" w:sz="0" w:space="0" w:color="auto"/>
                  </w:divBdr>
                </w:div>
              </w:divsChild>
            </w:div>
            <w:div w:id="1187018843">
              <w:marLeft w:val="0"/>
              <w:marRight w:val="0"/>
              <w:marTop w:val="0"/>
              <w:marBottom w:val="0"/>
              <w:divBdr>
                <w:top w:val="none" w:sz="0" w:space="0" w:color="auto"/>
                <w:left w:val="none" w:sz="0" w:space="0" w:color="auto"/>
                <w:bottom w:val="none" w:sz="0" w:space="0" w:color="auto"/>
                <w:right w:val="none" w:sz="0" w:space="0" w:color="auto"/>
              </w:divBdr>
              <w:divsChild>
                <w:div w:id="313992129">
                  <w:marLeft w:val="0"/>
                  <w:marRight w:val="0"/>
                  <w:marTop w:val="0"/>
                  <w:marBottom w:val="0"/>
                  <w:divBdr>
                    <w:top w:val="none" w:sz="0" w:space="0" w:color="auto"/>
                    <w:left w:val="none" w:sz="0" w:space="0" w:color="auto"/>
                    <w:bottom w:val="none" w:sz="0" w:space="0" w:color="auto"/>
                    <w:right w:val="none" w:sz="0" w:space="0" w:color="auto"/>
                  </w:divBdr>
                </w:div>
              </w:divsChild>
            </w:div>
            <w:div w:id="1886985538">
              <w:marLeft w:val="0"/>
              <w:marRight w:val="0"/>
              <w:marTop w:val="0"/>
              <w:marBottom w:val="0"/>
              <w:divBdr>
                <w:top w:val="none" w:sz="0" w:space="0" w:color="auto"/>
                <w:left w:val="none" w:sz="0" w:space="0" w:color="auto"/>
                <w:bottom w:val="none" w:sz="0" w:space="0" w:color="auto"/>
                <w:right w:val="none" w:sz="0" w:space="0" w:color="auto"/>
              </w:divBdr>
              <w:divsChild>
                <w:div w:id="19308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596">
          <w:marLeft w:val="0"/>
          <w:marRight w:val="0"/>
          <w:marTop w:val="0"/>
          <w:marBottom w:val="0"/>
          <w:divBdr>
            <w:top w:val="none" w:sz="0" w:space="0" w:color="auto"/>
            <w:left w:val="none" w:sz="0" w:space="0" w:color="auto"/>
            <w:bottom w:val="none" w:sz="0" w:space="0" w:color="auto"/>
            <w:right w:val="none" w:sz="0" w:space="0" w:color="auto"/>
          </w:divBdr>
          <w:divsChild>
            <w:div w:id="1724016126">
              <w:marLeft w:val="0"/>
              <w:marRight w:val="0"/>
              <w:marTop w:val="0"/>
              <w:marBottom w:val="0"/>
              <w:divBdr>
                <w:top w:val="none" w:sz="0" w:space="0" w:color="auto"/>
                <w:left w:val="none" w:sz="0" w:space="0" w:color="auto"/>
                <w:bottom w:val="none" w:sz="0" w:space="0" w:color="auto"/>
                <w:right w:val="none" w:sz="0" w:space="0" w:color="auto"/>
              </w:divBdr>
              <w:divsChild>
                <w:div w:id="659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8959">
          <w:marLeft w:val="0"/>
          <w:marRight w:val="0"/>
          <w:marTop w:val="0"/>
          <w:marBottom w:val="0"/>
          <w:divBdr>
            <w:top w:val="none" w:sz="0" w:space="0" w:color="auto"/>
            <w:left w:val="none" w:sz="0" w:space="0" w:color="auto"/>
            <w:bottom w:val="none" w:sz="0" w:space="0" w:color="auto"/>
            <w:right w:val="none" w:sz="0" w:space="0" w:color="auto"/>
          </w:divBdr>
          <w:divsChild>
            <w:div w:id="2059351146">
              <w:marLeft w:val="0"/>
              <w:marRight w:val="0"/>
              <w:marTop w:val="0"/>
              <w:marBottom w:val="0"/>
              <w:divBdr>
                <w:top w:val="none" w:sz="0" w:space="0" w:color="auto"/>
                <w:left w:val="none" w:sz="0" w:space="0" w:color="auto"/>
                <w:bottom w:val="none" w:sz="0" w:space="0" w:color="auto"/>
                <w:right w:val="none" w:sz="0" w:space="0" w:color="auto"/>
              </w:divBdr>
              <w:divsChild>
                <w:div w:id="15621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104">
          <w:marLeft w:val="0"/>
          <w:marRight w:val="0"/>
          <w:marTop w:val="0"/>
          <w:marBottom w:val="0"/>
          <w:divBdr>
            <w:top w:val="none" w:sz="0" w:space="0" w:color="auto"/>
            <w:left w:val="none" w:sz="0" w:space="0" w:color="auto"/>
            <w:bottom w:val="none" w:sz="0" w:space="0" w:color="auto"/>
            <w:right w:val="none" w:sz="0" w:space="0" w:color="auto"/>
          </w:divBdr>
          <w:divsChild>
            <w:div w:id="658509237">
              <w:marLeft w:val="0"/>
              <w:marRight w:val="0"/>
              <w:marTop w:val="0"/>
              <w:marBottom w:val="0"/>
              <w:divBdr>
                <w:top w:val="none" w:sz="0" w:space="0" w:color="auto"/>
                <w:left w:val="none" w:sz="0" w:space="0" w:color="auto"/>
                <w:bottom w:val="none" w:sz="0" w:space="0" w:color="auto"/>
                <w:right w:val="none" w:sz="0" w:space="0" w:color="auto"/>
              </w:divBdr>
              <w:divsChild>
                <w:div w:id="101652743">
                  <w:marLeft w:val="0"/>
                  <w:marRight w:val="0"/>
                  <w:marTop w:val="0"/>
                  <w:marBottom w:val="0"/>
                  <w:divBdr>
                    <w:top w:val="none" w:sz="0" w:space="0" w:color="auto"/>
                    <w:left w:val="none" w:sz="0" w:space="0" w:color="auto"/>
                    <w:bottom w:val="none" w:sz="0" w:space="0" w:color="auto"/>
                    <w:right w:val="none" w:sz="0" w:space="0" w:color="auto"/>
                  </w:divBdr>
                </w:div>
              </w:divsChild>
            </w:div>
            <w:div w:id="987442556">
              <w:marLeft w:val="0"/>
              <w:marRight w:val="0"/>
              <w:marTop w:val="0"/>
              <w:marBottom w:val="0"/>
              <w:divBdr>
                <w:top w:val="none" w:sz="0" w:space="0" w:color="auto"/>
                <w:left w:val="none" w:sz="0" w:space="0" w:color="auto"/>
                <w:bottom w:val="none" w:sz="0" w:space="0" w:color="auto"/>
                <w:right w:val="none" w:sz="0" w:space="0" w:color="auto"/>
              </w:divBdr>
              <w:divsChild>
                <w:div w:id="4001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895">
          <w:marLeft w:val="0"/>
          <w:marRight w:val="0"/>
          <w:marTop w:val="0"/>
          <w:marBottom w:val="0"/>
          <w:divBdr>
            <w:top w:val="none" w:sz="0" w:space="0" w:color="auto"/>
            <w:left w:val="none" w:sz="0" w:space="0" w:color="auto"/>
            <w:bottom w:val="none" w:sz="0" w:space="0" w:color="auto"/>
            <w:right w:val="none" w:sz="0" w:space="0" w:color="auto"/>
          </w:divBdr>
          <w:divsChild>
            <w:div w:id="958948852">
              <w:marLeft w:val="0"/>
              <w:marRight w:val="0"/>
              <w:marTop w:val="0"/>
              <w:marBottom w:val="0"/>
              <w:divBdr>
                <w:top w:val="none" w:sz="0" w:space="0" w:color="auto"/>
                <w:left w:val="none" w:sz="0" w:space="0" w:color="auto"/>
                <w:bottom w:val="none" w:sz="0" w:space="0" w:color="auto"/>
                <w:right w:val="none" w:sz="0" w:space="0" w:color="auto"/>
              </w:divBdr>
              <w:divsChild>
                <w:div w:id="935139855">
                  <w:marLeft w:val="0"/>
                  <w:marRight w:val="0"/>
                  <w:marTop w:val="0"/>
                  <w:marBottom w:val="0"/>
                  <w:divBdr>
                    <w:top w:val="none" w:sz="0" w:space="0" w:color="auto"/>
                    <w:left w:val="none" w:sz="0" w:space="0" w:color="auto"/>
                    <w:bottom w:val="none" w:sz="0" w:space="0" w:color="auto"/>
                    <w:right w:val="none" w:sz="0" w:space="0" w:color="auto"/>
                  </w:divBdr>
                </w:div>
              </w:divsChild>
            </w:div>
            <w:div w:id="1175076379">
              <w:marLeft w:val="0"/>
              <w:marRight w:val="0"/>
              <w:marTop w:val="0"/>
              <w:marBottom w:val="0"/>
              <w:divBdr>
                <w:top w:val="none" w:sz="0" w:space="0" w:color="auto"/>
                <w:left w:val="none" w:sz="0" w:space="0" w:color="auto"/>
                <w:bottom w:val="none" w:sz="0" w:space="0" w:color="auto"/>
                <w:right w:val="none" w:sz="0" w:space="0" w:color="auto"/>
              </w:divBdr>
              <w:divsChild>
                <w:div w:id="244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2973">
          <w:marLeft w:val="0"/>
          <w:marRight w:val="0"/>
          <w:marTop w:val="0"/>
          <w:marBottom w:val="0"/>
          <w:divBdr>
            <w:top w:val="none" w:sz="0" w:space="0" w:color="auto"/>
            <w:left w:val="none" w:sz="0" w:space="0" w:color="auto"/>
            <w:bottom w:val="none" w:sz="0" w:space="0" w:color="auto"/>
            <w:right w:val="none" w:sz="0" w:space="0" w:color="auto"/>
          </w:divBdr>
          <w:divsChild>
            <w:div w:id="863981003">
              <w:marLeft w:val="0"/>
              <w:marRight w:val="0"/>
              <w:marTop w:val="0"/>
              <w:marBottom w:val="0"/>
              <w:divBdr>
                <w:top w:val="none" w:sz="0" w:space="0" w:color="auto"/>
                <w:left w:val="none" w:sz="0" w:space="0" w:color="auto"/>
                <w:bottom w:val="none" w:sz="0" w:space="0" w:color="auto"/>
                <w:right w:val="none" w:sz="0" w:space="0" w:color="auto"/>
              </w:divBdr>
              <w:divsChild>
                <w:div w:id="2295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1445">
          <w:marLeft w:val="0"/>
          <w:marRight w:val="0"/>
          <w:marTop w:val="0"/>
          <w:marBottom w:val="0"/>
          <w:divBdr>
            <w:top w:val="none" w:sz="0" w:space="0" w:color="auto"/>
            <w:left w:val="none" w:sz="0" w:space="0" w:color="auto"/>
            <w:bottom w:val="none" w:sz="0" w:space="0" w:color="auto"/>
            <w:right w:val="none" w:sz="0" w:space="0" w:color="auto"/>
          </w:divBdr>
          <w:divsChild>
            <w:div w:id="1993681412">
              <w:marLeft w:val="0"/>
              <w:marRight w:val="0"/>
              <w:marTop w:val="0"/>
              <w:marBottom w:val="0"/>
              <w:divBdr>
                <w:top w:val="none" w:sz="0" w:space="0" w:color="auto"/>
                <w:left w:val="none" w:sz="0" w:space="0" w:color="auto"/>
                <w:bottom w:val="none" w:sz="0" w:space="0" w:color="auto"/>
                <w:right w:val="none" w:sz="0" w:space="0" w:color="auto"/>
              </w:divBdr>
              <w:divsChild>
                <w:div w:id="1051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565">
          <w:marLeft w:val="0"/>
          <w:marRight w:val="0"/>
          <w:marTop w:val="0"/>
          <w:marBottom w:val="0"/>
          <w:divBdr>
            <w:top w:val="none" w:sz="0" w:space="0" w:color="auto"/>
            <w:left w:val="none" w:sz="0" w:space="0" w:color="auto"/>
            <w:bottom w:val="none" w:sz="0" w:space="0" w:color="auto"/>
            <w:right w:val="none" w:sz="0" w:space="0" w:color="auto"/>
          </w:divBdr>
          <w:divsChild>
            <w:div w:id="432433036">
              <w:marLeft w:val="0"/>
              <w:marRight w:val="0"/>
              <w:marTop w:val="0"/>
              <w:marBottom w:val="0"/>
              <w:divBdr>
                <w:top w:val="none" w:sz="0" w:space="0" w:color="auto"/>
                <w:left w:val="none" w:sz="0" w:space="0" w:color="auto"/>
                <w:bottom w:val="none" w:sz="0" w:space="0" w:color="auto"/>
                <w:right w:val="none" w:sz="0" w:space="0" w:color="auto"/>
              </w:divBdr>
              <w:divsChild>
                <w:div w:id="17561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011">
      <w:bodyDiv w:val="1"/>
      <w:marLeft w:val="0"/>
      <w:marRight w:val="0"/>
      <w:marTop w:val="0"/>
      <w:marBottom w:val="0"/>
      <w:divBdr>
        <w:top w:val="none" w:sz="0" w:space="0" w:color="auto"/>
        <w:left w:val="none" w:sz="0" w:space="0" w:color="auto"/>
        <w:bottom w:val="none" w:sz="0" w:space="0" w:color="auto"/>
        <w:right w:val="none" w:sz="0" w:space="0" w:color="auto"/>
      </w:divBdr>
    </w:div>
    <w:div w:id="961494707">
      <w:bodyDiv w:val="1"/>
      <w:marLeft w:val="0"/>
      <w:marRight w:val="0"/>
      <w:marTop w:val="0"/>
      <w:marBottom w:val="0"/>
      <w:divBdr>
        <w:top w:val="none" w:sz="0" w:space="0" w:color="auto"/>
        <w:left w:val="none" w:sz="0" w:space="0" w:color="auto"/>
        <w:bottom w:val="none" w:sz="0" w:space="0" w:color="auto"/>
        <w:right w:val="none" w:sz="0" w:space="0" w:color="auto"/>
      </w:divBdr>
      <w:divsChild>
        <w:div w:id="827593816">
          <w:marLeft w:val="0"/>
          <w:marRight w:val="0"/>
          <w:marTop w:val="0"/>
          <w:marBottom w:val="0"/>
          <w:divBdr>
            <w:top w:val="none" w:sz="0" w:space="0" w:color="auto"/>
            <w:left w:val="none" w:sz="0" w:space="0" w:color="auto"/>
            <w:bottom w:val="none" w:sz="0" w:space="0" w:color="auto"/>
            <w:right w:val="none" w:sz="0" w:space="0" w:color="auto"/>
          </w:divBdr>
          <w:divsChild>
            <w:div w:id="681663899">
              <w:marLeft w:val="0"/>
              <w:marRight w:val="0"/>
              <w:marTop w:val="0"/>
              <w:marBottom w:val="0"/>
              <w:divBdr>
                <w:top w:val="none" w:sz="0" w:space="0" w:color="auto"/>
                <w:left w:val="none" w:sz="0" w:space="0" w:color="auto"/>
                <w:bottom w:val="none" w:sz="0" w:space="0" w:color="auto"/>
                <w:right w:val="none" w:sz="0" w:space="0" w:color="auto"/>
              </w:divBdr>
            </w:div>
          </w:divsChild>
        </w:div>
        <w:div w:id="1198350508">
          <w:marLeft w:val="0"/>
          <w:marRight w:val="0"/>
          <w:marTop w:val="0"/>
          <w:marBottom w:val="0"/>
          <w:divBdr>
            <w:top w:val="none" w:sz="0" w:space="0" w:color="auto"/>
            <w:left w:val="none" w:sz="0" w:space="0" w:color="auto"/>
            <w:bottom w:val="none" w:sz="0" w:space="0" w:color="auto"/>
            <w:right w:val="none" w:sz="0" w:space="0" w:color="auto"/>
          </w:divBdr>
          <w:divsChild>
            <w:div w:id="58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1518068">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sChild>
        <w:div w:id="956985341">
          <w:marLeft w:val="0"/>
          <w:marRight w:val="0"/>
          <w:marTop w:val="0"/>
          <w:marBottom w:val="0"/>
          <w:divBdr>
            <w:top w:val="none" w:sz="0" w:space="0" w:color="auto"/>
            <w:left w:val="none" w:sz="0" w:space="0" w:color="auto"/>
            <w:bottom w:val="none" w:sz="0" w:space="0" w:color="auto"/>
            <w:right w:val="none" w:sz="0" w:space="0" w:color="auto"/>
          </w:divBdr>
          <w:divsChild>
            <w:div w:id="1579050593">
              <w:marLeft w:val="0"/>
              <w:marRight w:val="0"/>
              <w:marTop w:val="0"/>
              <w:marBottom w:val="0"/>
              <w:divBdr>
                <w:top w:val="none" w:sz="0" w:space="0" w:color="auto"/>
                <w:left w:val="none" w:sz="0" w:space="0" w:color="auto"/>
                <w:bottom w:val="none" w:sz="0" w:space="0" w:color="auto"/>
                <w:right w:val="none" w:sz="0" w:space="0" w:color="auto"/>
              </w:divBdr>
            </w:div>
          </w:divsChild>
        </w:div>
        <w:div w:id="1166744221">
          <w:marLeft w:val="0"/>
          <w:marRight w:val="0"/>
          <w:marTop w:val="0"/>
          <w:marBottom w:val="0"/>
          <w:divBdr>
            <w:top w:val="none" w:sz="0" w:space="0" w:color="auto"/>
            <w:left w:val="none" w:sz="0" w:space="0" w:color="auto"/>
            <w:bottom w:val="none" w:sz="0" w:space="0" w:color="auto"/>
            <w:right w:val="none" w:sz="0" w:space="0" w:color="auto"/>
          </w:divBdr>
          <w:divsChild>
            <w:div w:id="1887253169">
              <w:marLeft w:val="0"/>
              <w:marRight w:val="0"/>
              <w:marTop w:val="0"/>
              <w:marBottom w:val="0"/>
              <w:divBdr>
                <w:top w:val="none" w:sz="0" w:space="0" w:color="auto"/>
                <w:left w:val="none" w:sz="0" w:space="0" w:color="auto"/>
                <w:bottom w:val="none" w:sz="0" w:space="0" w:color="auto"/>
                <w:right w:val="none" w:sz="0" w:space="0" w:color="auto"/>
              </w:divBdr>
            </w:div>
          </w:divsChild>
        </w:div>
        <w:div w:id="1231649549">
          <w:marLeft w:val="0"/>
          <w:marRight w:val="0"/>
          <w:marTop w:val="0"/>
          <w:marBottom w:val="0"/>
          <w:divBdr>
            <w:top w:val="none" w:sz="0" w:space="0" w:color="auto"/>
            <w:left w:val="none" w:sz="0" w:space="0" w:color="auto"/>
            <w:bottom w:val="none" w:sz="0" w:space="0" w:color="auto"/>
            <w:right w:val="none" w:sz="0" w:space="0" w:color="auto"/>
          </w:divBdr>
          <w:divsChild>
            <w:div w:id="1729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7057">
      <w:bodyDiv w:val="1"/>
      <w:marLeft w:val="0"/>
      <w:marRight w:val="0"/>
      <w:marTop w:val="0"/>
      <w:marBottom w:val="0"/>
      <w:divBdr>
        <w:top w:val="none" w:sz="0" w:space="0" w:color="auto"/>
        <w:left w:val="none" w:sz="0" w:space="0" w:color="auto"/>
        <w:bottom w:val="none" w:sz="0" w:space="0" w:color="auto"/>
        <w:right w:val="none" w:sz="0" w:space="0" w:color="auto"/>
      </w:divBdr>
    </w:div>
    <w:div w:id="1058897353">
      <w:bodyDiv w:val="1"/>
      <w:marLeft w:val="0"/>
      <w:marRight w:val="0"/>
      <w:marTop w:val="0"/>
      <w:marBottom w:val="0"/>
      <w:divBdr>
        <w:top w:val="none" w:sz="0" w:space="0" w:color="auto"/>
        <w:left w:val="none" w:sz="0" w:space="0" w:color="auto"/>
        <w:bottom w:val="none" w:sz="0" w:space="0" w:color="auto"/>
        <w:right w:val="none" w:sz="0" w:space="0" w:color="auto"/>
      </w:divBdr>
      <w:divsChild>
        <w:div w:id="3213756">
          <w:marLeft w:val="0"/>
          <w:marRight w:val="0"/>
          <w:marTop w:val="0"/>
          <w:marBottom w:val="0"/>
          <w:divBdr>
            <w:top w:val="none" w:sz="0" w:space="0" w:color="auto"/>
            <w:left w:val="none" w:sz="0" w:space="0" w:color="auto"/>
            <w:bottom w:val="none" w:sz="0" w:space="0" w:color="auto"/>
            <w:right w:val="none" w:sz="0" w:space="0" w:color="auto"/>
          </w:divBdr>
          <w:divsChild>
            <w:div w:id="473068532">
              <w:marLeft w:val="0"/>
              <w:marRight w:val="0"/>
              <w:marTop w:val="0"/>
              <w:marBottom w:val="0"/>
              <w:divBdr>
                <w:top w:val="none" w:sz="0" w:space="0" w:color="auto"/>
                <w:left w:val="none" w:sz="0" w:space="0" w:color="auto"/>
                <w:bottom w:val="none" w:sz="0" w:space="0" w:color="auto"/>
                <w:right w:val="none" w:sz="0" w:space="0" w:color="auto"/>
              </w:divBdr>
              <w:divsChild>
                <w:div w:id="11484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059">
          <w:marLeft w:val="0"/>
          <w:marRight w:val="0"/>
          <w:marTop w:val="0"/>
          <w:marBottom w:val="0"/>
          <w:divBdr>
            <w:top w:val="none" w:sz="0" w:space="0" w:color="auto"/>
            <w:left w:val="none" w:sz="0" w:space="0" w:color="auto"/>
            <w:bottom w:val="none" w:sz="0" w:space="0" w:color="auto"/>
            <w:right w:val="none" w:sz="0" w:space="0" w:color="auto"/>
          </w:divBdr>
          <w:divsChild>
            <w:div w:id="293340944">
              <w:marLeft w:val="0"/>
              <w:marRight w:val="0"/>
              <w:marTop w:val="0"/>
              <w:marBottom w:val="0"/>
              <w:divBdr>
                <w:top w:val="none" w:sz="0" w:space="0" w:color="auto"/>
                <w:left w:val="none" w:sz="0" w:space="0" w:color="auto"/>
                <w:bottom w:val="none" w:sz="0" w:space="0" w:color="auto"/>
                <w:right w:val="none" w:sz="0" w:space="0" w:color="auto"/>
              </w:divBdr>
              <w:divsChild>
                <w:div w:id="21102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4450">
          <w:marLeft w:val="0"/>
          <w:marRight w:val="0"/>
          <w:marTop w:val="0"/>
          <w:marBottom w:val="0"/>
          <w:divBdr>
            <w:top w:val="none" w:sz="0" w:space="0" w:color="auto"/>
            <w:left w:val="none" w:sz="0" w:space="0" w:color="auto"/>
            <w:bottom w:val="none" w:sz="0" w:space="0" w:color="auto"/>
            <w:right w:val="none" w:sz="0" w:space="0" w:color="auto"/>
          </w:divBdr>
          <w:divsChild>
            <w:div w:id="130288811">
              <w:marLeft w:val="0"/>
              <w:marRight w:val="0"/>
              <w:marTop w:val="0"/>
              <w:marBottom w:val="0"/>
              <w:divBdr>
                <w:top w:val="none" w:sz="0" w:space="0" w:color="auto"/>
                <w:left w:val="none" w:sz="0" w:space="0" w:color="auto"/>
                <w:bottom w:val="none" w:sz="0" w:space="0" w:color="auto"/>
                <w:right w:val="none" w:sz="0" w:space="0" w:color="auto"/>
              </w:divBdr>
              <w:divsChild>
                <w:div w:id="1386491794">
                  <w:marLeft w:val="0"/>
                  <w:marRight w:val="0"/>
                  <w:marTop w:val="0"/>
                  <w:marBottom w:val="0"/>
                  <w:divBdr>
                    <w:top w:val="none" w:sz="0" w:space="0" w:color="auto"/>
                    <w:left w:val="none" w:sz="0" w:space="0" w:color="auto"/>
                    <w:bottom w:val="none" w:sz="0" w:space="0" w:color="auto"/>
                    <w:right w:val="none" w:sz="0" w:space="0" w:color="auto"/>
                  </w:divBdr>
                </w:div>
              </w:divsChild>
            </w:div>
            <w:div w:id="2014720787">
              <w:marLeft w:val="0"/>
              <w:marRight w:val="0"/>
              <w:marTop w:val="0"/>
              <w:marBottom w:val="0"/>
              <w:divBdr>
                <w:top w:val="none" w:sz="0" w:space="0" w:color="auto"/>
                <w:left w:val="none" w:sz="0" w:space="0" w:color="auto"/>
                <w:bottom w:val="none" w:sz="0" w:space="0" w:color="auto"/>
                <w:right w:val="none" w:sz="0" w:space="0" w:color="auto"/>
              </w:divBdr>
              <w:divsChild>
                <w:div w:id="401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298">
          <w:marLeft w:val="0"/>
          <w:marRight w:val="0"/>
          <w:marTop w:val="0"/>
          <w:marBottom w:val="0"/>
          <w:divBdr>
            <w:top w:val="none" w:sz="0" w:space="0" w:color="auto"/>
            <w:left w:val="none" w:sz="0" w:space="0" w:color="auto"/>
            <w:bottom w:val="none" w:sz="0" w:space="0" w:color="auto"/>
            <w:right w:val="none" w:sz="0" w:space="0" w:color="auto"/>
          </w:divBdr>
          <w:divsChild>
            <w:div w:id="1088961510">
              <w:marLeft w:val="0"/>
              <w:marRight w:val="0"/>
              <w:marTop w:val="0"/>
              <w:marBottom w:val="0"/>
              <w:divBdr>
                <w:top w:val="none" w:sz="0" w:space="0" w:color="auto"/>
                <w:left w:val="none" w:sz="0" w:space="0" w:color="auto"/>
                <w:bottom w:val="none" w:sz="0" w:space="0" w:color="auto"/>
                <w:right w:val="none" w:sz="0" w:space="0" w:color="auto"/>
              </w:divBdr>
              <w:divsChild>
                <w:div w:id="18873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274">
          <w:marLeft w:val="0"/>
          <w:marRight w:val="0"/>
          <w:marTop w:val="0"/>
          <w:marBottom w:val="0"/>
          <w:divBdr>
            <w:top w:val="none" w:sz="0" w:space="0" w:color="auto"/>
            <w:left w:val="none" w:sz="0" w:space="0" w:color="auto"/>
            <w:bottom w:val="none" w:sz="0" w:space="0" w:color="auto"/>
            <w:right w:val="none" w:sz="0" w:space="0" w:color="auto"/>
          </w:divBdr>
          <w:divsChild>
            <w:div w:id="576551301">
              <w:marLeft w:val="0"/>
              <w:marRight w:val="0"/>
              <w:marTop w:val="0"/>
              <w:marBottom w:val="0"/>
              <w:divBdr>
                <w:top w:val="none" w:sz="0" w:space="0" w:color="auto"/>
                <w:left w:val="none" w:sz="0" w:space="0" w:color="auto"/>
                <w:bottom w:val="none" w:sz="0" w:space="0" w:color="auto"/>
                <w:right w:val="none" w:sz="0" w:space="0" w:color="auto"/>
              </w:divBdr>
              <w:divsChild>
                <w:div w:id="9721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6914">
          <w:marLeft w:val="0"/>
          <w:marRight w:val="0"/>
          <w:marTop w:val="0"/>
          <w:marBottom w:val="0"/>
          <w:divBdr>
            <w:top w:val="none" w:sz="0" w:space="0" w:color="auto"/>
            <w:left w:val="none" w:sz="0" w:space="0" w:color="auto"/>
            <w:bottom w:val="none" w:sz="0" w:space="0" w:color="auto"/>
            <w:right w:val="none" w:sz="0" w:space="0" w:color="auto"/>
          </w:divBdr>
          <w:divsChild>
            <w:div w:id="545606729">
              <w:marLeft w:val="0"/>
              <w:marRight w:val="0"/>
              <w:marTop w:val="0"/>
              <w:marBottom w:val="0"/>
              <w:divBdr>
                <w:top w:val="none" w:sz="0" w:space="0" w:color="auto"/>
                <w:left w:val="none" w:sz="0" w:space="0" w:color="auto"/>
                <w:bottom w:val="none" w:sz="0" w:space="0" w:color="auto"/>
                <w:right w:val="none" w:sz="0" w:space="0" w:color="auto"/>
              </w:divBdr>
              <w:divsChild>
                <w:div w:id="11704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334">
          <w:marLeft w:val="0"/>
          <w:marRight w:val="0"/>
          <w:marTop w:val="0"/>
          <w:marBottom w:val="0"/>
          <w:divBdr>
            <w:top w:val="none" w:sz="0" w:space="0" w:color="auto"/>
            <w:left w:val="none" w:sz="0" w:space="0" w:color="auto"/>
            <w:bottom w:val="none" w:sz="0" w:space="0" w:color="auto"/>
            <w:right w:val="none" w:sz="0" w:space="0" w:color="auto"/>
          </w:divBdr>
          <w:divsChild>
            <w:div w:id="1249804101">
              <w:marLeft w:val="0"/>
              <w:marRight w:val="0"/>
              <w:marTop w:val="0"/>
              <w:marBottom w:val="0"/>
              <w:divBdr>
                <w:top w:val="none" w:sz="0" w:space="0" w:color="auto"/>
                <w:left w:val="none" w:sz="0" w:space="0" w:color="auto"/>
                <w:bottom w:val="none" w:sz="0" w:space="0" w:color="auto"/>
                <w:right w:val="none" w:sz="0" w:space="0" w:color="auto"/>
              </w:divBdr>
              <w:divsChild>
                <w:div w:id="6249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672">
          <w:marLeft w:val="0"/>
          <w:marRight w:val="0"/>
          <w:marTop w:val="0"/>
          <w:marBottom w:val="0"/>
          <w:divBdr>
            <w:top w:val="none" w:sz="0" w:space="0" w:color="auto"/>
            <w:left w:val="none" w:sz="0" w:space="0" w:color="auto"/>
            <w:bottom w:val="none" w:sz="0" w:space="0" w:color="auto"/>
            <w:right w:val="none" w:sz="0" w:space="0" w:color="auto"/>
          </w:divBdr>
          <w:divsChild>
            <w:div w:id="2101175858">
              <w:marLeft w:val="0"/>
              <w:marRight w:val="0"/>
              <w:marTop w:val="0"/>
              <w:marBottom w:val="0"/>
              <w:divBdr>
                <w:top w:val="none" w:sz="0" w:space="0" w:color="auto"/>
                <w:left w:val="none" w:sz="0" w:space="0" w:color="auto"/>
                <w:bottom w:val="none" w:sz="0" w:space="0" w:color="auto"/>
                <w:right w:val="none" w:sz="0" w:space="0" w:color="auto"/>
              </w:divBdr>
              <w:divsChild>
                <w:div w:id="13224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5051">
          <w:marLeft w:val="0"/>
          <w:marRight w:val="0"/>
          <w:marTop w:val="0"/>
          <w:marBottom w:val="0"/>
          <w:divBdr>
            <w:top w:val="none" w:sz="0" w:space="0" w:color="auto"/>
            <w:left w:val="none" w:sz="0" w:space="0" w:color="auto"/>
            <w:bottom w:val="none" w:sz="0" w:space="0" w:color="auto"/>
            <w:right w:val="none" w:sz="0" w:space="0" w:color="auto"/>
          </w:divBdr>
          <w:divsChild>
            <w:div w:id="745036668">
              <w:marLeft w:val="0"/>
              <w:marRight w:val="0"/>
              <w:marTop w:val="0"/>
              <w:marBottom w:val="0"/>
              <w:divBdr>
                <w:top w:val="none" w:sz="0" w:space="0" w:color="auto"/>
                <w:left w:val="none" w:sz="0" w:space="0" w:color="auto"/>
                <w:bottom w:val="none" w:sz="0" w:space="0" w:color="auto"/>
                <w:right w:val="none" w:sz="0" w:space="0" w:color="auto"/>
              </w:divBdr>
              <w:divsChild>
                <w:div w:id="20987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3265">
          <w:marLeft w:val="0"/>
          <w:marRight w:val="0"/>
          <w:marTop w:val="0"/>
          <w:marBottom w:val="0"/>
          <w:divBdr>
            <w:top w:val="none" w:sz="0" w:space="0" w:color="auto"/>
            <w:left w:val="none" w:sz="0" w:space="0" w:color="auto"/>
            <w:bottom w:val="none" w:sz="0" w:space="0" w:color="auto"/>
            <w:right w:val="none" w:sz="0" w:space="0" w:color="auto"/>
          </w:divBdr>
          <w:divsChild>
            <w:div w:id="419445018">
              <w:marLeft w:val="0"/>
              <w:marRight w:val="0"/>
              <w:marTop w:val="0"/>
              <w:marBottom w:val="0"/>
              <w:divBdr>
                <w:top w:val="none" w:sz="0" w:space="0" w:color="auto"/>
                <w:left w:val="none" w:sz="0" w:space="0" w:color="auto"/>
                <w:bottom w:val="none" w:sz="0" w:space="0" w:color="auto"/>
                <w:right w:val="none" w:sz="0" w:space="0" w:color="auto"/>
              </w:divBdr>
              <w:divsChild>
                <w:div w:id="17607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342">
          <w:marLeft w:val="0"/>
          <w:marRight w:val="0"/>
          <w:marTop w:val="0"/>
          <w:marBottom w:val="0"/>
          <w:divBdr>
            <w:top w:val="none" w:sz="0" w:space="0" w:color="auto"/>
            <w:left w:val="none" w:sz="0" w:space="0" w:color="auto"/>
            <w:bottom w:val="none" w:sz="0" w:space="0" w:color="auto"/>
            <w:right w:val="none" w:sz="0" w:space="0" w:color="auto"/>
          </w:divBdr>
          <w:divsChild>
            <w:div w:id="1993560758">
              <w:marLeft w:val="0"/>
              <w:marRight w:val="0"/>
              <w:marTop w:val="0"/>
              <w:marBottom w:val="0"/>
              <w:divBdr>
                <w:top w:val="none" w:sz="0" w:space="0" w:color="auto"/>
                <w:left w:val="none" w:sz="0" w:space="0" w:color="auto"/>
                <w:bottom w:val="none" w:sz="0" w:space="0" w:color="auto"/>
                <w:right w:val="none" w:sz="0" w:space="0" w:color="auto"/>
              </w:divBdr>
              <w:divsChild>
                <w:div w:id="744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2242">
          <w:marLeft w:val="0"/>
          <w:marRight w:val="0"/>
          <w:marTop w:val="0"/>
          <w:marBottom w:val="0"/>
          <w:divBdr>
            <w:top w:val="none" w:sz="0" w:space="0" w:color="auto"/>
            <w:left w:val="none" w:sz="0" w:space="0" w:color="auto"/>
            <w:bottom w:val="none" w:sz="0" w:space="0" w:color="auto"/>
            <w:right w:val="none" w:sz="0" w:space="0" w:color="auto"/>
          </w:divBdr>
          <w:divsChild>
            <w:div w:id="179590655">
              <w:marLeft w:val="0"/>
              <w:marRight w:val="0"/>
              <w:marTop w:val="0"/>
              <w:marBottom w:val="0"/>
              <w:divBdr>
                <w:top w:val="none" w:sz="0" w:space="0" w:color="auto"/>
                <w:left w:val="none" w:sz="0" w:space="0" w:color="auto"/>
                <w:bottom w:val="none" w:sz="0" w:space="0" w:color="auto"/>
                <w:right w:val="none" w:sz="0" w:space="0" w:color="auto"/>
              </w:divBdr>
              <w:divsChild>
                <w:div w:id="10565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2306">
          <w:marLeft w:val="0"/>
          <w:marRight w:val="0"/>
          <w:marTop w:val="0"/>
          <w:marBottom w:val="0"/>
          <w:divBdr>
            <w:top w:val="none" w:sz="0" w:space="0" w:color="auto"/>
            <w:left w:val="none" w:sz="0" w:space="0" w:color="auto"/>
            <w:bottom w:val="none" w:sz="0" w:space="0" w:color="auto"/>
            <w:right w:val="none" w:sz="0" w:space="0" w:color="auto"/>
          </w:divBdr>
          <w:divsChild>
            <w:div w:id="434322595">
              <w:marLeft w:val="0"/>
              <w:marRight w:val="0"/>
              <w:marTop w:val="0"/>
              <w:marBottom w:val="0"/>
              <w:divBdr>
                <w:top w:val="none" w:sz="0" w:space="0" w:color="auto"/>
                <w:left w:val="none" w:sz="0" w:space="0" w:color="auto"/>
                <w:bottom w:val="none" w:sz="0" w:space="0" w:color="auto"/>
                <w:right w:val="none" w:sz="0" w:space="0" w:color="auto"/>
              </w:divBdr>
              <w:divsChild>
                <w:div w:id="1066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5884">
          <w:marLeft w:val="0"/>
          <w:marRight w:val="0"/>
          <w:marTop w:val="0"/>
          <w:marBottom w:val="0"/>
          <w:divBdr>
            <w:top w:val="none" w:sz="0" w:space="0" w:color="auto"/>
            <w:left w:val="none" w:sz="0" w:space="0" w:color="auto"/>
            <w:bottom w:val="none" w:sz="0" w:space="0" w:color="auto"/>
            <w:right w:val="none" w:sz="0" w:space="0" w:color="auto"/>
          </w:divBdr>
          <w:divsChild>
            <w:div w:id="1828474097">
              <w:marLeft w:val="0"/>
              <w:marRight w:val="0"/>
              <w:marTop w:val="0"/>
              <w:marBottom w:val="0"/>
              <w:divBdr>
                <w:top w:val="none" w:sz="0" w:space="0" w:color="auto"/>
                <w:left w:val="none" w:sz="0" w:space="0" w:color="auto"/>
                <w:bottom w:val="none" w:sz="0" w:space="0" w:color="auto"/>
                <w:right w:val="none" w:sz="0" w:space="0" w:color="auto"/>
              </w:divBdr>
              <w:divsChild>
                <w:div w:id="10295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0564">
          <w:marLeft w:val="0"/>
          <w:marRight w:val="0"/>
          <w:marTop w:val="0"/>
          <w:marBottom w:val="0"/>
          <w:divBdr>
            <w:top w:val="none" w:sz="0" w:space="0" w:color="auto"/>
            <w:left w:val="none" w:sz="0" w:space="0" w:color="auto"/>
            <w:bottom w:val="none" w:sz="0" w:space="0" w:color="auto"/>
            <w:right w:val="none" w:sz="0" w:space="0" w:color="auto"/>
          </w:divBdr>
          <w:divsChild>
            <w:div w:id="1268392361">
              <w:marLeft w:val="0"/>
              <w:marRight w:val="0"/>
              <w:marTop w:val="0"/>
              <w:marBottom w:val="0"/>
              <w:divBdr>
                <w:top w:val="none" w:sz="0" w:space="0" w:color="auto"/>
                <w:left w:val="none" w:sz="0" w:space="0" w:color="auto"/>
                <w:bottom w:val="none" w:sz="0" w:space="0" w:color="auto"/>
                <w:right w:val="none" w:sz="0" w:space="0" w:color="auto"/>
              </w:divBdr>
              <w:divsChild>
                <w:div w:id="10345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1972">
          <w:marLeft w:val="0"/>
          <w:marRight w:val="0"/>
          <w:marTop w:val="0"/>
          <w:marBottom w:val="0"/>
          <w:divBdr>
            <w:top w:val="none" w:sz="0" w:space="0" w:color="auto"/>
            <w:left w:val="none" w:sz="0" w:space="0" w:color="auto"/>
            <w:bottom w:val="none" w:sz="0" w:space="0" w:color="auto"/>
            <w:right w:val="none" w:sz="0" w:space="0" w:color="auto"/>
          </w:divBdr>
          <w:divsChild>
            <w:div w:id="651327158">
              <w:marLeft w:val="0"/>
              <w:marRight w:val="0"/>
              <w:marTop w:val="0"/>
              <w:marBottom w:val="0"/>
              <w:divBdr>
                <w:top w:val="none" w:sz="0" w:space="0" w:color="auto"/>
                <w:left w:val="none" w:sz="0" w:space="0" w:color="auto"/>
                <w:bottom w:val="none" w:sz="0" w:space="0" w:color="auto"/>
                <w:right w:val="none" w:sz="0" w:space="0" w:color="auto"/>
              </w:divBdr>
              <w:divsChild>
                <w:div w:id="978724607">
                  <w:marLeft w:val="0"/>
                  <w:marRight w:val="0"/>
                  <w:marTop w:val="0"/>
                  <w:marBottom w:val="0"/>
                  <w:divBdr>
                    <w:top w:val="none" w:sz="0" w:space="0" w:color="auto"/>
                    <w:left w:val="none" w:sz="0" w:space="0" w:color="auto"/>
                    <w:bottom w:val="none" w:sz="0" w:space="0" w:color="auto"/>
                    <w:right w:val="none" w:sz="0" w:space="0" w:color="auto"/>
                  </w:divBdr>
                </w:div>
              </w:divsChild>
            </w:div>
            <w:div w:id="689262770">
              <w:marLeft w:val="0"/>
              <w:marRight w:val="0"/>
              <w:marTop w:val="0"/>
              <w:marBottom w:val="0"/>
              <w:divBdr>
                <w:top w:val="none" w:sz="0" w:space="0" w:color="auto"/>
                <w:left w:val="none" w:sz="0" w:space="0" w:color="auto"/>
                <w:bottom w:val="none" w:sz="0" w:space="0" w:color="auto"/>
                <w:right w:val="none" w:sz="0" w:space="0" w:color="auto"/>
              </w:divBdr>
              <w:divsChild>
                <w:div w:id="12906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528">
          <w:marLeft w:val="0"/>
          <w:marRight w:val="0"/>
          <w:marTop w:val="0"/>
          <w:marBottom w:val="0"/>
          <w:divBdr>
            <w:top w:val="none" w:sz="0" w:space="0" w:color="auto"/>
            <w:left w:val="none" w:sz="0" w:space="0" w:color="auto"/>
            <w:bottom w:val="none" w:sz="0" w:space="0" w:color="auto"/>
            <w:right w:val="none" w:sz="0" w:space="0" w:color="auto"/>
          </w:divBdr>
          <w:divsChild>
            <w:div w:id="4019065">
              <w:marLeft w:val="0"/>
              <w:marRight w:val="0"/>
              <w:marTop w:val="0"/>
              <w:marBottom w:val="0"/>
              <w:divBdr>
                <w:top w:val="none" w:sz="0" w:space="0" w:color="auto"/>
                <w:left w:val="none" w:sz="0" w:space="0" w:color="auto"/>
                <w:bottom w:val="none" w:sz="0" w:space="0" w:color="auto"/>
                <w:right w:val="none" w:sz="0" w:space="0" w:color="auto"/>
              </w:divBdr>
              <w:divsChild>
                <w:div w:id="18758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671">
          <w:marLeft w:val="0"/>
          <w:marRight w:val="0"/>
          <w:marTop w:val="0"/>
          <w:marBottom w:val="0"/>
          <w:divBdr>
            <w:top w:val="none" w:sz="0" w:space="0" w:color="auto"/>
            <w:left w:val="none" w:sz="0" w:space="0" w:color="auto"/>
            <w:bottom w:val="none" w:sz="0" w:space="0" w:color="auto"/>
            <w:right w:val="none" w:sz="0" w:space="0" w:color="auto"/>
          </w:divBdr>
          <w:divsChild>
            <w:div w:id="1893541703">
              <w:marLeft w:val="0"/>
              <w:marRight w:val="0"/>
              <w:marTop w:val="0"/>
              <w:marBottom w:val="0"/>
              <w:divBdr>
                <w:top w:val="none" w:sz="0" w:space="0" w:color="auto"/>
                <w:left w:val="none" w:sz="0" w:space="0" w:color="auto"/>
                <w:bottom w:val="none" w:sz="0" w:space="0" w:color="auto"/>
                <w:right w:val="none" w:sz="0" w:space="0" w:color="auto"/>
              </w:divBdr>
              <w:divsChild>
                <w:div w:id="18791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4350">
          <w:marLeft w:val="0"/>
          <w:marRight w:val="0"/>
          <w:marTop w:val="0"/>
          <w:marBottom w:val="0"/>
          <w:divBdr>
            <w:top w:val="none" w:sz="0" w:space="0" w:color="auto"/>
            <w:left w:val="none" w:sz="0" w:space="0" w:color="auto"/>
            <w:bottom w:val="none" w:sz="0" w:space="0" w:color="auto"/>
            <w:right w:val="none" w:sz="0" w:space="0" w:color="auto"/>
          </w:divBdr>
          <w:divsChild>
            <w:div w:id="848524964">
              <w:marLeft w:val="0"/>
              <w:marRight w:val="0"/>
              <w:marTop w:val="0"/>
              <w:marBottom w:val="0"/>
              <w:divBdr>
                <w:top w:val="none" w:sz="0" w:space="0" w:color="auto"/>
                <w:left w:val="none" w:sz="0" w:space="0" w:color="auto"/>
                <w:bottom w:val="none" w:sz="0" w:space="0" w:color="auto"/>
                <w:right w:val="none" w:sz="0" w:space="0" w:color="auto"/>
              </w:divBdr>
              <w:divsChild>
                <w:div w:id="937954563">
                  <w:marLeft w:val="0"/>
                  <w:marRight w:val="0"/>
                  <w:marTop w:val="0"/>
                  <w:marBottom w:val="0"/>
                  <w:divBdr>
                    <w:top w:val="none" w:sz="0" w:space="0" w:color="auto"/>
                    <w:left w:val="none" w:sz="0" w:space="0" w:color="auto"/>
                    <w:bottom w:val="none" w:sz="0" w:space="0" w:color="auto"/>
                    <w:right w:val="none" w:sz="0" w:space="0" w:color="auto"/>
                  </w:divBdr>
                </w:div>
              </w:divsChild>
            </w:div>
            <w:div w:id="1277634959">
              <w:marLeft w:val="0"/>
              <w:marRight w:val="0"/>
              <w:marTop w:val="0"/>
              <w:marBottom w:val="0"/>
              <w:divBdr>
                <w:top w:val="none" w:sz="0" w:space="0" w:color="auto"/>
                <w:left w:val="none" w:sz="0" w:space="0" w:color="auto"/>
                <w:bottom w:val="none" w:sz="0" w:space="0" w:color="auto"/>
                <w:right w:val="none" w:sz="0" w:space="0" w:color="auto"/>
              </w:divBdr>
              <w:divsChild>
                <w:div w:id="345064575">
                  <w:marLeft w:val="0"/>
                  <w:marRight w:val="0"/>
                  <w:marTop w:val="0"/>
                  <w:marBottom w:val="0"/>
                  <w:divBdr>
                    <w:top w:val="none" w:sz="0" w:space="0" w:color="auto"/>
                    <w:left w:val="none" w:sz="0" w:space="0" w:color="auto"/>
                    <w:bottom w:val="none" w:sz="0" w:space="0" w:color="auto"/>
                    <w:right w:val="none" w:sz="0" w:space="0" w:color="auto"/>
                  </w:divBdr>
                </w:div>
              </w:divsChild>
            </w:div>
            <w:div w:id="1529366870">
              <w:marLeft w:val="0"/>
              <w:marRight w:val="0"/>
              <w:marTop w:val="0"/>
              <w:marBottom w:val="0"/>
              <w:divBdr>
                <w:top w:val="none" w:sz="0" w:space="0" w:color="auto"/>
                <w:left w:val="none" w:sz="0" w:space="0" w:color="auto"/>
                <w:bottom w:val="none" w:sz="0" w:space="0" w:color="auto"/>
                <w:right w:val="none" w:sz="0" w:space="0" w:color="auto"/>
              </w:divBdr>
              <w:divsChild>
                <w:div w:id="7460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9420">
          <w:marLeft w:val="0"/>
          <w:marRight w:val="0"/>
          <w:marTop w:val="0"/>
          <w:marBottom w:val="0"/>
          <w:divBdr>
            <w:top w:val="none" w:sz="0" w:space="0" w:color="auto"/>
            <w:left w:val="none" w:sz="0" w:space="0" w:color="auto"/>
            <w:bottom w:val="none" w:sz="0" w:space="0" w:color="auto"/>
            <w:right w:val="none" w:sz="0" w:space="0" w:color="auto"/>
          </w:divBdr>
          <w:divsChild>
            <w:div w:id="994643611">
              <w:marLeft w:val="0"/>
              <w:marRight w:val="0"/>
              <w:marTop w:val="0"/>
              <w:marBottom w:val="0"/>
              <w:divBdr>
                <w:top w:val="none" w:sz="0" w:space="0" w:color="auto"/>
                <w:left w:val="none" w:sz="0" w:space="0" w:color="auto"/>
                <w:bottom w:val="none" w:sz="0" w:space="0" w:color="auto"/>
                <w:right w:val="none" w:sz="0" w:space="0" w:color="auto"/>
              </w:divBdr>
              <w:divsChild>
                <w:div w:id="20207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761">
          <w:marLeft w:val="0"/>
          <w:marRight w:val="0"/>
          <w:marTop w:val="0"/>
          <w:marBottom w:val="0"/>
          <w:divBdr>
            <w:top w:val="none" w:sz="0" w:space="0" w:color="auto"/>
            <w:left w:val="none" w:sz="0" w:space="0" w:color="auto"/>
            <w:bottom w:val="none" w:sz="0" w:space="0" w:color="auto"/>
            <w:right w:val="none" w:sz="0" w:space="0" w:color="auto"/>
          </w:divBdr>
          <w:divsChild>
            <w:div w:id="620041703">
              <w:marLeft w:val="0"/>
              <w:marRight w:val="0"/>
              <w:marTop w:val="0"/>
              <w:marBottom w:val="0"/>
              <w:divBdr>
                <w:top w:val="none" w:sz="0" w:space="0" w:color="auto"/>
                <w:left w:val="none" w:sz="0" w:space="0" w:color="auto"/>
                <w:bottom w:val="none" w:sz="0" w:space="0" w:color="auto"/>
                <w:right w:val="none" w:sz="0" w:space="0" w:color="auto"/>
              </w:divBdr>
              <w:divsChild>
                <w:div w:id="18415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2379">
          <w:marLeft w:val="0"/>
          <w:marRight w:val="0"/>
          <w:marTop w:val="0"/>
          <w:marBottom w:val="0"/>
          <w:divBdr>
            <w:top w:val="none" w:sz="0" w:space="0" w:color="auto"/>
            <w:left w:val="none" w:sz="0" w:space="0" w:color="auto"/>
            <w:bottom w:val="none" w:sz="0" w:space="0" w:color="auto"/>
            <w:right w:val="none" w:sz="0" w:space="0" w:color="auto"/>
          </w:divBdr>
          <w:divsChild>
            <w:div w:id="27417619">
              <w:marLeft w:val="0"/>
              <w:marRight w:val="0"/>
              <w:marTop w:val="0"/>
              <w:marBottom w:val="0"/>
              <w:divBdr>
                <w:top w:val="none" w:sz="0" w:space="0" w:color="auto"/>
                <w:left w:val="none" w:sz="0" w:space="0" w:color="auto"/>
                <w:bottom w:val="none" w:sz="0" w:space="0" w:color="auto"/>
                <w:right w:val="none" w:sz="0" w:space="0" w:color="auto"/>
              </w:divBdr>
              <w:divsChild>
                <w:div w:id="6186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2614">
          <w:marLeft w:val="0"/>
          <w:marRight w:val="0"/>
          <w:marTop w:val="0"/>
          <w:marBottom w:val="0"/>
          <w:divBdr>
            <w:top w:val="none" w:sz="0" w:space="0" w:color="auto"/>
            <w:left w:val="none" w:sz="0" w:space="0" w:color="auto"/>
            <w:bottom w:val="none" w:sz="0" w:space="0" w:color="auto"/>
            <w:right w:val="none" w:sz="0" w:space="0" w:color="auto"/>
          </w:divBdr>
          <w:divsChild>
            <w:div w:id="586154657">
              <w:marLeft w:val="0"/>
              <w:marRight w:val="0"/>
              <w:marTop w:val="0"/>
              <w:marBottom w:val="0"/>
              <w:divBdr>
                <w:top w:val="none" w:sz="0" w:space="0" w:color="auto"/>
                <w:left w:val="none" w:sz="0" w:space="0" w:color="auto"/>
                <w:bottom w:val="none" w:sz="0" w:space="0" w:color="auto"/>
                <w:right w:val="none" w:sz="0" w:space="0" w:color="auto"/>
              </w:divBdr>
              <w:divsChild>
                <w:div w:id="1584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32719">
          <w:marLeft w:val="0"/>
          <w:marRight w:val="0"/>
          <w:marTop w:val="0"/>
          <w:marBottom w:val="0"/>
          <w:divBdr>
            <w:top w:val="none" w:sz="0" w:space="0" w:color="auto"/>
            <w:left w:val="none" w:sz="0" w:space="0" w:color="auto"/>
            <w:bottom w:val="none" w:sz="0" w:space="0" w:color="auto"/>
            <w:right w:val="none" w:sz="0" w:space="0" w:color="auto"/>
          </w:divBdr>
          <w:divsChild>
            <w:div w:id="984356535">
              <w:marLeft w:val="0"/>
              <w:marRight w:val="0"/>
              <w:marTop w:val="0"/>
              <w:marBottom w:val="0"/>
              <w:divBdr>
                <w:top w:val="none" w:sz="0" w:space="0" w:color="auto"/>
                <w:left w:val="none" w:sz="0" w:space="0" w:color="auto"/>
                <w:bottom w:val="none" w:sz="0" w:space="0" w:color="auto"/>
                <w:right w:val="none" w:sz="0" w:space="0" w:color="auto"/>
              </w:divBdr>
              <w:divsChild>
                <w:div w:id="1566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2416">
          <w:marLeft w:val="0"/>
          <w:marRight w:val="0"/>
          <w:marTop w:val="0"/>
          <w:marBottom w:val="0"/>
          <w:divBdr>
            <w:top w:val="none" w:sz="0" w:space="0" w:color="auto"/>
            <w:left w:val="none" w:sz="0" w:space="0" w:color="auto"/>
            <w:bottom w:val="none" w:sz="0" w:space="0" w:color="auto"/>
            <w:right w:val="none" w:sz="0" w:space="0" w:color="auto"/>
          </w:divBdr>
          <w:divsChild>
            <w:div w:id="4325656">
              <w:marLeft w:val="0"/>
              <w:marRight w:val="0"/>
              <w:marTop w:val="0"/>
              <w:marBottom w:val="0"/>
              <w:divBdr>
                <w:top w:val="none" w:sz="0" w:space="0" w:color="auto"/>
                <w:left w:val="none" w:sz="0" w:space="0" w:color="auto"/>
                <w:bottom w:val="none" w:sz="0" w:space="0" w:color="auto"/>
                <w:right w:val="none" w:sz="0" w:space="0" w:color="auto"/>
              </w:divBdr>
              <w:divsChild>
                <w:div w:id="5553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7787">
      <w:bodyDiv w:val="1"/>
      <w:marLeft w:val="0"/>
      <w:marRight w:val="0"/>
      <w:marTop w:val="0"/>
      <w:marBottom w:val="0"/>
      <w:divBdr>
        <w:top w:val="none" w:sz="0" w:space="0" w:color="auto"/>
        <w:left w:val="none" w:sz="0" w:space="0" w:color="auto"/>
        <w:bottom w:val="none" w:sz="0" w:space="0" w:color="auto"/>
        <w:right w:val="none" w:sz="0" w:space="0" w:color="auto"/>
      </w:divBdr>
    </w:div>
    <w:div w:id="1076901974">
      <w:bodyDiv w:val="1"/>
      <w:marLeft w:val="0"/>
      <w:marRight w:val="0"/>
      <w:marTop w:val="0"/>
      <w:marBottom w:val="0"/>
      <w:divBdr>
        <w:top w:val="none" w:sz="0" w:space="0" w:color="auto"/>
        <w:left w:val="none" w:sz="0" w:space="0" w:color="auto"/>
        <w:bottom w:val="none" w:sz="0" w:space="0" w:color="auto"/>
        <w:right w:val="none" w:sz="0" w:space="0" w:color="auto"/>
      </w:divBdr>
      <w:divsChild>
        <w:div w:id="2067416531">
          <w:marLeft w:val="0"/>
          <w:marRight w:val="0"/>
          <w:marTop w:val="0"/>
          <w:marBottom w:val="0"/>
          <w:divBdr>
            <w:top w:val="none" w:sz="0" w:space="0" w:color="auto"/>
            <w:left w:val="none" w:sz="0" w:space="0" w:color="auto"/>
            <w:bottom w:val="none" w:sz="0" w:space="0" w:color="auto"/>
            <w:right w:val="none" w:sz="0" w:space="0" w:color="auto"/>
          </w:divBdr>
          <w:divsChild>
            <w:div w:id="1491482678">
              <w:marLeft w:val="0"/>
              <w:marRight w:val="0"/>
              <w:marTop w:val="0"/>
              <w:marBottom w:val="0"/>
              <w:divBdr>
                <w:top w:val="none" w:sz="0" w:space="0" w:color="auto"/>
                <w:left w:val="none" w:sz="0" w:space="0" w:color="auto"/>
                <w:bottom w:val="none" w:sz="0" w:space="0" w:color="auto"/>
                <w:right w:val="none" w:sz="0" w:space="0" w:color="auto"/>
              </w:divBdr>
              <w:divsChild>
                <w:div w:id="1053887745">
                  <w:marLeft w:val="0"/>
                  <w:marRight w:val="0"/>
                  <w:marTop w:val="0"/>
                  <w:marBottom w:val="0"/>
                  <w:divBdr>
                    <w:top w:val="none" w:sz="0" w:space="0" w:color="auto"/>
                    <w:left w:val="none" w:sz="0" w:space="0" w:color="auto"/>
                    <w:bottom w:val="none" w:sz="0" w:space="0" w:color="auto"/>
                    <w:right w:val="none" w:sz="0" w:space="0" w:color="auto"/>
                  </w:divBdr>
                </w:div>
              </w:divsChild>
            </w:div>
            <w:div w:id="1847283926">
              <w:marLeft w:val="0"/>
              <w:marRight w:val="0"/>
              <w:marTop w:val="0"/>
              <w:marBottom w:val="0"/>
              <w:divBdr>
                <w:top w:val="none" w:sz="0" w:space="0" w:color="auto"/>
                <w:left w:val="none" w:sz="0" w:space="0" w:color="auto"/>
                <w:bottom w:val="none" w:sz="0" w:space="0" w:color="auto"/>
                <w:right w:val="none" w:sz="0" w:space="0" w:color="auto"/>
              </w:divBdr>
              <w:divsChild>
                <w:div w:id="13700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5447">
      <w:bodyDiv w:val="1"/>
      <w:marLeft w:val="0"/>
      <w:marRight w:val="0"/>
      <w:marTop w:val="0"/>
      <w:marBottom w:val="0"/>
      <w:divBdr>
        <w:top w:val="none" w:sz="0" w:space="0" w:color="auto"/>
        <w:left w:val="none" w:sz="0" w:space="0" w:color="auto"/>
        <w:bottom w:val="none" w:sz="0" w:space="0" w:color="auto"/>
        <w:right w:val="none" w:sz="0" w:space="0" w:color="auto"/>
      </w:divBdr>
    </w:div>
    <w:div w:id="1100636824">
      <w:bodyDiv w:val="1"/>
      <w:marLeft w:val="0"/>
      <w:marRight w:val="0"/>
      <w:marTop w:val="0"/>
      <w:marBottom w:val="0"/>
      <w:divBdr>
        <w:top w:val="none" w:sz="0" w:space="0" w:color="auto"/>
        <w:left w:val="none" w:sz="0" w:space="0" w:color="auto"/>
        <w:bottom w:val="none" w:sz="0" w:space="0" w:color="auto"/>
        <w:right w:val="none" w:sz="0" w:space="0" w:color="auto"/>
      </w:divBdr>
    </w:div>
    <w:div w:id="1139343686">
      <w:bodyDiv w:val="1"/>
      <w:marLeft w:val="0"/>
      <w:marRight w:val="0"/>
      <w:marTop w:val="0"/>
      <w:marBottom w:val="0"/>
      <w:divBdr>
        <w:top w:val="none" w:sz="0" w:space="0" w:color="auto"/>
        <w:left w:val="none" w:sz="0" w:space="0" w:color="auto"/>
        <w:bottom w:val="none" w:sz="0" w:space="0" w:color="auto"/>
        <w:right w:val="none" w:sz="0" w:space="0" w:color="auto"/>
      </w:divBdr>
      <w:divsChild>
        <w:div w:id="391006418">
          <w:marLeft w:val="0"/>
          <w:marRight w:val="0"/>
          <w:marTop w:val="0"/>
          <w:marBottom w:val="0"/>
          <w:divBdr>
            <w:top w:val="none" w:sz="0" w:space="0" w:color="auto"/>
            <w:left w:val="none" w:sz="0" w:space="0" w:color="auto"/>
            <w:bottom w:val="none" w:sz="0" w:space="0" w:color="auto"/>
            <w:right w:val="none" w:sz="0" w:space="0" w:color="auto"/>
          </w:divBdr>
          <w:divsChild>
            <w:div w:id="796067497">
              <w:marLeft w:val="0"/>
              <w:marRight w:val="0"/>
              <w:marTop w:val="0"/>
              <w:marBottom w:val="0"/>
              <w:divBdr>
                <w:top w:val="none" w:sz="0" w:space="0" w:color="auto"/>
                <w:left w:val="none" w:sz="0" w:space="0" w:color="auto"/>
                <w:bottom w:val="none" w:sz="0" w:space="0" w:color="auto"/>
                <w:right w:val="none" w:sz="0" w:space="0" w:color="auto"/>
              </w:divBdr>
            </w:div>
          </w:divsChild>
        </w:div>
        <w:div w:id="919296705">
          <w:marLeft w:val="0"/>
          <w:marRight w:val="0"/>
          <w:marTop w:val="0"/>
          <w:marBottom w:val="0"/>
          <w:divBdr>
            <w:top w:val="none" w:sz="0" w:space="0" w:color="auto"/>
            <w:left w:val="none" w:sz="0" w:space="0" w:color="auto"/>
            <w:bottom w:val="none" w:sz="0" w:space="0" w:color="auto"/>
            <w:right w:val="none" w:sz="0" w:space="0" w:color="auto"/>
          </w:divBdr>
          <w:divsChild>
            <w:div w:id="1731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6750">
      <w:bodyDiv w:val="1"/>
      <w:marLeft w:val="0"/>
      <w:marRight w:val="0"/>
      <w:marTop w:val="0"/>
      <w:marBottom w:val="0"/>
      <w:divBdr>
        <w:top w:val="none" w:sz="0" w:space="0" w:color="auto"/>
        <w:left w:val="none" w:sz="0" w:space="0" w:color="auto"/>
        <w:bottom w:val="none" w:sz="0" w:space="0" w:color="auto"/>
        <w:right w:val="none" w:sz="0" w:space="0" w:color="auto"/>
      </w:divBdr>
      <w:divsChild>
        <w:div w:id="19549458">
          <w:marLeft w:val="0"/>
          <w:marRight w:val="0"/>
          <w:marTop w:val="0"/>
          <w:marBottom w:val="0"/>
          <w:divBdr>
            <w:top w:val="none" w:sz="0" w:space="0" w:color="auto"/>
            <w:left w:val="none" w:sz="0" w:space="0" w:color="auto"/>
            <w:bottom w:val="none" w:sz="0" w:space="0" w:color="auto"/>
            <w:right w:val="none" w:sz="0" w:space="0" w:color="auto"/>
          </w:divBdr>
          <w:divsChild>
            <w:div w:id="879319483">
              <w:marLeft w:val="0"/>
              <w:marRight w:val="0"/>
              <w:marTop w:val="0"/>
              <w:marBottom w:val="0"/>
              <w:divBdr>
                <w:top w:val="none" w:sz="0" w:space="0" w:color="auto"/>
                <w:left w:val="none" w:sz="0" w:space="0" w:color="auto"/>
                <w:bottom w:val="none" w:sz="0" w:space="0" w:color="auto"/>
                <w:right w:val="none" w:sz="0" w:space="0" w:color="auto"/>
              </w:divBdr>
              <w:divsChild>
                <w:div w:id="7129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801">
          <w:marLeft w:val="0"/>
          <w:marRight w:val="0"/>
          <w:marTop w:val="0"/>
          <w:marBottom w:val="0"/>
          <w:divBdr>
            <w:top w:val="none" w:sz="0" w:space="0" w:color="auto"/>
            <w:left w:val="none" w:sz="0" w:space="0" w:color="auto"/>
            <w:bottom w:val="none" w:sz="0" w:space="0" w:color="auto"/>
            <w:right w:val="none" w:sz="0" w:space="0" w:color="auto"/>
          </w:divBdr>
          <w:divsChild>
            <w:div w:id="1551112177">
              <w:marLeft w:val="0"/>
              <w:marRight w:val="0"/>
              <w:marTop w:val="0"/>
              <w:marBottom w:val="0"/>
              <w:divBdr>
                <w:top w:val="none" w:sz="0" w:space="0" w:color="auto"/>
                <w:left w:val="none" w:sz="0" w:space="0" w:color="auto"/>
                <w:bottom w:val="none" w:sz="0" w:space="0" w:color="auto"/>
                <w:right w:val="none" w:sz="0" w:space="0" w:color="auto"/>
              </w:divBdr>
              <w:divsChild>
                <w:div w:id="12442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79942">
          <w:marLeft w:val="0"/>
          <w:marRight w:val="0"/>
          <w:marTop w:val="0"/>
          <w:marBottom w:val="0"/>
          <w:divBdr>
            <w:top w:val="none" w:sz="0" w:space="0" w:color="auto"/>
            <w:left w:val="none" w:sz="0" w:space="0" w:color="auto"/>
            <w:bottom w:val="none" w:sz="0" w:space="0" w:color="auto"/>
            <w:right w:val="none" w:sz="0" w:space="0" w:color="auto"/>
          </w:divBdr>
          <w:divsChild>
            <w:div w:id="732774668">
              <w:marLeft w:val="0"/>
              <w:marRight w:val="0"/>
              <w:marTop w:val="0"/>
              <w:marBottom w:val="0"/>
              <w:divBdr>
                <w:top w:val="none" w:sz="0" w:space="0" w:color="auto"/>
                <w:left w:val="none" w:sz="0" w:space="0" w:color="auto"/>
                <w:bottom w:val="none" w:sz="0" w:space="0" w:color="auto"/>
                <w:right w:val="none" w:sz="0" w:space="0" w:color="auto"/>
              </w:divBdr>
              <w:divsChild>
                <w:div w:id="12346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7072">
          <w:marLeft w:val="0"/>
          <w:marRight w:val="0"/>
          <w:marTop w:val="0"/>
          <w:marBottom w:val="0"/>
          <w:divBdr>
            <w:top w:val="none" w:sz="0" w:space="0" w:color="auto"/>
            <w:left w:val="none" w:sz="0" w:space="0" w:color="auto"/>
            <w:bottom w:val="none" w:sz="0" w:space="0" w:color="auto"/>
            <w:right w:val="none" w:sz="0" w:space="0" w:color="auto"/>
          </w:divBdr>
          <w:divsChild>
            <w:div w:id="2075472656">
              <w:marLeft w:val="0"/>
              <w:marRight w:val="0"/>
              <w:marTop w:val="0"/>
              <w:marBottom w:val="0"/>
              <w:divBdr>
                <w:top w:val="none" w:sz="0" w:space="0" w:color="auto"/>
                <w:left w:val="none" w:sz="0" w:space="0" w:color="auto"/>
                <w:bottom w:val="none" w:sz="0" w:space="0" w:color="auto"/>
                <w:right w:val="none" w:sz="0" w:space="0" w:color="auto"/>
              </w:divBdr>
              <w:divsChild>
                <w:div w:id="5626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6418">
          <w:marLeft w:val="0"/>
          <w:marRight w:val="0"/>
          <w:marTop w:val="0"/>
          <w:marBottom w:val="0"/>
          <w:divBdr>
            <w:top w:val="none" w:sz="0" w:space="0" w:color="auto"/>
            <w:left w:val="none" w:sz="0" w:space="0" w:color="auto"/>
            <w:bottom w:val="none" w:sz="0" w:space="0" w:color="auto"/>
            <w:right w:val="none" w:sz="0" w:space="0" w:color="auto"/>
          </w:divBdr>
          <w:divsChild>
            <w:div w:id="407460204">
              <w:marLeft w:val="0"/>
              <w:marRight w:val="0"/>
              <w:marTop w:val="0"/>
              <w:marBottom w:val="0"/>
              <w:divBdr>
                <w:top w:val="none" w:sz="0" w:space="0" w:color="auto"/>
                <w:left w:val="none" w:sz="0" w:space="0" w:color="auto"/>
                <w:bottom w:val="none" w:sz="0" w:space="0" w:color="auto"/>
                <w:right w:val="none" w:sz="0" w:space="0" w:color="auto"/>
              </w:divBdr>
              <w:divsChild>
                <w:div w:id="10533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3826">
          <w:marLeft w:val="0"/>
          <w:marRight w:val="0"/>
          <w:marTop w:val="0"/>
          <w:marBottom w:val="0"/>
          <w:divBdr>
            <w:top w:val="none" w:sz="0" w:space="0" w:color="auto"/>
            <w:left w:val="none" w:sz="0" w:space="0" w:color="auto"/>
            <w:bottom w:val="none" w:sz="0" w:space="0" w:color="auto"/>
            <w:right w:val="none" w:sz="0" w:space="0" w:color="auto"/>
          </w:divBdr>
          <w:divsChild>
            <w:div w:id="158272503">
              <w:marLeft w:val="0"/>
              <w:marRight w:val="0"/>
              <w:marTop w:val="0"/>
              <w:marBottom w:val="0"/>
              <w:divBdr>
                <w:top w:val="none" w:sz="0" w:space="0" w:color="auto"/>
                <w:left w:val="none" w:sz="0" w:space="0" w:color="auto"/>
                <w:bottom w:val="none" w:sz="0" w:space="0" w:color="auto"/>
                <w:right w:val="none" w:sz="0" w:space="0" w:color="auto"/>
              </w:divBdr>
              <w:divsChild>
                <w:div w:id="10941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8439">
          <w:marLeft w:val="0"/>
          <w:marRight w:val="0"/>
          <w:marTop w:val="0"/>
          <w:marBottom w:val="0"/>
          <w:divBdr>
            <w:top w:val="none" w:sz="0" w:space="0" w:color="auto"/>
            <w:left w:val="none" w:sz="0" w:space="0" w:color="auto"/>
            <w:bottom w:val="none" w:sz="0" w:space="0" w:color="auto"/>
            <w:right w:val="none" w:sz="0" w:space="0" w:color="auto"/>
          </w:divBdr>
          <w:divsChild>
            <w:div w:id="226888312">
              <w:marLeft w:val="0"/>
              <w:marRight w:val="0"/>
              <w:marTop w:val="0"/>
              <w:marBottom w:val="0"/>
              <w:divBdr>
                <w:top w:val="none" w:sz="0" w:space="0" w:color="auto"/>
                <w:left w:val="none" w:sz="0" w:space="0" w:color="auto"/>
                <w:bottom w:val="none" w:sz="0" w:space="0" w:color="auto"/>
                <w:right w:val="none" w:sz="0" w:space="0" w:color="auto"/>
              </w:divBdr>
              <w:divsChild>
                <w:div w:id="9768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525">
          <w:marLeft w:val="0"/>
          <w:marRight w:val="0"/>
          <w:marTop w:val="0"/>
          <w:marBottom w:val="0"/>
          <w:divBdr>
            <w:top w:val="none" w:sz="0" w:space="0" w:color="auto"/>
            <w:left w:val="none" w:sz="0" w:space="0" w:color="auto"/>
            <w:bottom w:val="none" w:sz="0" w:space="0" w:color="auto"/>
            <w:right w:val="none" w:sz="0" w:space="0" w:color="auto"/>
          </w:divBdr>
          <w:divsChild>
            <w:div w:id="2031300796">
              <w:marLeft w:val="0"/>
              <w:marRight w:val="0"/>
              <w:marTop w:val="0"/>
              <w:marBottom w:val="0"/>
              <w:divBdr>
                <w:top w:val="none" w:sz="0" w:space="0" w:color="auto"/>
                <w:left w:val="none" w:sz="0" w:space="0" w:color="auto"/>
                <w:bottom w:val="none" w:sz="0" w:space="0" w:color="auto"/>
                <w:right w:val="none" w:sz="0" w:space="0" w:color="auto"/>
              </w:divBdr>
              <w:divsChild>
                <w:div w:id="12616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1957">
          <w:marLeft w:val="0"/>
          <w:marRight w:val="0"/>
          <w:marTop w:val="0"/>
          <w:marBottom w:val="0"/>
          <w:divBdr>
            <w:top w:val="none" w:sz="0" w:space="0" w:color="auto"/>
            <w:left w:val="none" w:sz="0" w:space="0" w:color="auto"/>
            <w:bottom w:val="none" w:sz="0" w:space="0" w:color="auto"/>
            <w:right w:val="none" w:sz="0" w:space="0" w:color="auto"/>
          </w:divBdr>
          <w:divsChild>
            <w:div w:id="1212425907">
              <w:marLeft w:val="0"/>
              <w:marRight w:val="0"/>
              <w:marTop w:val="0"/>
              <w:marBottom w:val="0"/>
              <w:divBdr>
                <w:top w:val="none" w:sz="0" w:space="0" w:color="auto"/>
                <w:left w:val="none" w:sz="0" w:space="0" w:color="auto"/>
                <w:bottom w:val="none" w:sz="0" w:space="0" w:color="auto"/>
                <w:right w:val="none" w:sz="0" w:space="0" w:color="auto"/>
              </w:divBdr>
              <w:divsChild>
                <w:div w:id="5232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322">
          <w:marLeft w:val="0"/>
          <w:marRight w:val="0"/>
          <w:marTop w:val="0"/>
          <w:marBottom w:val="0"/>
          <w:divBdr>
            <w:top w:val="none" w:sz="0" w:space="0" w:color="auto"/>
            <w:left w:val="none" w:sz="0" w:space="0" w:color="auto"/>
            <w:bottom w:val="none" w:sz="0" w:space="0" w:color="auto"/>
            <w:right w:val="none" w:sz="0" w:space="0" w:color="auto"/>
          </w:divBdr>
          <w:divsChild>
            <w:div w:id="1489321339">
              <w:marLeft w:val="0"/>
              <w:marRight w:val="0"/>
              <w:marTop w:val="0"/>
              <w:marBottom w:val="0"/>
              <w:divBdr>
                <w:top w:val="none" w:sz="0" w:space="0" w:color="auto"/>
                <w:left w:val="none" w:sz="0" w:space="0" w:color="auto"/>
                <w:bottom w:val="none" w:sz="0" w:space="0" w:color="auto"/>
                <w:right w:val="none" w:sz="0" w:space="0" w:color="auto"/>
              </w:divBdr>
              <w:divsChild>
                <w:div w:id="708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7935">
          <w:marLeft w:val="0"/>
          <w:marRight w:val="0"/>
          <w:marTop w:val="0"/>
          <w:marBottom w:val="0"/>
          <w:divBdr>
            <w:top w:val="none" w:sz="0" w:space="0" w:color="auto"/>
            <w:left w:val="none" w:sz="0" w:space="0" w:color="auto"/>
            <w:bottom w:val="none" w:sz="0" w:space="0" w:color="auto"/>
            <w:right w:val="none" w:sz="0" w:space="0" w:color="auto"/>
          </w:divBdr>
          <w:divsChild>
            <w:div w:id="1518160008">
              <w:marLeft w:val="0"/>
              <w:marRight w:val="0"/>
              <w:marTop w:val="0"/>
              <w:marBottom w:val="0"/>
              <w:divBdr>
                <w:top w:val="none" w:sz="0" w:space="0" w:color="auto"/>
                <w:left w:val="none" w:sz="0" w:space="0" w:color="auto"/>
                <w:bottom w:val="none" w:sz="0" w:space="0" w:color="auto"/>
                <w:right w:val="none" w:sz="0" w:space="0" w:color="auto"/>
              </w:divBdr>
              <w:divsChild>
                <w:div w:id="1176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8184">
          <w:marLeft w:val="0"/>
          <w:marRight w:val="0"/>
          <w:marTop w:val="0"/>
          <w:marBottom w:val="0"/>
          <w:divBdr>
            <w:top w:val="none" w:sz="0" w:space="0" w:color="auto"/>
            <w:left w:val="none" w:sz="0" w:space="0" w:color="auto"/>
            <w:bottom w:val="none" w:sz="0" w:space="0" w:color="auto"/>
            <w:right w:val="none" w:sz="0" w:space="0" w:color="auto"/>
          </w:divBdr>
          <w:divsChild>
            <w:div w:id="786659798">
              <w:marLeft w:val="0"/>
              <w:marRight w:val="0"/>
              <w:marTop w:val="0"/>
              <w:marBottom w:val="0"/>
              <w:divBdr>
                <w:top w:val="none" w:sz="0" w:space="0" w:color="auto"/>
                <w:left w:val="none" w:sz="0" w:space="0" w:color="auto"/>
                <w:bottom w:val="none" w:sz="0" w:space="0" w:color="auto"/>
                <w:right w:val="none" w:sz="0" w:space="0" w:color="auto"/>
              </w:divBdr>
              <w:divsChild>
                <w:div w:id="1511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763">
          <w:marLeft w:val="0"/>
          <w:marRight w:val="0"/>
          <w:marTop w:val="0"/>
          <w:marBottom w:val="0"/>
          <w:divBdr>
            <w:top w:val="none" w:sz="0" w:space="0" w:color="auto"/>
            <w:left w:val="none" w:sz="0" w:space="0" w:color="auto"/>
            <w:bottom w:val="none" w:sz="0" w:space="0" w:color="auto"/>
            <w:right w:val="none" w:sz="0" w:space="0" w:color="auto"/>
          </w:divBdr>
          <w:divsChild>
            <w:div w:id="1241527742">
              <w:marLeft w:val="0"/>
              <w:marRight w:val="0"/>
              <w:marTop w:val="0"/>
              <w:marBottom w:val="0"/>
              <w:divBdr>
                <w:top w:val="none" w:sz="0" w:space="0" w:color="auto"/>
                <w:left w:val="none" w:sz="0" w:space="0" w:color="auto"/>
                <w:bottom w:val="none" w:sz="0" w:space="0" w:color="auto"/>
                <w:right w:val="none" w:sz="0" w:space="0" w:color="auto"/>
              </w:divBdr>
              <w:divsChild>
                <w:div w:id="13452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8636">
          <w:marLeft w:val="0"/>
          <w:marRight w:val="0"/>
          <w:marTop w:val="0"/>
          <w:marBottom w:val="0"/>
          <w:divBdr>
            <w:top w:val="none" w:sz="0" w:space="0" w:color="auto"/>
            <w:left w:val="none" w:sz="0" w:space="0" w:color="auto"/>
            <w:bottom w:val="none" w:sz="0" w:space="0" w:color="auto"/>
            <w:right w:val="none" w:sz="0" w:space="0" w:color="auto"/>
          </w:divBdr>
          <w:divsChild>
            <w:div w:id="1707606115">
              <w:marLeft w:val="0"/>
              <w:marRight w:val="0"/>
              <w:marTop w:val="0"/>
              <w:marBottom w:val="0"/>
              <w:divBdr>
                <w:top w:val="none" w:sz="0" w:space="0" w:color="auto"/>
                <w:left w:val="none" w:sz="0" w:space="0" w:color="auto"/>
                <w:bottom w:val="none" w:sz="0" w:space="0" w:color="auto"/>
                <w:right w:val="none" w:sz="0" w:space="0" w:color="auto"/>
              </w:divBdr>
              <w:divsChild>
                <w:div w:id="1385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1340">
          <w:marLeft w:val="0"/>
          <w:marRight w:val="0"/>
          <w:marTop w:val="0"/>
          <w:marBottom w:val="0"/>
          <w:divBdr>
            <w:top w:val="none" w:sz="0" w:space="0" w:color="auto"/>
            <w:left w:val="none" w:sz="0" w:space="0" w:color="auto"/>
            <w:bottom w:val="none" w:sz="0" w:space="0" w:color="auto"/>
            <w:right w:val="none" w:sz="0" w:space="0" w:color="auto"/>
          </w:divBdr>
          <w:divsChild>
            <w:div w:id="1912426500">
              <w:marLeft w:val="0"/>
              <w:marRight w:val="0"/>
              <w:marTop w:val="0"/>
              <w:marBottom w:val="0"/>
              <w:divBdr>
                <w:top w:val="none" w:sz="0" w:space="0" w:color="auto"/>
                <w:left w:val="none" w:sz="0" w:space="0" w:color="auto"/>
                <w:bottom w:val="none" w:sz="0" w:space="0" w:color="auto"/>
                <w:right w:val="none" w:sz="0" w:space="0" w:color="auto"/>
              </w:divBdr>
              <w:divsChild>
                <w:div w:id="13333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2662">
          <w:marLeft w:val="0"/>
          <w:marRight w:val="0"/>
          <w:marTop w:val="0"/>
          <w:marBottom w:val="0"/>
          <w:divBdr>
            <w:top w:val="none" w:sz="0" w:space="0" w:color="auto"/>
            <w:left w:val="none" w:sz="0" w:space="0" w:color="auto"/>
            <w:bottom w:val="none" w:sz="0" w:space="0" w:color="auto"/>
            <w:right w:val="none" w:sz="0" w:space="0" w:color="auto"/>
          </w:divBdr>
          <w:divsChild>
            <w:div w:id="1570653782">
              <w:marLeft w:val="0"/>
              <w:marRight w:val="0"/>
              <w:marTop w:val="0"/>
              <w:marBottom w:val="0"/>
              <w:divBdr>
                <w:top w:val="none" w:sz="0" w:space="0" w:color="auto"/>
                <w:left w:val="none" w:sz="0" w:space="0" w:color="auto"/>
                <w:bottom w:val="none" w:sz="0" w:space="0" w:color="auto"/>
                <w:right w:val="none" w:sz="0" w:space="0" w:color="auto"/>
              </w:divBdr>
              <w:divsChild>
                <w:div w:id="13761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2278">
          <w:marLeft w:val="0"/>
          <w:marRight w:val="0"/>
          <w:marTop w:val="0"/>
          <w:marBottom w:val="0"/>
          <w:divBdr>
            <w:top w:val="none" w:sz="0" w:space="0" w:color="auto"/>
            <w:left w:val="none" w:sz="0" w:space="0" w:color="auto"/>
            <w:bottom w:val="none" w:sz="0" w:space="0" w:color="auto"/>
            <w:right w:val="none" w:sz="0" w:space="0" w:color="auto"/>
          </w:divBdr>
          <w:divsChild>
            <w:div w:id="1254515561">
              <w:marLeft w:val="0"/>
              <w:marRight w:val="0"/>
              <w:marTop w:val="0"/>
              <w:marBottom w:val="0"/>
              <w:divBdr>
                <w:top w:val="none" w:sz="0" w:space="0" w:color="auto"/>
                <w:left w:val="none" w:sz="0" w:space="0" w:color="auto"/>
                <w:bottom w:val="none" w:sz="0" w:space="0" w:color="auto"/>
                <w:right w:val="none" w:sz="0" w:space="0" w:color="auto"/>
              </w:divBdr>
              <w:divsChild>
                <w:div w:id="1951623861">
                  <w:marLeft w:val="0"/>
                  <w:marRight w:val="0"/>
                  <w:marTop w:val="0"/>
                  <w:marBottom w:val="0"/>
                  <w:divBdr>
                    <w:top w:val="none" w:sz="0" w:space="0" w:color="auto"/>
                    <w:left w:val="none" w:sz="0" w:space="0" w:color="auto"/>
                    <w:bottom w:val="none" w:sz="0" w:space="0" w:color="auto"/>
                    <w:right w:val="none" w:sz="0" w:space="0" w:color="auto"/>
                  </w:divBdr>
                </w:div>
              </w:divsChild>
            </w:div>
            <w:div w:id="2139909464">
              <w:marLeft w:val="0"/>
              <w:marRight w:val="0"/>
              <w:marTop w:val="0"/>
              <w:marBottom w:val="0"/>
              <w:divBdr>
                <w:top w:val="none" w:sz="0" w:space="0" w:color="auto"/>
                <w:left w:val="none" w:sz="0" w:space="0" w:color="auto"/>
                <w:bottom w:val="none" w:sz="0" w:space="0" w:color="auto"/>
                <w:right w:val="none" w:sz="0" w:space="0" w:color="auto"/>
              </w:divBdr>
              <w:divsChild>
                <w:div w:id="15209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340">
          <w:marLeft w:val="0"/>
          <w:marRight w:val="0"/>
          <w:marTop w:val="0"/>
          <w:marBottom w:val="0"/>
          <w:divBdr>
            <w:top w:val="none" w:sz="0" w:space="0" w:color="auto"/>
            <w:left w:val="none" w:sz="0" w:space="0" w:color="auto"/>
            <w:bottom w:val="none" w:sz="0" w:space="0" w:color="auto"/>
            <w:right w:val="none" w:sz="0" w:space="0" w:color="auto"/>
          </w:divBdr>
          <w:divsChild>
            <w:div w:id="1369798123">
              <w:marLeft w:val="0"/>
              <w:marRight w:val="0"/>
              <w:marTop w:val="0"/>
              <w:marBottom w:val="0"/>
              <w:divBdr>
                <w:top w:val="none" w:sz="0" w:space="0" w:color="auto"/>
                <w:left w:val="none" w:sz="0" w:space="0" w:color="auto"/>
                <w:bottom w:val="none" w:sz="0" w:space="0" w:color="auto"/>
                <w:right w:val="none" w:sz="0" w:space="0" w:color="auto"/>
              </w:divBdr>
              <w:divsChild>
                <w:div w:id="1446458677">
                  <w:marLeft w:val="0"/>
                  <w:marRight w:val="0"/>
                  <w:marTop w:val="0"/>
                  <w:marBottom w:val="0"/>
                  <w:divBdr>
                    <w:top w:val="none" w:sz="0" w:space="0" w:color="auto"/>
                    <w:left w:val="none" w:sz="0" w:space="0" w:color="auto"/>
                    <w:bottom w:val="none" w:sz="0" w:space="0" w:color="auto"/>
                    <w:right w:val="none" w:sz="0" w:space="0" w:color="auto"/>
                  </w:divBdr>
                </w:div>
              </w:divsChild>
            </w:div>
            <w:div w:id="1701203422">
              <w:marLeft w:val="0"/>
              <w:marRight w:val="0"/>
              <w:marTop w:val="0"/>
              <w:marBottom w:val="0"/>
              <w:divBdr>
                <w:top w:val="none" w:sz="0" w:space="0" w:color="auto"/>
                <w:left w:val="none" w:sz="0" w:space="0" w:color="auto"/>
                <w:bottom w:val="none" w:sz="0" w:space="0" w:color="auto"/>
                <w:right w:val="none" w:sz="0" w:space="0" w:color="auto"/>
              </w:divBdr>
              <w:divsChild>
                <w:div w:id="5750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4577">
          <w:marLeft w:val="0"/>
          <w:marRight w:val="0"/>
          <w:marTop w:val="0"/>
          <w:marBottom w:val="0"/>
          <w:divBdr>
            <w:top w:val="none" w:sz="0" w:space="0" w:color="auto"/>
            <w:left w:val="none" w:sz="0" w:space="0" w:color="auto"/>
            <w:bottom w:val="none" w:sz="0" w:space="0" w:color="auto"/>
            <w:right w:val="none" w:sz="0" w:space="0" w:color="auto"/>
          </w:divBdr>
          <w:divsChild>
            <w:div w:id="544760675">
              <w:marLeft w:val="0"/>
              <w:marRight w:val="0"/>
              <w:marTop w:val="0"/>
              <w:marBottom w:val="0"/>
              <w:divBdr>
                <w:top w:val="none" w:sz="0" w:space="0" w:color="auto"/>
                <w:left w:val="none" w:sz="0" w:space="0" w:color="auto"/>
                <w:bottom w:val="none" w:sz="0" w:space="0" w:color="auto"/>
                <w:right w:val="none" w:sz="0" w:space="0" w:color="auto"/>
              </w:divBdr>
              <w:divsChild>
                <w:div w:id="9270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8321">
          <w:marLeft w:val="0"/>
          <w:marRight w:val="0"/>
          <w:marTop w:val="0"/>
          <w:marBottom w:val="0"/>
          <w:divBdr>
            <w:top w:val="none" w:sz="0" w:space="0" w:color="auto"/>
            <w:left w:val="none" w:sz="0" w:space="0" w:color="auto"/>
            <w:bottom w:val="none" w:sz="0" w:space="0" w:color="auto"/>
            <w:right w:val="none" w:sz="0" w:space="0" w:color="auto"/>
          </w:divBdr>
          <w:divsChild>
            <w:div w:id="1390572501">
              <w:marLeft w:val="0"/>
              <w:marRight w:val="0"/>
              <w:marTop w:val="0"/>
              <w:marBottom w:val="0"/>
              <w:divBdr>
                <w:top w:val="none" w:sz="0" w:space="0" w:color="auto"/>
                <w:left w:val="none" w:sz="0" w:space="0" w:color="auto"/>
                <w:bottom w:val="none" w:sz="0" w:space="0" w:color="auto"/>
                <w:right w:val="none" w:sz="0" w:space="0" w:color="auto"/>
              </w:divBdr>
              <w:divsChild>
                <w:div w:id="2084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3525">
          <w:marLeft w:val="0"/>
          <w:marRight w:val="0"/>
          <w:marTop w:val="0"/>
          <w:marBottom w:val="0"/>
          <w:divBdr>
            <w:top w:val="none" w:sz="0" w:space="0" w:color="auto"/>
            <w:left w:val="none" w:sz="0" w:space="0" w:color="auto"/>
            <w:bottom w:val="none" w:sz="0" w:space="0" w:color="auto"/>
            <w:right w:val="none" w:sz="0" w:space="0" w:color="auto"/>
          </w:divBdr>
          <w:divsChild>
            <w:div w:id="540287165">
              <w:marLeft w:val="0"/>
              <w:marRight w:val="0"/>
              <w:marTop w:val="0"/>
              <w:marBottom w:val="0"/>
              <w:divBdr>
                <w:top w:val="none" w:sz="0" w:space="0" w:color="auto"/>
                <w:left w:val="none" w:sz="0" w:space="0" w:color="auto"/>
                <w:bottom w:val="none" w:sz="0" w:space="0" w:color="auto"/>
                <w:right w:val="none" w:sz="0" w:space="0" w:color="auto"/>
              </w:divBdr>
              <w:divsChild>
                <w:div w:id="1185945022">
                  <w:marLeft w:val="0"/>
                  <w:marRight w:val="0"/>
                  <w:marTop w:val="0"/>
                  <w:marBottom w:val="0"/>
                  <w:divBdr>
                    <w:top w:val="none" w:sz="0" w:space="0" w:color="auto"/>
                    <w:left w:val="none" w:sz="0" w:space="0" w:color="auto"/>
                    <w:bottom w:val="none" w:sz="0" w:space="0" w:color="auto"/>
                    <w:right w:val="none" w:sz="0" w:space="0" w:color="auto"/>
                  </w:divBdr>
                </w:div>
              </w:divsChild>
            </w:div>
            <w:div w:id="729158510">
              <w:marLeft w:val="0"/>
              <w:marRight w:val="0"/>
              <w:marTop w:val="0"/>
              <w:marBottom w:val="0"/>
              <w:divBdr>
                <w:top w:val="none" w:sz="0" w:space="0" w:color="auto"/>
                <w:left w:val="none" w:sz="0" w:space="0" w:color="auto"/>
                <w:bottom w:val="none" w:sz="0" w:space="0" w:color="auto"/>
                <w:right w:val="none" w:sz="0" w:space="0" w:color="auto"/>
              </w:divBdr>
              <w:divsChild>
                <w:div w:id="1865290601">
                  <w:marLeft w:val="0"/>
                  <w:marRight w:val="0"/>
                  <w:marTop w:val="0"/>
                  <w:marBottom w:val="0"/>
                  <w:divBdr>
                    <w:top w:val="none" w:sz="0" w:space="0" w:color="auto"/>
                    <w:left w:val="none" w:sz="0" w:space="0" w:color="auto"/>
                    <w:bottom w:val="none" w:sz="0" w:space="0" w:color="auto"/>
                    <w:right w:val="none" w:sz="0" w:space="0" w:color="auto"/>
                  </w:divBdr>
                </w:div>
              </w:divsChild>
            </w:div>
            <w:div w:id="1069308927">
              <w:marLeft w:val="0"/>
              <w:marRight w:val="0"/>
              <w:marTop w:val="0"/>
              <w:marBottom w:val="0"/>
              <w:divBdr>
                <w:top w:val="none" w:sz="0" w:space="0" w:color="auto"/>
                <w:left w:val="none" w:sz="0" w:space="0" w:color="auto"/>
                <w:bottom w:val="none" w:sz="0" w:space="0" w:color="auto"/>
                <w:right w:val="none" w:sz="0" w:space="0" w:color="auto"/>
              </w:divBdr>
              <w:divsChild>
                <w:div w:id="19915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29">
          <w:marLeft w:val="0"/>
          <w:marRight w:val="0"/>
          <w:marTop w:val="0"/>
          <w:marBottom w:val="0"/>
          <w:divBdr>
            <w:top w:val="none" w:sz="0" w:space="0" w:color="auto"/>
            <w:left w:val="none" w:sz="0" w:space="0" w:color="auto"/>
            <w:bottom w:val="none" w:sz="0" w:space="0" w:color="auto"/>
            <w:right w:val="none" w:sz="0" w:space="0" w:color="auto"/>
          </w:divBdr>
          <w:divsChild>
            <w:div w:id="356010542">
              <w:marLeft w:val="0"/>
              <w:marRight w:val="0"/>
              <w:marTop w:val="0"/>
              <w:marBottom w:val="0"/>
              <w:divBdr>
                <w:top w:val="none" w:sz="0" w:space="0" w:color="auto"/>
                <w:left w:val="none" w:sz="0" w:space="0" w:color="auto"/>
                <w:bottom w:val="none" w:sz="0" w:space="0" w:color="auto"/>
                <w:right w:val="none" w:sz="0" w:space="0" w:color="auto"/>
              </w:divBdr>
              <w:divsChild>
                <w:div w:id="17942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6685">
      <w:bodyDiv w:val="1"/>
      <w:marLeft w:val="0"/>
      <w:marRight w:val="0"/>
      <w:marTop w:val="0"/>
      <w:marBottom w:val="0"/>
      <w:divBdr>
        <w:top w:val="none" w:sz="0" w:space="0" w:color="auto"/>
        <w:left w:val="none" w:sz="0" w:space="0" w:color="auto"/>
        <w:bottom w:val="none" w:sz="0" w:space="0" w:color="auto"/>
        <w:right w:val="none" w:sz="0" w:space="0" w:color="auto"/>
      </w:divBdr>
      <w:divsChild>
        <w:div w:id="70543888">
          <w:marLeft w:val="0"/>
          <w:marRight w:val="0"/>
          <w:marTop w:val="0"/>
          <w:marBottom w:val="0"/>
          <w:divBdr>
            <w:top w:val="none" w:sz="0" w:space="0" w:color="auto"/>
            <w:left w:val="none" w:sz="0" w:space="0" w:color="auto"/>
            <w:bottom w:val="none" w:sz="0" w:space="0" w:color="auto"/>
            <w:right w:val="none" w:sz="0" w:space="0" w:color="auto"/>
          </w:divBdr>
          <w:divsChild>
            <w:div w:id="794787669">
              <w:marLeft w:val="0"/>
              <w:marRight w:val="0"/>
              <w:marTop w:val="0"/>
              <w:marBottom w:val="0"/>
              <w:divBdr>
                <w:top w:val="none" w:sz="0" w:space="0" w:color="auto"/>
                <w:left w:val="none" w:sz="0" w:space="0" w:color="auto"/>
                <w:bottom w:val="none" w:sz="0" w:space="0" w:color="auto"/>
                <w:right w:val="none" w:sz="0" w:space="0" w:color="auto"/>
              </w:divBdr>
              <w:divsChild>
                <w:div w:id="866407414">
                  <w:marLeft w:val="0"/>
                  <w:marRight w:val="0"/>
                  <w:marTop w:val="0"/>
                  <w:marBottom w:val="0"/>
                  <w:divBdr>
                    <w:top w:val="none" w:sz="0" w:space="0" w:color="auto"/>
                    <w:left w:val="none" w:sz="0" w:space="0" w:color="auto"/>
                    <w:bottom w:val="none" w:sz="0" w:space="0" w:color="auto"/>
                    <w:right w:val="none" w:sz="0" w:space="0" w:color="auto"/>
                  </w:divBdr>
                </w:div>
              </w:divsChild>
            </w:div>
            <w:div w:id="1703630235">
              <w:marLeft w:val="0"/>
              <w:marRight w:val="0"/>
              <w:marTop w:val="0"/>
              <w:marBottom w:val="0"/>
              <w:divBdr>
                <w:top w:val="none" w:sz="0" w:space="0" w:color="auto"/>
                <w:left w:val="none" w:sz="0" w:space="0" w:color="auto"/>
                <w:bottom w:val="none" w:sz="0" w:space="0" w:color="auto"/>
                <w:right w:val="none" w:sz="0" w:space="0" w:color="auto"/>
              </w:divBdr>
              <w:divsChild>
                <w:div w:id="1519462615">
                  <w:marLeft w:val="0"/>
                  <w:marRight w:val="0"/>
                  <w:marTop w:val="0"/>
                  <w:marBottom w:val="0"/>
                  <w:divBdr>
                    <w:top w:val="none" w:sz="0" w:space="0" w:color="auto"/>
                    <w:left w:val="none" w:sz="0" w:space="0" w:color="auto"/>
                    <w:bottom w:val="none" w:sz="0" w:space="0" w:color="auto"/>
                    <w:right w:val="none" w:sz="0" w:space="0" w:color="auto"/>
                  </w:divBdr>
                </w:div>
              </w:divsChild>
            </w:div>
            <w:div w:id="1708524060">
              <w:marLeft w:val="0"/>
              <w:marRight w:val="0"/>
              <w:marTop w:val="0"/>
              <w:marBottom w:val="0"/>
              <w:divBdr>
                <w:top w:val="none" w:sz="0" w:space="0" w:color="auto"/>
                <w:left w:val="none" w:sz="0" w:space="0" w:color="auto"/>
                <w:bottom w:val="none" w:sz="0" w:space="0" w:color="auto"/>
                <w:right w:val="none" w:sz="0" w:space="0" w:color="auto"/>
              </w:divBdr>
              <w:divsChild>
                <w:div w:id="132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095">
          <w:marLeft w:val="0"/>
          <w:marRight w:val="0"/>
          <w:marTop w:val="0"/>
          <w:marBottom w:val="0"/>
          <w:divBdr>
            <w:top w:val="none" w:sz="0" w:space="0" w:color="auto"/>
            <w:left w:val="none" w:sz="0" w:space="0" w:color="auto"/>
            <w:bottom w:val="none" w:sz="0" w:space="0" w:color="auto"/>
            <w:right w:val="none" w:sz="0" w:space="0" w:color="auto"/>
          </w:divBdr>
          <w:divsChild>
            <w:div w:id="1587953415">
              <w:marLeft w:val="0"/>
              <w:marRight w:val="0"/>
              <w:marTop w:val="0"/>
              <w:marBottom w:val="0"/>
              <w:divBdr>
                <w:top w:val="none" w:sz="0" w:space="0" w:color="auto"/>
                <w:left w:val="none" w:sz="0" w:space="0" w:color="auto"/>
                <w:bottom w:val="none" w:sz="0" w:space="0" w:color="auto"/>
                <w:right w:val="none" w:sz="0" w:space="0" w:color="auto"/>
              </w:divBdr>
              <w:divsChild>
                <w:div w:id="19160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5157">
          <w:marLeft w:val="0"/>
          <w:marRight w:val="0"/>
          <w:marTop w:val="0"/>
          <w:marBottom w:val="0"/>
          <w:divBdr>
            <w:top w:val="none" w:sz="0" w:space="0" w:color="auto"/>
            <w:left w:val="none" w:sz="0" w:space="0" w:color="auto"/>
            <w:bottom w:val="none" w:sz="0" w:space="0" w:color="auto"/>
            <w:right w:val="none" w:sz="0" w:space="0" w:color="auto"/>
          </w:divBdr>
          <w:divsChild>
            <w:div w:id="1465854122">
              <w:marLeft w:val="0"/>
              <w:marRight w:val="0"/>
              <w:marTop w:val="0"/>
              <w:marBottom w:val="0"/>
              <w:divBdr>
                <w:top w:val="none" w:sz="0" w:space="0" w:color="auto"/>
                <w:left w:val="none" w:sz="0" w:space="0" w:color="auto"/>
                <w:bottom w:val="none" w:sz="0" w:space="0" w:color="auto"/>
                <w:right w:val="none" w:sz="0" w:space="0" w:color="auto"/>
              </w:divBdr>
              <w:divsChild>
                <w:div w:id="12661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486">
          <w:marLeft w:val="0"/>
          <w:marRight w:val="0"/>
          <w:marTop w:val="0"/>
          <w:marBottom w:val="0"/>
          <w:divBdr>
            <w:top w:val="none" w:sz="0" w:space="0" w:color="auto"/>
            <w:left w:val="none" w:sz="0" w:space="0" w:color="auto"/>
            <w:bottom w:val="none" w:sz="0" w:space="0" w:color="auto"/>
            <w:right w:val="none" w:sz="0" w:space="0" w:color="auto"/>
          </w:divBdr>
          <w:divsChild>
            <w:div w:id="1395279320">
              <w:marLeft w:val="0"/>
              <w:marRight w:val="0"/>
              <w:marTop w:val="0"/>
              <w:marBottom w:val="0"/>
              <w:divBdr>
                <w:top w:val="none" w:sz="0" w:space="0" w:color="auto"/>
                <w:left w:val="none" w:sz="0" w:space="0" w:color="auto"/>
                <w:bottom w:val="none" w:sz="0" w:space="0" w:color="auto"/>
                <w:right w:val="none" w:sz="0" w:space="0" w:color="auto"/>
              </w:divBdr>
              <w:divsChild>
                <w:div w:id="14266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3405">
          <w:marLeft w:val="0"/>
          <w:marRight w:val="0"/>
          <w:marTop w:val="0"/>
          <w:marBottom w:val="0"/>
          <w:divBdr>
            <w:top w:val="none" w:sz="0" w:space="0" w:color="auto"/>
            <w:left w:val="none" w:sz="0" w:space="0" w:color="auto"/>
            <w:bottom w:val="none" w:sz="0" w:space="0" w:color="auto"/>
            <w:right w:val="none" w:sz="0" w:space="0" w:color="auto"/>
          </w:divBdr>
          <w:divsChild>
            <w:div w:id="1644652478">
              <w:marLeft w:val="0"/>
              <w:marRight w:val="0"/>
              <w:marTop w:val="0"/>
              <w:marBottom w:val="0"/>
              <w:divBdr>
                <w:top w:val="none" w:sz="0" w:space="0" w:color="auto"/>
                <w:left w:val="none" w:sz="0" w:space="0" w:color="auto"/>
                <w:bottom w:val="none" w:sz="0" w:space="0" w:color="auto"/>
                <w:right w:val="none" w:sz="0" w:space="0" w:color="auto"/>
              </w:divBdr>
              <w:divsChild>
                <w:div w:id="19024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7984">
          <w:marLeft w:val="0"/>
          <w:marRight w:val="0"/>
          <w:marTop w:val="0"/>
          <w:marBottom w:val="0"/>
          <w:divBdr>
            <w:top w:val="none" w:sz="0" w:space="0" w:color="auto"/>
            <w:left w:val="none" w:sz="0" w:space="0" w:color="auto"/>
            <w:bottom w:val="none" w:sz="0" w:space="0" w:color="auto"/>
            <w:right w:val="none" w:sz="0" w:space="0" w:color="auto"/>
          </w:divBdr>
          <w:divsChild>
            <w:div w:id="729033818">
              <w:marLeft w:val="0"/>
              <w:marRight w:val="0"/>
              <w:marTop w:val="0"/>
              <w:marBottom w:val="0"/>
              <w:divBdr>
                <w:top w:val="none" w:sz="0" w:space="0" w:color="auto"/>
                <w:left w:val="none" w:sz="0" w:space="0" w:color="auto"/>
                <w:bottom w:val="none" w:sz="0" w:space="0" w:color="auto"/>
                <w:right w:val="none" w:sz="0" w:space="0" w:color="auto"/>
              </w:divBdr>
              <w:divsChild>
                <w:div w:id="3795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2039">
          <w:marLeft w:val="0"/>
          <w:marRight w:val="0"/>
          <w:marTop w:val="0"/>
          <w:marBottom w:val="0"/>
          <w:divBdr>
            <w:top w:val="none" w:sz="0" w:space="0" w:color="auto"/>
            <w:left w:val="none" w:sz="0" w:space="0" w:color="auto"/>
            <w:bottom w:val="none" w:sz="0" w:space="0" w:color="auto"/>
            <w:right w:val="none" w:sz="0" w:space="0" w:color="auto"/>
          </w:divBdr>
          <w:divsChild>
            <w:div w:id="400253523">
              <w:marLeft w:val="0"/>
              <w:marRight w:val="0"/>
              <w:marTop w:val="0"/>
              <w:marBottom w:val="0"/>
              <w:divBdr>
                <w:top w:val="none" w:sz="0" w:space="0" w:color="auto"/>
                <w:left w:val="none" w:sz="0" w:space="0" w:color="auto"/>
                <w:bottom w:val="none" w:sz="0" w:space="0" w:color="auto"/>
                <w:right w:val="none" w:sz="0" w:space="0" w:color="auto"/>
              </w:divBdr>
              <w:divsChild>
                <w:div w:id="4537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5613">
          <w:marLeft w:val="0"/>
          <w:marRight w:val="0"/>
          <w:marTop w:val="0"/>
          <w:marBottom w:val="0"/>
          <w:divBdr>
            <w:top w:val="none" w:sz="0" w:space="0" w:color="auto"/>
            <w:left w:val="none" w:sz="0" w:space="0" w:color="auto"/>
            <w:bottom w:val="none" w:sz="0" w:space="0" w:color="auto"/>
            <w:right w:val="none" w:sz="0" w:space="0" w:color="auto"/>
          </w:divBdr>
          <w:divsChild>
            <w:div w:id="496504878">
              <w:marLeft w:val="0"/>
              <w:marRight w:val="0"/>
              <w:marTop w:val="0"/>
              <w:marBottom w:val="0"/>
              <w:divBdr>
                <w:top w:val="none" w:sz="0" w:space="0" w:color="auto"/>
                <w:left w:val="none" w:sz="0" w:space="0" w:color="auto"/>
                <w:bottom w:val="none" w:sz="0" w:space="0" w:color="auto"/>
                <w:right w:val="none" w:sz="0" w:space="0" w:color="auto"/>
              </w:divBdr>
              <w:divsChild>
                <w:div w:id="15443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5289">
          <w:marLeft w:val="0"/>
          <w:marRight w:val="0"/>
          <w:marTop w:val="0"/>
          <w:marBottom w:val="0"/>
          <w:divBdr>
            <w:top w:val="none" w:sz="0" w:space="0" w:color="auto"/>
            <w:left w:val="none" w:sz="0" w:space="0" w:color="auto"/>
            <w:bottom w:val="none" w:sz="0" w:space="0" w:color="auto"/>
            <w:right w:val="none" w:sz="0" w:space="0" w:color="auto"/>
          </w:divBdr>
          <w:divsChild>
            <w:div w:id="2139101171">
              <w:marLeft w:val="0"/>
              <w:marRight w:val="0"/>
              <w:marTop w:val="0"/>
              <w:marBottom w:val="0"/>
              <w:divBdr>
                <w:top w:val="none" w:sz="0" w:space="0" w:color="auto"/>
                <w:left w:val="none" w:sz="0" w:space="0" w:color="auto"/>
                <w:bottom w:val="none" w:sz="0" w:space="0" w:color="auto"/>
                <w:right w:val="none" w:sz="0" w:space="0" w:color="auto"/>
              </w:divBdr>
              <w:divsChild>
                <w:div w:id="16046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8921">
          <w:marLeft w:val="0"/>
          <w:marRight w:val="0"/>
          <w:marTop w:val="0"/>
          <w:marBottom w:val="0"/>
          <w:divBdr>
            <w:top w:val="none" w:sz="0" w:space="0" w:color="auto"/>
            <w:left w:val="none" w:sz="0" w:space="0" w:color="auto"/>
            <w:bottom w:val="none" w:sz="0" w:space="0" w:color="auto"/>
            <w:right w:val="none" w:sz="0" w:space="0" w:color="auto"/>
          </w:divBdr>
          <w:divsChild>
            <w:div w:id="484512304">
              <w:marLeft w:val="0"/>
              <w:marRight w:val="0"/>
              <w:marTop w:val="0"/>
              <w:marBottom w:val="0"/>
              <w:divBdr>
                <w:top w:val="none" w:sz="0" w:space="0" w:color="auto"/>
                <w:left w:val="none" w:sz="0" w:space="0" w:color="auto"/>
                <w:bottom w:val="none" w:sz="0" w:space="0" w:color="auto"/>
                <w:right w:val="none" w:sz="0" w:space="0" w:color="auto"/>
              </w:divBdr>
              <w:divsChild>
                <w:div w:id="782305318">
                  <w:marLeft w:val="0"/>
                  <w:marRight w:val="0"/>
                  <w:marTop w:val="0"/>
                  <w:marBottom w:val="0"/>
                  <w:divBdr>
                    <w:top w:val="none" w:sz="0" w:space="0" w:color="auto"/>
                    <w:left w:val="none" w:sz="0" w:space="0" w:color="auto"/>
                    <w:bottom w:val="none" w:sz="0" w:space="0" w:color="auto"/>
                    <w:right w:val="none" w:sz="0" w:space="0" w:color="auto"/>
                  </w:divBdr>
                </w:div>
              </w:divsChild>
            </w:div>
            <w:div w:id="1722904876">
              <w:marLeft w:val="0"/>
              <w:marRight w:val="0"/>
              <w:marTop w:val="0"/>
              <w:marBottom w:val="0"/>
              <w:divBdr>
                <w:top w:val="none" w:sz="0" w:space="0" w:color="auto"/>
                <w:left w:val="none" w:sz="0" w:space="0" w:color="auto"/>
                <w:bottom w:val="none" w:sz="0" w:space="0" w:color="auto"/>
                <w:right w:val="none" w:sz="0" w:space="0" w:color="auto"/>
              </w:divBdr>
              <w:divsChild>
                <w:div w:id="13862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859">
          <w:marLeft w:val="0"/>
          <w:marRight w:val="0"/>
          <w:marTop w:val="0"/>
          <w:marBottom w:val="0"/>
          <w:divBdr>
            <w:top w:val="none" w:sz="0" w:space="0" w:color="auto"/>
            <w:left w:val="none" w:sz="0" w:space="0" w:color="auto"/>
            <w:bottom w:val="none" w:sz="0" w:space="0" w:color="auto"/>
            <w:right w:val="none" w:sz="0" w:space="0" w:color="auto"/>
          </w:divBdr>
          <w:divsChild>
            <w:div w:id="1351880046">
              <w:marLeft w:val="0"/>
              <w:marRight w:val="0"/>
              <w:marTop w:val="0"/>
              <w:marBottom w:val="0"/>
              <w:divBdr>
                <w:top w:val="none" w:sz="0" w:space="0" w:color="auto"/>
                <w:left w:val="none" w:sz="0" w:space="0" w:color="auto"/>
                <w:bottom w:val="none" w:sz="0" w:space="0" w:color="auto"/>
                <w:right w:val="none" w:sz="0" w:space="0" w:color="auto"/>
              </w:divBdr>
              <w:divsChild>
                <w:div w:id="4140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8808">
          <w:marLeft w:val="0"/>
          <w:marRight w:val="0"/>
          <w:marTop w:val="0"/>
          <w:marBottom w:val="0"/>
          <w:divBdr>
            <w:top w:val="none" w:sz="0" w:space="0" w:color="auto"/>
            <w:left w:val="none" w:sz="0" w:space="0" w:color="auto"/>
            <w:bottom w:val="none" w:sz="0" w:space="0" w:color="auto"/>
            <w:right w:val="none" w:sz="0" w:space="0" w:color="auto"/>
          </w:divBdr>
          <w:divsChild>
            <w:div w:id="791824805">
              <w:marLeft w:val="0"/>
              <w:marRight w:val="0"/>
              <w:marTop w:val="0"/>
              <w:marBottom w:val="0"/>
              <w:divBdr>
                <w:top w:val="none" w:sz="0" w:space="0" w:color="auto"/>
                <w:left w:val="none" w:sz="0" w:space="0" w:color="auto"/>
                <w:bottom w:val="none" w:sz="0" w:space="0" w:color="auto"/>
                <w:right w:val="none" w:sz="0" w:space="0" w:color="auto"/>
              </w:divBdr>
              <w:divsChild>
                <w:div w:id="1525098203">
                  <w:marLeft w:val="0"/>
                  <w:marRight w:val="0"/>
                  <w:marTop w:val="0"/>
                  <w:marBottom w:val="0"/>
                  <w:divBdr>
                    <w:top w:val="none" w:sz="0" w:space="0" w:color="auto"/>
                    <w:left w:val="none" w:sz="0" w:space="0" w:color="auto"/>
                    <w:bottom w:val="none" w:sz="0" w:space="0" w:color="auto"/>
                    <w:right w:val="none" w:sz="0" w:space="0" w:color="auto"/>
                  </w:divBdr>
                </w:div>
              </w:divsChild>
            </w:div>
            <w:div w:id="1503276017">
              <w:marLeft w:val="0"/>
              <w:marRight w:val="0"/>
              <w:marTop w:val="0"/>
              <w:marBottom w:val="0"/>
              <w:divBdr>
                <w:top w:val="none" w:sz="0" w:space="0" w:color="auto"/>
                <w:left w:val="none" w:sz="0" w:space="0" w:color="auto"/>
                <w:bottom w:val="none" w:sz="0" w:space="0" w:color="auto"/>
                <w:right w:val="none" w:sz="0" w:space="0" w:color="auto"/>
              </w:divBdr>
              <w:divsChild>
                <w:div w:id="5965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902">
          <w:marLeft w:val="0"/>
          <w:marRight w:val="0"/>
          <w:marTop w:val="0"/>
          <w:marBottom w:val="0"/>
          <w:divBdr>
            <w:top w:val="none" w:sz="0" w:space="0" w:color="auto"/>
            <w:left w:val="none" w:sz="0" w:space="0" w:color="auto"/>
            <w:bottom w:val="none" w:sz="0" w:space="0" w:color="auto"/>
            <w:right w:val="none" w:sz="0" w:space="0" w:color="auto"/>
          </w:divBdr>
          <w:divsChild>
            <w:div w:id="794953937">
              <w:marLeft w:val="0"/>
              <w:marRight w:val="0"/>
              <w:marTop w:val="0"/>
              <w:marBottom w:val="0"/>
              <w:divBdr>
                <w:top w:val="none" w:sz="0" w:space="0" w:color="auto"/>
                <w:left w:val="none" w:sz="0" w:space="0" w:color="auto"/>
                <w:bottom w:val="none" w:sz="0" w:space="0" w:color="auto"/>
                <w:right w:val="none" w:sz="0" w:space="0" w:color="auto"/>
              </w:divBdr>
              <w:divsChild>
                <w:div w:id="1583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12308">
          <w:marLeft w:val="0"/>
          <w:marRight w:val="0"/>
          <w:marTop w:val="0"/>
          <w:marBottom w:val="0"/>
          <w:divBdr>
            <w:top w:val="none" w:sz="0" w:space="0" w:color="auto"/>
            <w:left w:val="none" w:sz="0" w:space="0" w:color="auto"/>
            <w:bottom w:val="none" w:sz="0" w:space="0" w:color="auto"/>
            <w:right w:val="none" w:sz="0" w:space="0" w:color="auto"/>
          </w:divBdr>
          <w:divsChild>
            <w:div w:id="1891305608">
              <w:marLeft w:val="0"/>
              <w:marRight w:val="0"/>
              <w:marTop w:val="0"/>
              <w:marBottom w:val="0"/>
              <w:divBdr>
                <w:top w:val="none" w:sz="0" w:space="0" w:color="auto"/>
                <w:left w:val="none" w:sz="0" w:space="0" w:color="auto"/>
                <w:bottom w:val="none" w:sz="0" w:space="0" w:color="auto"/>
                <w:right w:val="none" w:sz="0" w:space="0" w:color="auto"/>
              </w:divBdr>
              <w:divsChild>
                <w:div w:id="16164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5474">
          <w:marLeft w:val="0"/>
          <w:marRight w:val="0"/>
          <w:marTop w:val="0"/>
          <w:marBottom w:val="0"/>
          <w:divBdr>
            <w:top w:val="none" w:sz="0" w:space="0" w:color="auto"/>
            <w:left w:val="none" w:sz="0" w:space="0" w:color="auto"/>
            <w:bottom w:val="none" w:sz="0" w:space="0" w:color="auto"/>
            <w:right w:val="none" w:sz="0" w:space="0" w:color="auto"/>
          </w:divBdr>
          <w:divsChild>
            <w:div w:id="1044136260">
              <w:marLeft w:val="0"/>
              <w:marRight w:val="0"/>
              <w:marTop w:val="0"/>
              <w:marBottom w:val="0"/>
              <w:divBdr>
                <w:top w:val="none" w:sz="0" w:space="0" w:color="auto"/>
                <w:left w:val="none" w:sz="0" w:space="0" w:color="auto"/>
                <w:bottom w:val="none" w:sz="0" w:space="0" w:color="auto"/>
                <w:right w:val="none" w:sz="0" w:space="0" w:color="auto"/>
              </w:divBdr>
              <w:divsChild>
                <w:div w:id="2276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6378">
          <w:marLeft w:val="0"/>
          <w:marRight w:val="0"/>
          <w:marTop w:val="0"/>
          <w:marBottom w:val="0"/>
          <w:divBdr>
            <w:top w:val="none" w:sz="0" w:space="0" w:color="auto"/>
            <w:left w:val="none" w:sz="0" w:space="0" w:color="auto"/>
            <w:bottom w:val="none" w:sz="0" w:space="0" w:color="auto"/>
            <w:right w:val="none" w:sz="0" w:space="0" w:color="auto"/>
          </w:divBdr>
          <w:divsChild>
            <w:div w:id="1387685894">
              <w:marLeft w:val="0"/>
              <w:marRight w:val="0"/>
              <w:marTop w:val="0"/>
              <w:marBottom w:val="0"/>
              <w:divBdr>
                <w:top w:val="none" w:sz="0" w:space="0" w:color="auto"/>
                <w:left w:val="none" w:sz="0" w:space="0" w:color="auto"/>
                <w:bottom w:val="none" w:sz="0" w:space="0" w:color="auto"/>
                <w:right w:val="none" w:sz="0" w:space="0" w:color="auto"/>
              </w:divBdr>
              <w:divsChild>
                <w:div w:id="18533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87657">
          <w:marLeft w:val="0"/>
          <w:marRight w:val="0"/>
          <w:marTop w:val="0"/>
          <w:marBottom w:val="0"/>
          <w:divBdr>
            <w:top w:val="none" w:sz="0" w:space="0" w:color="auto"/>
            <w:left w:val="none" w:sz="0" w:space="0" w:color="auto"/>
            <w:bottom w:val="none" w:sz="0" w:space="0" w:color="auto"/>
            <w:right w:val="none" w:sz="0" w:space="0" w:color="auto"/>
          </w:divBdr>
          <w:divsChild>
            <w:div w:id="57286347">
              <w:marLeft w:val="0"/>
              <w:marRight w:val="0"/>
              <w:marTop w:val="0"/>
              <w:marBottom w:val="0"/>
              <w:divBdr>
                <w:top w:val="none" w:sz="0" w:space="0" w:color="auto"/>
                <w:left w:val="none" w:sz="0" w:space="0" w:color="auto"/>
                <w:bottom w:val="none" w:sz="0" w:space="0" w:color="auto"/>
                <w:right w:val="none" w:sz="0" w:space="0" w:color="auto"/>
              </w:divBdr>
              <w:divsChild>
                <w:div w:id="45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089">
          <w:marLeft w:val="0"/>
          <w:marRight w:val="0"/>
          <w:marTop w:val="0"/>
          <w:marBottom w:val="0"/>
          <w:divBdr>
            <w:top w:val="none" w:sz="0" w:space="0" w:color="auto"/>
            <w:left w:val="none" w:sz="0" w:space="0" w:color="auto"/>
            <w:bottom w:val="none" w:sz="0" w:space="0" w:color="auto"/>
            <w:right w:val="none" w:sz="0" w:space="0" w:color="auto"/>
          </w:divBdr>
          <w:divsChild>
            <w:div w:id="1634140363">
              <w:marLeft w:val="0"/>
              <w:marRight w:val="0"/>
              <w:marTop w:val="0"/>
              <w:marBottom w:val="0"/>
              <w:divBdr>
                <w:top w:val="none" w:sz="0" w:space="0" w:color="auto"/>
                <w:left w:val="none" w:sz="0" w:space="0" w:color="auto"/>
                <w:bottom w:val="none" w:sz="0" w:space="0" w:color="auto"/>
                <w:right w:val="none" w:sz="0" w:space="0" w:color="auto"/>
              </w:divBdr>
              <w:divsChild>
                <w:div w:id="4557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1150">
          <w:marLeft w:val="0"/>
          <w:marRight w:val="0"/>
          <w:marTop w:val="0"/>
          <w:marBottom w:val="0"/>
          <w:divBdr>
            <w:top w:val="none" w:sz="0" w:space="0" w:color="auto"/>
            <w:left w:val="none" w:sz="0" w:space="0" w:color="auto"/>
            <w:bottom w:val="none" w:sz="0" w:space="0" w:color="auto"/>
            <w:right w:val="none" w:sz="0" w:space="0" w:color="auto"/>
          </w:divBdr>
          <w:divsChild>
            <w:div w:id="668101496">
              <w:marLeft w:val="0"/>
              <w:marRight w:val="0"/>
              <w:marTop w:val="0"/>
              <w:marBottom w:val="0"/>
              <w:divBdr>
                <w:top w:val="none" w:sz="0" w:space="0" w:color="auto"/>
                <w:left w:val="none" w:sz="0" w:space="0" w:color="auto"/>
                <w:bottom w:val="none" w:sz="0" w:space="0" w:color="auto"/>
                <w:right w:val="none" w:sz="0" w:space="0" w:color="auto"/>
              </w:divBdr>
              <w:divsChild>
                <w:div w:id="473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8338">
          <w:marLeft w:val="0"/>
          <w:marRight w:val="0"/>
          <w:marTop w:val="0"/>
          <w:marBottom w:val="0"/>
          <w:divBdr>
            <w:top w:val="none" w:sz="0" w:space="0" w:color="auto"/>
            <w:left w:val="none" w:sz="0" w:space="0" w:color="auto"/>
            <w:bottom w:val="none" w:sz="0" w:space="0" w:color="auto"/>
            <w:right w:val="none" w:sz="0" w:space="0" w:color="auto"/>
          </w:divBdr>
          <w:divsChild>
            <w:div w:id="952060092">
              <w:marLeft w:val="0"/>
              <w:marRight w:val="0"/>
              <w:marTop w:val="0"/>
              <w:marBottom w:val="0"/>
              <w:divBdr>
                <w:top w:val="none" w:sz="0" w:space="0" w:color="auto"/>
                <w:left w:val="none" w:sz="0" w:space="0" w:color="auto"/>
                <w:bottom w:val="none" w:sz="0" w:space="0" w:color="auto"/>
                <w:right w:val="none" w:sz="0" w:space="0" w:color="auto"/>
              </w:divBdr>
              <w:divsChild>
                <w:div w:id="11038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54450">
          <w:marLeft w:val="0"/>
          <w:marRight w:val="0"/>
          <w:marTop w:val="0"/>
          <w:marBottom w:val="0"/>
          <w:divBdr>
            <w:top w:val="none" w:sz="0" w:space="0" w:color="auto"/>
            <w:left w:val="none" w:sz="0" w:space="0" w:color="auto"/>
            <w:bottom w:val="none" w:sz="0" w:space="0" w:color="auto"/>
            <w:right w:val="none" w:sz="0" w:space="0" w:color="auto"/>
          </w:divBdr>
          <w:divsChild>
            <w:div w:id="453908811">
              <w:marLeft w:val="0"/>
              <w:marRight w:val="0"/>
              <w:marTop w:val="0"/>
              <w:marBottom w:val="0"/>
              <w:divBdr>
                <w:top w:val="none" w:sz="0" w:space="0" w:color="auto"/>
                <w:left w:val="none" w:sz="0" w:space="0" w:color="auto"/>
                <w:bottom w:val="none" w:sz="0" w:space="0" w:color="auto"/>
                <w:right w:val="none" w:sz="0" w:space="0" w:color="auto"/>
              </w:divBdr>
              <w:divsChild>
                <w:div w:id="5147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4058">
          <w:marLeft w:val="0"/>
          <w:marRight w:val="0"/>
          <w:marTop w:val="0"/>
          <w:marBottom w:val="0"/>
          <w:divBdr>
            <w:top w:val="none" w:sz="0" w:space="0" w:color="auto"/>
            <w:left w:val="none" w:sz="0" w:space="0" w:color="auto"/>
            <w:bottom w:val="none" w:sz="0" w:space="0" w:color="auto"/>
            <w:right w:val="none" w:sz="0" w:space="0" w:color="auto"/>
          </w:divBdr>
          <w:divsChild>
            <w:div w:id="187069324">
              <w:marLeft w:val="0"/>
              <w:marRight w:val="0"/>
              <w:marTop w:val="0"/>
              <w:marBottom w:val="0"/>
              <w:divBdr>
                <w:top w:val="none" w:sz="0" w:space="0" w:color="auto"/>
                <w:left w:val="none" w:sz="0" w:space="0" w:color="auto"/>
                <w:bottom w:val="none" w:sz="0" w:space="0" w:color="auto"/>
                <w:right w:val="none" w:sz="0" w:space="0" w:color="auto"/>
              </w:divBdr>
              <w:divsChild>
                <w:div w:id="13719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5954">
      <w:bodyDiv w:val="1"/>
      <w:marLeft w:val="0"/>
      <w:marRight w:val="0"/>
      <w:marTop w:val="0"/>
      <w:marBottom w:val="0"/>
      <w:divBdr>
        <w:top w:val="none" w:sz="0" w:space="0" w:color="auto"/>
        <w:left w:val="none" w:sz="0" w:space="0" w:color="auto"/>
        <w:bottom w:val="none" w:sz="0" w:space="0" w:color="auto"/>
        <w:right w:val="none" w:sz="0" w:space="0" w:color="auto"/>
      </w:divBdr>
      <w:divsChild>
        <w:div w:id="19360180">
          <w:marLeft w:val="0"/>
          <w:marRight w:val="0"/>
          <w:marTop w:val="0"/>
          <w:marBottom w:val="0"/>
          <w:divBdr>
            <w:top w:val="none" w:sz="0" w:space="0" w:color="auto"/>
            <w:left w:val="none" w:sz="0" w:space="0" w:color="auto"/>
            <w:bottom w:val="none" w:sz="0" w:space="0" w:color="auto"/>
            <w:right w:val="none" w:sz="0" w:space="0" w:color="auto"/>
          </w:divBdr>
          <w:divsChild>
            <w:div w:id="201138689">
              <w:marLeft w:val="0"/>
              <w:marRight w:val="0"/>
              <w:marTop w:val="0"/>
              <w:marBottom w:val="0"/>
              <w:divBdr>
                <w:top w:val="none" w:sz="0" w:space="0" w:color="auto"/>
                <w:left w:val="none" w:sz="0" w:space="0" w:color="auto"/>
                <w:bottom w:val="none" w:sz="0" w:space="0" w:color="auto"/>
                <w:right w:val="none" w:sz="0" w:space="0" w:color="auto"/>
              </w:divBdr>
              <w:divsChild>
                <w:div w:id="13147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3974">
          <w:marLeft w:val="0"/>
          <w:marRight w:val="0"/>
          <w:marTop w:val="0"/>
          <w:marBottom w:val="0"/>
          <w:divBdr>
            <w:top w:val="none" w:sz="0" w:space="0" w:color="auto"/>
            <w:left w:val="none" w:sz="0" w:space="0" w:color="auto"/>
            <w:bottom w:val="none" w:sz="0" w:space="0" w:color="auto"/>
            <w:right w:val="none" w:sz="0" w:space="0" w:color="auto"/>
          </w:divBdr>
          <w:divsChild>
            <w:div w:id="402873914">
              <w:marLeft w:val="0"/>
              <w:marRight w:val="0"/>
              <w:marTop w:val="0"/>
              <w:marBottom w:val="0"/>
              <w:divBdr>
                <w:top w:val="none" w:sz="0" w:space="0" w:color="auto"/>
                <w:left w:val="none" w:sz="0" w:space="0" w:color="auto"/>
                <w:bottom w:val="none" w:sz="0" w:space="0" w:color="auto"/>
                <w:right w:val="none" w:sz="0" w:space="0" w:color="auto"/>
              </w:divBdr>
              <w:divsChild>
                <w:div w:id="12583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1636">
          <w:marLeft w:val="0"/>
          <w:marRight w:val="0"/>
          <w:marTop w:val="0"/>
          <w:marBottom w:val="0"/>
          <w:divBdr>
            <w:top w:val="none" w:sz="0" w:space="0" w:color="auto"/>
            <w:left w:val="none" w:sz="0" w:space="0" w:color="auto"/>
            <w:bottom w:val="none" w:sz="0" w:space="0" w:color="auto"/>
            <w:right w:val="none" w:sz="0" w:space="0" w:color="auto"/>
          </w:divBdr>
          <w:divsChild>
            <w:div w:id="527060871">
              <w:marLeft w:val="0"/>
              <w:marRight w:val="0"/>
              <w:marTop w:val="0"/>
              <w:marBottom w:val="0"/>
              <w:divBdr>
                <w:top w:val="none" w:sz="0" w:space="0" w:color="auto"/>
                <w:left w:val="none" w:sz="0" w:space="0" w:color="auto"/>
                <w:bottom w:val="none" w:sz="0" w:space="0" w:color="auto"/>
                <w:right w:val="none" w:sz="0" w:space="0" w:color="auto"/>
              </w:divBdr>
              <w:divsChild>
                <w:div w:id="15258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7315">
          <w:marLeft w:val="0"/>
          <w:marRight w:val="0"/>
          <w:marTop w:val="0"/>
          <w:marBottom w:val="0"/>
          <w:divBdr>
            <w:top w:val="none" w:sz="0" w:space="0" w:color="auto"/>
            <w:left w:val="none" w:sz="0" w:space="0" w:color="auto"/>
            <w:bottom w:val="none" w:sz="0" w:space="0" w:color="auto"/>
            <w:right w:val="none" w:sz="0" w:space="0" w:color="auto"/>
          </w:divBdr>
          <w:divsChild>
            <w:div w:id="1746562124">
              <w:marLeft w:val="0"/>
              <w:marRight w:val="0"/>
              <w:marTop w:val="0"/>
              <w:marBottom w:val="0"/>
              <w:divBdr>
                <w:top w:val="none" w:sz="0" w:space="0" w:color="auto"/>
                <w:left w:val="none" w:sz="0" w:space="0" w:color="auto"/>
                <w:bottom w:val="none" w:sz="0" w:space="0" w:color="auto"/>
                <w:right w:val="none" w:sz="0" w:space="0" w:color="auto"/>
              </w:divBdr>
              <w:divsChild>
                <w:div w:id="481433965">
                  <w:marLeft w:val="0"/>
                  <w:marRight w:val="0"/>
                  <w:marTop w:val="0"/>
                  <w:marBottom w:val="0"/>
                  <w:divBdr>
                    <w:top w:val="none" w:sz="0" w:space="0" w:color="auto"/>
                    <w:left w:val="none" w:sz="0" w:space="0" w:color="auto"/>
                    <w:bottom w:val="none" w:sz="0" w:space="0" w:color="auto"/>
                    <w:right w:val="none" w:sz="0" w:space="0" w:color="auto"/>
                  </w:divBdr>
                </w:div>
              </w:divsChild>
            </w:div>
            <w:div w:id="1835880224">
              <w:marLeft w:val="0"/>
              <w:marRight w:val="0"/>
              <w:marTop w:val="0"/>
              <w:marBottom w:val="0"/>
              <w:divBdr>
                <w:top w:val="none" w:sz="0" w:space="0" w:color="auto"/>
                <w:left w:val="none" w:sz="0" w:space="0" w:color="auto"/>
                <w:bottom w:val="none" w:sz="0" w:space="0" w:color="auto"/>
                <w:right w:val="none" w:sz="0" w:space="0" w:color="auto"/>
              </w:divBdr>
              <w:divsChild>
                <w:div w:id="15026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1064">
          <w:marLeft w:val="0"/>
          <w:marRight w:val="0"/>
          <w:marTop w:val="0"/>
          <w:marBottom w:val="0"/>
          <w:divBdr>
            <w:top w:val="none" w:sz="0" w:space="0" w:color="auto"/>
            <w:left w:val="none" w:sz="0" w:space="0" w:color="auto"/>
            <w:bottom w:val="none" w:sz="0" w:space="0" w:color="auto"/>
            <w:right w:val="none" w:sz="0" w:space="0" w:color="auto"/>
          </w:divBdr>
          <w:divsChild>
            <w:div w:id="455873761">
              <w:marLeft w:val="0"/>
              <w:marRight w:val="0"/>
              <w:marTop w:val="0"/>
              <w:marBottom w:val="0"/>
              <w:divBdr>
                <w:top w:val="none" w:sz="0" w:space="0" w:color="auto"/>
                <w:left w:val="none" w:sz="0" w:space="0" w:color="auto"/>
                <w:bottom w:val="none" w:sz="0" w:space="0" w:color="auto"/>
                <w:right w:val="none" w:sz="0" w:space="0" w:color="auto"/>
              </w:divBdr>
              <w:divsChild>
                <w:div w:id="102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742">
          <w:marLeft w:val="0"/>
          <w:marRight w:val="0"/>
          <w:marTop w:val="0"/>
          <w:marBottom w:val="0"/>
          <w:divBdr>
            <w:top w:val="none" w:sz="0" w:space="0" w:color="auto"/>
            <w:left w:val="none" w:sz="0" w:space="0" w:color="auto"/>
            <w:bottom w:val="none" w:sz="0" w:space="0" w:color="auto"/>
            <w:right w:val="none" w:sz="0" w:space="0" w:color="auto"/>
          </w:divBdr>
          <w:divsChild>
            <w:div w:id="225848153">
              <w:marLeft w:val="0"/>
              <w:marRight w:val="0"/>
              <w:marTop w:val="0"/>
              <w:marBottom w:val="0"/>
              <w:divBdr>
                <w:top w:val="none" w:sz="0" w:space="0" w:color="auto"/>
                <w:left w:val="none" w:sz="0" w:space="0" w:color="auto"/>
                <w:bottom w:val="none" w:sz="0" w:space="0" w:color="auto"/>
                <w:right w:val="none" w:sz="0" w:space="0" w:color="auto"/>
              </w:divBdr>
              <w:divsChild>
                <w:div w:id="879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50">
          <w:marLeft w:val="0"/>
          <w:marRight w:val="0"/>
          <w:marTop w:val="0"/>
          <w:marBottom w:val="0"/>
          <w:divBdr>
            <w:top w:val="none" w:sz="0" w:space="0" w:color="auto"/>
            <w:left w:val="none" w:sz="0" w:space="0" w:color="auto"/>
            <w:bottom w:val="none" w:sz="0" w:space="0" w:color="auto"/>
            <w:right w:val="none" w:sz="0" w:space="0" w:color="auto"/>
          </w:divBdr>
          <w:divsChild>
            <w:div w:id="212931946">
              <w:marLeft w:val="0"/>
              <w:marRight w:val="0"/>
              <w:marTop w:val="0"/>
              <w:marBottom w:val="0"/>
              <w:divBdr>
                <w:top w:val="none" w:sz="0" w:space="0" w:color="auto"/>
                <w:left w:val="none" w:sz="0" w:space="0" w:color="auto"/>
                <w:bottom w:val="none" w:sz="0" w:space="0" w:color="auto"/>
                <w:right w:val="none" w:sz="0" w:space="0" w:color="auto"/>
              </w:divBdr>
              <w:divsChild>
                <w:div w:id="18641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390">
          <w:marLeft w:val="0"/>
          <w:marRight w:val="0"/>
          <w:marTop w:val="0"/>
          <w:marBottom w:val="0"/>
          <w:divBdr>
            <w:top w:val="none" w:sz="0" w:space="0" w:color="auto"/>
            <w:left w:val="none" w:sz="0" w:space="0" w:color="auto"/>
            <w:bottom w:val="none" w:sz="0" w:space="0" w:color="auto"/>
            <w:right w:val="none" w:sz="0" w:space="0" w:color="auto"/>
          </w:divBdr>
          <w:divsChild>
            <w:div w:id="40324199">
              <w:marLeft w:val="0"/>
              <w:marRight w:val="0"/>
              <w:marTop w:val="0"/>
              <w:marBottom w:val="0"/>
              <w:divBdr>
                <w:top w:val="none" w:sz="0" w:space="0" w:color="auto"/>
                <w:left w:val="none" w:sz="0" w:space="0" w:color="auto"/>
                <w:bottom w:val="none" w:sz="0" w:space="0" w:color="auto"/>
                <w:right w:val="none" w:sz="0" w:space="0" w:color="auto"/>
              </w:divBdr>
              <w:divsChild>
                <w:div w:id="2428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5229">
          <w:marLeft w:val="0"/>
          <w:marRight w:val="0"/>
          <w:marTop w:val="0"/>
          <w:marBottom w:val="0"/>
          <w:divBdr>
            <w:top w:val="none" w:sz="0" w:space="0" w:color="auto"/>
            <w:left w:val="none" w:sz="0" w:space="0" w:color="auto"/>
            <w:bottom w:val="none" w:sz="0" w:space="0" w:color="auto"/>
            <w:right w:val="none" w:sz="0" w:space="0" w:color="auto"/>
          </w:divBdr>
          <w:divsChild>
            <w:div w:id="1323004273">
              <w:marLeft w:val="0"/>
              <w:marRight w:val="0"/>
              <w:marTop w:val="0"/>
              <w:marBottom w:val="0"/>
              <w:divBdr>
                <w:top w:val="none" w:sz="0" w:space="0" w:color="auto"/>
                <w:left w:val="none" w:sz="0" w:space="0" w:color="auto"/>
                <w:bottom w:val="none" w:sz="0" w:space="0" w:color="auto"/>
                <w:right w:val="none" w:sz="0" w:space="0" w:color="auto"/>
              </w:divBdr>
              <w:divsChild>
                <w:div w:id="2273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6316">
          <w:marLeft w:val="0"/>
          <w:marRight w:val="0"/>
          <w:marTop w:val="0"/>
          <w:marBottom w:val="0"/>
          <w:divBdr>
            <w:top w:val="none" w:sz="0" w:space="0" w:color="auto"/>
            <w:left w:val="none" w:sz="0" w:space="0" w:color="auto"/>
            <w:bottom w:val="none" w:sz="0" w:space="0" w:color="auto"/>
            <w:right w:val="none" w:sz="0" w:space="0" w:color="auto"/>
          </w:divBdr>
          <w:divsChild>
            <w:div w:id="26369509">
              <w:marLeft w:val="0"/>
              <w:marRight w:val="0"/>
              <w:marTop w:val="0"/>
              <w:marBottom w:val="0"/>
              <w:divBdr>
                <w:top w:val="none" w:sz="0" w:space="0" w:color="auto"/>
                <w:left w:val="none" w:sz="0" w:space="0" w:color="auto"/>
                <w:bottom w:val="none" w:sz="0" w:space="0" w:color="auto"/>
                <w:right w:val="none" w:sz="0" w:space="0" w:color="auto"/>
              </w:divBdr>
              <w:divsChild>
                <w:div w:id="5330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7733">
          <w:marLeft w:val="0"/>
          <w:marRight w:val="0"/>
          <w:marTop w:val="0"/>
          <w:marBottom w:val="0"/>
          <w:divBdr>
            <w:top w:val="none" w:sz="0" w:space="0" w:color="auto"/>
            <w:left w:val="none" w:sz="0" w:space="0" w:color="auto"/>
            <w:bottom w:val="none" w:sz="0" w:space="0" w:color="auto"/>
            <w:right w:val="none" w:sz="0" w:space="0" w:color="auto"/>
          </w:divBdr>
          <w:divsChild>
            <w:div w:id="608661940">
              <w:marLeft w:val="0"/>
              <w:marRight w:val="0"/>
              <w:marTop w:val="0"/>
              <w:marBottom w:val="0"/>
              <w:divBdr>
                <w:top w:val="none" w:sz="0" w:space="0" w:color="auto"/>
                <w:left w:val="none" w:sz="0" w:space="0" w:color="auto"/>
                <w:bottom w:val="none" w:sz="0" w:space="0" w:color="auto"/>
                <w:right w:val="none" w:sz="0" w:space="0" w:color="auto"/>
              </w:divBdr>
              <w:divsChild>
                <w:div w:id="269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902">
          <w:marLeft w:val="0"/>
          <w:marRight w:val="0"/>
          <w:marTop w:val="0"/>
          <w:marBottom w:val="0"/>
          <w:divBdr>
            <w:top w:val="none" w:sz="0" w:space="0" w:color="auto"/>
            <w:left w:val="none" w:sz="0" w:space="0" w:color="auto"/>
            <w:bottom w:val="none" w:sz="0" w:space="0" w:color="auto"/>
            <w:right w:val="none" w:sz="0" w:space="0" w:color="auto"/>
          </w:divBdr>
          <w:divsChild>
            <w:div w:id="1135684086">
              <w:marLeft w:val="0"/>
              <w:marRight w:val="0"/>
              <w:marTop w:val="0"/>
              <w:marBottom w:val="0"/>
              <w:divBdr>
                <w:top w:val="none" w:sz="0" w:space="0" w:color="auto"/>
                <w:left w:val="none" w:sz="0" w:space="0" w:color="auto"/>
                <w:bottom w:val="none" w:sz="0" w:space="0" w:color="auto"/>
                <w:right w:val="none" w:sz="0" w:space="0" w:color="auto"/>
              </w:divBdr>
              <w:divsChild>
                <w:div w:id="5228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2293">
          <w:marLeft w:val="0"/>
          <w:marRight w:val="0"/>
          <w:marTop w:val="0"/>
          <w:marBottom w:val="0"/>
          <w:divBdr>
            <w:top w:val="none" w:sz="0" w:space="0" w:color="auto"/>
            <w:left w:val="none" w:sz="0" w:space="0" w:color="auto"/>
            <w:bottom w:val="none" w:sz="0" w:space="0" w:color="auto"/>
            <w:right w:val="none" w:sz="0" w:space="0" w:color="auto"/>
          </w:divBdr>
          <w:divsChild>
            <w:div w:id="1217350023">
              <w:marLeft w:val="0"/>
              <w:marRight w:val="0"/>
              <w:marTop w:val="0"/>
              <w:marBottom w:val="0"/>
              <w:divBdr>
                <w:top w:val="none" w:sz="0" w:space="0" w:color="auto"/>
                <w:left w:val="none" w:sz="0" w:space="0" w:color="auto"/>
                <w:bottom w:val="none" w:sz="0" w:space="0" w:color="auto"/>
                <w:right w:val="none" w:sz="0" w:space="0" w:color="auto"/>
              </w:divBdr>
              <w:divsChild>
                <w:div w:id="11371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3707">
          <w:marLeft w:val="0"/>
          <w:marRight w:val="0"/>
          <w:marTop w:val="0"/>
          <w:marBottom w:val="0"/>
          <w:divBdr>
            <w:top w:val="none" w:sz="0" w:space="0" w:color="auto"/>
            <w:left w:val="none" w:sz="0" w:space="0" w:color="auto"/>
            <w:bottom w:val="none" w:sz="0" w:space="0" w:color="auto"/>
            <w:right w:val="none" w:sz="0" w:space="0" w:color="auto"/>
          </w:divBdr>
          <w:divsChild>
            <w:div w:id="1008823886">
              <w:marLeft w:val="0"/>
              <w:marRight w:val="0"/>
              <w:marTop w:val="0"/>
              <w:marBottom w:val="0"/>
              <w:divBdr>
                <w:top w:val="none" w:sz="0" w:space="0" w:color="auto"/>
                <w:left w:val="none" w:sz="0" w:space="0" w:color="auto"/>
                <w:bottom w:val="none" w:sz="0" w:space="0" w:color="auto"/>
                <w:right w:val="none" w:sz="0" w:space="0" w:color="auto"/>
              </w:divBdr>
              <w:divsChild>
                <w:div w:id="929580949">
                  <w:marLeft w:val="0"/>
                  <w:marRight w:val="0"/>
                  <w:marTop w:val="0"/>
                  <w:marBottom w:val="0"/>
                  <w:divBdr>
                    <w:top w:val="none" w:sz="0" w:space="0" w:color="auto"/>
                    <w:left w:val="none" w:sz="0" w:space="0" w:color="auto"/>
                    <w:bottom w:val="none" w:sz="0" w:space="0" w:color="auto"/>
                    <w:right w:val="none" w:sz="0" w:space="0" w:color="auto"/>
                  </w:divBdr>
                </w:div>
              </w:divsChild>
            </w:div>
            <w:div w:id="1776713111">
              <w:marLeft w:val="0"/>
              <w:marRight w:val="0"/>
              <w:marTop w:val="0"/>
              <w:marBottom w:val="0"/>
              <w:divBdr>
                <w:top w:val="none" w:sz="0" w:space="0" w:color="auto"/>
                <w:left w:val="none" w:sz="0" w:space="0" w:color="auto"/>
                <w:bottom w:val="none" w:sz="0" w:space="0" w:color="auto"/>
                <w:right w:val="none" w:sz="0" w:space="0" w:color="auto"/>
              </w:divBdr>
              <w:divsChild>
                <w:div w:id="840120467">
                  <w:marLeft w:val="0"/>
                  <w:marRight w:val="0"/>
                  <w:marTop w:val="0"/>
                  <w:marBottom w:val="0"/>
                  <w:divBdr>
                    <w:top w:val="none" w:sz="0" w:space="0" w:color="auto"/>
                    <w:left w:val="none" w:sz="0" w:space="0" w:color="auto"/>
                    <w:bottom w:val="none" w:sz="0" w:space="0" w:color="auto"/>
                    <w:right w:val="none" w:sz="0" w:space="0" w:color="auto"/>
                  </w:divBdr>
                </w:div>
              </w:divsChild>
            </w:div>
            <w:div w:id="2040934551">
              <w:marLeft w:val="0"/>
              <w:marRight w:val="0"/>
              <w:marTop w:val="0"/>
              <w:marBottom w:val="0"/>
              <w:divBdr>
                <w:top w:val="none" w:sz="0" w:space="0" w:color="auto"/>
                <w:left w:val="none" w:sz="0" w:space="0" w:color="auto"/>
                <w:bottom w:val="none" w:sz="0" w:space="0" w:color="auto"/>
                <w:right w:val="none" w:sz="0" w:space="0" w:color="auto"/>
              </w:divBdr>
              <w:divsChild>
                <w:div w:id="21002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8704">
          <w:marLeft w:val="0"/>
          <w:marRight w:val="0"/>
          <w:marTop w:val="0"/>
          <w:marBottom w:val="0"/>
          <w:divBdr>
            <w:top w:val="none" w:sz="0" w:space="0" w:color="auto"/>
            <w:left w:val="none" w:sz="0" w:space="0" w:color="auto"/>
            <w:bottom w:val="none" w:sz="0" w:space="0" w:color="auto"/>
            <w:right w:val="none" w:sz="0" w:space="0" w:color="auto"/>
          </w:divBdr>
          <w:divsChild>
            <w:div w:id="1770084360">
              <w:marLeft w:val="0"/>
              <w:marRight w:val="0"/>
              <w:marTop w:val="0"/>
              <w:marBottom w:val="0"/>
              <w:divBdr>
                <w:top w:val="none" w:sz="0" w:space="0" w:color="auto"/>
                <w:left w:val="none" w:sz="0" w:space="0" w:color="auto"/>
                <w:bottom w:val="none" w:sz="0" w:space="0" w:color="auto"/>
                <w:right w:val="none" w:sz="0" w:space="0" w:color="auto"/>
              </w:divBdr>
              <w:divsChild>
                <w:div w:id="10101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271">
          <w:marLeft w:val="0"/>
          <w:marRight w:val="0"/>
          <w:marTop w:val="0"/>
          <w:marBottom w:val="0"/>
          <w:divBdr>
            <w:top w:val="none" w:sz="0" w:space="0" w:color="auto"/>
            <w:left w:val="none" w:sz="0" w:space="0" w:color="auto"/>
            <w:bottom w:val="none" w:sz="0" w:space="0" w:color="auto"/>
            <w:right w:val="none" w:sz="0" w:space="0" w:color="auto"/>
          </w:divBdr>
          <w:divsChild>
            <w:div w:id="1855336287">
              <w:marLeft w:val="0"/>
              <w:marRight w:val="0"/>
              <w:marTop w:val="0"/>
              <w:marBottom w:val="0"/>
              <w:divBdr>
                <w:top w:val="none" w:sz="0" w:space="0" w:color="auto"/>
                <w:left w:val="none" w:sz="0" w:space="0" w:color="auto"/>
                <w:bottom w:val="none" w:sz="0" w:space="0" w:color="auto"/>
                <w:right w:val="none" w:sz="0" w:space="0" w:color="auto"/>
              </w:divBdr>
              <w:divsChild>
                <w:div w:id="20463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4283">
          <w:marLeft w:val="0"/>
          <w:marRight w:val="0"/>
          <w:marTop w:val="0"/>
          <w:marBottom w:val="0"/>
          <w:divBdr>
            <w:top w:val="none" w:sz="0" w:space="0" w:color="auto"/>
            <w:left w:val="none" w:sz="0" w:space="0" w:color="auto"/>
            <w:bottom w:val="none" w:sz="0" w:space="0" w:color="auto"/>
            <w:right w:val="none" w:sz="0" w:space="0" w:color="auto"/>
          </w:divBdr>
          <w:divsChild>
            <w:div w:id="901982904">
              <w:marLeft w:val="0"/>
              <w:marRight w:val="0"/>
              <w:marTop w:val="0"/>
              <w:marBottom w:val="0"/>
              <w:divBdr>
                <w:top w:val="none" w:sz="0" w:space="0" w:color="auto"/>
                <w:left w:val="none" w:sz="0" w:space="0" w:color="auto"/>
                <w:bottom w:val="none" w:sz="0" w:space="0" w:color="auto"/>
                <w:right w:val="none" w:sz="0" w:space="0" w:color="auto"/>
              </w:divBdr>
              <w:divsChild>
                <w:div w:id="6473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2374">
          <w:marLeft w:val="0"/>
          <w:marRight w:val="0"/>
          <w:marTop w:val="0"/>
          <w:marBottom w:val="0"/>
          <w:divBdr>
            <w:top w:val="none" w:sz="0" w:space="0" w:color="auto"/>
            <w:left w:val="none" w:sz="0" w:space="0" w:color="auto"/>
            <w:bottom w:val="none" w:sz="0" w:space="0" w:color="auto"/>
            <w:right w:val="none" w:sz="0" w:space="0" w:color="auto"/>
          </w:divBdr>
          <w:divsChild>
            <w:div w:id="589239970">
              <w:marLeft w:val="0"/>
              <w:marRight w:val="0"/>
              <w:marTop w:val="0"/>
              <w:marBottom w:val="0"/>
              <w:divBdr>
                <w:top w:val="none" w:sz="0" w:space="0" w:color="auto"/>
                <w:left w:val="none" w:sz="0" w:space="0" w:color="auto"/>
                <w:bottom w:val="none" w:sz="0" w:space="0" w:color="auto"/>
                <w:right w:val="none" w:sz="0" w:space="0" w:color="auto"/>
              </w:divBdr>
              <w:divsChild>
                <w:div w:id="11352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3541">
          <w:marLeft w:val="0"/>
          <w:marRight w:val="0"/>
          <w:marTop w:val="0"/>
          <w:marBottom w:val="0"/>
          <w:divBdr>
            <w:top w:val="none" w:sz="0" w:space="0" w:color="auto"/>
            <w:left w:val="none" w:sz="0" w:space="0" w:color="auto"/>
            <w:bottom w:val="none" w:sz="0" w:space="0" w:color="auto"/>
            <w:right w:val="none" w:sz="0" w:space="0" w:color="auto"/>
          </w:divBdr>
          <w:divsChild>
            <w:div w:id="1307851889">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5672">
          <w:marLeft w:val="0"/>
          <w:marRight w:val="0"/>
          <w:marTop w:val="0"/>
          <w:marBottom w:val="0"/>
          <w:divBdr>
            <w:top w:val="none" w:sz="0" w:space="0" w:color="auto"/>
            <w:left w:val="none" w:sz="0" w:space="0" w:color="auto"/>
            <w:bottom w:val="none" w:sz="0" w:space="0" w:color="auto"/>
            <w:right w:val="none" w:sz="0" w:space="0" w:color="auto"/>
          </w:divBdr>
          <w:divsChild>
            <w:div w:id="1606378333">
              <w:marLeft w:val="0"/>
              <w:marRight w:val="0"/>
              <w:marTop w:val="0"/>
              <w:marBottom w:val="0"/>
              <w:divBdr>
                <w:top w:val="none" w:sz="0" w:space="0" w:color="auto"/>
                <w:left w:val="none" w:sz="0" w:space="0" w:color="auto"/>
                <w:bottom w:val="none" w:sz="0" w:space="0" w:color="auto"/>
                <w:right w:val="none" w:sz="0" w:space="0" w:color="auto"/>
              </w:divBdr>
              <w:divsChild>
                <w:div w:id="1218513329">
                  <w:marLeft w:val="0"/>
                  <w:marRight w:val="0"/>
                  <w:marTop w:val="0"/>
                  <w:marBottom w:val="0"/>
                  <w:divBdr>
                    <w:top w:val="none" w:sz="0" w:space="0" w:color="auto"/>
                    <w:left w:val="none" w:sz="0" w:space="0" w:color="auto"/>
                    <w:bottom w:val="none" w:sz="0" w:space="0" w:color="auto"/>
                    <w:right w:val="none" w:sz="0" w:space="0" w:color="auto"/>
                  </w:divBdr>
                </w:div>
              </w:divsChild>
            </w:div>
            <w:div w:id="2099592949">
              <w:marLeft w:val="0"/>
              <w:marRight w:val="0"/>
              <w:marTop w:val="0"/>
              <w:marBottom w:val="0"/>
              <w:divBdr>
                <w:top w:val="none" w:sz="0" w:space="0" w:color="auto"/>
                <w:left w:val="none" w:sz="0" w:space="0" w:color="auto"/>
                <w:bottom w:val="none" w:sz="0" w:space="0" w:color="auto"/>
                <w:right w:val="none" w:sz="0" w:space="0" w:color="auto"/>
              </w:divBdr>
              <w:divsChild>
                <w:div w:id="3941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784">
          <w:marLeft w:val="0"/>
          <w:marRight w:val="0"/>
          <w:marTop w:val="0"/>
          <w:marBottom w:val="0"/>
          <w:divBdr>
            <w:top w:val="none" w:sz="0" w:space="0" w:color="auto"/>
            <w:left w:val="none" w:sz="0" w:space="0" w:color="auto"/>
            <w:bottom w:val="none" w:sz="0" w:space="0" w:color="auto"/>
            <w:right w:val="none" w:sz="0" w:space="0" w:color="auto"/>
          </w:divBdr>
          <w:divsChild>
            <w:div w:id="1485004656">
              <w:marLeft w:val="0"/>
              <w:marRight w:val="0"/>
              <w:marTop w:val="0"/>
              <w:marBottom w:val="0"/>
              <w:divBdr>
                <w:top w:val="none" w:sz="0" w:space="0" w:color="auto"/>
                <w:left w:val="none" w:sz="0" w:space="0" w:color="auto"/>
                <w:bottom w:val="none" w:sz="0" w:space="0" w:color="auto"/>
                <w:right w:val="none" w:sz="0" w:space="0" w:color="auto"/>
              </w:divBdr>
              <w:divsChild>
                <w:div w:id="19204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5690">
          <w:marLeft w:val="0"/>
          <w:marRight w:val="0"/>
          <w:marTop w:val="0"/>
          <w:marBottom w:val="0"/>
          <w:divBdr>
            <w:top w:val="none" w:sz="0" w:space="0" w:color="auto"/>
            <w:left w:val="none" w:sz="0" w:space="0" w:color="auto"/>
            <w:bottom w:val="none" w:sz="0" w:space="0" w:color="auto"/>
            <w:right w:val="none" w:sz="0" w:space="0" w:color="auto"/>
          </w:divBdr>
          <w:divsChild>
            <w:div w:id="2032221291">
              <w:marLeft w:val="0"/>
              <w:marRight w:val="0"/>
              <w:marTop w:val="0"/>
              <w:marBottom w:val="0"/>
              <w:divBdr>
                <w:top w:val="none" w:sz="0" w:space="0" w:color="auto"/>
                <w:left w:val="none" w:sz="0" w:space="0" w:color="auto"/>
                <w:bottom w:val="none" w:sz="0" w:space="0" w:color="auto"/>
                <w:right w:val="none" w:sz="0" w:space="0" w:color="auto"/>
              </w:divBdr>
              <w:divsChild>
                <w:div w:id="20473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7161">
          <w:marLeft w:val="0"/>
          <w:marRight w:val="0"/>
          <w:marTop w:val="0"/>
          <w:marBottom w:val="0"/>
          <w:divBdr>
            <w:top w:val="none" w:sz="0" w:space="0" w:color="auto"/>
            <w:left w:val="none" w:sz="0" w:space="0" w:color="auto"/>
            <w:bottom w:val="none" w:sz="0" w:space="0" w:color="auto"/>
            <w:right w:val="none" w:sz="0" w:space="0" w:color="auto"/>
          </w:divBdr>
          <w:divsChild>
            <w:div w:id="1184202377">
              <w:marLeft w:val="0"/>
              <w:marRight w:val="0"/>
              <w:marTop w:val="0"/>
              <w:marBottom w:val="0"/>
              <w:divBdr>
                <w:top w:val="none" w:sz="0" w:space="0" w:color="auto"/>
                <w:left w:val="none" w:sz="0" w:space="0" w:color="auto"/>
                <w:bottom w:val="none" w:sz="0" w:space="0" w:color="auto"/>
                <w:right w:val="none" w:sz="0" w:space="0" w:color="auto"/>
              </w:divBdr>
              <w:divsChild>
                <w:div w:id="14277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448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5603177">
      <w:bodyDiv w:val="1"/>
      <w:marLeft w:val="0"/>
      <w:marRight w:val="0"/>
      <w:marTop w:val="0"/>
      <w:marBottom w:val="0"/>
      <w:divBdr>
        <w:top w:val="none" w:sz="0" w:space="0" w:color="auto"/>
        <w:left w:val="none" w:sz="0" w:space="0" w:color="auto"/>
        <w:bottom w:val="none" w:sz="0" w:space="0" w:color="auto"/>
        <w:right w:val="none" w:sz="0" w:space="0" w:color="auto"/>
      </w:divBdr>
    </w:div>
    <w:div w:id="1231041076">
      <w:bodyDiv w:val="1"/>
      <w:marLeft w:val="0"/>
      <w:marRight w:val="0"/>
      <w:marTop w:val="0"/>
      <w:marBottom w:val="0"/>
      <w:divBdr>
        <w:top w:val="none" w:sz="0" w:space="0" w:color="auto"/>
        <w:left w:val="none" w:sz="0" w:space="0" w:color="auto"/>
        <w:bottom w:val="none" w:sz="0" w:space="0" w:color="auto"/>
        <w:right w:val="none" w:sz="0" w:space="0" w:color="auto"/>
      </w:divBdr>
      <w:divsChild>
        <w:div w:id="253713658">
          <w:marLeft w:val="0"/>
          <w:marRight w:val="0"/>
          <w:marTop w:val="0"/>
          <w:marBottom w:val="0"/>
          <w:divBdr>
            <w:top w:val="none" w:sz="0" w:space="0" w:color="auto"/>
            <w:left w:val="none" w:sz="0" w:space="0" w:color="auto"/>
            <w:bottom w:val="none" w:sz="0" w:space="0" w:color="auto"/>
            <w:right w:val="none" w:sz="0" w:space="0" w:color="auto"/>
          </w:divBdr>
          <w:divsChild>
            <w:div w:id="1047417679">
              <w:marLeft w:val="0"/>
              <w:marRight w:val="0"/>
              <w:marTop w:val="0"/>
              <w:marBottom w:val="0"/>
              <w:divBdr>
                <w:top w:val="none" w:sz="0" w:space="0" w:color="auto"/>
                <w:left w:val="none" w:sz="0" w:space="0" w:color="auto"/>
                <w:bottom w:val="none" w:sz="0" w:space="0" w:color="auto"/>
                <w:right w:val="none" w:sz="0" w:space="0" w:color="auto"/>
              </w:divBdr>
              <w:divsChild>
                <w:div w:id="14245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7695">
          <w:marLeft w:val="0"/>
          <w:marRight w:val="0"/>
          <w:marTop w:val="0"/>
          <w:marBottom w:val="0"/>
          <w:divBdr>
            <w:top w:val="none" w:sz="0" w:space="0" w:color="auto"/>
            <w:left w:val="none" w:sz="0" w:space="0" w:color="auto"/>
            <w:bottom w:val="none" w:sz="0" w:space="0" w:color="auto"/>
            <w:right w:val="none" w:sz="0" w:space="0" w:color="auto"/>
          </w:divBdr>
          <w:divsChild>
            <w:div w:id="861281185">
              <w:marLeft w:val="0"/>
              <w:marRight w:val="0"/>
              <w:marTop w:val="0"/>
              <w:marBottom w:val="0"/>
              <w:divBdr>
                <w:top w:val="none" w:sz="0" w:space="0" w:color="auto"/>
                <w:left w:val="none" w:sz="0" w:space="0" w:color="auto"/>
                <w:bottom w:val="none" w:sz="0" w:space="0" w:color="auto"/>
                <w:right w:val="none" w:sz="0" w:space="0" w:color="auto"/>
              </w:divBdr>
              <w:divsChild>
                <w:div w:id="19312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907">
          <w:marLeft w:val="0"/>
          <w:marRight w:val="0"/>
          <w:marTop w:val="0"/>
          <w:marBottom w:val="0"/>
          <w:divBdr>
            <w:top w:val="none" w:sz="0" w:space="0" w:color="auto"/>
            <w:left w:val="none" w:sz="0" w:space="0" w:color="auto"/>
            <w:bottom w:val="none" w:sz="0" w:space="0" w:color="auto"/>
            <w:right w:val="none" w:sz="0" w:space="0" w:color="auto"/>
          </w:divBdr>
          <w:divsChild>
            <w:div w:id="1474133265">
              <w:marLeft w:val="0"/>
              <w:marRight w:val="0"/>
              <w:marTop w:val="0"/>
              <w:marBottom w:val="0"/>
              <w:divBdr>
                <w:top w:val="none" w:sz="0" w:space="0" w:color="auto"/>
                <w:left w:val="none" w:sz="0" w:space="0" w:color="auto"/>
                <w:bottom w:val="none" w:sz="0" w:space="0" w:color="auto"/>
                <w:right w:val="none" w:sz="0" w:space="0" w:color="auto"/>
              </w:divBdr>
              <w:divsChild>
                <w:div w:id="12261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2474">
          <w:marLeft w:val="0"/>
          <w:marRight w:val="0"/>
          <w:marTop w:val="0"/>
          <w:marBottom w:val="0"/>
          <w:divBdr>
            <w:top w:val="none" w:sz="0" w:space="0" w:color="auto"/>
            <w:left w:val="none" w:sz="0" w:space="0" w:color="auto"/>
            <w:bottom w:val="none" w:sz="0" w:space="0" w:color="auto"/>
            <w:right w:val="none" w:sz="0" w:space="0" w:color="auto"/>
          </w:divBdr>
          <w:divsChild>
            <w:div w:id="795682609">
              <w:marLeft w:val="0"/>
              <w:marRight w:val="0"/>
              <w:marTop w:val="0"/>
              <w:marBottom w:val="0"/>
              <w:divBdr>
                <w:top w:val="none" w:sz="0" w:space="0" w:color="auto"/>
                <w:left w:val="none" w:sz="0" w:space="0" w:color="auto"/>
                <w:bottom w:val="none" w:sz="0" w:space="0" w:color="auto"/>
                <w:right w:val="none" w:sz="0" w:space="0" w:color="auto"/>
              </w:divBdr>
              <w:divsChild>
                <w:div w:id="419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7791">
          <w:marLeft w:val="0"/>
          <w:marRight w:val="0"/>
          <w:marTop w:val="0"/>
          <w:marBottom w:val="0"/>
          <w:divBdr>
            <w:top w:val="none" w:sz="0" w:space="0" w:color="auto"/>
            <w:left w:val="none" w:sz="0" w:space="0" w:color="auto"/>
            <w:bottom w:val="none" w:sz="0" w:space="0" w:color="auto"/>
            <w:right w:val="none" w:sz="0" w:space="0" w:color="auto"/>
          </w:divBdr>
          <w:divsChild>
            <w:div w:id="1247350766">
              <w:marLeft w:val="0"/>
              <w:marRight w:val="0"/>
              <w:marTop w:val="0"/>
              <w:marBottom w:val="0"/>
              <w:divBdr>
                <w:top w:val="none" w:sz="0" w:space="0" w:color="auto"/>
                <w:left w:val="none" w:sz="0" w:space="0" w:color="auto"/>
                <w:bottom w:val="none" w:sz="0" w:space="0" w:color="auto"/>
                <w:right w:val="none" w:sz="0" w:space="0" w:color="auto"/>
              </w:divBdr>
              <w:divsChild>
                <w:div w:id="1951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9274">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sChild>
                <w:div w:id="5912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9348">
          <w:marLeft w:val="0"/>
          <w:marRight w:val="0"/>
          <w:marTop w:val="0"/>
          <w:marBottom w:val="0"/>
          <w:divBdr>
            <w:top w:val="none" w:sz="0" w:space="0" w:color="auto"/>
            <w:left w:val="none" w:sz="0" w:space="0" w:color="auto"/>
            <w:bottom w:val="none" w:sz="0" w:space="0" w:color="auto"/>
            <w:right w:val="none" w:sz="0" w:space="0" w:color="auto"/>
          </w:divBdr>
          <w:divsChild>
            <w:div w:id="360597667">
              <w:marLeft w:val="0"/>
              <w:marRight w:val="0"/>
              <w:marTop w:val="0"/>
              <w:marBottom w:val="0"/>
              <w:divBdr>
                <w:top w:val="none" w:sz="0" w:space="0" w:color="auto"/>
                <w:left w:val="none" w:sz="0" w:space="0" w:color="auto"/>
                <w:bottom w:val="none" w:sz="0" w:space="0" w:color="auto"/>
                <w:right w:val="none" w:sz="0" w:space="0" w:color="auto"/>
              </w:divBdr>
              <w:divsChild>
                <w:div w:id="537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352">
          <w:marLeft w:val="0"/>
          <w:marRight w:val="0"/>
          <w:marTop w:val="0"/>
          <w:marBottom w:val="0"/>
          <w:divBdr>
            <w:top w:val="none" w:sz="0" w:space="0" w:color="auto"/>
            <w:left w:val="none" w:sz="0" w:space="0" w:color="auto"/>
            <w:bottom w:val="none" w:sz="0" w:space="0" w:color="auto"/>
            <w:right w:val="none" w:sz="0" w:space="0" w:color="auto"/>
          </w:divBdr>
          <w:divsChild>
            <w:div w:id="566654022">
              <w:marLeft w:val="0"/>
              <w:marRight w:val="0"/>
              <w:marTop w:val="0"/>
              <w:marBottom w:val="0"/>
              <w:divBdr>
                <w:top w:val="none" w:sz="0" w:space="0" w:color="auto"/>
                <w:left w:val="none" w:sz="0" w:space="0" w:color="auto"/>
                <w:bottom w:val="none" w:sz="0" w:space="0" w:color="auto"/>
                <w:right w:val="none" w:sz="0" w:space="0" w:color="auto"/>
              </w:divBdr>
              <w:divsChild>
                <w:div w:id="414211990">
                  <w:marLeft w:val="0"/>
                  <w:marRight w:val="0"/>
                  <w:marTop w:val="0"/>
                  <w:marBottom w:val="0"/>
                  <w:divBdr>
                    <w:top w:val="none" w:sz="0" w:space="0" w:color="auto"/>
                    <w:left w:val="none" w:sz="0" w:space="0" w:color="auto"/>
                    <w:bottom w:val="none" w:sz="0" w:space="0" w:color="auto"/>
                    <w:right w:val="none" w:sz="0" w:space="0" w:color="auto"/>
                  </w:divBdr>
                </w:div>
              </w:divsChild>
            </w:div>
            <w:div w:id="2032099656">
              <w:marLeft w:val="0"/>
              <w:marRight w:val="0"/>
              <w:marTop w:val="0"/>
              <w:marBottom w:val="0"/>
              <w:divBdr>
                <w:top w:val="none" w:sz="0" w:space="0" w:color="auto"/>
                <w:left w:val="none" w:sz="0" w:space="0" w:color="auto"/>
                <w:bottom w:val="none" w:sz="0" w:space="0" w:color="auto"/>
                <w:right w:val="none" w:sz="0" w:space="0" w:color="auto"/>
              </w:divBdr>
              <w:divsChild>
                <w:div w:id="12001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8211">
          <w:marLeft w:val="0"/>
          <w:marRight w:val="0"/>
          <w:marTop w:val="0"/>
          <w:marBottom w:val="0"/>
          <w:divBdr>
            <w:top w:val="none" w:sz="0" w:space="0" w:color="auto"/>
            <w:left w:val="none" w:sz="0" w:space="0" w:color="auto"/>
            <w:bottom w:val="none" w:sz="0" w:space="0" w:color="auto"/>
            <w:right w:val="none" w:sz="0" w:space="0" w:color="auto"/>
          </w:divBdr>
          <w:divsChild>
            <w:div w:id="1951619002">
              <w:marLeft w:val="0"/>
              <w:marRight w:val="0"/>
              <w:marTop w:val="0"/>
              <w:marBottom w:val="0"/>
              <w:divBdr>
                <w:top w:val="none" w:sz="0" w:space="0" w:color="auto"/>
                <w:left w:val="none" w:sz="0" w:space="0" w:color="auto"/>
                <w:bottom w:val="none" w:sz="0" w:space="0" w:color="auto"/>
                <w:right w:val="none" w:sz="0" w:space="0" w:color="auto"/>
              </w:divBdr>
              <w:divsChild>
                <w:div w:id="17224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3532">
          <w:marLeft w:val="0"/>
          <w:marRight w:val="0"/>
          <w:marTop w:val="0"/>
          <w:marBottom w:val="0"/>
          <w:divBdr>
            <w:top w:val="none" w:sz="0" w:space="0" w:color="auto"/>
            <w:left w:val="none" w:sz="0" w:space="0" w:color="auto"/>
            <w:bottom w:val="none" w:sz="0" w:space="0" w:color="auto"/>
            <w:right w:val="none" w:sz="0" w:space="0" w:color="auto"/>
          </w:divBdr>
          <w:divsChild>
            <w:div w:id="327099849">
              <w:marLeft w:val="0"/>
              <w:marRight w:val="0"/>
              <w:marTop w:val="0"/>
              <w:marBottom w:val="0"/>
              <w:divBdr>
                <w:top w:val="none" w:sz="0" w:space="0" w:color="auto"/>
                <w:left w:val="none" w:sz="0" w:space="0" w:color="auto"/>
                <w:bottom w:val="none" w:sz="0" w:space="0" w:color="auto"/>
                <w:right w:val="none" w:sz="0" w:space="0" w:color="auto"/>
              </w:divBdr>
              <w:divsChild>
                <w:div w:id="4984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8213">
          <w:marLeft w:val="0"/>
          <w:marRight w:val="0"/>
          <w:marTop w:val="0"/>
          <w:marBottom w:val="0"/>
          <w:divBdr>
            <w:top w:val="none" w:sz="0" w:space="0" w:color="auto"/>
            <w:left w:val="none" w:sz="0" w:space="0" w:color="auto"/>
            <w:bottom w:val="none" w:sz="0" w:space="0" w:color="auto"/>
            <w:right w:val="none" w:sz="0" w:space="0" w:color="auto"/>
          </w:divBdr>
          <w:divsChild>
            <w:div w:id="790396881">
              <w:marLeft w:val="0"/>
              <w:marRight w:val="0"/>
              <w:marTop w:val="0"/>
              <w:marBottom w:val="0"/>
              <w:divBdr>
                <w:top w:val="none" w:sz="0" w:space="0" w:color="auto"/>
                <w:left w:val="none" w:sz="0" w:space="0" w:color="auto"/>
                <w:bottom w:val="none" w:sz="0" w:space="0" w:color="auto"/>
                <w:right w:val="none" w:sz="0" w:space="0" w:color="auto"/>
              </w:divBdr>
              <w:divsChild>
                <w:div w:id="20439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7524">
          <w:marLeft w:val="0"/>
          <w:marRight w:val="0"/>
          <w:marTop w:val="0"/>
          <w:marBottom w:val="0"/>
          <w:divBdr>
            <w:top w:val="none" w:sz="0" w:space="0" w:color="auto"/>
            <w:left w:val="none" w:sz="0" w:space="0" w:color="auto"/>
            <w:bottom w:val="none" w:sz="0" w:space="0" w:color="auto"/>
            <w:right w:val="none" w:sz="0" w:space="0" w:color="auto"/>
          </w:divBdr>
          <w:divsChild>
            <w:div w:id="1393192639">
              <w:marLeft w:val="0"/>
              <w:marRight w:val="0"/>
              <w:marTop w:val="0"/>
              <w:marBottom w:val="0"/>
              <w:divBdr>
                <w:top w:val="none" w:sz="0" w:space="0" w:color="auto"/>
                <w:left w:val="none" w:sz="0" w:space="0" w:color="auto"/>
                <w:bottom w:val="none" w:sz="0" w:space="0" w:color="auto"/>
                <w:right w:val="none" w:sz="0" w:space="0" w:color="auto"/>
              </w:divBdr>
              <w:divsChild>
                <w:div w:id="7942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2619">
          <w:marLeft w:val="0"/>
          <w:marRight w:val="0"/>
          <w:marTop w:val="0"/>
          <w:marBottom w:val="0"/>
          <w:divBdr>
            <w:top w:val="none" w:sz="0" w:space="0" w:color="auto"/>
            <w:left w:val="none" w:sz="0" w:space="0" w:color="auto"/>
            <w:bottom w:val="none" w:sz="0" w:space="0" w:color="auto"/>
            <w:right w:val="none" w:sz="0" w:space="0" w:color="auto"/>
          </w:divBdr>
          <w:divsChild>
            <w:div w:id="674266019">
              <w:marLeft w:val="0"/>
              <w:marRight w:val="0"/>
              <w:marTop w:val="0"/>
              <w:marBottom w:val="0"/>
              <w:divBdr>
                <w:top w:val="none" w:sz="0" w:space="0" w:color="auto"/>
                <w:left w:val="none" w:sz="0" w:space="0" w:color="auto"/>
                <w:bottom w:val="none" w:sz="0" w:space="0" w:color="auto"/>
                <w:right w:val="none" w:sz="0" w:space="0" w:color="auto"/>
              </w:divBdr>
              <w:divsChild>
                <w:div w:id="595137879">
                  <w:marLeft w:val="0"/>
                  <w:marRight w:val="0"/>
                  <w:marTop w:val="0"/>
                  <w:marBottom w:val="0"/>
                  <w:divBdr>
                    <w:top w:val="none" w:sz="0" w:space="0" w:color="auto"/>
                    <w:left w:val="none" w:sz="0" w:space="0" w:color="auto"/>
                    <w:bottom w:val="none" w:sz="0" w:space="0" w:color="auto"/>
                    <w:right w:val="none" w:sz="0" w:space="0" w:color="auto"/>
                  </w:divBdr>
                </w:div>
              </w:divsChild>
            </w:div>
            <w:div w:id="1884517185">
              <w:marLeft w:val="0"/>
              <w:marRight w:val="0"/>
              <w:marTop w:val="0"/>
              <w:marBottom w:val="0"/>
              <w:divBdr>
                <w:top w:val="none" w:sz="0" w:space="0" w:color="auto"/>
                <w:left w:val="none" w:sz="0" w:space="0" w:color="auto"/>
                <w:bottom w:val="none" w:sz="0" w:space="0" w:color="auto"/>
                <w:right w:val="none" w:sz="0" w:space="0" w:color="auto"/>
              </w:divBdr>
              <w:divsChild>
                <w:div w:id="11750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0495">
          <w:marLeft w:val="0"/>
          <w:marRight w:val="0"/>
          <w:marTop w:val="0"/>
          <w:marBottom w:val="0"/>
          <w:divBdr>
            <w:top w:val="none" w:sz="0" w:space="0" w:color="auto"/>
            <w:left w:val="none" w:sz="0" w:space="0" w:color="auto"/>
            <w:bottom w:val="none" w:sz="0" w:space="0" w:color="auto"/>
            <w:right w:val="none" w:sz="0" w:space="0" w:color="auto"/>
          </w:divBdr>
          <w:divsChild>
            <w:div w:id="1650672146">
              <w:marLeft w:val="0"/>
              <w:marRight w:val="0"/>
              <w:marTop w:val="0"/>
              <w:marBottom w:val="0"/>
              <w:divBdr>
                <w:top w:val="none" w:sz="0" w:space="0" w:color="auto"/>
                <w:left w:val="none" w:sz="0" w:space="0" w:color="auto"/>
                <w:bottom w:val="none" w:sz="0" w:space="0" w:color="auto"/>
                <w:right w:val="none" w:sz="0" w:space="0" w:color="auto"/>
              </w:divBdr>
              <w:divsChild>
                <w:div w:id="587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5261">
          <w:marLeft w:val="0"/>
          <w:marRight w:val="0"/>
          <w:marTop w:val="0"/>
          <w:marBottom w:val="0"/>
          <w:divBdr>
            <w:top w:val="none" w:sz="0" w:space="0" w:color="auto"/>
            <w:left w:val="none" w:sz="0" w:space="0" w:color="auto"/>
            <w:bottom w:val="none" w:sz="0" w:space="0" w:color="auto"/>
            <w:right w:val="none" w:sz="0" w:space="0" w:color="auto"/>
          </w:divBdr>
          <w:divsChild>
            <w:div w:id="355161129">
              <w:marLeft w:val="0"/>
              <w:marRight w:val="0"/>
              <w:marTop w:val="0"/>
              <w:marBottom w:val="0"/>
              <w:divBdr>
                <w:top w:val="none" w:sz="0" w:space="0" w:color="auto"/>
                <w:left w:val="none" w:sz="0" w:space="0" w:color="auto"/>
                <w:bottom w:val="none" w:sz="0" w:space="0" w:color="auto"/>
                <w:right w:val="none" w:sz="0" w:space="0" w:color="auto"/>
              </w:divBdr>
              <w:divsChild>
                <w:div w:id="8610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5943">
          <w:marLeft w:val="0"/>
          <w:marRight w:val="0"/>
          <w:marTop w:val="0"/>
          <w:marBottom w:val="0"/>
          <w:divBdr>
            <w:top w:val="none" w:sz="0" w:space="0" w:color="auto"/>
            <w:left w:val="none" w:sz="0" w:space="0" w:color="auto"/>
            <w:bottom w:val="none" w:sz="0" w:space="0" w:color="auto"/>
            <w:right w:val="none" w:sz="0" w:space="0" w:color="auto"/>
          </w:divBdr>
          <w:divsChild>
            <w:div w:id="467862891">
              <w:marLeft w:val="0"/>
              <w:marRight w:val="0"/>
              <w:marTop w:val="0"/>
              <w:marBottom w:val="0"/>
              <w:divBdr>
                <w:top w:val="none" w:sz="0" w:space="0" w:color="auto"/>
                <w:left w:val="none" w:sz="0" w:space="0" w:color="auto"/>
                <w:bottom w:val="none" w:sz="0" w:space="0" w:color="auto"/>
                <w:right w:val="none" w:sz="0" w:space="0" w:color="auto"/>
              </w:divBdr>
              <w:divsChild>
                <w:div w:id="5656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3502">
          <w:marLeft w:val="0"/>
          <w:marRight w:val="0"/>
          <w:marTop w:val="0"/>
          <w:marBottom w:val="0"/>
          <w:divBdr>
            <w:top w:val="none" w:sz="0" w:space="0" w:color="auto"/>
            <w:left w:val="none" w:sz="0" w:space="0" w:color="auto"/>
            <w:bottom w:val="none" w:sz="0" w:space="0" w:color="auto"/>
            <w:right w:val="none" w:sz="0" w:space="0" w:color="auto"/>
          </w:divBdr>
          <w:divsChild>
            <w:div w:id="448739070">
              <w:marLeft w:val="0"/>
              <w:marRight w:val="0"/>
              <w:marTop w:val="0"/>
              <w:marBottom w:val="0"/>
              <w:divBdr>
                <w:top w:val="none" w:sz="0" w:space="0" w:color="auto"/>
                <w:left w:val="none" w:sz="0" w:space="0" w:color="auto"/>
                <w:bottom w:val="none" w:sz="0" w:space="0" w:color="auto"/>
                <w:right w:val="none" w:sz="0" w:space="0" w:color="auto"/>
              </w:divBdr>
              <w:divsChild>
                <w:div w:id="12612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0565">
          <w:marLeft w:val="0"/>
          <w:marRight w:val="0"/>
          <w:marTop w:val="0"/>
          <w:marBottom w:val="0"/>
          <w:divBdr>
            <w:top w:val="none" w:sz="0" w:space="0" w:color="auto"/>
            <w:left w:val="none" w:sz="0" w:space="0" w:color="auto"/>
            <w:bottom w:val="none" w:sz="0" w:space="0" w:color="auto"/>
            <w:right w:val="none" w:sz="0" w:space="0" w:color="auto"/>
          </w:divBdr>
          <w:divsChild>
            <w:div w:id="1721981187">
              <w:marLeft w:val="0"/>
              <w:marRight w:val="0"/>
              <w:marTop w:val="0"/>
              <w:marBottom w:val="0"/>
              <w:divBdr>
                <w:top w:val="none" w:sz="0" w:space="0" w:color="auto"/>
                <w:left w:val="none" w:sz="0" w:space="0" w:color="auto"/>
                <w:bottom w:val="none" w:sz="0" w:space="0" w:color="auto"/>
                <w:right w:val="none" w:sz="0" w:space="0" w:color="auto"/>
              </w:divBdr>
              <w:divsChild>
                <w:div w:id="19938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1801">
          <w:marLeft w:val="0"/>
          <w:marRight w:val="0"/>
          <w:marTop w:val="0"/>
          <w:marBottom w:val="0"/>
          <w:divBdr>
            <w:top w:val="none" w:sz="0" w:space="0" w:color="auto"/>
            <w:left w:val="none" w:sz="0" w:space="0" w:color="auto"/>
            <w:bottom w:val="none" w:sz="0" w:space="0" w:color="auto"/>
            <w:right w:val="none" w:sz="0" w:space="0" w:color="auto"/>
          </w:divBdr>
          <w:divsChild>
            <w:div w:id="1018652388">
              <w:marLeft w:val="0"/>
              <w:marRight w:val="0"/>
              <w:marTop w:val="0"/>
              <w:marBottom w:val="0"/>
              <w:divBdr>
                <w:top w:val="none" w:sz="0" w:space="0" w:color="auto"/>
                <w:left w:val="none" w:sz="0" w:space="0" w:color="auto"/>
                <w:bottom w:val="none" w:sz="0" w:space="0" w:color="auto"/>
                <w:right w:val="none" w:sz="0" w:space="0" w:color="auto"/>
              </w:divBdr>
              <w:divsChild>
                <w:div w:id="14556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852">
          <w:marLeft w:val="0"/>
          <w:marRight w:val="0"/>
          <w:marTop w:val="0"/>
          <w:marBottom w:val="0"/>
          <w:divBdr>
            <w:top w:val="none" w:sz="0" w:space="0" w:color="auto"/>
            <w:left w:val="none" w:sz="0" w:space="0" w:color="auto"/>
            <w:bottom w:val="none" w:sz="0" w:space="0" w:color="auto"/>
            <w:right w:val="none" w:sz="0" w:space="0" w:color="auto"/>
          </w:divBdr>
          <w:divsChild>
            <w:div w:id="839737189">
              <w:marLeft w:val="0"/>
              <w:marRight w:val="0"/>
              <w:marTop w:val="0"/>
              <w:marBottom w:val="0"/>
              <w:divBdr>
                <w:top w:val="none" w:sz="0" w:space="0" w:color="auto"/>
                <w:left w:val="none" w:sz="0" w:space="0" w:color="auto"/>
                <w:bottom w:val="none" w:sz="0" w:space="0" w:color="auto"/>
                <w:right w:val="none" w:sz="0" w:space="0" w:color="auto"/>
              </w:divBdr>
              <w:divsChild>
                <w:div w:id="1289318909">
                  <w:marLeft w:val="0"/>
                  <w:marRight w:val="0"/>
                  <w:marTop w:val="0"/>
                  <w:marBottom w:val="0"/>
                  <w:divBdr>
                    <w:top w:val="none" w:sz="0" w:space="0" w:color="auto"/>
                    <w:left w:val="none" w:sz="0" w:space="0" w:color="auto"/>
                    <w:bottom w:val="none" w:sz="0" w:space="0" w:color="auto"/>
                    <w:right w:val="none" w:sz="0" w:space="0" w:color="auto"/>
                  </w:divBdr>
                </w:div>
              </w:divsChild>
            </w:div>
            <w:div w:id="1138260106">
              <w:marLeft w:val="0"/>
              <w:marRight w:val="0"/>
              <w:marTop w:val="0"/>
              <w:marBottom w:val="0"/>
              <w:divBdr>
                <w:top w:val="none" w:sz="0" w:space="0" w:color="auto"/>
                <w:left w:val="none" w:sz="0" w:space="0" w:color="auto"/>
                <w:bottom w:val="none" w:sz="0" w:space="0" w:color="auto"/>
                <w:right w:val="none" w:sz="0" w:space="0" w:color="auto"/>
              </w:divBdr>
              <w:divsChild>
                <w:div w:id="1426611251">
                  <w:marLeft w:val="0"/>
                  <w:marRight w:val="0"/>
                  <w:marTop w:val="0"/>
                  <w:marBottom w:val="0"/>
                  <w:divBdr>
                    <w:top w:val="none" w:sz="0" w:space="0" w:color="auto"/>
                    <w:left w:val="none" w:sz="0" w:space="0" w:color="auto"/>
                    <w:bottom w:val="none" w:sz="0" w:space="0" w:color="auto"/>
                    <w:right w:val="none" w:sz="0" w:space="0" w:color="auto"/>
                  </w:divBdr>
                </w:div>
              </w:divsChild>
            </w:div>
            <w:div w:id="1863126152">
              <w:marLeft w:val="0"/>
              <w:marRight w:val="0"/>
              <w:marTop w:val="0"/>
              <w:marBottom w:val="0"/>
              <w:divBdr>
                <w:top w:val="none" w:sz="0" w:space="0" w:color="auto"/>
                <w:left w:val="none" w:sz="0" w:space="0" w:color="auto"/>
                <w:bottom w:val="none" w:sz="0" w:space="0" w:color="auto"/>
                <w:right w:val="none" w:sz="0" w:space="0" w:color="auto"/>
              </w:divBdr>
              <w:divsChild>
                <w:div w:id="6285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4640">
          <w:marLeft w:val="0"/>
          <w:marRight w:val="0"/>
          <w:marTop w:val="0"/>
          <w:marBottom w:val="0"/>
          <w:divBdr>
            <w:top w:val="none" w:sz="0" w:space="0" w:color="auto"/>
            <w:left w:val="none" w:sz="0" w:space="0" w:color="auto"/>
            <w:bottom w:val="none" w:sz="0" w:space="0" w:color="auto"/>
            <w:right w:val="none" w:sz="0" w:space="0" w:color="auto"/>
          </w:divBdr>
          <w:divsChild>
            <w:div w:id="1405955075">
              <w:marLeft w:val="0"/>
              <w:marRight w:val="0"/>
              <w:marTop w:val="0"/>
              <w:marBottom w:val="0"/>
              <w:divBdr>
                <w:top w:val="none" w:sz="0" w:space="0" w:color="auto"/>
                <w:left w:val="none" w:sz="0" w:space="0" w:color="auto"/>
                <w:bottom w:val="none" w:sz="0" w:space="0" w:color="auto"/>
                <w:right w:val="none" w:sz="0" w:space="0" w:color="auto"/>
              </w:divBdr>
              <w:divsChild>
                <w:div w:id="14037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0949">
          <w:marLeft w:val="0"/>
          <w:marRight w:val="0"/>
          <w:marTop w:val="0"/>
          <w:marBottom w:val="0"/>
          <w:divBdr>
            <w:top w:val="none" w:sz="0" w:space="0" w:color="auto"/>
            <w:left w:val="none" w:sz="0" w:space="0" w:color="auto"/>
            <w:bottom w:val="none" w:sz="0" w:space="0" w:color="auto"/>
            <w:right w:val="none" w:sz="0" w:space="0" w:color="auto"/>
          </w:divBdr>
          <w:divsChild>
            <w:div w:id="1901861166">
              <w:marLeft w:val="0"/>
              <w:marRight w:val="0"/>
              <w:marTop w:val="0"/>
              <w:marBottom w:val="0"/>
              <w:divBdr>
                <w:top w:val="none" w:sz="0" w:space="0" w:color="auto"/>
                <w:left w:val="none" w:sz="0" w:space="0" w:color="auto"/>
                <w:bottom w:val="none" w:sz="0" w:space="0" w:color="auto"/>
                <w:right w:val="none" w:sz="0" w:space="0" w:color="auto"/>
              </w:divBdr>
              <w:divsChild>
                <w:div w:id="19680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8586">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9122690">
      <w:bodyDiv w:val="1"/>
      <w:marLeft w:val="0"/>
      <w:marRight w:val="0"/>
      <w:marTop w:val="0"/>
      <w:marBottom w:val="0"/>
      <w:divBdr>
        <w:top w:val="none" w:sz="0" w:space="0" w:color="auto"/>
        <w:left w:val="none" w:sz="0" w:space="0" w:color="auto"/>
        <w:bottom w:val="none" w:sz="0" w:space="0" w:color="auto"/>
        <w:right w:val="none" w:sz="0" w:space="0" w:color="auto"/>
      </w:divBdr>
      <w:divsChild>
        <w:div w:id="1066336461">
          <w:marLeft w:val="0"/>
          <w:marRight w:val="0"/>
          <w:marTop w:val="0"/>
          <w:marBottom w:val="0"/>
          <w:divBdr>
            <w:top w:val="none" w:sz="0" w:space="0" w:color="auto"/>
            <w:left w:val="none" w:sz="0" w:space="0" w:color="auto"/>
            <w:bottom w:val="none" w:sz="0" w:space="0" w:color="auto"/>
            <w:right w:val="none" w:sz="0" w:space="0" w:color="auto"/>
          </w:divBdr>
          <w:divsChild>
            <w:div w:id="775096295">
              <w:marLeft w:val="0"/>
              <w:marRight w:val="0"/>
              <w:marTop w:val="0"/>
              <w:marBottom w:val="0"/>
              <w:divBdr>
                <w:top w:val="none" w:sz="0" w:space="0" w:color="auto"/>
                <w:left w:val="none" w:sz="0" w:space="0" w:color="auto"/>
                <w:bottom w:val="none" w:sz="0" w:space="0" w:color="auto"/>
                <w:right w:val="none" w:sz="0" w:space="0" w:color="auto"/>
              </w:divBdr>
            </w:div>
          </w:divsChild>
        </w:div>
        <w:div w:id="1406613559">
          <w:marLeft w:val="0"/>
          <w:marRight w:val="0"/>
          <w:marTop w:val="0"/>
          <w:marBottom w:val="0"/>
          <w:divBdr>
            <w:top w:val="none" w:sz="0" w:space="0" w:color="auto"/>
            <w:left w:val="none" w:sz="0" w:space="0" w:color="auto"/>
            <w:bottom w:val="none" w:sz="0" w:space="0" w:color="auto"/>
            <w:right w:val="none" w:sz="0" w:space="0" w:color="auto"/>
          </w:divBdr>
          <w:divsChild>
            <w:div w:id="2132429344">
              <w:marLeft w:val="0"/>
              <w:marRight w:val="0"/>
              <w:marTop w:val="0"/>
              <w:marBottom w:val="0"/>
              <w:divBdr>
                <w:top w:val="none" w:sz="0" w:space="0" w:color="auto"/>
                <w:left w:val="none" w:sz="0" w:space="0" w:color="auto"/>
                <w:bottom w:val="none" w:sz="0" w:space="0" w:color="auto"/>
                <w:right w:val="none" w:sz="0" w:space="0" w:color="auto"/>
              </w:divBdr>
            </w:div>
          </w:divsChild>
        </w:div>
        <w:div w:id="1447773913">
          <w:marLeft w:val="0"/>
          <w:marRight w:val="0"/>
          <w:marTop w:val="0"/>
          <w:marBottom w:val="0"/>
          <w:divBdr>
            <w:top w:val="none" w:sz="0" w:space="0" w:color="auto"/>
            <w:left w:val="none" w:sz="0" w:space="0" w:color="auto"/>
            <w:bottom w:val="none" w:sz="0" w:space="0" w:color="auto"/>
            <w:right w:val="none" w:sz="0" w:space="0" w:color="auto"/>
          </w:divBdr>
          <w:divsChild>
            <w:div w:id="2010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06814104">
      <w:bodyDiv w:val="1"/>
      <w:marLeft w:val="0"/>
      <w:marRight w:val="0"/>
      <w:marTop w:val="0"/>
      <w:marBottom w:val="0"/>
      <w:divBdr>
        <w:top w:val="none" w:sz="0" w:space="0" w:color="auto"/>
        <w:left w:val="none" w:sz="0" w:space="0" w:color="auto"/>
        <w:bottom w:val="none" w:sz="0" w:space="0" w:color="auto"/>
        <w:right w:val="none" w:sz="0" w:space="0" w:color="auto"/>
      </w:divBdr>
      <w:divsChild>
        <w:div w:id="1289974147">
          <w:marLeft w:val="0"/>
          <w:marRight w:val="0"/>
          <w:marTop w:val="0"/>
          <w:marBottom w:val="0"/>
          <w:divBdr>
            <w:top w:val="none" w:sz="0" w:space="0" w:color="auto"/>
            <w:left w:val="none" w:sz="0" w:space="0" w:color="auto"/>
            <w:bottom w:val="none" w:sz="0" w:space="0" w:color="auto"/>
            <w:right w:val="none" w:sz="0" w:space="0" w:color="auto"/>
          </w:divBdr>
          <w:divsChild>
            <w:div w:id="38749401">
              <w:marLeft w:val="0"/>
              <w:marRight w:val="0"/>
              <w:marTop w:val="0"/>
              <w:marBottom w:val="0"/>
              <w:divBdr>
                <w:top w:val="none" w:sz="0" w:space="0" w:color="auto"/>
                <w:left w:val="none" w:sz="0" w:space="0" w:color="auto"/>
                <w:bottom w:val="none" w:sz="0" w:space="0" w:color="auto"/>
                <w:right w:val="none" w:sz="0" w:space="0" w:color="auto"/>
              </w:divBdr>
            </w:div>
          </w:divsChild>
        </w:div>
        <w:div w:id="1987976112">
          <w:marLeft w:val="0"/>
          <w:marRight w:val="0"/>
          <w:marTop w:val="0"/>
          <w:marBottom w:val="0"/>
          <w:divBdr>
            <w:top w:val="none" w:sz="0" w:space="0" w:color="auto"/>
            <w:left w:val="none" w:sz="0" w:space="0" w:color="auto"/>
            <w:bottom w:val="none" w:sz="0" w:space="0" w:color="auto"/>
            <w:right w:val="none" w:sz="0" w:space="0" w:color="auto"/>
          </w:divBdr>
          <w:divsChild>
            <w:div w:id="13358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4379">
      <w:bodyDiv w:val="1"/>
      <w:marLeft w:val="0"/>
      <w:marRight w:val="0"/>
      <w:marTop w:val="0"/>
      <w:marBottom w:val="0"/>
      <w:divBdr>
        <w:top w:val="none" w:sz="0" w:space="0" w:color="auto"/>
        <w:left w:val="none" w:sz="0" w:space="0" w:color="auto"/>
        <w:bottom w:val="none" w:sz="0" w:space="0" w:color="auto"/>
        <w:right w:val="none" w:sz="0" w:space="0" w:color="auto"/>
      </w:divBdr>
    </w:div>
    <w:div w:id="1346790873">
      <w:bodyDiv w:val="1"/>
      <w:marLeft w:val="0"/>
      <w:marRight w:val="0"/>
      <w:marTop w:val="0"/>
      <w:marBottom w:val="0"/>
      <w:divBdr>
        <w:top w:val="none" w:sz="0" w:space="0" w:color="auto"/>
        <w:left w:val="none" w:sz="0" w:space="0" w:color="auto"/>
        <w:bottom w:val="none" w:sz="0" w:space="0" w:color="auto"/>
        <w:right w:val="none" w:sz="0" w:space="0" w:color="auto"/>
      </w:divBdr>
      <w:divsChild>
        <w:div w:id="370347885">
          <w:marLeft w:val="0"/>
          <w:marRight w:val="0"/>
          <w:marTop w:val="0"/>
          <w:marBottom w:val="0"/>
          <w:divBdr>
            <w:top w:val="none" w:sz="0" w:space="0" w:color="auto"/>
            <w:left w:val="none" w:sz="0" w:space="0" w:color="auto"/>
            <w:bottom w:val="none" w:sz="0" w:space="0" w:color="auto"/>
            <w:right w:val="none" w:sz="0" w:space="0" w:color="auto"/>
          </w:divBdr>
          <w:divsChild>
            <w:div w:id="1547060816">
              <w:marLeft w:val="0"/>
              <w:marRight w:val="0"/>
              <w:marTop w:val="0"/>
              <w:marBottom w:val="0"/>
              <w:divBdr>
                <w:top w:val="none" w:sz="0" w:space="0" w:color="auto"/>
                <w:left w:val="none" w:sz="0" w:space="0" w:color="auto"/>
                <w:bottom w:val="none" w:sz="0" w:space="0" w:color="auto"/>
                <w:right w:val="none" w:sz="0" w:space="0" w:color="auto"/>
              </w:divBdr>
            </w:div>
          </w:divsChild>
        </w:div>
        <w:div w:id="1551771833">
          <w:marLeft w:val="0"/>
          <w:marRight w:val="0"/>
          <w:marTop w:val="0"/>
          <w:marBottom w:val="0"/>
          <w:divBdr>
            <w:top w:val="none" w:sz="0" w:space="0" w:color="auto"/>
            <w:left w:val="none" w:sz="0" w:space="0" w:color="auto"/>
            <w:bottom w:val="none" w:sz="0" w:space="0" w:color="auto"/>
            <w:right w:val="none" w:sz="0" w:space="0" w:color="auto"/>
          </w:divBdr>
          <w:divsChild>
            <w:div w:id="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2725">
      <w:bodyDiv w:val="1"/>
      <w:marLeft w:val="0"/>
      <w:marRight w:val="0"/>
      <w:marTop w:val="0"/>
      <w:marBottom w:val="0"/>
      <w:divBdr>
        <w:top w:val="none" w:sz="0" w:space="0" w:color="auto"/>
        <w:left w:val="none" w:sz="0" w:space="0" w:color="auto"/>
        <w:bottom w:val="none" w:sz="0" w:space="0" w:color="auto"/>
        <w:right w:val="none" w:sz="0" w:space="0" w:color="auto"/>
      </w:divBdr>
      <w:divsChild>
        <w:div w:id="16666430">
          <w:marLeft w:val="0"/>
          <w:marRight w:val="0"/>
          <w:marTop w:val="0"/>
          <w:marBottom w:val="0"/>
          <w:divBdr>
            <w:top w:val="none" w:sz="0" w:space="0" w:color="auto"/>
            <w:left w:val="none" w:sz="0" w:space="0" w:color="auto"/>
            <w:bottom w:val="none" w:sz="0" w:space="0" w:color="auto"/>
            <w:right w:val="none" w:sz="0" w:space="0" w:color="auto"/>
          </w:divBdr>
          <w:divsChild>
            <w:div w:id="2076203638">
              <w:marLeft w:val="0"/>
              <w:marRight w:val="0"/>
              <w:marTop w:val="0"/>
              <w:marBottom w:val="0"/>
              <w:divBdr>
                <w:top w:val="none" w:sz="0" w:space="0" w:color="auto"/>
                <w:left w:val="none" w:sz="0" w:space="0" w:color="auto"/>
                <w:bottom w:val="none" w:sz="0" w:space="0" w:color="auto"/>
                <w:right w:val="none" w:sz="0" w:space="0" w:color="auto"/>
              </w:divBdr>
              <w:divsChild>
                <w:div w:id="2081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759">
          <w:marLeft w:val="0"/>
          <w:marRight w:val="0"/>
          <w:marTop w:val="0"/>
          <w:marBottom w:val="0"/>
          <w:divBdr>
            <w:top w:val="none" w:sz="0" w:space="0" w:color="auto"/>
            <w:left w:val="none" w:sz="0" w:space="0" w:color="auto"/>
            <w:bottom w:val="none" w:sz="0" w:space="0" w:color="auto"/>
            <w:right w:val="none" w:sz="0" w:space="0" w:color="auto"/>
          </w:divBdr>
          <w:divsChild>
            <w:div w:id="1670710316">
              <w:marLeft w:val="0"/>
              <w:marRight w:val="0"/>
              <w:marTop w:val="0"/>
              <w:marBottom w:val="0"/>
              <w:divBdr>
                <w:top w:val="none" w:sz="0" w:space="0" w:color="auto"/>
                <w:left w:val="none" w:sz="0" w:space="0" w:color="auto"/>
                <w:bottom w:val="none" w:sz="0" w:space="0" w:color="auto"/>
                <w:right w:val="none" w:sz="0" w:space="0" w:color="auto"/>
              </w:divBdr>
              <w:divsChild>
                <w:div w:id="18316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2201">
          <w:marLeft w:val="0"/>
          <w:marRight w:val="0"/>
          <w:marTop w:val="0"/>
          <w:marBottom w:val="0"/>
          <w:divBdr>
            <w:top w:val="none" w:sz="0" w:space="0" w:color="auto"/>
            <w:left w:val="none" w:sz="0" w:space="0" w:color="auto"/>
            <w:bottom w:val="none" w:sz="0" w:space="0" w:color="auto"/>
            <w:right w:val="none" w:sz="0" w:space="0" w:color="auto"/>
          </w:divBdr>
          <w:divsChild>
            <w:div w:id="389307859">
              <w:marLeft w:val="0"/>
              <w:marRight w:val="0"/>
              <w:marTop w:val="0"/>
              <w:marBottom w:val="0"/>
              <w:divBdr>
                <w:top w:val="none" w:sz="0" w:space="0" w:color="auto"/>
                <w:left w:val="none" w:sz="0" w:space="0" w:color="auto"/>
                <w:bottom w:val="none" w:sz="0" w:space="0" w:color="auto"/>
                <w:right w:val="none" w:sz="0" w:space="0" w:color="auto"/>
              </w:divBdr>
              <w:divsChild>
                <w:div w:id="11247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3686">
          <w:marLeft w:val="0"/>
          <w:marRight w:val="0"/>
          <w:marTop w:val="0"/>
          <w:marBottom w:val="0"/>
          <w:divBdr>
            <w:top w:val="none" w:sz="0" w:space="0" w:color="auto"/>
            <w:left w:val="none" w:sz="0" w:space="0" w:color="auto"/>
            <w:bottom w:val="none" w:sz="0" w:space="0" w:color="auto"/>
            <w:right w:val="none" w:sz="0" w:space="0" w:color="auto"/>
          </w:divBdr>
          <w:divsChild>
            <w:div w:id="879710041">
              <w:marLeft w:val="0"/>
              <w:marRight w:val="0"/>
              <w:marTop w:val="0"/>
              <w:marBottom w:val="0"/>
              <w:divBdr>
                <w:top w:val="none" w:sz="0" w:space="0" w:color="auto"/>
                <w:left w:val="none" w:sz="0" w:space="0" w:color="auto"/>
                <w:bottom w:val="none" w:sz="0" w:space="0" w:color="auto"/>
                <w:right w:val="none" w:sz="0" w:space="0" w:color="auto"/>
              </w:divBdr>
              <w:divsChild>
                <w:div w:id="13640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3955">
          <w:marLeft w:val="0"/>
          <w:marRight w:val="0"/>
          <w:marTop w:val="0"/>
          <w:marBottom w:val="0"/>
          <w:divBdr>
            <w:top w:val="none" w:sz="0" w:space="0" w:color="auto"/>
            <w:left w:val="none" w:sz="0" w:space="0" w:color="auto"/>
            <w:bottom w:val="none" w:sz="0" w:space="0" w:color="auto"/>
            <w:right w:val="none" w:sz="0" w:space="0" w:color="auto"/>
          </w:divBdr>
          <w:divsChild>
            <w:div w:id="1486361625">
              <w:marLeft w:val="0"/>
              <w:marRight w:val="0"/>
              <w:marTop w:val="0"/>
              <w:marBottom w:val="0"/>
              <w:divBdr>
                <w:top w:val="none" w:sz="0" w:space="0" w:color="auto"/>
                <w:left w:val="none" w:sz="0" w:space="0" w:color="auto"/>
                <w:bottom w:val="none" w:sz="0" w:space="0" w:color="auto"/>
                <w:right w:val="none" w:sz="0" w:space="0" w:color="auto"/>
              </w:divBdr>
              <w:divsChild>
                <w:div w:id="4367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01">
          <w:marLeft w:val="0"/>
          <w:marRight w:val="0"/>
          <w:marTop w:val="0"/>
          <w:marBottom w:val="0"/>
          <w:divBdr>
            <w:top w:val="none" w:sz="0" w:space="0" w:color="auto"/>
            <w:left w:val="none" w:sz="0" w:space="0" w:color="auto"/>
            <w:bottom w:val="none" w:sz="0" w:space="0" w:color="auto"/>
            <w:right w:val="none" w:sz="0" w:space="0" w:color="auto"/>
          </w:divBdr>
          <w:divsChild>
            <w:div w:id="1277100466">
              <w:marLeft w:val="0"/>
              <w:marRight w:val="0"/>
              <w:marTop w:val="0"/>
              <w:marBottom w:val="0"/>
              <w:divBdr>
                <w:top w:val="none" w:sz="0" w:space="0" w:color="auto"/>
                <w:left w:val="none" w:sz="0" w:space="0" w:color="auto"/>
                <w:bottom w:val="none" w:sz="0" w:space="0" w:color="auto"/>
                <w:right w:val="none" w:sz="0" w:space="0" w:color="auto"/>
              </w:divBdr>
              <w:divsChild>
                <w:div w:id="9001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9166">
          <w:marLeft w:val="0"/>
          <w:marRight w:val="0"/>
          <w:marTop w:val="0"/>
          <w:marBottom w:val="0"/>
          <w:divBdr>
            <w:top w:val="none" w:sz="0" w:space="0" w:color="auto"/>
            <w:left w:val="none" w:sz="0" w:space="0" w:color="auto"/>
            <w:bottom w:val="none" w:sz="0" w:space="0" w:color="auto"/>
            <w:right w:val="none" w:sz="0" w:space="0" w:color="auto"/>
          </w:divBdr>
          <w:divsChild>
            <w:div w:id="185220988">
              <w:marLeft w:val="0"/>
              <w:marRight w:val="0"/>
              <w:marTop w:val="0"/>
              <w:marBottom w:val="0"/>
              <w:divBdr>
                <w:top w:val="none" w:sz="0" w:space="0" w:color="auto"/>
                <w:left w:val="none" w:sz="0" w:space="0" w:color="auto"/>
                <w:bottom w:val="none" w:sz="0" w:space="0" w:color="auto"/>
                <w:right w:val="none" w:sz="0" w:space="0" w:color="auto"/>
              </w:divBdr>
              <w:divsChild>
                <w:div w:id="20779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8653">
          <w:marLeft w:val="0"/>
          <w:marRight w:val="0"/>
          <w:marTop w:val="0"/>
          <w:marBottom w:val="0"/>
          <w:divBdr>
            <w:top w:val="none" w:sz="0" w:space="0" w:color="auto"/>
            <w:left w:val="none" w:sz="0" w:space="0" w:color="auto"/>
            <w:bottom w:val="none" w:sz="0" w:space="0" w:color="auto"/>
            <w:right w:val="none" w:sz="0" w:space="0" w:color="auto"/>
          </w:divBdr>
          <w:divsChild>
            <w:div w:id="1744643099">
              <w:marLeft w:val="0"/>
              <w:marRight w:val="0"/>
              <w:marTop w:val="0"/>
              <w:marBottom w:val="0"/>
              <w:divBdr>
                <w:top w:val="none" w:sz="0" w:space="0" w:color="auto"/>
                <w:left w:val="none" w:sz="0" w:space="0" w:color="auto"/>
                <w:bottom w:val="none" w:sz="0" w:space="0" w:color="auto"/>
                <w:right w:val="none" w:sz="0" w:space="0" w:color="auto"/>
              </w:divBdr>
              <w:divsChild>
                <w:div w:id="3665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42">
          <w:marLeft w:val="0"/>
          <w:marRight w:val="0"/>
          <w:marTop w:val="0"/>
          <w:marBottom w:val="0"/>
          <w:divBdr>
            <w:top w:val="none" w:sz="0" w:space="0" w:color="auto"/>
            <w:left w:val="none" w:sz="0" w:space="0" w:color="auto"/>
            <w:bottom w:val="none" w:sz="0" w:space="0" w:color="auto"/>
            <w:right w:val="none" w:sz="0" w:space="0" w:color="auto"/>
          </w:divBdr>
          <w:divsChild>
            <w:div w:id="1965694155">
              <w:marLeft w:val="0"/>
              <w:marRight w:val="0"/>
              <w:marTop w:val="0"/>
              <w:marBottom w:val="0"/>
              <w:divBdr>
                <w:top w:val="none" w:sz="0" w:space="0" w:color="auto"/>
                <w:left w:val="none" w:sz="0" w:space="0" w:color="auto"/>
                <w:bottom w:val="none" w:sz="0" w:space="0" w:color="auto"/>
                <w:right w:val="none" w:sz="0" w:space="0" w:color="auto"/>
              </w:divBdr>
              <w:divsChild>
                <w:div w:id="15902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6292">
          <w:marLeft w:val="0"/>
          <w:marRight w:val="0"/>
          <w:marTop w:val="0"/>
          <w:marBottom w:val="0"/>
          <w:divBdr>
            <w:top w:val="none" w:sz="0" w:space="0" w:color="auto"/>
            <w:left w:val="none" w:sz="0" w:space="0" w:color="auto"/>
            <w:bottom w:val="none" w:sz="0" w:space="0" w:color="auto"/>
            <w:right w:val="none" w:sz="0" w:space="0" w:color="auto"/>
          </w:divBdr>
          <w:divsChild>
            <w:div w:id="1093942324">
              <w:marLeft w:val="0"/>
              <w:marRight w:val="0"/>
              <w:marTop w:val="0"/>
              <w:marBottom w:val="0"/>
              <w:divBdr>
                <w:top w:val="none" w:sz="0" w:space="0" w:color="auto"/>
                <w:left w:val="none" w:sz="0" w:space="0" w:color="auto"/>
                <w:bottom w:val="none" w:sz="0" w:space="0" w:color="auto"/>
                <w:right w:val="none" w:sz="0" w:space="0" w:color="auto"/>
              </w:divBdr>
              <w:divsChild>
                <w:div w:id="12798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6186">
          <w:marLeft w:val="0"/>
          <w:marRight w:val="0"/>
          <w:marTop w:val="0"/>
          <w:marBottom w:val="0"/>
          <w:divBdr>
            <w:top w:val="none" w:sz="0" w:space="0" w:color="auto"/>
            <w:left w:val="none" w:sz="0" w:space="0" w:color="auto"/>
            <w:bottom w:val="none" w:sz="0" w:space="0" w:color="auto"/>
            <w:right w:val="none" w:sz="0" w:space="0" w:color="auto"/>
          </w:divBdr>
          <w:divsChild>
            <w:div w:id="886377568">
              <w:marLeft w:val="0"/>
              <w:marRight w:val="0"/>
              <w:marTop w:val="0"/>
              <w:marBottom w:val="0"/>
              <w:divBdr>
                <w:top w:val="none" w:sz="0" w:space="0" w:color="auto"/>
                <w:left w:val="none" w:sz="0" w:space="0" w:color="auto"/>
                <w:bottom w:val="none" w:sz="0" w:space="0" w:color="auto"/>
                <w:right w:val="none" w:sz="0" w:space="0" w:color="auto"/>
              </w:divBdr>
              <w:divsChild>
                <w:div w:id="12522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9530">
          <w:marLeft w:val="0"/>
          <w:marRight w:val="0"/>
          <w:marTop w:val="0"/>
          <w:marBottom w:val="0"/>
          <w:divBdr>
            <w:top w:val="none" w:sz="0" w:space="0" w:color="auto"/>
            <w:left w:val="none" w:sz="0" w:space="0" w:color="auto"/>
            <w:bottom w:val="none" w:sz="0" w:space="0" w:color="auto"/>
            <w:right w:val="none" w:sz="0" w:space="0" w:color="auto"/>
          </w:divBdr>
          <w:divsChild>
            <w:div w:id="516970787">
              <w:marLeft w:val="0"/>
              <w:marRight w:val="0"/>
              <w:marTop w:val="0"/>
              <w:marBottom w:val="0"/>
              <w:divBdr>
                <w:top w:val="none" w:sz="0" w:space="0" w:color="auto"/>
                <w:left w:val="none" w:sz="0" w:space="0" w:color="auto"/>
                <w:bottom w:val="none" w:sz="0" w:space="0" w:color="auto"/>
                <w:right w:val="none" w:sz="0" w:space="0" w:color="auto"/>
              </w:divBdr>
              <w:divsChild>
                <w:div w:id="536355173">
                  <w:marLeft w:val="0"/>
                  <w:marRight w:val="0"/>
                  <w:marTop w:val="0"/>
                  <w:marBottom w:val="0"/>
                  <w:divBdr>
                    <w:top w:val="none" w:sz="0" w:space="0" w:color="auto"/>
                    <w:left w:val="none" w:sz="0" w:space="0" w:color="auto"/>
                    <w:bottom w:val="none" w:sz="0" w:space="0" w:color="auto"/>
                    <w:right w:val="none" w:sz="0" w:space="0" w:color="auto"/>
                  </w:divBdr>
                </w:div>
              </w:divsChild>
            </w:div>
            <w:div w:id="830756585">
              <w:marLeft w:val="0"/>
              <w:marRight w:val="0"/>
              <w:marTop w:val="0"/>
              <w:marBottom w:val="0"/>
              <w:divBdr>
                <w:top w:val="none" w:sz="0" w:space="0" w:color="auto"/>
                <w:left w:val="none" w:sz="0" w:space="0" w:color="auto"/>
                <w:bottom w:val="none" w:sz="0" w:space="0" w:color="auto"/>
                <w:right w:val="none" w:sz="0" w:space="0" w:color="auto"/>
              </w:divBdr>
              <w:divsChild>
                <w:div w:id="608395846">
                  <w:marLeft w:val="0"/>
                  <w:marRight w:val="0"/>
                  <w:marTop w:val="0"/>
                  <w:marBottom w:val="0"/>
                  <w:divBdr>
                    <w:top w:val="none" w:sz="0" w:space="0" w:color="auto"/>
                    <w:left w:val="none" w:sz="0" w:space="0" w:color="auto"/>
                    <w:bottom w:val="none" w:sz="0" w:space="0" w:color="auto"/>
                    <w:right w:val="none" w:sz="0" w:space="0" w:color="auto"/>
                  </w:divBdr>
                </w:div>
              </w:divsChild>
            </w:div>
            <w:div w:id="1878662991">
              <w:marLeft w:val="0"/>
              <w:marRight w:val="0"/>
              <w:marTop w:val="0"/>
              <w:marBottom w:val="0"/>
              <w:divBdr>
                <w:top w:val="none" w:sz="0" w:space="0" w:color="auto"/>
                <w:left w:val="none" w:sz="0" w:space="0" w:color="auto"/>
                <w:bottom w:val="none" w:sz="0" w:space="0" w:color="auto"/>
                <w:right w:val="none" w:sz="0" w:space="0" w:color="auto"/>
              </w:divBdr>
              <w:divsChild>
                <w:div w:id="9790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4576">
          <w:marLeft w:val="0"/>
          <w:marRight w:val="0"/>
          <w:marTop w:val="0"/>
          <w:marBottom w:val="0"/>
          <w:divBdr>
            <w:top w:val="none" w:sz="0" w:space="0" w:color="auto"/>
            <w:left w:val="none" w:sz="0" w:space="0" w:color="auto"/>
            <w:bottom w:val="none" w:sz="0" w:space="0" w:color="auto"/>
            <w:right w:val="none" w:sz="0" w:space="0" w:color="auto"/>
          </w:divBdr>
          <w:divsChild>
            <w:div w:id="973408645">
              <w:marLeft w:val="0"/>
              <w:marRight w:val="0"/>
              <w:marTop w:val="0"/>
              <w:marBottom w:val="0"/>
              <w:divBdr>
                <w:top w:val="none" w:sz="0" w:space="0" w:color="auto"/>
                <w:left w:val="none" w:sz="0" w:space="0" w:color="auto"/>
                <w:bottom w:val="none" w:sz="0" w:space="0" w:color="auto"/>
                <w:right w:val="none" w:sz="0" w:space="0" w:color="auto"/>
              </w:divBdr>
              <w:divsChild>
                <w:div w:id="16874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4821">
          <w:marLeft w:val="0"/>
          <w:marRight w:val="0"/>
          <w:marTop w:val="0"/>
          <w:marBottom w:val="0"/>
          <w:divBdr>
            <w:top w:val="none" w:sz="0" w:space="0" w:color="auto"/>
            <w:left w:val="none" w:sz="0" w:space="0" w:color="auto"/>
            <w:bottom w:val="none" w:sz="0" w:space="0" w:color="auto"/>
            <w:right w:val="none" w:sz="0" w:space="0" w:color="auto"/>
          </w:divBdr>
          <w:divsChild>
            <w:div w:id="128669551">
              <w:marLeft w:val="0"/>
              <w:marRight w:val="0"/>
              <w:marTop w:val="0"/>
              <w:marBottom w:val="0"/>
              <w:divBdr>
                <w:top w:val="none" w:sz="0" w:space="0" w:color="auto"/>
                <w:left w:val="none" w:sz="0" w:space="0" w:color="auto"/>
                <w:bottom w:val="none" w:sz="0" w:space="0" w:color="auto"/>
                <w:right w:val="none" w:sz="0" w:space="0" w:color="auto"/>
              </w:divBdr>
              <w:divsChild>
                <w:div w:id="14858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9991">
          <w:marLeft w:val="0"/>
          <w:marRight w:val="0"/>
          <w:marTop w:val="0"/>
          <w:marBottom w:val="0"/>
          <w:divBdr>
            <w:top w:val="none" w:sz="0" w:space="0" w:color="auto"/>
            <w:left w:val="none" w:sz="0" w:space="0" w:color="auto"/>
            <w:bottom w:val="none" w:sz="0" w:space="0" w:color="auto"/>
            <w:right w:val="none" w:sz="0" w:space="0" w:color="auto"/>
          </w:divBdr>
          <w:divsChild>
            <w:div w:id="337775332">
              <w:marLeft w:val="0"/>
              <w:marRight w:val="0"/>
              <w:marTop w:val="0"/>
              <w:marBottom w:val="0"/>
              <w:divBdr>
                <w:top w:val="none" w:sz="0" w:space="0" w:color="auto"/>
                <w:left w:val="none" w:sz="0" w:space="0" w:color="auto"/>
                <w:bottom w:val="none" w:sz="0" w:space="0" w:color="auto"/>
                <w:right w:val="none" w:sz="0" w:space="0" w:color="auto"/>
              </w:divBdr>
              <w:divsChild>
                <w:div w:id="1850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29394">
          <w:marLeft w:val="0"/>
          <w:marRight w:val="0"/>
          <w:marTop w:val="0"/>
          <w:marBottom w:val="0"/>
          <w:divBdr>
            <w:top w:val="none" w:sz="0" w:space="0" w:color="auto"/>
            <w:left w:val="none" w:sz="0" w:space="0" w:color="auto"/>
            <w:bottom w:val="none" w:sz="0" w:space="0" w:color="auto"/>
            <w:right w:val="none" w:sz="0" w:space="0" w:color="auto"/>
          </w:divBdr>
          <w:divsChild>
            <w:div w:id="171722442">
              <w:marLeft w:val="0"/>
              <w:marRight w:val="0"/>
              <w:marTop w:val="0"/>
              <w:marBottom w:val="0"/>
              <w:divBdr>
                <w:top w:val="none" w:sz="0" w:space="0" w:color="auto"/>
                <w:left w:val="none" w:sz="0" w:space="0" w:color="auto"/>
                <w:bottom w:val="none" w:sz="0" w:space="0" w:color="auto"/>
                <w:right w:val="none" w:sz="0" w:space="0" w:color="auto"/>
              </w:divBdr>
              <w:divsChild>
                <w:div w:id="14264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6141">
          <w:marLeft w:val="0"/>
          <w:marRight w:val="0"/>
          <w:marTop w:val="0"/>
          <w:marBottom w:val="0"/>
          <w:divBdr>
            <w:top w:val="none" w:sz="0" w:space="0" w:color="auto"/>
            <w:left w:val="none" w:sz="0" w:space="0" w:color="auto"/>
            <w:bottom w:val="none" w:sz="0" w:space="0" w:color="auto"/>
            <w:right w:val="none" w:sz="0" w:space="0" w:color="auto"/>
          </w:divBdr>
          <w:divsChild>
            <w:div w:id="460727614">
              <w:marLeft w:val="0"/>
              <w:marRight w:val="0"/>
              <w:marTop w:val="0"/>
              <w:marBottom w:val="0"/>
              <w:divBdr>
                <w:top w:val="none" w:sz="0" w:space="0" w:color="auto"/>
                <w:left w:val="none" w:sz="0" w:space="0" w:color="auto"/>
                <w:bottom w:val="none" w:sz="0" w:space="0" w:color="auto"/>
                <w:right w:val="none" w:sz="0" w:space="0" w:color="auto"/>
              </w:divBdr>
              <w:divsChild>
                <w:div w:id="1050500010">
                  <w:marLeft w:val="0"/>
                  <w:marRight w:val="0"/>
                  <w:marTop w:val="0"/>
                  <w:marBottom w:val="0"/>
                  <w:divBdr>
                    <w:top w:val="none" w:sz="0" w:space="0" w:color="auto"/>
                    <w:left w:val="none" w:sz="0" w:space="0" w:color="auto"/>
                    <w:bottom w:val="none" w:sz="0" w:space="0" w:color="auto"/>
                    <w:right w:val="none" w:sz="0" w:space="0" w:color="auto"/>
                  </w:divBdr>
                </w:div>
              </w:divsChild>
            </w:div>
            <w:div w:id="791243381">
              <w:marLeft w:val="0"/>
              <w:marRight w:val="0"/>
              <w:marTop w:val="0"/>
              <w:marBottom w:val="0"/>
              <w:divBdr>
                <w:top w:val="none" w:sz="0" w:space="0" w:color="auto"/>
                <w:left w:val="none" w:sz="0" w:space="0" w:color="auto"/>
                <w:bottom w:val="none" w:sz="0" w:space="0" w:color="auto"/>
                <w:right w:val="none" w:sz="0" w:space="0" w:color="auto"/>
              </w:divBdr>
              <w:divsChild>
                <w:div w:id="7456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1287">
          <w:marLeft w:val="0"/>
          <w:marRight w:val="0"/>
          <w:marTop w:val="0"/>
          <w:marBottom w:val="0"/>
          <w:divBdr>
            <w:top w:val="none" w:sz="0" w:space="0" w:color="auto"/>
            <w:left w:val="none" w:sz="0" w:space="0" w:color="auto"/>
            <w:bottom w:val="none" w:sz="0" w:space="0" w:color="auto"/>
            <w:right w:val="none" w:sz="0" w:space="0" w:color="auto"/>
          </w:divBdr>
          <w:divsChild>
            <w:div w:id="1070276284">
              <w:marLeft w:val="0"/>
              <w:marRight w:val="0"/>
              <w:marTop w:val="0"/>
              <w:marBottom w:val="0"/>
              <w:divBdr>
                <w:top w:val="none" w:sz="0" w:space="0" w:color="auto"/>
                <w:left w:val="none" w:sz="0" w:space="0" w:color="auto"/>
                <w:bottom w:val="none" w:sz="0" w:space="0" w:color="auto"/>
                <w:right w:val="none" w:sz="0" w:space="0" w:color="auto"/>
              </w:divBdr>
              <w:divsChild>
                <w:div w:id="1780443528">
                  <w:marLeft w:val="0"/>
                  <w:marRight w:val="0"/>
                  <w:marTop w:val="0"/>
                  <w:marBottom w:val="0"/>
                  <w:divBdr>
                    <w:top w:val="none" w:sz="0" w:space="0" w:color="auto"/>
                    <w:left w:val="none" w:sz="0" w:space="0" w:color="auto"/>
                    <w:bottom w:val="none" w:sz="0" w:space="0" w:color="auto"/>
                    <w:right w:val="none" w:sz="0" w:space="0" w:color="auto"/>
                  </w:divBdr>
                </w:div>
              </w:divsChild>
            </w:div>
            <w:div w:id="1615794553">
              <w:marLeft w:val="0"/>
              <w:marRight w:val="0"/>
              <w:marTop w:val="0"/>
              <w:marBottom w:val="0"/>
              <w:divBdr>
                <w:top w:val="none" w:sz="0" w:space="0" w:color="auto"/>
                <w:left w:val="none" w:sz="0" w:space="0" w:color="auto"/>
                <w:bottom w:val="none" w:sz="0" w:space="0" w:color="auto"/>
                <w:right w:val="none" w:sz="0" w:space="0" w:color="auto"/>
              </w:divBdr>
              <w:divsChild>
                <w:div w:id="3756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9395">
          <w:marLeft w:val="0"/>
          <w:marRight w:val="0"/>
          <w:marTop w:val="0"/>
          <w:marBottom w:val="0"/>
          <w:divBdr>
            <w:top w:val="none" w:sz="0" w:space="0" w:color="auto"/>
            <w:left w:val="none" w:sz="0" w:space="0" w:color="auto"/>
            <w:bottom w:val="none" w:sz="0" w:space="0" w:color="auto"/>
            <w:right w:val="none" w:sz="0" w:space="0" w:color="auto"/>
          </w:divBdr>
          <w:divsChild>
            <w:div w:id="349719750">
              <w:marLeft w:val="0"/>
              <w:marRight w:val="0"/>
              <w:marTop w:val="0"/>
              <w:marBottom w:val="0"/>
              <w:divBdr>
                <w:top w:val="none" w:sz="0" w:space="0" w:color="auto"/>
                <w:left w:val="none" w:sz="0" w:space="0" w:color="auto"/>
                <w:bottom w:val="none" w:sz="0" w:space="0" w:color="auto"/>
                <w:right w:val="none" w:sz="0" w:space="0" w:color="auto"/>
              </w:divBdr>
              <w:divsChild>
                <w:div w:id="760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0286">
          <w:marLeft w:val="0"/>
          <w:marRight w:val="0"/>
          <w:marTop w:val="0"/>
          <w:marBottom w:val="0"/>
          <w:divBdr>
            <w:top w:val="none" w:sz="0" w:space="0" w:color="auto"/>
            <w:left w:val="none" w:sz="0" w:space="0" w:color="auto"/>
            <w:bottom w:val="none" w:sz="0" w:space="0" w:color="auto"/>
            <w:right w:val="none" w:sz="0" w:space="0" w:color="auto"/>
          </w:divBdr>
          <w:divsChild>
            <w:div w:id="714238993">
              <w:marLeft w:val="0"/>
              <w:marRight w:val="0"/>
              <w:marTop w:val="0"/>
              <w:marBottom w:val="0"/>
              <w:divBdr>
                <w:top w:val="none" w:sz="0" w:space="0" w:color="auto"/>
                <w:left w:val="none" w:sz="0" w:space="0" w:color="auto"/>
                <w:bottom w:val="none" w:sz="0" w:space="0" w:color="auto"/>
                <w:right w:val="none" w:sz="0" w:space="0" w:color="auto"/>
              </w:divBdr>
              <w:divsChild>
                <w:div w:id="18672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4382">
          <w:marLeft w:val="0"/>
          <w:marRight w:val="0"/>
          <w:marTop w:val="0"/>
          <w:marBottom w:val="0"/>
          <w:divBdr>
            <w:top w:val="none" w:sz="0" w:space="0" w:color="auto"/>
            <w:left w:val="none" w:sz="0" w:space="0" w:color="auto"/>
            <w:bottom w:val="none" w:sz="0" w:space="0" w:color="auto"/>
            <w:right w:val="none" w:sz="0" w:space="0" w:color="auto"/>
          </w:divBdr>
          <w:divsChild>
            <w:div w:id="829176802">
              <w:marLeft w:val="0"/>
              <w:marRight w:val="0"/>
              <w:marTop w:val="0"/>
              <w:marBottom w:val="0"/>
              <w:divBdr>
                <w:top w:val="none" w:sz="0" w:space="0" w:color="auto"/>
                <w:left w:val="none" w:sz="0" w:space="0" w:color="auto"/>
                <w:bottom w:val="none" w:sz="0" w:space="0" w:color="auto"/>
                <w:right w:val="none" w:sz="0" w:space="0" w:color="auto"/>
              </w:divBdr>
              <w:divsChild>
                <w:div w:id="1948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4095">
          <w:marLeft w:val="0"/>
          <w:marRight w:val="0"/>
          <w:marTop w:val="0"/>
          <w:marBottom w:val="0"/>
          <w:divBdr>
            <w:top w:val="none" w:sz="0" w:space="0" w:color="auto"/>
            <w:left w:val="none" w:sz="0" w:space="0" w:color="auto"/>
            <w:bottom w:val="none" w:sz="0" w:space="0" w:color="auto"/>
            <w:right w:val="none" w:sz="0" w:space="0" w:color="auto"/>
          </w:divBdr>
          <w:divsChild>
            <w:div w:id="916213175">
              <w:marLeft w:val="0"/>
              <w:marRight w:val="0"/>
              <w:marTop w:val="0"/>
              <w:marBottom w:val="0"/>
              <w:divBdr>
                <w:top w:val="none" w:sz="0" w:space="0" w:color="auto"/>
                <w:left w:val="none" w:sz="0" w:space="0" w:color="auto"/>
                <w:bottom w:val="none" w:sz="0" w:space="0" w:color="auto"/>
                <w:right w:val="none" w:sz="0" w:space="0" w:color="auto"/>
              </w:divBdr>
              <w:divsChild>
                <w:div w:id="13493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3965">
          <w:marLeft w:val="0"/>
          <w:marRight w:val="0"/>
          <w:marTop w:val="0"/>
          <w:marBottom w:val="0"/>
          <w:divBdr>
            <w:top w:val="none" w:sz="0" w:space="0" w:color="auto"/>
            <w:left w:val="none" w:sz="0" w:space="0" w:color="auto"/>
            <w:bottom w:val="none" w:sz="0" w:space="0" w:color="auto"/>
            <w:right w:val="none" w:sz="0" w:space="0" w:color="auto"/>
          </w:divBdr>
          <w:divsChild>
            <w:div w:id="1252474090">
              <w:marLeft w:val="0"/>
              <w:marRight w:val="0"/>
              <w:marTop w:val="0"/>
              <w:marBottom w:val="0"/>
              <w:divBdr>
                <w:top w:val="none" w:sz="0" w:space="0" w:color="auto"/>
                <w:left w:val="none" w:sz="0" w:space="0" w:color="auto"/>
                <w:bottom w:val="none" w:sz="0" w:space="0" w:color="auto"/>
                <w:right w:val="none" w:sz="0" w:space="0" w:color="auto"/>
              </w:divBdr>
              <w:divsChild>
                <w:div w:id="15720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8315">
      <w:bodyDiv w:val="1"/>
      <w:marLeft w:val="0"/>
      <w:marRight w:val="0"/>
      <w:marTop w:val="0"/>
      <w:marBottom w:val="0"/>
      <w:divBdr>
        <w:top w:val="none" w:sz="0" w:space="0" w:color="auto"/>
        <w:left w:val="none" w:sz="0" w:space="0" w:color="auto"/>
        <w:bottom w:val="none" w:sz="0" w:space="0" w:color="auto"/>
        <w:right w:val="none" w:sz="0" w:space="0" w:color="auto"/>
      </w:divBdr>
    </w:div>
    <w:div w:id="1429614763">
      <w:bodyDiv w:val="1"/>
      <w:marLeft w:val="0"/>
      <w:marRight w:val="0"/>
      <w:marTop w:val="0"/>
      <w:marBottom w:val="0"/>
      <w:divBdr>
        <w:top w:val="none" w:sz="0" w:space="0" w:color="auto"/>
        <w:left w:val="none" w:sz="0" w:space="0" w:color="auto"/>
        <w:bottom w:val="none" w:sz="0" w:space="0" w:color="auto"/>
        <w:right w:val="none" w:sz="0" w:space="0" w:color="auto"/>
      </w:divBdr>
      <w:divsChild>
        <w:div w:id="92475263">
          <w:marLeft w:val="0"/>
          <w:marRight w:val="0"/>
          <w:marTop w:val="0"/>
          <w:marBottom w:val="0"/>
          <w:divBdr>
            <w:top w:val="none" w:sz="0" w:space="0" w:color="auto"/>
            <w:left w:val="none" w:sz="0" w:space="0" w:color="auto"/>
            <w:bottom w:val="none" w:sz="0" w:space="0" w:color="auto"/>
            <w:right w:val="none" w:sz="0" w:space="0" w:color="auto"/>
          </w:divBdr>
          <w:divsChild>
            <w:div w:id="1511873212">
              <w:marLeft w:val="0"/>
              <w:marRight w:val="0"/>
              <w:marTop w:val="0"/>
              <w:marBottom w:val="0"/>
              <w:divBdr>
                <w:top w:val="none" w:sz="0" w:space="0" w:color="auto"/>
                <w:left w:val="none" w:sz="0" w:space="0" w:color="auto"/>
                <w:bottom w:val="none" w:sz="0" w:space="0" w:color="auto"/>
                <w:right w:val="none" w:sz="0" w:space="0" w:color="auto"/>
              </w:divBdr>
              <w:divsChild>
                <w:div w:id="8991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2509">
          <w:marLeft w:val="0"/>
          <w:marRight w:val="0"/>
          <w:marTop w:val="0"/>
          <w:marBottom w:val="0"/>
          <w:divBdr>
            <w:top w:val="none" w:sz="0" w:space="0" w:color="auto"/>
            <w:left w:val="none" w:sz="0" w:space="0" w:color="auto"/>
            <w:bottom w:val="none" w:sz="0" w:space="0" w:color="auto"/>
            <w:right w:val="none" w:sz="0" w:space="0" w:color="auto"/>
          </w:divBdr>
          <w:divsChild>
            <w:div w:id="880019196">
              <w:marLeft w:val="0"/>
              <w:marRight w:val="0"/>
              <w:marTop w:val="0"/>
              <w:marBottom w:val="0"/>
              <w:divBdr>
                <w:top w:val="none" w:sz="0" w:space="0" w:color="auto"/>
                <w:left w:val="none" w:sz="0" w:space="0" w:color="auto"/>
                <w:bottom w:val="none" w:sz="0" w:space="0" w:color="auto"/>
                <w:right w:val="none" w:sz="0" w:space="0" w:color="auto"/>
              </w:divBdr>
              <w:divsChild>
                <w:div w:id="8863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171">
          <w:marLeft w:val="0"/>
          <w:marRight w:val="0"/>
          <w:marTop w:val="0"/>
          <w:marBottom w:val="0"/>
          <w:divBdr>
            <w:top w:val="none" w:sz="0" w:space="0" w:color="auto"/>
            <w:left w:val="none" w:sz="0" w:space="0" w:color="auto"/>
            <w:bottom w:val="none" w:sz="0" w:space="0" w:color="auto"/>
            <w:right w:val="none" w:sz="0" w:space="0" w:color="auto"/>
          </w:divBdr>
          <w:divsChild>
            <w:div w:id="1466238823">
              <w:marLeft w:val="0"/>
              <w:marRight w:val="0"/>
              <w:marTop w:val="0"/>
              <w:marBottom w:val="0"/>
              <w:divBdr>
                <w:top w:val="none" w:sz="0" w:space="0" w:color="auto"/>
                <w:left w:val="none" w:sz="0" w:space="0" w:color="auto"/>
                <w:bottom w:val="none" w:sz="0" w:space="0" w:color="auto"/>
                <w:right w:val="none" w:sz="0" w:space="0" w:color="auto"/>
              </w:divBdr>
              <w:divsChild>
                <w:div w:id="14846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983">
          <w:marLeft w:val="0"/>
          <w:marRight w:val="0"/>
          <w:marTop w:val="0"/>
          <w:marBottom w:val="0"/>
          <w:divBdr>
            <w:top w:val="none" w:sz="0" w:space="0" w:color="auto"/>
            <w:left w:val="none" w:sz="0" w:space="0" w:color="auto"/>
            <w:bottom w:val="none" w:sz="0" w:space="0" w:color="auto"/>
            <w:right w:val="none" w:sz="0" w:space="0" w:color="auto"/>
          </w:divBdr>
          <w:divsChild>
            <w:div w:id="198665103">
              <w:marLeft w:val="0"/>
              <w:marRight w:val="0"/>
              <w:marTop w:val="0"/>
              <w:marBottom w:val="0"/>
              <w:divBdr>
                <w:top w:val="none" w:sz="0" w:space="0" w:color="auto"/>
                <w:left w:val="none" w:sz="0" w:space="0" w:color="auto"/>
                <w:bottom w:val="none" w:sz="0" w:space="0" w:color="auto"/>
                <w:right w:val="none" w:sz="0" w:space="0" w:color="auto"/>
              </w:divBdr>
              <w:divsChild>
                <w:div w:id="522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1904">
          <w:marLeft w:val="0"/>
          <w:marRight w:val="0"/>
          <w:marTop w:val="0"/>
          <w:marBottom w:val="0"/>
          <w:divBdr>
            <w:top w:val="none" w:sz="0" w:space="0" w:color="auto"/>
            <w:left w:val="none" w:sz="0" w:space="0" w:color="auto"/>
            <w:bottom w:val="none" w:sz="0" w:space="0" w:color="auto"/>
            <w:right w:val="none" w:sz="0" w:space="0" w:color="auto"/>
          </w:divBdr>
          <w:divsChild>
            <w:div w:id="1111588730">
              <w:marLeft w:val="0"/>
              <w:marRight w:val="0"/>
              <w:marTop w:val="0"/>
              <w:marBottom w:val="0"/>
              <w:divBdr>
                <w:top w:val="none" w:sz="0" w:space="0" w:color="auto"/>
                <w:left w:val="none" w:sz="0" w:space="0" w:color="auto"/>
                <w:bottom w:val="none" w:sz="0" w:space="0" w:color="auto"/>
                <w:right w:val="none" w:sz="0" w:space="0" w:color="auto"/>
              </w:divBdr>
              <w:divsChild>
                <w:div w:id="3676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5071">
          <w:marLeft w:val="0"/>
          <w:marRight w:val="0"/>
          <w:marTop w:val="0"/>
          <w:marBottom w:val="0"/>
          <w:divBdr>
            <w:top w:val="none" w:sz="0" w:space="0" w:color="auto"/>
            <w:left w:val="none" w:sz="0" w:space="0" w:color="auto"/>
            <w:bottom w:val="none" w:sz="0" w:space="0" w:color="auto"/>
            <w:right w:val="none" w:sz="0" w:space="0" w:color="auto"/>
          </w:divBdr>
          <w:divsChild>
            <w:div w:id="117841249">
              <w:marLeft w:val="0"/>
              <w:marRight w:val="0"/>
              <w:marTop w:val="0"/>
              <w:marBottom w:val="0"/>
              <w:divBdr>
                <w:top w:val="none" w:sz="0" w:space="0" w:color="auto"/>
                <w:left w:val="none" w:sz="0" w:space="0" w:color="auto"/>
                <w:bottom w:val="none" w:sz="0" w:space="0" w:color="auto"/>
                <w:right w:val="none" w:sz="0" w:space="0" w:color="auto"/>
              </w:divBdr>
              <w:divsChild>
                <w:div w:id="15829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18535">
          <w:marLeft w:val="0"/>
          <w:marRight w:val="0"/>
          <w:marTop w:val="0"/>
          <w:marBottom w:val="0"/>
          <w:divBdr>
            <w:top w:val="none" w:sz="0" w:space="0" w:color="auto"/>
            <w:left w:val="none" w:sz="0" w:space="0" w:color="auto"/>
            <w:bottom w:val="none" w:sz="0" w:space="0" w:color="auto"/>
            <w:right w:val="none" w:sz="0" w:space="0" w:color="auto"/>
          </w:divBdr>
          <w:divsChild>
            <w:div w:id="310062748">
              <w:marLeft w:val="0"/>
              <w:marRight w:val="0"/>
              <w:marTop w:val="0"/>
              <w:marBottom w:val="0"/>
              <w:divBdr>
                <w:top w:val="none" w:sz="0" w:space="0" w:color="auto"/>
                <w:left w:val="none" w:sz="0" w:space="0" w:color="auto"/>
                <w:bottom w:val="none" w:sz="0" w:space="0" w:color="auto"/>
                <w:right w:val="none" w:sz="0" w:space="0" w:color="auto"/>
              </w:divBdr>
              <w:divsChild>
                <w:div w:id="2276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749">
          <w:marLeft w:val="0"/>
          <w:marRight w:val="0"/>
          <w:marTop w:val="0"/>
          <w:marBottom w:val="0"/>
          <w:divBdr>
            <w:top w:val="none" w:sz="0" w:space="0" w:color="auto"/>
            <w:left w:val="none" w:sz="0" w:space="0" w:color="auto"/>
            <w:bottom w:val="none" w:sz="0" w:space="0" w:color="auto"/>
            <w:right w:val="none" w:sz="0" w:space="0" w:color="auto"/>
          </w:divBdr>
          <w:divsChild>
            <w:div w:id="1338925570">
              <w:marLeft w:val="0"/>
              <w:marRight w:val="0"/>
              <w:marTop w:val="0"/>
              <w:marBottom w:val="0"/>
              <w:divBdr>
                <w:top w:val="none" w:sz="0" w:space="0" w:color="auto"/>
                <w:left w:val="none" w:sz="0" w:space="0" w:color="auto"/>
                <w:bottom w:val="none" w:sz="0" w:space="0" w:color="auto"/>
                <w:right w:val="none" w:sz="0" w:space="0" w:color="auto"/>
              </w:divBdr>
              <w:divsChild>
                <w:div w:id="5268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286">
          <w:marLeft w:val="0"/>
          <w:marRight w:val="0"/>
          <w:marTop w:val="0"/>
          <w:marBottom w:val="0"/>
          <w:divBdr>
            <w:top w:val="none" w:sz="0" w:space="0" w:color="auto"/>
            <w:left w:val="none" w:sz="0" w:space="0" w:color="auto"/>
            <w:bottom w:val="none" w:sz="0" w:space="0" w:color="auto"/>
            <w:right w:val="none" w:sz="0" w:space="0" w:color="auto"/>
          </w:divBdr>
          <w:divsChild>
            <w:div w:id="1457680276">
              <w:marLeft w:val="0"/>
              <w:marRight w:val="0"/>
              <w:marTop w:val="0"/>
              <w:marBottom w:val="0"/>
              <w:divBdr>
                <w:top w:val="none" w:sz="0" w:space="0" w:color="auto"/>
                <w:left w:val="none" w:sz="0" w:space="0" w:color="auto"/>
                <w:bottom w:val="none" w:sz="0" w:space="0" w:color="auto"/>
                <w:right w:val="none" w:sz="0" w:space="0" w:color="auto"/>
              </w:divBdr>
              <w:divsChild>
                <w:div w:id="12575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6188">
          <w:marLeft w:val="0"/>
          <w:marRight w:val="0"/>
          <w:marTop w:val="0"/>
          <w:marBottom w:val="0"/>
          <w:divBdr>
            <w:top w:val="none" w:sz="0" w:space="0" w:color="auto"/>
            <w:left w:val="none" w:sz="0" w:space="0" w:color="auto"/>
            <w:bottom w:val="none" w:sz="0" w:space="0" w:color="auto"/>
            <w:right w:val="none" w:sz="0" w:space="0" w:color="auto"/>
          </w:divBdr>
          <w:divsChild>
            <w:div w:id="257564018">
              <w:marLeft w:val="0"/>
              <w:marRight w:val="0"/>
              <w:marTop w:val="0"/>
              <w:marBottom w:val="0"/>
              <w:divBdr>
                <w:top w:val="none" w:sz="0" w:space="0" w:color="auto"/>
                <w:left w:val="none" w:sz="0" w:space="0" w:color="auto"/>
                <w:bottom w:val="none" w:sz="0" w:space="0" w:color="auto"/>
                <w:right w:val="none" w:sz="0" w:space="0" w:color="auto"/>
              </w:divBdr>
              <w:divsChild>
                <w:div w:id="14658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312">
          <w:marLeft w:val="0"/>
          <w:marRight w:val="0"/>
          <w:marTop w:val="0"/>
          <w:marBottom w:val="0"/>
          <w:divBdr>
            <w:top w:val="none" w:sz="0" w:space="0" w:color="auto"/>
            <w:left w:val="none" w:sz="0" w:space="0" w:color="auto"/>
            <w:bottom w:val="none" w:sz="0" w:space="0" w:color="auto"/>
            <w:right w:val="none" w:sz="0" w:space="0" w:color="auto"/>
          </w:divBdr>
          <w:divsChild>
            <w:div w:id="1354258116">
              <w:marLeft w:val="0"/>
              <w:marRight w:val="0"/>
              <w:marTop w:val="0"/>
              <w:marBottom w:val="0"/>
              <w:divBdr>
                <w:top w:val="none" w:sz="0" w:space="0" w:color="auto"/>
                <w:left w:val="none" w:sz="0" w:space="0" w:color="auto"/>
                <w:bottom w:val="none" w:sz="0" w:space="0" w:color="auto"/>
                <w:right w:val="none" w:sz="0" w:space="0" w:color="auto"/>
              </w:divBdr>
              <w:divsChild>
                <w:div w:id="11266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2430">
          <w:marLeft w:val="0"/>
          <w:marRight w:val="0"/>
          <w:marTop w:val="0"/>
          <w:marBottom w:val="0"/>
          <w:divBdr>
            <w:top w:val="none" w:sz="0" w:space="0" w:color="auto"/>
            <w:left w:val="none" w:sz="0" w:space="0" w:color="auto"/>
            <w:bottom w:val="none" w:sz="0" w:space="0" w:color="auto"/>
            <w:right w:val="none" w:sz="0" w:space="0" w:color="auto"/>
          </w:divBdr>
          <w:divsChild>
            <w:div w:id="241991594">
              <w:marLeft w:val="0"/>
              <w:marRight w:val="0"/>
              <w:marTop w:val="0"/>
              <w:marBottom w:val="0"/>
              <w:divBdr>
                <w:top w:val="none" w:sz="0" w:space="0" w:color="auto"/>
                <w:left w:val="none" w:sz="0" w:space="0" w:color="auto"/>
                <w:bottom w:val="none" w:sz="0" w:space="0" w:color="auto"/>
                <w:right w:val="none" w:sz="0" w:space="0" w:color="auto"/>
              </w:divBdr>
              <w:divsChild>
                <w:div w:id="18030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9472">
          <w:marLeft w:val="0"/>
          <w:marRight w:val="0"/>
          <w:marTop w:val="0"/>
          <w:marBottom w:val="0"/>
          <w:divBdr>
            <w:top w:val="none" w:sz="0" w:space="0" w:color="auto"/>
            <w:left w:val="none" w:sz="0" w:space="0" w:color="auto"/>
            <w:bottom w:val="none" w:sz="0" w:space="0" w:color="auto"/>
            <w:right w:val="none" w:sz="0" w:space="0" w:color="auto"/>
          </w:divBdr>
          <w:divsChild>
            <w:div w:id="1342781369">
              <w:marLeft w:val="0"/>
              <w:marRight w:val="0"/>
              <w:marTop w:val="0"/>
              <w:marBottom w:val="0"/>
              <w:divBdr>
                <w:top w:val="none" w:sz="0" w:space="0" w:color="auto"/>
                <w:left w:val="none" w:sz="0" w:space="0" w:color="auto"/>
                <w:bottom w:val="none" w:sz="0" w:space="0" w:color="auto"/>
                <w:right w:val="none" w:sz="0" w:space="0" w:color="auto"/>
              </w:divBdr>
              <w:divsChild>
                <w:div w:id="1104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4842">
          <w:marLeft w:val="0"/>
          <w:marRight w:val="0"/>
          <w:marTop w:val="0"/>
          <w:marBottom w:val="0"/>
          <w:divBdr>
            <w:top w:val="none" w:sz="0" w:space="0" w:color="auto"/>
            <w:left w:val="none" w:sz="0" w:space="0" w:color="auto"/>
            <w:bottom w:val="none" w:sz="0" w:space="0" w:color="auto"/>
            <w:right w:val="none" w:sz="0" w:space="0" w:color="auto"/>
          </w:divBdr>
          <w:divsChild>
            <w:div w:id="296881265">
              <w:marLeft w:val="0"/>
              <w:marRight w:val="0"/>
              <w:marTop w:val="0"/>
              <w:marBottom w:val="0"/>
              <w:divBdr>
                <w:top w:val="none" w:sz="0" w:space="0" w:color="auto"/>
                <w:left w:val="none" w:sz="0" w:space="0" w:color="auto"/>
                <w:bottom w:val="none" w:sz="0" w:space="0" w:color="auto"/>
                <w:right w:val="none" w:sz="0" w:space="0" w:color="auto"/>
              </w:divBdr>
              <w:divsChild>
                <w:div w:id="2306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868">
          <w:marLeft w:val="0"/>
          <w:marRight w:val="0"/>
          <w:marTop w:val="0"/>
          <w:marBottom w:val="0"/>
          <w:divBdr>
            <w:top w:val="none" w:sz="0" w:space="0" w:color="auto"/>
            <w:left w:val="none" w:sz="0" w:space="0" w:color="auto"/>
            <w:bottom w:val="none" w:sz="0" w:space="0" w:color="auto"/>
            <w:right w:val="none" w:sz="0" w:space="0" w:color="auto"/>
          </w:divBdr>
          <w:divsChild>
            <w:div w:id="525145331">
              <w:marLeft w:val="0"/>
              <w:marRight w:val="0"/>
              <w:marTop w:val="0"/>
              <w:marBottom w:val="0"/>
              <w:divBdr>
                <w:top w:val="none" w:sz="0" w:space="0" w:color="auto"/>
                <w:left w:val="none" w:sz="0" w:space="0" w:color="auto"/>
                <w:bottom w:val="none" w:sz="0" w:space="0" w:color="auto"/>
                <w:right w:val="none" w:sz="0" w:space="0" w:color="auto"/>
              </w:divBdr>
              <w:divsChild>
                <w:div w:id="1531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6095">
          <w:marLeft w:val="0"/>
          <w:marRight w:val="0"/>
          <w:marTop w:val="0"/>
          <w:marBottom w:val="0"/>
          <w:divBdr>
            <w:top w:val="none" w:sz="0" w:space="0" w:color="auto"/>
            <w:left w:val="none" w:sz="0" w:space="0" w:color="auto"/>
            <w:bottom w:val="none" w:sz="0" w:space="0" w:color="auto"/>
            <w:right w:val="none" w:sz="0" w:space="0" w:color="auto"/>
          </w:divBdr>
          <w:divsChild>
            <w:div w:id="353264368">
              <w:marLeft w:val="0"/>
              <w:marRight w:val="0"/>
              <w:marTop w:val="0"/>
              <w:marBottom w:val="0"/>
              <w:divBdr>
                <w:top w:val="none" w:sz="0" w:space="0" w:color="auto"/>
                <w:left w:val="none" w:sz="0" w:space="0" w:color="auto"/>
                <w:bottom w:val="none" w:sz="0" w:space="0" w:color="auto"/>
                <w:right w:val="none" w:sz="0" w:space="0" w:color="auto"/>
              </w:divBdr>
              <w:divsChild>
                <w:div w:id="8445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2805">
          <w:marLeft w:val="0"/>
          <w:marRight w:val="0"/>
          <w:marTop w:val="0"/>
          <w:marBottom w:val="0"/>
          <w:divBdr>
            <w:top w:val="none" w:sz="0" w:space="0" w:color="auto"/>
            <w:left w:val="none" w:sz="0" w:space="0" w:color="auto"/>
            <w:bottom w:val="none" w:sz="0" w:space="0" w:color="auto"/>
            <w:right w:val="none" w:sz="0" w:space="0" w:color="auto"/>
          </w:divBdr>
          <w:divsChild>
            <w:div w:id="1400710815">
              <w:marLeft w:val="0"/>
              <w:marRight w:val="0"/>
              <w:marTop w:val="0"/>
              <w:marBottom w:val="0"/>
              <w:divBdr>
                <w:top w:val="none" w:sz="0" w:space="0" w:color="auto"/>
                <w:left w:val="none" w:sz="0" w:space="0" w:color="auto"/>
                <w:bottom w:val="none" w:sz="0" w:space="0" w:color="auto"/>
                <w:right w:val="none" w:sz="0" w:space="0" w:color="auto"/>
              </w:divBdr>
              <w:divsChild>
                <w:div w:id="10954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3526">
          <w:marLeft w:val="0"/>
          <w:marRight w:val="0"/>
          <w:marTop w:val="0"/>
          <w:marBottom w:val="0"/>
          <w:divBdr>
            <w:top w:val="none" w:sz="0" w:space="0" w:color="auto"/>
            <w:left w:val="none" w:sz="0" w:space="0" w:color="auto"/>
            <w:bottom w:val="none" w:sz="0" w:space="0" w:color="auto"/>
            <w:right w:val="none" w:sz="0" w:space="0" w:color="auto"/>
          </w:divBdr>
          <w:divsChild>
            <w:div w:id="816998102">
              <w:marLeft w:val="0"/>
              <w:marRight w:val="0"/>
              <w:marTop w:val="0"/>
              <w:marBottom w:val="0"/>
              <w:divBdr>
                <w:top w:val="none" w:sz="0" w:space="0" w:color="auto"/>
                <w:left w:val="none" w:sz="0" w:space="0" w:color="auto"/>
                <w:bottom w:val="none" w:sz="0" w:space="0" w:color="auto"/>
                <w:right w:val="none" w:sz="0" w:space="0" w:color="auto"/>
              </w:divBdr>
              <w:divsChild>
                <w:div w:id="1153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373">
          <w:marLeft w:val="0"/>
          <w:marRight w:val="0"/>
          <w:marTop w:val="0"/>
          <w:marBottom w:val="0"/>
          <w:divBdr>
            <w:top w:val="none" w:sz="0" w:space="0" w:color="auto"/>
            <w:left w:val="none" w:sz="0" w:space="0" w:color="auto"/>
            <w:bottom w:val="none" w:sz="0" w:space="0" w:color="auto"/>
            <w:right w:val="none" w:sz="0" w:space="0" w:color="auto"/>
          </w:divBdr>
          <w:divsChild>
            <w:div w:id="917059398">
              <w:marLeft w:val="0"/>
              <w:marRight w:val="0"/>
              <w:marTop w:val="0"/>
              <w:marBottom w:val="0"/>
              <w:divBdr>
                <w:top w:val="none" w:sz="0" w:space="0" w:color="auto"/>
                <w:left w:val="none" w:sz="0" w:space="0" w:color="auto"/>
                <w:bottom w:val="none" w:sz="0" w:space="0" w:color="auto"/>
                <w:right w:val="none" w:sz="0" w:space="0" w:color="auto"/>
              </w:divBdr>
              <w:divsChild>
                <w:div w:id="550267986">
                  <w:marLeft w:val="0"/>
                  <w:marRight w:val="0"/>
                  <w:marTop w:val="0"/>
                  <w:marBottom w:val="0"/>
                  <w:divBdr>
                    <w:top w:val="none" w:sz="0" w:space="0" w:color="auto"/>
                    <w:left w:val="none" w:sz="0" w:space="0" w:color="auto"/>
                    <w:bottom w:val="none" w:sz="0" w:space="0" w:color="auto"/>
                    <w:right w:val="none" w:sz="0" w:space="0" w:color="auto"/>
                  </w:divBdr>
                </w:div>
              </w:divsChild>
            </w:div>
            <w:div w:id="1727610353">
              <w:marLeft w:val="0"/>
              <w:marRight w:val="0"/>
              <w:marTop w:val="0"/>
              <w:marBottom w:val="0"/>
              <w:divBdr>
                <w:top w:val="none" w:sz="0" w:space="0" w:color="auto"/>
                <w:left w:val="none" w:sz="0" w:space="0" w:color="auto"/>
                <w:bottom w:val="none" w:sz="0" w:space="0" w:color="auto"/>
                <w:right w:val="none" w:sz="0" w:space="0" w:color="auto"/>
              </w:divBdr>
              <w:divsChild>
                <w:div w:id="1023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6517">
          <w:marLeft w:val="0"/>
          <w:marRight w:val="0"/>
          <w:marTop w:val="0"/>
          <w:marBottom w:val="0"/>
          <w:divBdr>
            <w:top w:val="none" w:sz="0" w:space="0" w:color="auto"/>
            <w:left w:val="none" w:sz="0" w:space="0" w:color="auto"/>
            <w:bottom w:val="none" w:sz="0" w:space="0" w:color="auto"/>
            <w:right w:val="none" w:sz="0" w:space="0" w:color="auto"/>
          </w:divBdr>
          <w:divsChild>
            <w:div w:id="39480125">
              <w:marLeft w:val="0"/>
              <w:marRight w:val="0"/>
              <w:marTop w:val="0"/>
              <w:marBottom w:val="0"/>
              <w:divBdr>
                <w:top w:val="none" w:sz="0" w:space="0" w:color="auto"/>
                <w:left w:val="none" w:sz="0" w:space="0" w:color="auto"/>
                <w:bottom w:val="none" w:sz="0" w:space="0" w:color="auto"/>
                <w:right w:val="none" w:sz="0" w:space="0" w:color="auto"/>
              </w:divBdr>
              <w:divsChild>
                <w:div w:id="427193619">
                  <w:marLeft w:val="0"/>
                  <w:marRight w:val="0"/>
                  <w:marTop w:val="0"/>
                  <w:marBottom w:val="0"/>
                  <w:divBdr>
                    <w:top w:val="none" w:sz="0" w:space="0" w:color="auto"/>
                    <w:left w:val="none" w:sz="0" w:space="0" w:color="auto"/>
                    <w:bottom w:val="none" w:sz="0" w:space="0" w:color="auto"/>
                    <w:right w:val="none" w:sz="0" w:space="0" w:color="auto"/>
                  </w:divBdr>
                </w:div>
              </w:divsChild>
            </w:div>
            <w:div w:id="1301836657">
              <w:marLeft w:val="0"/>
              <w:marRight w:val="0"/>
              <w:marTop w:val="0"/>
              <w:marBottom w:val="0"/>
              <w:divBdr>
                <w:top w:val="none" w:sz="0" w:space="0" w:color="auto"/>
                <w:left w:val="none" w:sz="0" w:space="0" w:color="auto"/>
                <w:bottom w:val="none" w:sz="0" w:space="0" w:color="auto"/>
                <w:right w:val="none" w:sz="0" w:space="0" w:color="auto"/>
              </w:divBdr>
              <w:divsChild>
                <w:div w:id="7819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1316">
          <w:marLeft w:val="0"/>
          <w:marRight w:val="0"/>
          <w:marTop w:val="0"/>
          <w:marBottom w:val="0"/>
          <w:divBdr>
            <w:top w:val="none" w:sz="0" w:space="0" w:color="auto"/>
            <w:left w:val="none" w:sz="0" w:space="0" w:color="auto"/>
            <w:bottom w:val="none" w:sz="0" w:space="0" w:color="auto"/>
            <w:right w:val="none" w:sz="0" w:space="0" w:color="auto"/>
          </w:divBdr>
          <w:divsChild>
            <w:div w:id="1031761356">
              <w:marLeft w:val="0"/>
              <w:marRight w:val="0"/>
              <w:marTop w:val="0"/>
              <w:marBottom w:val="0"/>
              <w:divBdr>
                <w:top w:val="none" w:sz="0" w:space="0" w:color="auto"/>
                <w:left w:val="none" w:sz="0" w:space="0" w:color="auto"/>
                <w:bottom w:val="none" w:sz="0" w:space="0" w:color="auto"/>
                <w:right w:val="none" w:sz="0" w:space="0" w:color="auto"/>
              </w:divBdr>
              <w:divsChild>
                <w:div w:id="2929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0894">
          <w:marLeft w:val="0"/>
          <w:marRight w:val="0"/>
          <w:marTop w:val="0"/>
          <w:marBottom w:val="0"/>
          <w:divBdr>
            <w:top w:val="none" w:sz="0" w:space="0" w:color="auto"/>
            <w:left w:val="none" w:sz="0" w:space="0" w:color="auto"/>
            <w:bottom w:val="none" w:sz="0" w:space="0" w:color="auto"/>
            <w:right w:val="none" w:sz="0" w:space="0" w:color="auto"/>
          </w:divBdr>
          <w:divsChild>
            <w:div w:id="1571887508">
              <w:marLeft w:val="0"/>
              <w:marRight w:val="0"/>
              <w:marTop w:val="0"/>
              <w:marBottom w:val="0"/>
              <w:divBdr>
                <w:top w:val="none" w:sz="0" w:space="0" w:color="auto"/>
                <w:left w:val="none" w:sz="0" w:space="0" w:color="auto"/>
                <w:bottom w:val="none" w:sz="0" w:space="0" w:color="auto"/>
                <w:right w:val="none" w:sz="0" w:space="0" w:color="auto"/>
              </w:divBdr>
              <w:divsChild>
                <w:div w:id="12280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6020">
          <w:marLeft w:val="0"/>
          <w:marRight w:val="0"/>
          <w:marTop w:val="0"/>
          <w:marBottom w:val="0"/>
          <w:divBdr>
            <w:top w:val="none" w:sz="0" w:space="0" w:color="auto"/>
            <w:left w:val="none" w:sz="0" w:space="0" w:color="auto"/>
            <w:bottom w:val="none" w:sz="0" w:space="0" w:color="auto"/>
            <w:right w:val="none" w:sz="0" w:space="0" w:color="auto"/>
          </w:divBdr>
          <w:divsChild>
            <w:div w:id="1772503174">
              <w:marLeft w:val="0"/>
              <w:marRight w:val="0"/>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4768">
      <w:bodyDiv w:val="1"/>
      <w:marLeft w:val="0"/>
      <w:marRight w:val="0"/>
      <w:marTop w:val="0"/>
      <w:marBottom w:val="0"/>
      <w:divBdr>
        <w:top w:val="none" w:sz="0" w:space="0" w:color="auto"/>
        <w:left w:val="none" w:sz="0" w:space="0" w:color="auto"/>
        <w:bottom w:val="none" w:sz="0" w:space="0" w:color="auto"/>
        <w:right w:val="none" w:sz="0" w:space="0" w:color="auto"/>
      </w:divBdr>
      <w:divsChild>
        <w:div w:id="337076008">
          <w:marLeft w:val="0"/>
          <w:marRight w:val="0"/>
          <w:marTop w:val="0"/>
          <w:marBottom w:val="0"/>
          <w:divBdr>
            <w:top w:val="none" w:sz="0" w:space="0" w:color="auto"/>
            <w:left w:val="none" w:sz="0" w:space="0" w:color="auto"/>
            <w:bottom w:val="none" w:sz="0" w:space="0" w:color="auto"/>
            <w:right w:val="none" w:sz="0" w:space="0" w:color="auto"/>
          </w:divBdr>
          <w:divsChild>
            <w:div w:id="692927052">
              <w:marLeft w:val="0"/>
              <w:marRight w:val="0"/>
              <w:marTop w:val="0"/>
              <w:marBottom w:val="0"/>
              <w:divBdr>
                <w:top w:val="none" w:sz="0" w:space="0" w:color="auto"/>
                <w:left w:val="none" w:sz="0" w:space="0" w:color="auto"/>
                <w:bottom w:val="none" w:sz="0" w:space="0" w:color="auto"/>
                <w:right w:val="none" w:sz="0" w:space="0" w:color="auto"/>
              </w:divBdr>
            </w:div>
          </w:divsChild>
        </w:div>
        <w:div w:id="1152213862">
          <w:marLeft w:val="0"/>
          <w:marRight w:val="0"/>
          <w:marTop w:val="0"/>
          <w:marBottom w:val="0"/>
          <w:divBdr>
            <w:top w:val="none" w:sz="0" w:space="0" w:color="auto"/>
            <w:left w:val="none" w:sz="0" w:space="0" w:color="auto"/>
            <w:bottom w:val="none" w:sz="0" w:space="0" w:color="auto"/>
            <w:right w:val="none" w:sz="0" w:space="0" w:color="auto"/>
          </w:divBdr>
          <w:divsChild>
            <w:div w:id="578056692">
              <w:marLeft w:val="0"/>
              <w:marRight w:val="0"/>
              <w:marTop w:val="0"/>
              <w:marBottom w:val="0"/>
              <w:divBdr>
                <w:top w:val="none" w:sz="0" w:space="0" w:color="auto"/>
                <w:left w:val="none" w:sz="0" w:space="0" w:color="auto"/>
                <w:bottom w:val="none" w:sz="0" w:space="0" w:color="auto"/>
                <w:right w:val="none" w:sz="0" w:space="0" w:color="auto"/>
              </w:divBdr>
            </w:div>
          </w:divsChild>
        </w:div>
        <w:div w:id="1159224014">
          <w:marLeft w:val="0"/>
          <w:marRight w:val="0"/>
          <w:marTop w:val="0"/>
          <w:marBottom w:val="0"/>
          <w:divBdr>
            <w:top w:val="none" w:sz="0" w:space="0" w:color="auto"/>
            <w:left w:val="none" w:sz="0" w:space="0" w:color="auto"/>
            <w:bottom w:val="none" w:sz="0" w:space="0" w:color="auto"/>
            <w:right w:val="none" w:sz="0" w:space="0" w:color="auto"/>
          </w:divBdr>
          <w:divsChild>
            <w:div w:id="444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1875">
      <w:bodyDiv w:val="1"/>
      <w:marLeft w:val="0"/>
      <w:marRight w:val="0"/>
      <w:marTop w:val="0"/>
      <w:marBottom w:val="0"/>
      <w:divBdr>
        <w:top w:val="none" w:sz="0" w:space="0" w:color="auto"/>
        <w:left w:val="none" w:sz="0" w:space="0" w:color="auto"/>
        <w:bottom w:val="none" w:sz="0" w:space="0" w:color="auto"/>
        <w:right w:val="none" w:sz="0" w:space="0" w:color="auto"/>
      </w:divBdr>
    </w:div>
    <w:div w:id="1479107407">
      <w:bodyDiv w:val="1"/>
      <w:marLeft w:val="0"/>
      <w:marRight w:val="0"/>
      <w:marTop w:val="0"/>
      <w:marBottom w:val="0"/>
      <w:divBdr>
        <w:top w:val="none" w:sz="0" w:space="0" w:color="auto"/>
        <w:left w:val="none" w:sz="0" w:space="0" w:color="auto"/>
        <w:bottom w:val="none" w:sz="0" w:space="0" w:color="auto"/>
        <w:right w:val="none" w:sz="0" w:space="0" w:color="auto"/>
      </w:divBdr>
      <w:divsChild>
        <w:div w:id="367536880">
          <w:marLeft w:val="0"/>
          <w:marRight w:val="0"/>
          <w:marTop w:val="0"/>
          <w:marBottom w:val="0"/>
          <w:divBdr>
            <w:top w:val="none" w:sz="0" w:space="0" w:color="auto"/>
            <w:left w:val="none" w:sz="0" w:space="0" w:color="auto"/>
            <w:bottom w:val="none" w:sz="0" w:space="0" w:color="auto"/>
            <w:right w:val="none" w:sz="0" w:space="0" w:color="auto"/>
          </w:divBdr>
          <w:divsChild>
            <w:div w:id="2117407319">
              <w:marLeft w:val="0"/>
              <w:marRight w:val="0"/>
              <w:marTop w:val="0"/>
              <w:marBottom w:val="0"/>
              <w:divBdr>
                <w:top w:val="none" w:sz="0" w:space="0" w:color="auto"/>
                <w:left w:val="none" w:sz="0" w:space="0" w:color="auto"/>
                <w:bottom w:val="none" w:sz="0" w:space="0" w:color="auto"/>
                <w:right w:val="none" w:sz="0" w:space="0" w:color="auto"/>
              </w:divBdr>
            </w:div>
          </w:divsChild>
        </w:div>
        <w:div w:id="872693883">
          <w:marLeft w:val="0"/>
          <w:marRight w:val="0"/>
          <w:marTop w:val="0"/>
          <w:marBottom w:val="0"/>
          <w:divBdr>
            <w:top w:val="none" w:sz="0" w:space="0" w:color="auto"/>
            <w:left w:val="none" w:sz="0" w:space="0" w:color="auto"/>
            <w:bottom w:val="none" w:sz="0" w:space="0" w:color="auto"/>
            <w:right w:val="none" w:sz="0" w:space="0" w:color="auto"/>
          </w:divBdr>
          <w:divsChild>
            <w:div w:id="400955718">
              <w:marLeft w:val="0"/>
              <w:marRight w:val="0"/>
              <w:marTop w:val="0"/>
              <w:marBottom w:val="0"/>
              <w:divBdr>
                <w:top w:val="none" w:sz="0" w:space="0" w:color="auto"/>
                <w:left w:val="none" w:sz="0" w:space="0" w:color="auto"/>
                <w:bottom w:val="none" w:sz="0" w:space="0" w:color="auto"/>
                <w:right w:val="none" w:sz="0" w:space="0" w:color="auto"/>
              </w:divBdr>
            </w:div>
          </w:divsChild>
        </w:div>
        <w:div w:id="1501503000">
          <w:marLeft w:val="0"/>
          <w:marRight w:val="0"/>
          <w:marTop w:val="0"/>
          <w:marBottom w:val="0"/>
          <w:divBdr>
            <w:top w:val="none" w:sz="0" w:space="0" w:color="auto"/>
            <w:left w:val="none" w:sz="0" w:space="0" w:color="auto"/>
            <w:bottom w:val="none" w:sz="0" w:space="0" w:color="auto"/>
            <w:right w:val="none" w:sz="0" w:space="0" w:color="auto"/>
          </w:divBdr>
          <w:divsChild>
            <w:div w:id="12203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96">
      <w:bodyDiv w:val="1"/>
      <w:marLeft w:val="0"/>
      <w:marRight w:val="0"/>
      <w:marTop w:val="0"/>
      <w:marBottom w:val="0"/>
      <w:divBdr>
        <w:top w:val="none" w:sz="0" w:space="0" w:color="auto"/>
        <w:left w:val="none" w:sz="0" w:space="0" w:color="auto"/>
        <w:bottom w:val="none" w:sz="0" w:space="0" w:color="auto"/>
        <w:right w:val="none" w:sz="0" w:space="0" w:color="auto"/>
      </w:divBdr>
      <w:divsChild>
        <w:div w:id="305404315">
          <w:marLeft w:val="0"/>
          <w:marRight w:val="0"/>
          <w:marTop w:val="0"/>
          <w:marBottom w:val="0"/>
          <w:divBdr>
            <w:top w:val="none" w:sz="0" w:space="0" w:color="auto"/>
            <w:left w:val="none" w:sz="0" w:space="0" w:color="auto"/>
            <w:bottom w:val="none" w:sz="0" w:space="0" w:color="auto"/>
            <w:right w:val="none" w:sz="0" w:space="0" w:color="auto"/>
          </w:divBdr>
          <w:divsChild>
            <w:div w:id="2006473781">
              <w:marLeft w:val="0"/>
              <w:marRight w:val="0"/>
              <w:marTop w:val="0"/>
              <w:marBottom w:val="0"/>
              <w:divBdr>
                <w:top w:val="none" w:sz="0" w:space="0" w:color="auto"/>
                <w:left w:val="none" w:sz="0" w:space="0" w:color="auto"/>
                <w:bottom w:val="none" w:sz="0" w:space="0" w:color="auto"/>
                <w:right w:val="none" w:sz="0" w:space="0" w:color="auto"/>
              </w:divBdr>
              <w:divsChild>
                <w:div w:id="11415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5535">
          <w:marLeft w:val="0"/>
          <w:marRight w:val="0"/>
          <w:marTop w:val="0"/>
          <w:marBottom w:val="0"/>
          <w:divBdr>
            <w:top w:val="none" w:sz="0" w:space="0" w:color="auto"/>
            <w:left w:val="none" w:sz="0" w:space="0" w:color="auto"/>
            <w:bottom w:val="none" w:sz="0" w:space="0" w:color="auto"/>
            <w:right w:val="none" w:sz="0" w:space="0" w:color="auto"/>
          </w:divBdr>
          <w:divsChild>
            <w:div w:id="368647077">
              <w:marLeft w:val="0"/>
              <w:marRight w:val="0"/>
              <w:marTop w:val="0"/>
              <w:marBottom w:val="0"/>
              <w:divBdr>
                <w:top w:val="none" w:sz="0" w:space="0" w:color="auto"/>
                <w:left w:val="none" w:sz="0" w:space="0" w:color="auto"/>
                <w:bottom w:val="none" w:sz="0" w:space="0" w:color="auto"/>
                <w:right w:val="none" w:sz="0" w:space="0" w:color="auto"/>
              </w:divBdr>
              <w:divsChild>
                <w:div w:id="3459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1496">
          <w:marLeft w:val="0"/>
          <w:marRight w:val="0"/>
          <w:marTop w:val="0"/>
          <w:marBottom w:val="0"/>
          <w:divBdr>
            <w:top w:val="none" w:sz="0" w:space="0" w:color="auto"/>
            <w:left w:val="none" w:sz="0" w:space="0" w:color="auto"/>
            <w:bottom w:val="none" w:sz="0" w:space="0" w:color="auto"/>
            <w:right w:val="none" w:sz="0" w:space="0" w:color="auto"/>
          </w:divBdr>
          <w:divsChild>
            <w:div w:id="755904012">
              <w:marLeft w:val="0"/>
              <w:marRight w:val="0"/>
              <w:marTop w:val="0"/>
              <w:marBottom w:val="0"/>
              <w:divBdr>
                <w:top w:val="none" w:sz="0" w:space="0" w:color="auto"/>
                <w:left w:val="none" w:sz="0" w:space="0" w:color="auto"/>
                <w:bottom w:val="none" w:sz="0" w:space="0" w:color="auto"/>
                <w:right w:val="none" w:sz="0" w:space="0" w:color="auto"/>
              </w:divBdr>
              <w:divsChild>
                <w:div w:id="1483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2821">
          <w:marLeft w:val="0"/>
          <w:marRight w:val="0"/>
          <w:marTop w:val="0"/>
          <w:marBottom w:val="0"/>
          <w:divBdr>
            <w:top w:val="none" w:sz="0" w:space="0" w:color="auto"/>
            <w:left w:val="none" w:sz="0" w:space="0" w:color="auto"/>
            <w:bottom w:val="none" w:sz="0" w:space="0" w:color="auto"/>
            <w:right w:val="none" w:sz="0" w:space="0" w:color="auto"/>
          </w:divBdr>
          <w:divsChild>
            <w:div w:id="687411138">
              <w:marLeft w:val="0"/>
              <w:marRight w:val="0"/>
              <w:marTop w:val="0"/>
              <w:marBottom w:val="0"/>
              <w:divBdr>
                <w:top w:val="none" w:sz="0" w:space="0" w:color="auto"/>
                <w:left w:val="none" w:sz="0" w:space="0" w:color="auto"/>
                <w:bottom w:val="none" w:sz="0" w:space="0" w:color="auto"/>
                <w:right w:val="none" w:sz="0" w:space="0" w:color="auto"/>
              </w:divBdr>
              <w:divsChild>
                <w:div w:id="150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4786">
          <w:marLeft w:val="0"/>
          <w:marRight w:val="0"/>
          <w:marTop w:val="0"/>
          <w:marBottom w:val="0"/>
          <w:divBdr>
            <w:top w:val="none" w:sz="0" w:space="0" w:color="auto"/>
            <w:left w:val="none" w:sz="0" w:space="0" w:color="auto"/>
            <w:bottom w:val="none" w:sz="0" w:space="0" w:color="auto"/>
            <w:right w:val="none" w:sz="0" w:space="0" w:color="auto"/>
          </w:divBdr>
          <w:divsChild>
            <w:div w:id="1209412332">
              <w:marLeft w:val="0"/>
              <w:marRight w:val="0"/>
              <w:marTop w:val="0"/>
              <w:marBottom w:val="0"/>
              <w:divBdr>
                <w:top w:val="none" w:sz="0" w:space="0" w:color="auto"/>
                <w:left w:val="none" w:sz="0" w:space="0" w:color="auto"/>
                <w:bottom w:val="none" w:sz="0" w:space="0" w:color="auto"/>
                <w:right w:val="none" w:sz="0" w:space="0" w:color="auto"/>
              </w:divBdr>
              <w:divsChild>
                <w:div w:id="7433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4079">
          <w:marLeft w:val="0"/>
          <w:marRight w:val="0"/>
          <w:marTop w:val="0"/>
          <w:marBottom w:val="0"/>
          <w:divBdr>
            <w:top w:val="none" w:sz="0" w:space="0" w:color="auto"/>
            <w:left w:val="none" w:sz="0" w:space="0" w:color="auto"/>
            <w:bottom w:val="none" w:sz="0" w:space="0" w:color="auto"/>
            <w:right w:val="none" w:sz="0" w:space="0" w:color="auto"/>
          </w:divBdr>
          <w:divsChild>
            <w:div w:id="865173130">
              <w:marLeft w:val="0"/>
              <w:marRight w:val="0"/>
              <w:marTop w:val="0"/>
              <w:marBottom w:val="0"/>
              <w:divBdr>
                <w:top w:val="none" w:sz="0" w:space="0" w:color="auto"/>
                <w:left w:val="none" w:sz="0" w:space="0" w:color="auto"/>
                <w:bottom w:val="none" w:sz="0" w:space="0" w:color="auto"/>
                <w:right w:val="none" w:sz="0" w:space="0" w:color="auto"/>
              </w:divBdr>
              <w:divsChild>
                <w:div w:id="12865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793">
          <w:marLeft w:val="0"/>
          <w:marRight w:val="0"/>
          <w:marTop w:val="0"/>
          <w:marBottom w:val="0"/>
          <w:divBdr>
            <w:top w:val="none" w:sz="0" w:space="0" w:color="auto"/>
            <w:left w:val="none" w:sz="0" w:space="0" w:color="auto"/>
            <w:bottom w:val="none" w:sz="0" w:space="0" w:color="auto"/>
            <w:right w:val="none" w:sz="0" w:space="0" w:color="auto"/>
          </w:divBdr>
          <w:divsChild>
            <w:div w:id="594898256">
              <w:marLeft w:val="0"/>
              <w:marRight w:val="0"/>
              <w:marTop w:val="0"/>
              <w:marBottom w:val="0"/>
              <w:divBdr>
                <w:top w:val="none" w:sz="0" w:space="0" w:color="auto"/>
                <w:left w:val="none" w:sz="0" w:space="0" w:color="auto"/>
                <w:bottom w:val="none" w:sz="0" w:space="0" w:color="auto"/>
                <w:right w:val="none" w:sz="0" w:space="0" w:color="auto"/>
              </w:divBdr>
              <w:divsChild>
                <w:div w:id="1932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0592">
          <w:marLeft w:val="0"/>
          <w:marRight w:val="0"/>
          <w:marTop w:val="0"/>
          <w:marBottom w:val="0"/>
          <w:divBdr>
            <w:top w:val="none" w:sz="0" w:space="0" w:color="auto"/>
            <w:left w:val="none" w:sz="0" w:space="0" w:color="auto"/>
            <w:bottom w:val="none" w:sz="0" w:space="0" w:color="auto"/>
            <w:right w:val="none" w:sz="0" w:space="0" w:color="auto"/>
          </w:divBdr>
          <w:divsChild>
            <w:div w:id="1689260578">
              <w:marLeft w:val="0"/>
              <w:marRight w:val="0"/>
              <w:marTop w:val="0"/>
              <w:marBottom w:val="0"/>
              <w:divBdr>
                <w:top w:val="none" w:sz="0" w:space="0" w:color="auto"/>
                <w:left w:val="none" w:sz="0" w:space="0" w:color="auto"/>
                <w:bottom w:val="none" w:sz="0" w:space="0" w:color="auto"/>
                <w:right w:val="none" w:sz="0" w:space="0" w:color="auto"/>
              </w:divBdr>
              <w:divsChild>
                <w:div w:id="10515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1800">
          <w:marLeft w:val="0"/>
          <w:marRight w:val="0"/>
          <w:marTop w:val="0"/>
          <w:marBottom w:val="0"/>
          <w:divBdr>
            <w:top w:val="none" w:sz="0" w:space="0" w:color="auto"/>
            <w:left w:val="none" w:sz="0" w:space="0" w:color="auto"/>
            <w:bottom w:val="none" w:sz="0" w:space="0" w:color="auto"/>
            <w:right w:val="none" w:sz="0" w:space="0" w:color="auto"/>
          </w:divBdr>
          <w:divsChild>
            <w:div w:id="1542209182">
              <w:marLeft w:val="0"/>
              <w:marRight w:val="0"/>
              <w:marTop w:val="0"/>
              <w:marBottom w:val="0"/>
              <w:divBdr>
                <w:top w:val="none" w:sz="0" w:space="0" w:color="auto"/>
                <w:left w:val="none" w:sz="0" w:space="0" w:color="auto"/>
                <w:bottom w:val="none" w:sz="0" w:space="0" w:color="auto"/>
                <w:right w:val="none" w:sz="0" w:space="0" w:color="auto"/>
              </w:divBdr>
              <w:divsChild>
                <w:div w:id="18248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71174">
          <w:marLeft w:val="0"/>
          <w:marRight w:val="0"/>
          <w:marTop w:val="0"/>
          <w:marBottom w:val="0"/>
          <w:divBdr>
            <w:top w:val="none" w:sz="0" w:space="0" w:color="auto"/>
            <w:left w:val="none" w:sz="0" w:space="0" w:color="auto"/>
            <w:bottom w:val="none" w:sz="0" w:space="0" w:color="auto"/>
            <w:right w:val="none" w:sz="0" w:space="0" w:color="auto"/>
          </w:divBdr>
          <w:divsChild>
            <w:div w:id="569654061">
              <w:marLeft w:val="0"/>
              <w:marRight w:val="0"/>
              <w:marTop w:val="0"/>
              <w:marBottom w:val="0"/>
              <w:divBdr>
                <w:top w:val="none" w:sz="0" w:space="0" w:color="auto"/>
                <w:left w:val="none" w:sz="0" w:space="0" w:color="auto"/>
                <w:bottom w:val="none" w:sz="0" w:space="0" w:color="auto"/>
                <w:right w:val="none" w:sz="0" w:space="0" w:color="auto"/>
              </w:divBdr>
              <w:divsChild>
                <w:div w:id="1195920430">
                  <w:marLeft w:val="0"/>
                  <w:marRight w:val="0"/>
                  <w:marTop w:val="0"/>
                  <w:marBottom w:val="0"/>
                  <w:divBdr>
                    <w:top w:val="none" w:sz="0" w:space="0" w:color="auto"/>
                    <w:left w:val="none" w:sz="0" w:space="0" w:color="auto"/>
                    <w:bottom w:val="none" w:sz="0" w:space="0" w:color="auto"/>
                    <w:right w:val="none" w:sz="0" w:space="0" w:color="auto"/>
                  </w:divBdr>
                </w:div>
              </w:divsChild>
            </w:div>
            <w:div w:id="1249193422">
              <w:marLeft w:val="0"/>
              <w:marRight w:val="0"/>
              <w:marTop w:val="0"/>
              <w:marBottom w:val="0"/>
              <w:divBdr>
                <w:top w:val="none" w:sz="0" w:space="0" w:color="auto"/>
                <w:left w:val="none" w:sz="0" w:space="0" w:color="auto"/>
                <w:bottom w:val="none" w:sz="0" w:space="0" w:color="auto"/>
                <w:right w:val="none" w:sz="0" w:space="0" w:color="auto"/>
              </w:divBdr>
              <w:divsChild>
                <w:div w:id="3438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3824">
          <w:marLeft w:val="0"/>
          <w:marRight w:val="0"/>
          <w:marTop w:val="0"/>
          <w:marBottom w:val="0"/>
          <w:divBdr>
            <w:top w:val="none" w:sz="0" w:space="0" w:color="auto"/>
            <w:left w:val="none" w:sz="0" w:space="0" w:color="auto"/>
            <w:bottom w:val="none" w:sz="0" w:space="0" w:color="auto"/>
            <w:right w:val="none" w:sz="0" w:space="0" w:color="auto"/>
          </w:divBdr>
          <w:divsChild>
            <w:div w:id="1141338729">
              <w:marLeft w:val="0"/>
              <w:marRight w:val="0"/>
              <w:marTop w:val="0"/>
              <w:marBottom w:val="0"/>
              <w:divBdr>
                <w:top w:val="none" w:sz="0" w:space="0" w:color="auto"/>
                <w:left w:val="none" w:sz="0" w:space="0" w:color="auto"/>
                <w:bottom w:val="none" w:sz="0" w:space="0" w:color="auto"/>
                <w:right w:val="none" w:sz="0" w:space="0" w:color="auto"/>
              </w:divBdr>
              <w:divsChild>
                <w:div w:id="15779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5111">
          <w:marLeft w:val="0"/>
          <w:marRight w:val="0"/>
          <w:marTop w:val="0"/>
          <w:marBottom w:val="0"/>
          <w:divBdr>
            <w:top w:val="none" w:sz="0" w:space="0" w:color="auto"/>
            <w:left w:val="none" w:sz="0" w:space="0" w:color="auto"/>
            <w:bottom w:val="none" w:sz="0" w:space="0" w:color="auto"/>
            <w:right w:val="none" w:sz="0" w:space="0" w:color="auto"/>
          </w:divBdr>
          <w:divsChild>
            <w:div w:id="566571240">
              <w:marLeft w:val="0"/>
              <w:marRight w:val="0"/>
              <w:marTop w:val="0"/>
              <w:marBottom w:val="0"/>
              <w:divBdr>
                <w:top w:val="none" w:sz="0" w:space="0" w:color="auto"/>
                <w:left w:val="none" w:sz="0" w:space="0" w:color="auto"/>
                <w:bottom w:val="none" w:sz="0" w:space="0" w:color="auto"/>
                <w:right w:val="none" w:sz="0" w:space="0" w:color="auto"/>
              </w:divBdr>
              <w:divsChild>
                <w:div w:id="9396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1262">
          <w:marLeft w:val="0"/>
          <w:marRight w:val="0"/>
          <w:marTop w:val="0"/>
          <w:marBottom w:val="0"/>
          <w:divBdr>
            <w:top w:val="none" w:sz="0" w:space="0" w:color="auto"/>
            <w:left w:val="none" w:sz="0" w:space="0" w:color="auto"/>
            <w:bottom w:val="none" w:sz="0" w:space="0" w:color="auto"/>
            <w:right w:val="none" w:sz="0" w:space="0" w:color="auto"/>
          </w:divBdr>
          <w:divsChild>
            <w:div w:id="2032147203">
              <w:marLeft w:val="0"/>
              <w:marRight w:val="0"/>
              <w:marTop w:val="0"/>
              <w:marBottom w:val="0"/>
              <w:divBdr>
                <w:top w:val="none" w:sz="0" w:space="0" w:color="auto"/>
                <w:left w:val="none" w:sz="0" w:space="0" w:color="auto"/>
                <w:bottom w:val="none" w:sz="0" w:space="0" w:color="auto"/>
                <w:right w:val="none" w:sz="0" w:space="0" w:color="auto"/>
              </w:divBdr>
              <w:divsChild>
                <w:div w:id="17847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3238">
          <w:marLeft w:val="0"/>
          <w:marRight w:val="0"/>
          <w:marTop w:val="0"/>
          <w:marBottom w:val="0"/>
          <w:divBdr>
            <w:top w:val="none" w:sz="0" w:space="0" w:color="auto"/>
            <w:left w:val="none" w:sz="0" w:space="0" w:color="auto"/>
            <w:bottom w:val="none" w:sz="0" w:space="0" w:color="auto"/>
            <w:right w:val="none" w:sz="0" w:space="0" w:color="auto"/>
          </w:divBdr>
          <w:divsChild>
            <w:div w:id="101844898">
              <w:marLeft w:val="0"/>
              <w:marRight w:val="0"/>
              <w:marTop w:val="0"/>
              <w:marBottom w:val="0"/>
              <w:divBdr>
                <w:top w:val="none" w:sz="0" w:space="0" w:color="auto"/>
                <w:left w:val="none" w:sz="0" w:space="0" w:color="auto"/>
                <w:bottom w:val="none" w:sz="0" w:space="0" w:color="auto"/>
                <w:right w:val="none" w:sz="0" w:space="0" w:color="auto"/>
              </w:divBdr>
              <w:divsChild>
                <w:div w:id="254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0261">
          <w:marLeft w:val="0"/>
          <w:marRight w:val="0"/>
          <w:marTop w:val="0"/>
          <w:marBottom w:val="0"/>
          <w:divBdr>
            <w:top w:val="none" w:sz="0" w:space="0" w:color="auto"/>
            <w:left w:val="none" w:sz="0" w:space="0" w:color="auto"/>
            <w:bottom w:val="none" w:sz="0" w:space="0" w:color="auto"/>
            <w:right w:val="none" w:sz="0" w:space="0" w:color="auto"/>
          </w:divBdr>
          <w:divsChild>
            <w:div w:id="244339240">
              <w:marLeft w:val="0"/>
              <w:marRight w:val="0"/>
              <w:marTop w:val="0"/>
              <w:marBottom w:val="0"/>
              <w:divBdr>
                <w:top w:val="none" w:sz="0" w:space="0" w:color="auto"/>
                <w:left w:val="none" w:sz="0" w:space="0" w:color="auto"/>
                <w:bottom w:val="none" w:sz="0" w:space="0" w:color="auto"/>
                <w:right w:val="none" w:sz="0" w:space="0" w:color="auto"/>
              </w:divBdr>
              <w:divsChild>
                <w:div w:id="1391492072">
                  <w:marLeft w:val="0"/>
                  <w:marRight w:val="0"/>
                  <w:marTop w:val="0"/>
                  <w:marBottom w:val="0"/>
                  <w:divBdr>
                    <w:top w:val="none" w:sz="0" w:space="0" w:color="auto"/>
                    <w:left w:val="none" w:sz="0" w:space="0" w:color="auto"/>
                    <w:bottom w:val="none" w:sz="0" w:space="0" w:color="auto"/>
                    <w:right w:val="none" w:sz="0" w:space="0" w:color="auto"/>
                  </w:divBdr>
                </w:div>
              </w:divsChild>
            </w:div>
            <w:div w:id="910695625">
              <w:marLeft w:val="0"/>
              <w:marRight w:val="0"/>
              <w:marTop w:val="0"/>
              <w:marBottom w:val="0"/>
              <w:divBdr>
                <w:top w:val="none" w:sz="0" w:space="0" w:color="auto"/>
                <w:left w:val="none" w:sz="0" w:space="0" w:color="auto"/>
                <w:bottom w:val="none" w:sz="0" w:space="0" w:color="auto"/>
                <w:right w:val="none" w:sz="0" w:space="0" w:color="auto"/>
              </w:divBdr>
              <w:divsChild>
                <w:div w:id="14800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3778">
          <w:marLeft w:val="0"/>
          <w:marRight w:val="0"/>
          <w:marTop w:val="0"/>
          <w:marBottom w:val="0"/>
          <w:divBdr>
            <w:top w:val="none" w:sz="0" w:space="0" w:color="auto"/>
            <w:left w:val="none" w:sz="0" w:space="0" w:color="auto"/>
            <w:bottom w:val="none" w:sz="0" w:space="0" w:color="auto"/>
            <w:right w:val="none" w:sz="0" w:space="0" w:color="auto"/>
          </w:divBdr>
          <w:divsChild>
            <w:div w:id="990868577">
              <w:marLeft w:val="0"/>
              <w:marRight w:val="0"/>
              <w:marTop w:val="0"/>
              <w:marBottom w:val="0"/>
              <w:divBdr>
                <w:top w:val="none" w:sz="0" w:space="0" w:color="auto"/>
                <w:left w:val="none" w:sz="0" w:space="0" w:color="auto"/>
                <w:bottom w:val="none" w:sz="0" w:space="0" w:color="auto"/>
                <w:right w:val="none" w:sz="0" w:space="0" w:color="auto"/>
              </w:divBdr>
              <w:divsChild>
                <w:div w:id="9303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2609">
          <w:marLeft w:val="0"/>
          <w:marRight w:val="0"/>
          <w:marTop w:val="0"/>
          <w:marBottom w:val="0"/>
          <w:divBdr>
            <w:top w:val="none" w:sz="0" w:space="0" w:color="auto"/>
            <w:left w:val="none" w:sz="0" w:space="0" w:color="auto"/>
            <w:bottom w:val="none" w:sz="0" w:space="0" w:color="auto"/>
            <w:right w:val="none" w:sz="0" w:space="0" w:color="auto"/>
          </w:divBdr>
          <w:divsChild>
            <w:div w:id="543715805">
              <w:marLeft w:val="0"/>
              <w:marRight w:val="0"/>
              <w:marTop w:val="0"/>
              <w:marBottom w:val="0"/>
              <w:divBdr>
                <w:top w:val="none" w:sz="0" w:space="0" w:color="auto"/>
                <w:left w:val="none" w:sz="0" w:space="0" w:color="auto"/>
                <w:bottom w:val="none" w:sz="0" w:space="0" w:color="auto"/>
                <w:right w:val="none" w:sz="0" w:space="0" w:color="auto"/>
              </w:divBdr>
              <w:divsChild>
                <w:div w:id="6804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916">
          <w:marLeft w:val="0"/>
          <w:marRight w:val="0"/>
          <w:marTop w:val="0"/>
          <w:marBottom w:val="0"/>
          <w:divBdr>
            <w:top w:val="none" w:sz="0" w:space="0" w:color="auto"/>
            <w:left w:val="none" w:sz="0" w:space="0" w:color="auto"/>
            <w:bottom w:val="none" w:sz="0" w:space="0" w:color="auto"/>
            <w:right w:val="none" w:sz="0" w:space="0" w:color="auto"/>
          </w:divBdr>
          <w:divsChild>
            <w:div w:id="779959530">
              <w:marLeft w:val="0"/>
              <w:marRight w:val="0"/>
              <w:marTop w:val="0"/>
              <w:marBottom w:val="0"/>
              <w:divBdr>
                <w:top w:val="none" w:sz="0" w:space="0" w:color="auto"/>
                <w:left w:val="none" w:sz="0" w:space="0" w:color="auto"/>
                <w:bottom w:val="none" w:sz="0" w:space="0" w:color="auto"/>
                <w:right w:val="none" w:sz="0" w:space="0" w:color="auto"/>
              </w:divBdr>
              <w:divsChild>
                <w:div w:id="20977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93588">
          <w:marLeft w:val="0"/>
          <w:marRight w:val="0"/>
          <w:marTop w:val="0"/>
          <w:marBottom w:val="0"/>
          <w:divBdr>
            <w:top w:val="none" w:sz="0" w:space="0" w:color="auto"/>
            <w:left w:val="none" w:sz="0" w:space="0" w:color="auto"/>
            <w:bottom w:val="none" w:sz="0" w:space="0" w:color="auto"/>
            <w:right w:val="none" w:sz="0" w:space="0" w:color="auto"/>
          </w:divBdr>
          <w:divsChild>
            <w:div w:id="1108744263">
              <w:marLeft w:val="0"/>
              <w:marRight w:val="0"/>
              <w:marTop w:val="0"/>
              <w:marBottom w:val="0"/>
              <w:divBdr>
                <w:top w:val="none" w:sz="0" w:space="0" w:color="auto"/>
                <w:left w:val="none" w:sz="0" w:space="0" w:color="auto"/>
                <w:bottom w:val="none" w:sz="0" w:space="0" w:color="auto"/>
                <w:right w:val="none" w:sz="0" w:space="0" w:color="auto"/>
              </w:divBdr>
              <w:divsChild>
                <w:div w:id="158274289">
                  <w:marLeft w:val="0"/>
                  <w:marRight w:val="0"/>
                  <w:marTop w:val="0"/>
                  <w:marBottom w:val="0"/>
                  <w:divBdr>
                    <w:top w:val="none" w:sz="0" w:space="0" w:color="auto"/>
                    <w:left w:val="none" w:sz="0" w:space="0" w:color="auto"/>
                    <w:bottom w:val="none" w:sz="0" w:space="0" w:color="auto"/>
                    <w:right w:val="none" w:sz="0" w:space="0" w:color="auto"/>
                  </w:divBdr>
                </w:div>
              </w:divsChild>
            </w:div>
            <w:div w:id="1187871915">
              <w:marLeft w:val="0"/>
              <w:marRight w:val="0"/>
              <w:marTop w:val="0"/>
              <w:marBottom w:val="0"/>
              <w:divBdr>
                <w:top w:val="none" w:sz="0" w:space="0" w:color="auto"/>
                <w:left w:val="none" w:sz="0" w:space="0" w:color="auto"/>
                <w:bottom w:val="none" w:sz="0" w:space="0" w:color="auto"/>
                <w:right w:val="none" w:sz="0" w:space="0" w:color="auto"/>
              </w:divBdr>
              <w:divsChild>
                <w:div w:id="25495915">
                  <w:marLeft w:val="0"/>
                  <w:marRight w:val="0"/>
                  <w:marTop w:val="0"/>
                  <w:marBottom w:val="0"/>
                  <w:divBdr>
                    <w:top w:val="none" w:sz="0" w:space="0" w:color="auto"/>
                    <w:left w:val="none" w:sz="0" w:space="0" w:color="auto"/>
                    <w:bottom w:val="none" w:sz="0" w:space="0" w:color="auto"/>
                    <w:right w:val="none" w:sz="0" w:space="0" w:color="auto"/>
                  </w:divBdr>
                </w:div>
              </w:divsChild>
            </w:div>
            <w:div w:id="1305891075">
              <w:marLeft w:val="0"/>
              <w:marRight w:val="0"/>
              <w:marTop w:val="0"/>
              <w:marBottom w:val="0"/>
              <w:divBdr>
                <w:top w:val="none" w:sz="0" w:space="0" w:color="auto"/>
                <w:left w:val="none" w:sz="0" w:space="0" w:color="auto"/>
                <w:bottom w:val="none" w:sz="0" w:space="0" w:color="auto"/>
                <w:right w:val="none" w:sz="0" w:space="0" w:color="auto"/>
              </w:divBdr>
              <w:divsChild>
                <w:div w:id="15653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116">
          <w:marLeft w:val="0"/>
          <w:marRight w:val="0"/>
          <w:marTop w:val="0"/>
          <w:marBottom w:val="0"/>
          <w:divBdr>
            <w:top w:val="none" w:sz="0" w:space="0" w:color="auto"/>
            <w:left w:val="none" w:sz="0" w:space="0" w:color="auto"/>
            <w:bottom w:val="none" w:sz="0" w:space="0" w:color="auto"/>
            <w:right w:val="none" w:sz="0" w:space="0" w:color="auto"/>
          </w:divBdr>
          <w:divsChild>
            <w:div w:id="2044010871">
              <w:marLeft w:val="0"/>
              <w:marRight w:val="0"/>
              <w:marTop w:val="0"/>
              <w:marBottom w:val="0"/>
              <w:divBdr>
                <w:top w:val="none" w:sz="0" w:space="0" w:color="auto"/>
                <w:left w:val="none" w:sz="0" w:space="0" w:color="auto"/>
                <w:bottom w:val="none" w:sz="0" w:space="0" w:color="auto"/>
                <w:right w:val="none" w:sz="0" w:space="0" w:color="auto"/>
              </w:divBdr>
              <w:divsChild>
                <w:div w:id="11016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5987">
          <w:marLeft w:val="0"/>
          <w:marRight w:val="0"/>
          <w:marTop w:val="0"/>
          <w:marBottom w:val="0"/>
          <w:divBdr>
            <w:top w:val="none" w:sz="0" w:space="0" w:color="auto"/>
            <w:left w:val="none" w:sz="0" w:space="0" w:color="auto"/>
            <w:bottom w:val="none" w:sz="0" w:space="0" w:color="auto"/>
            <w:right w:val="none" w:sz="0" w:space="0" w:color="auto"/>
          </w:divBdr>
          <w:divsChild>
            <w:div w:id="621806562">
              <w:marLeft w:val="0"/>
              <w:marRight w:val="0"/>
              <w:marTop w:val="0"/>
              <w:marBottom w:val="0"/>
              <w:divBdr>
                <w:top w:val="none" w:sz="0" w:space="0" w:color="auto"/>
                <w:left w:val="none" w:sz="0" w:space="0" w:color="auto"/>
                <w:bottom w:val="none" w:sz="0" w:space="0" w:color="auto"/>
                <w:right w:val="none" w:sz="0" w:space="0" w:color="auto"/>
              </w:divBdr>
              <w:divsChild>
                <w:div w:id="1697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9211">
          <w:marLeft w:val="0"/>
          <w:marRight w:val="0"/>
          <w:marTop w:val="0"/>
          <w:marBottom w:val="0"/>
          <w:divBdr>
            <w:top w:val="none" w:sz="0" w:space="0" w:color="auto"/>
            <w:left w:val="none" w:sz="0" w:space="0" w:color="auto"/>
            <w:bottom w:val="none" w:sz="0" w:space="0" w:color="auto"/>
            <w:right w:val="none" w:sz="0" w:space="0" w:color="auto"/>
          </w:divBdr>
          <w:divsChild>
            <w:div w:id="1179811105">
              <w:marLeft w:val="0"/>
              <w:marRight w:val="0"/>
              <w:marTop w:val="0"/>
              <w:marBottom w:val="0"/>
              <w:divBdr>
                <w:top w:val="none" w:sz="0" w:space="0" w:color="auto"/>
                <w:left w:val="none" w:sz="0" w:space="0" w:color="auto"/>
                <w:bottom w:val="none" w:sz="0" w:space="0" w:color="auto"/>
                <w:right w:val="none" w:sz="0" w:space="0" w:color="auto"/>
              </w:divBdr>
              <w:divsChild>
                <w:div w:id="16499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2857">
      <w:bodyDiv w:val="1"/>
      <w:marLeft w:val="0"/>
      <w:marRight w:val="0"/>
      <w:marTop w:val="0"/>
      <w:marBottom w:val="0"/>
      <w:divBdr>
        <w:top w:val="none" w:sz="0" w:space="0" w:color="auto"/>
        <w:left w:val="none" w:sz="0" w:space="0" w:color="auto"/>
        <w:bottom w:val="none" w:sz="0" w:space="0" w:color="auto"/>
        <w:right w:val="none" w:sz="0" w:space="0" w:color="auto"/>
      </w:divBdr>
      <w:divsChild>
        <w:div w:id="159779141">
          <w:marLeft w:val="0"/>
          <w:marRight w:val="0"/>
          <w:marTop w:val="0"/>
          <w:marBottom w:val="0"/>
          <w:divBdr>
            <w:top w:val="none" w:sz="0" w:space="0" w:color="auto"/>
            <w:left w:val="none" w:sz="0" w:space="0" w:color="auto"/>
            <w:bottom w:val="none" w:sz="0" w:space="0" w:color="auto"/>
            <w:right w:val="none" w:sz="0" w:space="0" w:color="auto"/>
          </w:divBdr>
        </w:div>
        <w:div w:id="888881085">
          <w:marLeft w:val="0"/>
          <w:marRight w:val="0"/>
          <w:marTop w:val="0"/>
          <w:marBottom w:val="0"/>
          <w:divBdr>
            <w:top w:val="none" w:sz="0" w:space="0" w:color="auto"/>
            <w:left w:val="none" w:sz="0" w:space="0" w:color="auto"/>
            <w:bottom w:val="none" w:sz="0" w:space="0" w:color="auto"/>
            <w:right w:val="none" w:sz="0" w:space="0" w:color="auto"/>
          </w:divBdr>
        </w:div>
        <w:div w:id="1999993658">
          <w:marLeft w:val="0"/>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1750861">
      <w:bodyDiv w:val="1"/>
      <w:marLeft w:val="0"/>
      <w:marRight w:val="0"/>
      <w:marTop w:val="0"/>
      <w:marBottom w:val="0"/>
      <w:divBdr>
        <w:top w:val="none" w:sz="0" w:space="0" w:color="auto"/>
        <w:left w:val="none" w:sz="0" w:space="0" w:color="auto"/>
        <w:bottom w:val="none" w:sz="0" w:space="0" w:color="auto"/>
        <w:right w:val="none" w:sz="0" w:space="0" w:color="auto"/>
      </w:divBdr>
      <w:divsChild>
        <w:div w:id="762990249">
          <w:marLeft w:val="0"/>
          <w:marRight w:val="0"/>
          <w:marTop w:val="0"/>
          <w:marBottom w:val="0"/>
          <w:divBdr>
            <w:top w:val="none" w:sz="0" w:space="0" w:color="auto"/>
            <w:left w:val="none" w:sz="0" w:space="0" w:color="auto"/>
            <w:bottom w:val="none" w:sz="0" w:space="0" w:color="auto"/>
            <w:right w:val="none" w:sz="0" w:space="0" w:color="auto"/>
          </w:divBdr>
          <w:divsChild>
            <w:div w:id="172231041">
              <w:marLeft w:val="0"/>
              <w:marRight w:val="0"/>
              <w:marTop w:val="0"/>
              <w:marBottom w:val="0"/>
              <w:divBdr>
                <w:top w:val="none" w:sz="0" w:space="0" w:color="auto"/>
                <w:left w:val="none" w:sz="0" w:space="0" w:color="auto"/>
                <w:bottom w:val="none" w:sz="0" w:space="0" w:color="auto"/>
                <w:right w:val="none" w:sz="0" w:space="0" w:color="auto"/>
              </w:divBdr>
              <w:divsChild>
                <w:div w:id="1462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9807">
      <w:bodyDiv w:val="1"/>
      <w:marLeft w:val="0"/>
      <w:marRight w:val="0"/>
      <w:marTop w:val="0"/>
      <w:marBottom w:val="0"/>
      <w:divBdr>
        <w:top w:val="none" w:sz="0" w:space="0" w:color="auto"/>
        <w:left w:val="none" w:sz="0" w:space="0" w:color="auto"/>
        <w:bottom w:val="none" w:sz="0" w:space="0" w:color="auto"/>
        <w:right w:val="none" w:sz="0" w:space="0" w:color="auto"/>
      </w:divBdr>
      <w:divsChild>
        <w:div w:id="79911594">
          <w:marLeft w:val="0"/>
          <w:marRight w:val="0"/>
          <w:marTop w:val="0"/>
          <w:marBottom w:val="0"/>
          <w:divBdr>
            <w:top w:val="none" w:sz="0" w:space="0" w:color="auto"/>
            <w:left w:val="none" w:sz="0" w:space="0" w:color="auto"/>
            <w:bottom w:val="none" w:sz="0" w:space="0" w:color="auto"/>
            <w:right w:val="none" w:sz="0" w:space="0" w:color="auto"/>
          </w:divBdr>
          <w:divsChild>
            <w:div w:id="1706364605">
              <w:marLeft w:val="0"/>
              <w:marRight w:val="0"/>
              <w:marTop w:val="0"/>
              <w:marBottom w:val="0"/>
              <w:divBdr>
                <w:top w:val="none" w:sz="0" w:space="0" w:color="auto"/>
                <w:left w:val="none" w:sz="0" w:space="0" w:color="auto"/>
                <w:bottom w:val="none" w:sz="0" w:space="0" w:color="auto"/>
                <w:right w:val="none" w:sz="0" w:space="0" w:color="auto"/>
              </w:divBdr>
            </w:div>
          </w:divsChild>
        </w:div>
        <w:div w:id="1733843343">
          <w:marLeft w:val="0"/>
          <w:marRight w:val="0"/>
          <w:marTop w:val="0"/>
          <w:marBottom w:val="0"/>
          <w:divBdr>
            <w:top w:val="none" w:sz="0" w:space="0" w:color="auto"/>
            <w:left w:val="none" w:sz="0" w:space="0" w:color="auto"/>
            <w:bottom w:val="none" w:sz="0" w:space="0" w:color="auto"/>
            <w:right w:val="none" w:sz="0" w:space="0" w:color="auto"/>
          </w:divBdr>
          <w:divsChild>
            <w:div w:id="1525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7876">
      <w:bodyDiv w:val="1"/>
      <w:marLeft w:val="0"/>
      <w:marRight w:val="0"/>
      <w:marTop w:val="0"/>
      <w:marBottom w:val="0"/>
      <w:divBdr>
        <w:top w:val="none" w:sz="0" w:space="0" w:color="auto"/>
        <w:left w:val="none" w:sz="0" w:space="0" w:color="auto"/>
        <w:bottom w:val="none" w:sz="0" w:space="0" w:color="auto"/>
        <w:right w:val="none" w:sz="0" w:space="0" w:color="auto"/>
      </w:divBdr>
      <w:divsChild>
        <w:div w:id="236206532">
          <w:marLeft w:val="0"/>
          <w:marRight w:val="0"/>
          <w:marTop w:val="0"/>
          <w:marBottom w:val="0"/>
          <w:divBdr>
            <w:top w:val="none" w:sz="0" w:space="0" w:color="auto"/>
            <w:left w:val="none" w:sz="0" w:space="0" w:color="auto"/>
            <w:bottom w:val="none" w:sz="0" w:space="0" w:color="auto"/>
            <w:right w:val="none" w:sz="0" w:space="0" w:color="auto"/>
          </w:divBdr>
          <w:divsChild>
            <w:div w:id="62800684">
              <w:marLeft w:val="0"/>
              <w:marRight w:val="0"/>
              <w:marTop w:val="0"/>
              <w:marBottom w:val="0"/>
              <w:divBdr>
                <w:top w:val="none" w:sz="0" w:space="0" w:color="auto"/>
                <w:left w:val="none" w:sz="0" w:space="0" w:color="auto"/>
                <w:bottom w:val="none" w:sz="0" w:space="0" w:color="auto"/>
                <w:right w:val="none" w:sz="0" w:space="0" w:color="auto"/>
              </w:divBdr>
              <w:divsChild>
                <w:div w:id="573206012">
                  <w:marLeft w:val="0"/>
                  <w:marRight w:val="0"/>
                  <w:marTop w:val="0"/>
                  <w:marBottom w:val="0"/>
                  <w:divBdr>
                    <w:top w:val="none" w:sz="0" w:space="0" w:color="auto"/>
                    <w:left w:val="none" w:sz="0" w:space="0" w:color="auto"/>
                    <w:bottom w:val="none" w:sz="0" w:space="0" w:color="auto"/>
                    <w:right w:val="none" w:sz="0" w:space="0" w:color="auto"/>
                  </w:divBdr>
                </w:div>
              </w:divsChild>
            </w:div>
            <w:div w:id="1658680242">
              <w:marLeft w:val="0"/>
              <w:marRight w:val="0"/>
              <w:marTop w:val="0"/>
              <w:marBottom w:val="0"/>
              <w:divBdr>
                <w:top w:val="none" w:sz="0" w:space="0" w:color="auto"/>
                <w:left w:val="none" w:sz="0" w:space="0" w:color="auto"/>
                <w:bottom w:val="none" w:sz="0" w:space="0" w:color="auto"/>
                <w:right w:val="none" w:sz="0" w:space="0" w:color="auto"/>
              </w:divBdr>
              <w:divsChild>
                <w:div w:id="271017627">
                  <w:marLeft w:val="0"/>
                  <w:marRight w:val="0"/>
                  <w:marTop w:val="0"/>
                  <w:marBottom w:val="0"/>
                  <w:divBdr>
                    <w:top w:val="none" w:sz="0" w:space="0" w:color="auto"/>
                    <w:left w:val="none" w:sz="0" w:space="0" w:color="auto"/>
                    <w:bottom w:val="none" w:sz="0" w:space="0" w:color="auto"/>
                    <w:right w:val="none" w:sz="0" w:space="0" w:color="auto"/>
                  </w:divBdr>
                </w:div>
              </w:divsChild>
            </w:div>
            <w:div w:id="1942685534">
              <w:marLeft w:val="0"/>
              <w:marRight w:val="0"/>
              <w:marTop w:val="0"/>
              <w:marBottom w:val="0"/>
              <w:divBdr>
                <w:top w:val="none" w:sz="0" w:space="0" w:color="auto"/>
                <w:left w:val="none" w:sz="0" w:space="0" w:color="auto"/>
                <w:bottom w:val="none" w:sz="0" w:space="0" w:color="auto"/>
                <w:right w:val="none" w:sz="0" w:space="0" w:color="auto"/>
              </w:divBdr>
              <w:divsChild>
                <w:div w:id="20225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4067">
          <w:marLeft w:val="0"/>
          <w:marRight w:val="0"/>
          <w:marTop w:val="0"/>
          <w:marBottom w:val="0"/>
          <w:divBdr>
            <w:top w:val="none" w:sz="0" w:space="0" w:color="auto"/>
            <w:left w:val="none" w:sz="0" w:space="0" w:color="auto"/>
            <w:bottom w:val="none" w:sz="0" w:space="0" w:color="auto"/>
            <w:right w:val="none" w:sz="0" w:space="0" w:color="auto"/>
          </w:divBdr>
          <w:divsChild>
            <w:div w:id="1964573550">
              <w:marLeft w:val="0"/>
              <w:marRight w:val="0"/>
              <w:marTop w:val="0"/>
              <w:marBottom w:val="0"/>
              <w:divBdr>
                <w:top w:val="none" w:sz="0" w:space="0" w:color="auto"/>
                <w:left w:val="none" w:sz="0" w:space="0" w:color="auto"/>
                <w:bottom w:val="none" w:sz="0" w:space="0" w:color="auto"/>
                <w:right w:val="none" w:sz="0" w:space="0" w:color="auto"/>
              </w:divBdr>
              <w:divsChild>
                <w:div w:id="7567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4013">
          <w:marLeft w:val="0"/>
          <w:marRight w:val="0"/>
          <w:marTop w:val="0"/>
          <w:marBottom w:val="0"/>
          <w:divBdr>
            <w:top w:val="none" w:sz="0" w:space="0" w:color="auto"/>
            <w:left w:val="none" w:sz="0" w:space="0" w:color="auto"/>
            <w:bottom w:val="none" w:sz="0" w:space="0" w:color="auto"/>
            <w:right w:val="none" w:sz="0" w:space="0" w:color="auto"/>
          </w:divBdr>
          <w:divsChild>
            <w:div w:id="755446841">
              <w:marLeft w:val="0"/>
              <w:marRight w:val="0"/>
              <w:marTop w:val="0"/>
              <w:marBottom w:val="0"/>
              <w:divBdr>
                <w:top w:val="none" w:sz="0" w:space="0" w:color="auto"/>
                <w:left w:val="none" w:sz="0" w:space="0" w:color="auto"/>
                <w:bottom w:val="none" w:sz="0" w:space="0" w:color="auto"/>
                <w:right w:val="none" w:sz="0" w:space="0" w:color="auto"/>
              </w:divBdr>
              <w:divsChild>
                <w:div w:id="2832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3746">
          <w:marLeft w:val="0"/>
          <w:marRight w:val="0"/>
          <w:marTop w:val="0"/>
          <w:marBottom w:val="0"/>
          <w:divBdr>
            <w:top w:val="none" w:sz="0" w:space="0" w:color="auto"/>
            <w:left w:val="none" w:sz="0" w:space="0" w:color="auto"/>
            <w:bottom w:val="none" w:sz="0" w:space="0" w:color="auto"/>
            <w:right w:val="none" w:sz="0" w:space="0" w:color="auto"/>
          </w:divBdr>
          <w:divsChild>
            <w:div w:id="55275882">
              <w:marLeft w:val="0"/>
              <w:marRight w:val="0"/>
              <w:marTop w:val="0"/>
              <w:marBottom w:val="0"/>
              <w:divBdr>
                <w:top w:val="none" w:sz="0" w:space="0" w:color="auto"/>
                <w:left w:val="none" w:sz="0" w:space="0" w:color="auto"/>
                <w:bottom w:val="none" w:sz="0" w:space="0" w:color="auto"/>
                <w:right w:val="none" w:sz="0" w:space="0" w:color="auto"/>
              </w:divBdr>
              <w:divsChild>
                <w:div w:id="15242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10044">
          <w:marLeft w:val="0"/>
          <w:marRight w:val="0"/>
          <w:marTop w:val="0"/>
          <w:marBottom w:val="0"/>
          <w:divBdr>
            <w:top w:val="none" w:sz="0" w:space="0" w:color="auto"/>
            <w:left w:val="none" w:sz="0" w:space="0" w:color="auto"/>
            <w:bottom w:val="none" w:sz="0" w:space="0" w:color="auto"/>
            <w:right w:val="none" w:sz="0" w:space="0" w:color="auto"/>
          </w:divBdr>
          <w:divsChild>
            <w:div w:id="254676013">
              <w:marLeft w:val="0"/>
              <w:marRight w:val="0"/>
              <w:marTop w:val="0"/>
              <w:marBottom w:val="0"/>
              <w:divBdr>
                <w:top w:val="none" w:sz="0" w:space="0" w:color="auto"/>
                <w:left w:val="none" w:sz="0" w:space="0" w:color="auto"/>
                <w:bottom w:val="none" w:sz="0" w:space="0" w:color="auto"/>
                <w:right w:val="none" w:sz="0" w:space="0" w:color="auto"/>
              </w:divBdr>
              <w:divsChild>
                <w:div w:id="501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18632">
          <w:marLeft w:val="0"/>
          <w:marRight w:val="0"/>
          <w:marTop w:val="0"/>
          <w:marBottom w:val="0"/>
          <w:divBdr>
            <w:top w:val="none" w:sz="0" w:space="0" w:color="auto"/>
            <w:left w:val="none" w:sz="0" w:space="0" w:color="auto"/>
            <w:bottom w:val="none" w:sz="0" w:space="0" w:color="auto"/>
            <w:right w:val="none" w:sz="0" w:space="0" w:color="auto"/>
          </w:divBdr>
          <w:divsChild>
            <w:div w:id="402028087">
              <w:marLeft w:val="0"/>
              <w:marRight w:val="0"/>
              <w:marTop w:val="0"/>
              <w:marBottom w:val="0"/>
              <w:divBdr>
                <w:top w:val="none" w:sz="0" w:space="0" w:color="auto"/>
                <w:left w:val="none" w:sz="0" w:space="0" w:color="auto"/>
                <w:bottom w:val="none" w:sz="0" w:space="0" w:color="auto"/>
                <w:right w:val="none" w:sz="0" w:space="0" w:color="auto"/>
              </w:divBdr>
              <w:divsChild>
                <w:div w:id="6703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6309">
          <w:marLeft w:val="0"/>
          <w:marRight w:val="0"/>
          <w:marTop w:val="0"/>
          <w:marBottom w:val="0"/>
          <w:divBdr>
            <w:top w:val="none" w:sz="0" w:space="0" w:color="auto"/>
            <w:left w:val="none" w:sz="0" w:space="0" w:color="auto"/>
            <w:bottom w:val="none" w:sz="0" w:space="0" w:color="auto"/>
            <w:right w:val="none" w:sz="0" w:space="0" w:color="auto"/>
          </w:divBdr>
          <w:divsChild>
            <w:div w:id="817890723">
              <w:marLeft w:val="0"/>
              <w:marRight w:val="0"/>
              <w:marTop w:val="0"/>
              <w:marBottom w:val="0"/>
              <w:divBdr>
                <w:top w:val="none" w:sz="0" w:space="0" w:color="auto"/>
                <w:left w:val="none" w:sz="0" w:space="0" w:color="auto"/>
                <w:bottom w:val="none" w:sz="0" w:space="0" w:color="auto"/>
                <w:right w:val="none" w:sz="0" w:space="0" w:color="auto"/>
              </w:divBdr>
              <w:divsChild>
                <w:div w:id="12818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256">
          <w:marLeft w:val="0"/>
          <w:marRight w:val="0"/>
          <w:marTop w:val="0"/>
          <w:marBottom w:val="0"/>
          <w:divBdr>
            <w:top w:val="none" w:sz="0" w:space="0" w:color="auto"/>
            <w:left w:val="none" w:sz="0" w:space="0" w:color="auto"/>
            <w:bottom w:val="none" w:sz="0" w:space="0" w:color="auto"/>
            <w:right w:val="none" w:sz="0" w:space="0" w:color="auto"/>
          </w:divBdr>
          <w:divsChild>
            <w:div w:id="2093968100">
              <w:marLeft w:val="0"/>
              <w:marRight w:val="0"/>
              <w:marTop w:val="0"/>
              <w:marBottom w:val="0"/>
              <w:divBdr>
                <w:top w:val="none" w:sz="0" w:space="0" w:color="auto"/>
                <w:left w:val="none" w:sz="0" w:space="0" w:color="auto"/>
                <w:bottom w:val="none" w:sz="0" w:space="0" w:color="auto"/>
                <w:right w:val="none" w:sz="0" w:space="0" w:color="auto"/>
              </w:divBdr>
              <w:divsChild>
                <w:div w:id="20370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3549">
          <w:marLeft w:val="0"/>
          <w:marRight w:val="0"/>
          <w:marTop w:val="0"/>
          <w:marBottom w:val="0"/>
          <w:divBdr>
            <w:top w:val="none" w:sz="0" w:space="0" w:color="auto"/>
            <w:left w:val="none" w:sz="0" w:space="0" w:color="auto"/>
            <w:bottom w:val="none" w:sz="0" w:space="0" w:color="auto"/>
            <w:right w:val="none" w:sz="0" w:space="0" w:color="auto"/>
          </w:divBdr>
          <w:divsChild>
            <w:div w:id="796947306">
              <w:marLeft w:val="0"/>
              <w:marRight w:val="0"/>
              <w:marTop w:val="0"/>
              <w:marBottom w:val="0"/>
              <w:divBdr>
                <w:top w:val="none" w:sz="0" w:space="0" w:color="auto"/>
                <w:left w:val="none" w:sz="0" w:space="0" w:color="auto"/>
                <w:bottom w:val="none" w:sz="0" w:space="0" w:color="auto"/>
                <w:right w:val="none" w:sz="0" w:space="0" w:color="auto"/>
              </w:divBdr>
              <w:divsChild>
                <w:div w:id="1156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5515">
          <w:marLeft w:val="0"/>
          <w:marRight w:val="0"/>
          <w:marTop w:val="0"/>
          <w:marBottom w:val="0"/>
          <w:divBdr>
            <w:top w:val="none" w:sz="0" w:space="0" w:color="auto"/>
            <w:left w:val="none" w:sz="0" w:space="0" w:color="auto"/>
            <w:bottom w:val="none" w:sz="0" w:space="0" w:color="auto"/>
            <w:right w:val="none" w:sz="0" w:space="0" w:color="auto"/>
          </w:divBdr>
          <w:divsChild>
            <w:div w:id="1086533754">
              <w:marLeft w:val="0"/>
              <w:marRight w:val="0"/>
              <w:marTop w:val="0"/>
              <w:marBottom w:val="0"/>
              <w:divBdr>
                <w:top w:val="none" w:sz="0" w:space="0" w:color="auto"/>
                <w:left w:val="none" w:sz="0" w:space="0" w:color="auto"/>
                <w:bottom w:val="none" w:sz="0" w:space="0" w:color="auto"/>
                <w:right w:val="none" w:sz="0" w:space="0" w:color="auto"/>
              </w:divBdr>
              <w:divsChild>
                <w:div w:id="13503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8844">
          <w:marLeft w:val="0"/>
          <w:marRight w:val="0"/>
          <w:marTop w:val="0"/>
          <w:marBottom w:val="0"/>
          <w:divBdr>
            <w:top w:val="none" w:sz="0" w:space="0" w:color="auto"/>
            <w:left w:val="none" w:sz="0" w:space="0" w:color="auto"/>
            <w:bottom w:val="none" w:sz="0" w:space="0" w:color="auto"/>
            <w:right w:val="none" w:sz="0" w:space="0" w:color="auto"/>
          </w:divBdr>
          <w:divsChild>
            <w:div w:id="1680155813">
              <w:marLeft w:val="0"/>
              <w:marRight w:val="0"/>
              <w:marTop w:val="0"/>
              <w:marBottom w:val="0"/>
              <w:divBdr>
                <w:top w:val="none" w:sz="0" w:space="0" w:color="auto"/>
                <w:left w:val="none" w:sz="0" w:space="0" w:color="auto"/>
                <w:bottom w:val="none" w:sz="0" w:space="0" w:color="auto"/>
                <w:right w:val="none" w:sz="0" w:space="0" w:color="auto"/>
              </w:divBdr>
              <w:divsChild>
                <w:div w:id="2005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7862">
          <w:marLeft w:val="0"/>
          <w:marRight w:val="0"/>
          <w:marTop w:val="0"/>
          <w:marBottom w:val="0"/>
          <w:divBdr>
            <w:top w:val="none" w:sz="0" w:space="0" w:color="auto"/>
            <w:left w:val="none" w:sz="0" w:space="0" w:color="auto"/>
            <w:bottom w:val="none" w:sz="0" w:space="0" w:color="auto"/>
            <w:right w:val="none" w:sz="0" w:space="0" w:color="auto"/>
          </w:divBdr>
          <w:divsChild>
            <w:div w:id="1036351629">
              <w:marLeft w:val="0"/>
              <w:marRight w:val="0"/>
              <w:marTop w:val="0"/>
              <w:marBottom w:val="0"/>
              <w:divBdr>
                <w:top w:val="none" w:sz="0" w:space="0" w:color="auto"/>
                <w:left w:val="none" w:sz="0" w:space="0" w:color="auto"/>
                <w:bottom w:val="none" w:sz="0" w:space="0" w:color="auto"/>
                <w:right w:val="none" w:sz="0" w:space="0" w:color="auto"/>
              </w:divBdr>
              <w:divsChild>
                <w:div w:id="1649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8648">
          <w:marLeft w:val="0"/>
          <w:marRight w:val="0"/>
          <w:marTop w:val="0"/>
          <w:marBottom w:val="0"/>
          <w:divBdr>
            <w:top w:val="none" w:sz="0" w:space="0" w:color="auto"/>
            <w:left w:val="none" w:sz="0" w:space="0" w:color="auto"/>
            <w:bottom w:val="none" w:sz="0" w:space="0" w:color="auto"/>
            <w:right w:val="none" w:sz="0" w:space="0" w:color="auto"/>
          </w:divBdr>
          <w:divsChild>
            <w:div w:id="349569560">
              <w:marLeft w:val="0"/>
              <w:marRight w:val="0"/>
              <w:marTop w:val="0"/>
              <w:marBottom w:val="0"/>
              <w:divBdr>
                <w:top w:val="none" w:sz="0" w:space="0" w:color="auto"/>
                <w:left w:val="none" w:sz="0" w:space="0" w:color="auto"/>
                <w:bottom w:val="none" w:sz="0" w:space="0" w:color="auto"/>
                <w:right w:val="none" w:sz="0" w:space="0" w:color="auto"/>
              </w:divBdr>
              <w:divsChild>
                <w:div w:id="16348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38640">
          <w:marLeft w:val="0"/>
          <w:marRight w:val="0"/>
          <w:marTop w:val="0"/>
          <w:marBottom w:val="0"/>
          <w:divBdr>
            <w:top w:val="none" w:sz="0" w:space="0" w:color="auto"/>
            <w:left w:val="none" w:sz="0" w:space="0" w:color="auto"/>
            <w:bottom w:val="none" w:sz="0" w:space="0" w:color="auto"/>
            <w:right w:val="none" w:sz="0" w:space="0" w:color="auto"/>
          </w:divBdr>
          <w:divsChild>
            <w:div w:id="1929388801">
              <w:marLeft w:val="0"/>
              <w:marRight w:val="0"/>
              <w:marTop w:val="0"/>
              <w:marBottom w:val="0"/>
              <w:divBdr>
                <w:top w:val="none" w:sz="0" w:space="0" w:color="auto"/>
                <w:left w:val="none" w:sz="0" w:space="0" w:color="auto"/>
                <w:bottom w:val="none" w:sz="0" w:space="0" w:color="auto"/>
                <w:right w:val="none" w:sz="0" w:space="0" w:color="auto"/>
              </w:divBdr>
              <w:divsChild>
                <w:div w:id="10598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4101">
          <w:marLeft w:val="0"/>
          <w:marRight w:val="0"/>
          <w:marTop w:val="0"/>
          <w:marBottom w:val="0"/>
          <w:divBdr>
            <w:top w:val="none" w:sz="0" w:space="0" w:color="auto"/>
            <w:left w:val="none" w:sz="0" w:space="0" w:color="auto"/>
            <w:bottom w:val="none" w:sz="0" w:space="0" w:color="auto"/>
            <w:right w:val="none" w:sz="0" w:space="0" w:color="auto"/>
          </w:divBdr>
          <w:divsChild>
            <w:div w:id="447313237">
              <w:marLeft w:val="0"/>
              <w:marRight w:val="0"/>
              <w:marTop w:val="0"/>
              <w:marBottom w:val="0"/>
              <w:divBdr>
                <w:top w:val="none" w:sz="0" w:space="0" w:color="auto"/>
                <w:left w:val="none" w:sz="0" w:space="0" w:color="auto"/>
                <w:bottom w:val="none" w:sz="0" w:space="0" w:color="auto"/>
                <w:right w:val="none" w:sz="0" w:space="0" w:color="auto"/>
              </w:divBdr>
              <w:divsChild>
                <w:div w:id="257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1678">
      <w:bodyDiv w:val="1"/>
      <w:marLeft w:val="0"/>
      <w:marRight w:val="0"/>
      <w:marTop w:val="0"/>
      <w:marBottom w:val="0"/>
      <w:divBdr>
        <w:top w:val="none" w:sz="0" w:space="0" w:color="auto"/>
        <w:left w:val="none" w:sz="0" w:space="0" w:color="auto"/>
        <w:bottom w:val="none" w:sz="0" w:space="0" w:color="auto"/>
        <w:right w:val="none" w:sz="0" w:space="0" w:color="auto"/>
      </w:divBdr>
      <w:divsChild>
        <w:div w:id="46224269">
          <w:marLeft w:val="0"/>
          <w:marRight w:val="0"/>
          <w:marTop w:val="0"/>
          <w:marBottom w:val="0"/>
          <w:divBdr>
            <w:top w:val="none" w:sz="0" w:space="0" w:color="auto"/>
            <w:left w:val="none" w:sz="0" w:space="0" w:color="auto"/>
            <w:bottom w:val="none" w:sz="0" w:space="0" w:color="auto"/>
            <w:right w:val="none" w:sz="0" w:space="0" w:color="auto"/>
          </w:divBdr>
          <w:divsChild>
            <w:div w:id="2099711821">
              <w:marLeft w:val="0"/>
              <w:marRight w:val="0"/>
              <w:marTop w:val="0"/>
              <w:marBottom w:val="0"/>
              <w:divBdr>
                <w:top w:val="none" w:sz="0" w:space="0" w:color="auto"/>
                <w:left w:val="none" w:sz="0" w:space="0" w:color="auto"/>
                <w:bottom w:val="none" w:sz="0" w:space="0" w:color="auto"/>
                <w:right w:val="none" w:sz="0" w:space="0" w:color="auto"/>
              </w:divBdr>
              <w:divsChild>
                <w:div w:id="13056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4132">
          <w:marLeft w:val="0"/>
          <w:marRight w:val="0"/>
          <w:marTop w:val="0"/>
          <w:marBottom w:val="0"/>
          <w:divBdr>
            <w:top w:val="none" w:sz="0" w:space="0" w:color="auto"/>
            <w:left w:val="none" w:sz="0" w:space="0" w:color="auto"/>
            <w:bottom w:val="none" w:sz="0" w:space="0" w:color="auto"/>
            <w:right w:val="none" w:sz="0" w:space="0" w:color="auto"/>
          </w:divBdr>
          <w:divsChild>
            <w:div w:id="1419601344">
              <w:marLeft w:val="0"/>
              <w:marRight w:val="0"/>
              <w:marTop w:val="0"/>
              <w:marBottom w:val="0"/>
              <w:divBdr>
                <w:top w:val="none" w:sz="0" w:space="0" w:color="auto"/>
                <w:left w:val="none" w:sz="0" w:space="0" w:color="auto"/>
                <w:bottom w:val="none" w:sz="0" w:space="0" w:color="auto"/>
                <w:right w:val="none" w:sz="0" w:space="0" w:color="auto"/>
              </w:divBdr>
              <w:divsChild>
                <w:div w:id="17170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052">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sChild>
                <w:div w:id="19670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86341">
          <w:marLeft w:val="0"/>
          <w:marRight w:val="0"/>
          <w:marTop w:val="0"/>
          <w:marBottom w:val="0"/>
          <w:divBdr>
            <w:top w:val="none" w:sz="0" w:space="0" w:color="auto"/>
            <w:left w:val="none" w:sz="0" w:space="0" w:color="auto"/>
            <w:bottom w:val="none" w:sz="0" w:space="0" w:color="auto"/>
            <w:right w:val="none" w:sz="0" w:space="0" w:color="auto"/>
          </w:divBdr>
          <w:divsChild>
            <w:div w:id="1417559825">
              <w:marLeft w:val="0"/>
              <w:marRight w:val="0"/>
              <w:marTop w:val="0"/>
              <w:marBottom w:val="0"/>
              <w:divBdr>
                <w:top w:val="none" w:sz="0" w:space="0" w:color="auto"/>
                <w:left w:val="none" w:sz="0" w:space="0" w:color="auto"/>
                <w:bottom w:val="none" w:sz="0" w:space="0" w:color="auto"/>
                <w:right w:val="none" w:sz="0" w:space="0" w:color="auto"/>
              </w:divBdr>
              <w:divsChild>
                <w:div w:id="9497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5109">
          <w:marLeft w:val="0"/>
          <w:marRight w:val="0"/>
          <w:marTop w:val="0"/>
          <w:marBottom w:val="0"/>
          <w:divBdr>
            <w:top w:val="none" w:sz="0" w:space="0" w:color="auto"/>
            <w:left w:val="none" w:sz="0" w:space="0" w:color="auto"/>
            <w:bottom w:val="none" w:sz="0" w:space="0" w:color="auto"/>
            <w:right w:val="none" w:sz="0" w:space="0" w:color="auto"/>
          </w:divBdr>
          <w:divsChild>
            <w:div w:id="4947466">
              <w:marLeft w:val="0"/>
              <w:marRight w:val="0"/>
              <w:marTop w:val="0"/>
              <w:marBottom w:val="0"/>
              <w:divBdr>
                <w:top w:val="none" w:sz="0" w:space="0" w:color="auto"/>
                <w:left w:val="none" w:sz="0" w:space="0" w:color="auto"/>
                <w:bottom w:val="none" w:sz="0" w:space="0" w:color="auto"/>
                <w:right w:val="none" w:sz="0" w:space="0" w:color="auto"/>
              </w:divBdr>
              <w:divsChild>
                <w:div w:id="510604709">
                  <w:marLeft w:val="0"/>
                  <w:marRight w:val="0"/>
                  <w:marTop w:val="0"/>
                  <w:marBottom w:val="0"/>
                  <w:divBdr>
                    <w:top w:val="none" w:sz="0" w:space="0" w:color="auto"/>
                    <w:left w:val="none" w:sz="0" w:space="0" w:color="auto"/>
                    <w:bottom w:val="none" w:sz="0" w:space="0" w:color="auto"/>
                    <w:right w:val="none" w:sz="0" w:space="0" w:color="auto"/>
                  </w:divBdr>
                </w:div>
              </w:divsChild>
            </w:div>
            <w:div w:id="1269242572">
              <w:marLeft w:val="0"/>
              <w:marRight w:val="0"/>
              <w:marTop w:val="0"/>
              <w:marBottom w:val="0"/>
              <w:divBdr>
                <w:top w:val="none" w:sz="0" w:space="0" w:color="auto"/>
                <w:left w:val="none" w:sz="0" w:space="0" w:color="auto"/>
                <w:bottom w:val="none" w:sz="0" w:space="0" w:color="auto"/>
                <w:right w:val="none" w:sz="0" w:space="0" w:color="auto"/>
              </w:divBdr>
              <w:divsChild>
                <w:div w:id="15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135">
          <w:marLeft w:val="0"/>
          <w:marRight w:val="0"/>
          <w:marTop w:val="0"/>
          <w:marBottom w:val="0"/>
          <w:divBdr>
            <w:top w:val="none" w:sz="0" w:space="0" w:color="auto"/>
            <w:left w:val="none" w:sz="0" w:space="0" w:color="auto"/>
            <w:bottom w:val="none" w:sz="0" w:space="0" w:color="auto"/>
            <w:right w:val="none" w:sz="0" w:space="0" w:color="auto"/>
          </w:divBdr>
          <w:divsChild>
            <w:div w:id="938298941">
              <w:marLeft w:val="0"/>
              <w:marRight w:val="0"/>
              <w:marTop w:val="0"/>
              <w:marBottom w:val="0"/>
              <w:divBdr>
                <w:top w:val="none" w:sz="0" w:space="0" w:color="auto"/>
                <w:left w:val="none" w:sz="0" w:space="0" w:color="auto"/>
                <w:bottom w:val="none" w:sz="0" w:space="0" w:color="auto"/>
                <w:right w:val="none" w:sz="0" w:space="0" w:color="auto"/>
              </w:divBdr>
              <w:divsChild>
                <w:div w:id="1498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2197">
          <w:marLeft w:val="0"/>
          <w:marRight w:val="0"/>
          <w:marTop w:val="0"/>
          <w:marBottom w:val="0"/>
          <w:divBdr>
            <w:top w:val="none" w:sz="0" w:space="0" w:color="auto"/>
            <w:left w:val="none" w:sz="0" w:space="0" w:color="auto"/>
            <w:bottom w:val="none" w:sz="0" w:space="0" w:color="auto"/>
            <w:right w:val="none" w:sz="0" w:space="0" w:color="auto"/>
          </w:divBdr>
          <w:divsChild>
            <w:div w:id="1740326327">
              <w:marLeft w:val="0"/>
              <w:marRight w:val="0"/>
              <w:marTop w:val="0"/>
              <w:marBottom w:val="0"/>
              <w:divBdr>
                <w:top w:val="none" w:sz="0" w:space="0" w:color="auto"/>
                <w:left w:val="none" w:sz="0" w:space="0" w:color="auto"/>
                <w:bottom w:val="none" w:sz="0" w:space="0" w:color="auto"/>
                <w:right w:val="none" w:sz="0" w:space="0" w:color="auto"/>
              </w:divBdr>
              <w:divsChild>
                <w:div w:id="15637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6649">
          <w:marLeft w:val="0"/>
          <w:marRight w:val="0"/>
          <w:marTop w:val="0"/>
          <w:marBottom w:val="0"/>
          <w:divBdr>
            <w:top w:val="none" w:sz="0" w:space="0" w:color="auto"/>
            <w:left w:val="none" w:sz="0" w:space="0" w:color="auto"/>
            <w:bottom w:val="none" w:sz="0" w:space="0" w:color="auto"/>
            <w:right w:val="none" w:sz="0" w:space="0" w:color="auto"/>
          </w:divBdr>
          <w:divsChild>
            <w:div w:id="1380588240">
              <w:marLeft w:val="0"/>
              <w:marRight w:val="0"/>
              <w:marTop w:val="0"/>
              <w:marBottom w:val="0"/>
              <w:divBdr>
                <w:top w:val="none" w:sz="0" w:space="0" w:color="auto"/>
                <w:left w:val="none" w:sz="0" w:space="0" w:color="auto"/>
                <w:bottom w:val="none" w:sz="0" w:space="0" w:color="auto"/>
                <w:right w:val="none" w:sz="0" w:space="0" w:color="auto"/>
              </w:divBdr>
              <w:divsChild>
                <w:div w:id="8170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8272">
          <w:marLeft w:val="0"/>
          <w:marRight w:val="0"/>
          <w:marTop w:val="0"/>
          <w:marBottom w:val="0"/>
          <w:divBdr>
            <w:top w:val="none" w:sz="0" w:space="0" w:color="auto"/>
            <w:left w:val="none" w:sz="0" w:space="0" w:color="auto"/>
            <w:bottom w:val="none" w:sz="0" w:space="0" w:color="auto"/>
            <w:right w:val="none" w:sz="0" w:space="0" w:color="auto"/>
          </w:divBdr>
          <w:divsChild>
            <w:div w:id="1600482070">
              <w:marLeft w:val="0"/>
              <w:marRight w:val="0"/>
              <w:marTop w:val="0"/>
              <w:marBottom w:val="0"/>
              <w:divBdr>
                <w:top w:val="none" w:sz="0" w:space="0" w:color="auto"/>
                <w:left w:val="none" w:sz="0" w:space="0" w:color="auto"/>
                <w:bottom w:val="none" w:sz="0" w:space="0" w:color="auto"/>
                <w:right w:val="none" w:sz="0" w:space="0" w:color="auto"/>
              </w:divBdr>
              <w:divsChild>
                <w:div w:id="628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91683">
          <w:marLeft w:val="0"/>
          <w:marRight w:val="0"/>
          <w:marTop w:val="0"/>
          <w:marBottom w:val="0"/>
          <w:divBdr>
            <w:top w:val="none" w:sz="0" w:space="0" w:color="auto"/>
            <w:left w:val="none" w:sz="0" w:space="0" w:color="auto"/>
            <w:bottom w:val="none" w:sz="0" w:space="0" w:color="auto"/>
            <w:right w:val="none" w:sz="0" w:space="0" w:color="auto"/>
          </w:divBdr>
          <w:divsChild>
            <w:div w:id="820925878">
              <w:marLeft w:val="0"/>
              <w:marRight w:val="0"/>
              <w:marTop w:val="0"/>
              <w:marBottom w:val="0"/>
              <w:divBdr>
                <w:top w:val="none" w:sz="0" w:space="0" w:color="auto"/>
                <w:left w:val="none" w:sz="0" w:space="0" w:color="auto"/>
                <w:bottom w:val="none" w:sz="0" w:space="0" w:color="auto"/>
                <w:right w:val="none" w:sz="0" w:space="0" w:color="auto"/>
              </w:divBdr>
              <w:divsChild>
                <w:div w:id="293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8817">
          <w:marLeft w:val="0"/>
          <w:marRight w:val="0"/>
          <w:marTop w:val="0"/>
          <w:marBottom w:val="0"/>
          <w:divBdr>
            <w:top w:val="none" w:sz="0" w:space="0" w:color="auto"/>
            <w:left w:val="none" w:sz="0" w:space="0" w:color="auto"/>
            <w:bottom w:val="none" w:sz="0" w:space="0" w:color="auto"/>
            <w:right w:val="none" w:sz="0" w:space="0" w:color="auto"/>
          </w:divBdr>
          <w:divsChild>
            <w:div w:id="723798070">
              <w:marLeft w:val="0"/>
              <w:marRight w:val="0"/>
              <w:marTop w:val="0"/>
              <w:marBottom w:val="0"/>
              <w:divBdr>
                <w:top w:val="none" w:sz="0" w:space="0" w:color="auto"/>
                <w:left w:val="none" w:sz="0" w:space="0" w:color="auto"/>
                <w:bottom w:val="none" w:sz="0" w:space="0" w:color="auto"/>
                <w:right w:val="none" w:sz="0" w:space="0" w:color="auto"/>
              </w:divBdr>
              <w:divsChild>
                <w:div w:id="323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7340">
          <w:marLeft w:val="0"/>
          <w:marRight w:val="0"/>
          <w:marTop w:val="0"/>
          <w:marBottom w:val="0"/>
          <w:divBdr>
            <w:top w:val="none" w:sz="0" w:space="0" w:color="auto"/>
            <w:left w:val="none" w:sz="0" w:space="0" w:color="auto"/>
            <w:bottom w:val="none" w:sz="0" w:space="0" w:color="auto"/>
            <w:right w:val="none" w:sz="0" w:space="0" w:color="auto"/>
          </w:divBdr>
          <w:divsChild>
            <w:div w:id="1484659029">
              <w:marLeft w:val="0"/>
              <w:marRight w:val="0"/>
              <w:marTop w:val="0"/>
              <w:marBottom w:val="0"/>
              <w:divBdr>
                <w:top w:val="none" w:sz="0" w:space="0" w:color="auto"/>
                <w:left w:val="none" w:sz="0" w:space="0" w:color="auto"/>
                <w:bottom w:val="none" w:sz="0" w:space="0" w:color="auto"/>
                <w:right w:val="none" w:sz="0" w:space="0" w:color="auto"/>
              </w:divBdr>
              <w:divsChild>
                <w:div w:id="8770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3965">
          <w:marLeft w:val="0"/>
          <w:marRight w:val="0"/>
          <w:marTop w:val="0"/>
          <w:marBottom w:val="0"/>
          <w:divBdr>
            <w:top w:val="none" w:sz="0" w:space="0" w:color="auto"/>
            <w:left w:val="none" w:sz="0" w:space="0" w:color="auto"/>
            <w:bottom w:val="none" w:sz="0" w:space="0" w:color="auto"/>
            <w:right w:val="none" w:sz="0" w:space="0" w:color="auto"/>
          </w:divBdr>
          <w:divsChild>
            <w:div w:id="359278535">
              <w:marLeft w:val="0"/>
              <w:marRight w:val="0"/>
              <w:marTop w:val="0"/>
              <w:marBottom w:val="0"/>
              <w:divBdr>
                <w:top w:val="none" w:sz="0" w:space="0" w:color="auto"/>
                <w:left w:val="none" w:sz="0" w:space="0" w:color="auto"/>
                <w:bottom w:val="none" w:sz="0" w:space="0" w:color="auto"/>
                <w:right w:val="none" w:sz="0" w:space="0" w:color="auto"/>
              </w:divBdr>
              <w:divsChild>
                <w:div w:id="405226448">
                  <w:marLeft w:val="0"/>
                  <w:marRight w:val="0"/>
                  <w:marTop w:val="0"/>
                  <w:marBottom w:val="0"/>
                  <w:divBdr>
                    <w:top w:val="none" w:sz="0" w:space="0" w:color="auto"/>
                    <w:left w:val="none" w:sz="0" w:space="0" w:color="auto"/>
                    <w:bottom w:val="none" w:sz="0" w:space="0" w:color="auto"/>
                    <w:right w:val="none" w:sz="0" w:space="0" w:color="auto"/>
                  </w:divBdr>
                </w:div>
              </w:divsChild>
            </w:div>
            <w:div w:id="2000186458">
              <w:marLeft w:val="0"/>
              <w:marRight w:val="0"/>
              <w:marTop w:val="0"/>
              <w:marBottom w:val="0"/>
              <w:divBdr>
                <w:top w:val="none" w:sz="0" w:space="0" w:color="auto"/>
                <w:left w:val="none" w:sz="0" w:space="0" w:color="auto"/>
                <w:bottom w:val="none" w:sz="0" w:space="0" w:color="auto"/>
                <w:right w:val="none" w:sz="0" w:space="0" w:color="auto"/>
              </w:divBdr>
              <w:divsChild>
                <w:div w:id="21132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5829">
          <w:marLeft w:val="0"/>
          <w:marRight w:val="0"/>
          <w:marTop w:val="0"/>
          <w:marBottom w:val="0"/>
          <w:divBdr>
            <w:top w:val="none" w:sz="0" w:space="0" w:color="auto"/>
            <w:left w:val="none" w:sz="0" w:space="0" w:color="auto"/>
            <w:bottom w:val="none" w:sz="0" w:space="0" w:color="auto"/>
            <w:right w:val="none" w:sz="0" w:space="0" w:color="auto"/>
          </w:divBdr>
          <w:divsChild>
            <w:div w:id="789394892">
              <w:marLeft w:val="0"/>
              <w:marRight w:val="0"/>
              <w:marTop w:val="0"/>
              <w:marBottom w:val="0"/>
              <w:divBdr>
                <w:top w:val="none" w:sz="0" w:space="0" w:color="auto"/>
                <w:left w:val="none" w:sz="0" w:space="0" w:color="auto"/>
                <w:bottom w:val="none" w:sz="0" w:space="0" w:color="auto"/>
                <w:right w:val="none" w:sz="0" w:space="0" w:color="auto"/>
              </w:divBdr>
              <w:divsChild>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657">
          <w:marLeft w:val="0"/>
          <w:marRight w:val="0"/>
          <w:marTop w:val="0"/>
          <w:marBottom w:val="0"/>
          <w:divBdr>
            <w:top w:val="none" w:sz="0" w:space="0" w:color="auto"/>
            <w:left w:val="none" w:sz="0" w:space="0" w:color="auto"/>
            <w:bottom w:val="none" w:sz="0" w:space="0" w:color="auto"/>
            <w:right w:val="none" w:sz="0" w:space="0" w:color="auto"/>
          </w:divBdr>
          <w:divsChild>
            <w:div w:id="138811847">
              <w:marLeft w:val="0"/>
              <w:marRight w:val="0"/>
              <w:marTop w:val="0"/>
              <w:marBottom w:val="0"/>
              <w:divBdr>
                <w:top w:val="none" w:sz="0" w:space="0" w:color="auto"/>
                <w:left w:val="none" w:sz="0" w:space="0" w:color="auto"/>
                <w:bottom w:val="none" w:sz="0" w:space="0" w:color="auto"/>
                <w:right w:val="none" w:sz="0" w:space="0" w:color="auto"/>
              </w:divBdr>
              <w:divsChild>
                <w:div w:id="880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1221">
          <w:marLeft w:val="0"/>
          <w:marRight w:val="0"/>
          <w:marTop w:val="0"/>
          <w:marBottom w:val="0"/>
          <w:divBdr>
            <w:top w:val="none" w:sz="0" w:space="0" w:color="auto"/>
            <w:left w:val="none" w:sz="0" w:space="0" w:color="auto"/>
            <w:bottom w:val="none" w:sz="0" w:space="0" w:color="auto"/>
            <w:right w:val="none" w:sz="0" w:space="0" w:color="auto"/>
          </w:divBdr>
          <w:divsChild>
            <w:div w:id="1492791419">
              <w:marLeft w:val="0"/>
              <w:marRight w:val="0"/>
              <w:marTop w:val="0"/>
              <w:marBottom w:val="0"/>
              <w:divBdr>
                <w:top w:val="none" w:sz="0" w:space="0" w:color="auto"/>
                <w:left w:val="none" w:sz="0" w:space="0" w:color="auto"/>
                <w:bottom w:val="none" w:sz="0" w:space="0" w:color="auto"/>
                <w:right w:val="none" w:sz="0" w:space="0" w:color="auto"/>
              </w:divBdr>
              <w:divsChild>
                <w:div w:id="14708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1479">
          <w:marLeft w:val="0"/>
          <w:marRight w:val="0"/>
          <w:marTop w:val="0"/>
          <w:marBottom w:val="0"/>
          <w:divBdr>
            <w:top w:val="none" w:sz="0" w:space="0" w:color="auto"/>
            <w:left w:val="none" w:sz="0" w:space="0" w:color="auto"/>
            <w:bottom w:val="none" w:sz="0" w:space="0" w:color="auto"/>
            <w:right w:val="none" w:sz="0" w:space="0" w:color="auto"/>
          </w:divBdr>
          <w:divsChild>
            <w:div w:id="743187501">
              <w:marLeft w:val="0"/>
              <w:marRight w:val="0"/>
              <w:marTop w:val="0"/>
              <w:marBottom w:val="0"/>
              <w:divBdr>
                <w:top w:val="none" w:sz="0" w:space="0" w:color="auto"/>
                <w:left w:val="none" w:sz="0" w:space="0" w:color="auto"/>
                <w:bottom w:val="none" w:sz="0" w:space="0" w:color="auto"/>
                <w:right w:val="none" w:sz="0" w:space="0" w:color="auto"/>
              </w:divBdr>
              <w:divsChild>
                <w:div w:id="17350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6539">
          <w:marLeft w:val="0"/>
          <w:marRight w:val="0"/>
          <w:marTop w:val="0"/>
          <w:marBottom w:val="0"/>
          <w:divBdr>
            <w:top w:val="none" w:sz="0" w:space="0" w:color="auto"/>
            <w:left w:val="none" w:sz="0" w:space="0" w:color="auto"/>
            <w:bottom w:val="none" w:sz="0" w:space="0" w:color="auto"/>
            <w:right w:val="none" w:sz="0" w:space="0" w:color="auto"/>
          </w:divBdr>
          <w:divsChild>
            <w:div w:id="19207312">
              <w:marLeft w:val="0"/>
              <w:marRight w:val="0"/>
              <w:marTop w:val="0"/>
              <w:marBottom w:val="0"/>
              <w:divBdr>
                <w:top w:val="none" w:sz="0" w:space="0" w:color="auto"/>
                <w:left w:val="none" w:sz="0" w:space="0" w:color="auto"/>
                <w:bottom w:val="none" w:sz="0" w:space="0" w:color="auto"/>
                <w:right w:val="none" w:sz="0" w:space="0" w:color="auto"/>
              </w:divBdr>
              <w:divsChild>
                <w:div w:id="3505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41673">
          <w:marLeft w:val="0"/>
          <w:marRight w:val="0"/>
          <w:marTop w:val="0"/>
          <w:marBottom w:val="0"/>
          <w:divBdr>
            <w:top w:val="none" w:sz="0" w:space="0" w:color="auto"/>
            <w:left w:val="none" w:sz="0" w:space="0" w:color="auto"/>
            <w:bottom w:val="none" w:sz="0" w:space="0" w:color="auto"/>
            <w:right w:val="none" w:sz="0" w:space="0" w:color="auto"/>
          </w:divBdr>
          <w:divsChild>
            <w:div w:id="1813668780">
              <w:marLeft w:val="0"/>
              <w:marRight w:val="0"/>
              <w:marTop w:val="0"/>
              <w:marBottom w:val="0"/>
              <w:divBdr>
                <w:top w:val="none" w:sz="0" w:space="0" w:color="auto"/>
                <w:left w:val="none" w:sz="0" w:space="0" w:color="auto"/>
                <w:bottom w:val="none" w:sz="0" w:space="0" w:color="auto"/>
                <w:right w:val="none" w:sz="0" w:space="0" w:color="auto"/>
              </w:divBdr>
              <w:divsChild>
                <w:div w:id="18187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6023">
          <w:marLeft w:val="0"/>
          <w:marRight w:val="0"/>
          <w:marTop w:val="0"/>
          <w:marBottom w:val="0"/>
          <w:divBdr>
            <w:top w:val="none" w:sz="0" w:space="0" w:color="auto"/>
            <w:left w:val="none" w:sz="0" w:space="0" w:color="auto"/>
            <w:bottom w:val="none" w:sz="0" w:space="0" w:color="auto"/>
            <w:right w:val="none" w:sz="0" w:space="0" w:color="auto"/>
          </w:divBdr>
          <w:divsChild>
            <w:div w:id="1421176759">
              <w:marLeft w:val="0"/>
              <w:marRight w:val="0"/>
              <w:marTop w:val="0"/>
              <w:marBottom w:val="0"/>
              <w:divBdr>
                <w:top w:val="none" w:sz="0" w:space="0" w:color="auto"/>
                <w:left w:val="none" w:sz="0" w:space="0" w:color="auto"/>
                <w:bottom w:val="none" w:sz="0" w:space="0" w:color="auto"/>
                <w:right w:val="none" w:sz="0" w:space="0" w:color="auto"/>
              </w:divBdr>
              <w:divsChild>
                <w:div w:id="725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3788">
          <w:marLeft w:val="0"/>
          <w:marRight w:val="0"/>
          <w:marTop w:val="0"/>
          <w:marBottom w:val="0"/>
          <w:divBdr>
            <w:top w:val="none" w:sz="0" w:space="0" w:color="auto"/>
            <w:left w:val="none" w:sz="0" w:space="0" w:color="auto"/>
            <w:bottom w:val="none" w:sz="0" w:space="0" w:color="auto"/>
            <w:right w:val="none" w:sz="0" w:space="0" w:color="auto"/>
          </w:divBdr>
          <w:divsChild>
            <w:div w:id="889221975">
              <w:marLeft w:val="0"/>
              <w:marRight w:val="0"/>
              <w:marTop w:val="0"/>
              <w:marBottom w:val="0"/>
              <w:divBdr>
                <w:top w:val="none" w:sz="0" w:space="0" w:color="auto"/>
                <w:left w:val="none" w:sz="0" w:space="0" w:color="auto"/>
                <w:bottom w:val="none" w:sz="0" w:space="0" w:color="auto"/>
                <w:right w:val="none" w:sz="0" w:space="0" w:color="auto"/>
              </w:divBdr>
              <w:divsChild>
                <w:div w:id="9340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298">
          <w:marLeft w:val="0"/>
          <w:marRight w:val="0"/>
          <w:marTop w:val="0"/>
          <w:marBottom w:val="0"/>
          <w:divBdr>
            <w:top w:val="none" w:sz="0" w:space="0" w:color="auto"/>
            <w:left w:val="none" w:sz="0" w:space="0" w:color="auto"/>
            <w:bottom w:val="none" w:sz="0" w:space="0" w:color="auto"/>
            <w:right w:val="none" w:sz="0" w:space="0" w:color="auto"/>
          </w:divBdr>
          <w:divsChild>
            <w:div w:id="1127967701">
              <w:marLeft w:val="0"/>
              <w:marRight w:val="0"/>
              <w:marTop w:val="0"/>
              <w:marBottom w:val="0"/>
              <w:divBdr>
                <w:top w:val="none" w:sz="0" w:space="0" w:color="auto"/>
                <w:left w:val="none" w:sz="0" w:space="0" w:color="auto"/>
                <w:bottom w:val="none" w:sz="0" w:space="0" w:color="auto"/>
                <w:right w:val="none" w:sz="0" w:space="0" w:color="auto"/>
              </w:divBdr>
              <w:divsChild>
                <w:div w:id="21305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2064">
          <w:marLeft w:val="0"/>
          <w:marRight w:val="0"/>
          <w:marTop w:val="0"/>
          <w:marBottom w:val="0"/>
          <w:divBdr>
            <w:top w:val="none" w:sz="0" w:space="0" w:color="auto"/>
            <w:left w:val="none" w:sz="0" w:space="0" w:color="auto"/>
            <w:bottom w:val="none" w:sz="0" w:space="0" w:color="auto"/>
            <w:right w:val="none" w:sz="0" w:space="0" w:color="auto"/>
          </w:divBdr>
          <w:divsChild>
            <w:div w:id="2092117008">
              <w:marLeft w:val="0"/>
              <w:marRight w:val="0"/>
              <w:marTop w:val="0"/>
              <w:marBottom w:val="0"/>
              <w:divBdr>
                <w:top w:val="none" w:sz="0" w:space="0" w:color="auto"/>
                <w:left w:val="none" w:sz="0" w:space="0" w:color="auto"/>
                <w:bottom w:val="none" w:sz="0" w:space="0" w:color="auto"/>
                <w:right w:val="none" w:sz="0" w:space="0" w:color="auto"/>
              </w:divBdr>
            </w:div>
          </w:divsChild>
        </w:div>
        <w:div w:id="1435633003">
          <w:marLeft w:val="0"/>
          <w:marRight w:val="0"/>
          <w:marTop w:val="0"/>
          <w:marBottom w:val="0"/>
          <w:divBdr>
            <w:top w:val="none" w:sz="0" w:space="0" w:color="auto"/>
            <w:left w:val="none" w:sz="0" w:space="0" w:color="auto"/>
            <w:bottom w:val="none" w:sz="0" w:space="0" w:color="auto"/>
            <w:right w:val="none" w:sz="0" w:space="0" w:color="auto"/>
          </w:divBdr>
          <w:divsChild>
            <w:div w:id="1784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3023">
      <w:bodyDiv w:val="1"/>
      <w:marLeft w:val="0"/>
      <w:marRight w:val="0"/>
      <w:marTop w:val="0"/>
      <w:marBottom w:val="0"/>
      <w:divBdr>
        <w:top w:val="none" w:sz="0" w:space="0" w:color="auto"/>
        <w:left w:val="none" w:sz="0" w:space="0" w:color="auto"/>
        <w:bottom w:val="none" w:sz="0" w:space="0" w:color="auto"/>
        <w:right w:val="none" w:sz="0" w:space="0" w:color="auto"/>
      </w:divBdr>
      <w:divsChild>
        <w:div w:id="213349802">
          <w:marLeft w:val="0"/>
          <w:marRight w:val="0"/>
          <w:marTop w:val="0"/>
          <w:marBottom w:val="0"/>
          <w:divBdr>
            <w:top w:val="none" w:sz="0" w:space="0" w:color="auto"/>
            <w:left w:val="none" w:sz="0" w:space="0" w:color="auto"/>
            <w:bottom w:val="none" w:sz="0" w:space="0" w:color="auto"/>
            <w:right w:val="none" w:sz="0" w:space="0" w:color="auto"/>
          </w:divBdr>
          <w:divsChild>
            <w:div w:id="345794524">
              <w:marLeft w:val="0"/>
              <w:marRight w:val="0"/>
              <w:marTop w:val="0"/>
              <w:marBottom w:val="0"/>
              <w:divBdr>
                <w:top w:val="none" w:sz="0" w:space="0" w:color="auto"/>
                <w:left w:val="none" w:sz="0" w:space="0" w:color="auto"/>
                <w:bottom w:val="none" w:sz="0" w:space="0" w:color="auto"/>
                <w:right w:val="none" w:sz="0" w:space="0" w:color="auto"/>
              </w:divBdr>
              <w:divsChild>
                <w:div w:id="1955400732">
                  <w:marLeft w:val="0"/>
                  <w:marRight w:val="0"/>
                  <w:marTop w:val="0"/>
                  <w:marBottom w:val="0"/>
                  <w:divBdr>
                    <w:top w:val="none" w:sz="0" w:space="0" w:color="auto"/>
                    <w:left w:val="none" w:sz="0" w:space="0" w:color="auto"/>
                    <w:bottom w:val="none" w:sz="0" w:space="0" w:color="auto"/>
                    <w:right w:val="none" w:sz="0" w:space="0" w:color="auto"/>
                  </w:divBdr>
                </w:div>
              </w:divsChild>
            </w:div>
            <w:div w:id="2105763500">
              <w:marLeft w:val="0"/>
              <w:marRight w:val="0"/>
              <w:marTop w:val="0"/>
              <w:marBottom w:val="0"/>
              <w:divBdr>
                <w:top w:val="none" w:sz="0" w:space="0" w:color="auto"/>
                <w:left w:val="none" w:sz="0" w:space="0" w:color="auto"/>
                <w:bottom w:val="none" w:sz="0" w:space="0" w:color="auto"/>
                <w:right w:val="none" w:sz="0" w:space="0" w:color="auto"/>
              </w:divBdr>
              <w:divsChild>
                <w:div w:id="1175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7343">
      <w:bodyDiv w:val="1"/>
      <w:marLeft w:val="0"/>
      <w:marRight w:val="0"/>
      <w:marTop w:val="0"/>
      <w:marBottom w:val="0"/>
      <w:divBdr>
        <w:top w:val="none" w:sz="0" w:space="0" w:color="auto"/>
        <w:left w:val="none" w:sz="0" w:space="0" w:color="auto"/>
        <w:bottom w:val="none" w:sz="0" w:space="0" w:color="auto"/>
        <w:right w:val="none" w:sz="0" w:space="0" w:color="auto"/>
      </w:divBdr>
    </w:div>
    <w:div w:id="1686400859">
      <w:bodyDiv w:val="1"/>
      <w:marLeft w:val="0"/>
      <w:marRight w:val="0"/>
      <w:marTop w:val="0"/>
      <w:marBottom w:val="0"/>
      <w:divBdr>
        <w:top w:val="none" w:sz="0" w:space="0" w:color="auto"/>
        <w:left w:val="none" w:sz="0" w:space="0" w:color="auto"/>
        <w:bottom w:val="none" w:sz="0" w:space="0" w:color="auto"/>
        <w:right w:val="none" w:sz="0" w:space="0" w:color="auto"/>
      </w:divBdr>
      <w:divsChild>
        <w:div w:id="869105548">
          <w:marLeft w:val="0"/>
          <w:marRight w:val="0"/>
          <w:marTop w:val="0"/>
          <w:marBottom w:val="0"/>
          <w:divBdr>
            <w:top w:val="none" w:sz="0" w:space="0" w:color="auto"/>
            <w:left w:val="none" w:sz="0" w:space="0" w:color="auto"/>
            <w:bottom w:val="none" w:sz="0" w:space="0" w:color="auto"/>
            <w:right w:val="none" w:sz="0" w:space="0" w:color="auto"/>
          </w:divBdr>
          <w:divsChild>
            <w:div w:id="770899999">
              <w:marLeft w:val="0"/>
              <w:marRight w:val="0"/>
              <w:marTop w:val="0"/>
              <w:marBottom w:val="0"/>
              <w:divBdr>
                <w:top w:val="none" w:sz="0" w:space="0" w:color="auto"/>
                <w:left w:val="none" w:sz="0" w:space="0" w:color="auto"/>
                <w:bottom w:val="none" w:sz="0" w:space="0" w:color="auto"/>
                <w:right w:val="none" w:sz="0" w:space="0" w:color="auto"/>
              </w:divBdr>
            </w:div>
          </w:divsChild>
        </w:div>
        <w:div w:id="1669287180">
          <w:marLeft w:val="0"/>
          <w:marRight w:val="0"/>
          <w:marTop w:val="0"/>
          <w:marBottom w:val="0"/>
          <w:divBdr>
            <w:top w:val="none" w:sz="0" w:space="0" w:color="auto"/>
            <w:left w:val="none" w:sz="0" w:space="0" w:color="auto"/>
            <w:bottom w:val="none" w:sz="0" w:space="0" w:color="auto"/>
            <w:right w:val="none" w:sz="0" w:space="0" w:color="auto"/>
          </w:divBdr>
          <w:divsChild>
            <w:div w:id="14760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7062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9693426">
      <w:bodyDiv w:val="1"/>
      <w:marLeft w:val="0"/>
      <w:marRight w:val="0"/>
      <w:marTop w:val="0"/>
      <w:marBottom w:val="0"/>
      <w:divBdr>
        <w:top w:val="none" w:sz="0" w:space="0" w:color="auto"/>
        <w:left w:val="none" w:sz="0" w:space="0" w:color="auto"/>
        <w:bottom w:val="none" w:sz="0" w:space="0" w:color="auto"/>
        <w:right w:val="none" w:sz="0" w:space="0" w:color="auto"/>
      </w:divBdr>
      <w:divsChild>
        <w:div w:id="1827093199">
          <w:marLeft w:val="0"/>
          <w:marRight w:val="0"/>
          <w:marTop w:val="0"/>
          <w:marBottom w:val="0"/>
          <w:divBdr>
            <w:top w:val="none" w:sz="0" w:space="0" w:color="auto"/>
            <w:left w:val="none" w:sz="0" w:space="0" w:color="auto"/>
            <w:bottom w:val="none" w:sz="0" w:space="0" w:color="auto"/>
            <w:right w:val="none" w:sz="0" w:space="0" w:color="auto"/>
          </w:divBdr>
          <w:divsChild>
            <w:div w:id="980229548">
              <w:marLeft w:val="0"/>
              <w:marRight w:val="0"/>
              <w:marTop w:val="0"/>
              <w:marBottom w:val="0"/>
              <w:divBdr>
                <w:top w:val="none" w:sz="0" w:space="0" w:color="auto"/>
                <w:left w:val="none" w:sz="0" w:space="0" w:color="auto"/>
                <w:bottom w:val="none" w:sz="0" w:space="0" w:color="auto"/>
                <w:right w:val="none" w:sz="0" w:space="0" w:color="auto"/>
              </w:divBdr>
            </w:div>
          </w:divsChild>
        </w:div>
        <w:div w:id="1907181332">
          <w:marLeft w:val="0"/>
          <w:marRight w:val="0"/>
          <w:marTop w:val="0"/>
          <w:marBottom w:val="0"/>
          <w:divBdr>
            <w:top w:val="none" w:sz="0" w:space="0" w:color="auto"/>
            <w:left w:val="none" w:sz="0" w:space="0" w:color="auto"/>
            <w:bottom w:val="none" w:sz="0" w:space="0" w:color="auto"/>
            <w:right w:val="none" w:sz="0" w:space="0" w:color="auto"/>
          </w:divBdr>
          <w:divsChild>
            <w:div w:id="7738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1617">
      <w:bodyDiv w:val="1"/>
      <w:marLeft w:val="0"/>
      <w:marRight w:val="0"/>
      <w:marTop w:val="0"/>
      <w:marBottom w:val="0"/>
      <w:divBdr>
        <w:top w:val="none" w:sz="0" w:space="0" w:color="auto"/>
        <w:left w:val="none" w:sz="0" w:space="0" w:color="auto"/>
        <w:bottom w:val="none" w:sz="0" w:space="0" w:color="auto"/>
        <w:right w:val="none" w:sz="0" w:space="0" w:color="auto"/>
      </w:divBdr>
    </w:div>
    <w:div w:id="1741247774">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1946648">
      <w:bodyDiv w:val="1"/>
      <w:marLeft w:val="0"/>
      <w:marRight w:val="0"/>
      <w:marTop w:val="0"/>
      <w:marBottom w:val="0"/>
      <w:divBdr>
        <w:top w:val="none" w:sz="0" w:space="0" w:color="auto"/>
        <w:left w:val="none" w:sz="0" w:space="0" w:color="auto"/>
        <w:bottom w:val="none" w:sz="0" w:space="0" w:color="auto"/>
        <w:right w:val="none" w:sz="0" w:space="0" w:color="auto"/>
      </w:divBdr>
      <w:divsChild>
        <w:div w:id="495417991">
          <w:marLeft w:val="0"/>
          <w:marRight w:val="0"/>
          <w:marTop w:val="0"/>
          <w:marBottom w:val="0"/>
          <w:divBdr>
            <w:top w:val="none" w:sz="0" w:space="0" w:color="auto"/>
            <w:left w:val="none" w:sz="0" w:space="0" w:color="auto"/>
            <w:bottom w:val="none" w:sz="0" w:space="0" w:color="auto"/>
            <w:right w:val="none" w:sz="0" w:space="0" w:color="auto"/>
          </w:divBdr>
          <w:divsChild>
            <w:div w:id="150605632">
              <w:marLeft w:val="0"/>
              <w:marRight w:val="0"/>
              <w:marTop w:val="0"/>
              <w:marBottom w:val="0"/>
              <w:divBdr>
                <w:top w:val="none" w:sz="0" w:space="0" w:color="auto"/>
                <w:left w:val="none" w:sz="0" w:space="0" w:color="auto"/>
                <w:bottom w:val="none" w:sz="0" w:space="0" w:color="auto"/>
                <w:right w:val="none" w:sz="0" w:space="0" w:color="auto"/>
              </w:divBdr>
            </w:div>
          </w:divsChild>
        </w:div>
        <w:div w:id="1049836932">
          <w:marLeft w:val="0"/>
          <w:marRight w:val="0"/>
          <w:marTop w:val="0"/>
          <w:marBottom w:val="0"/>
          <w:divBdr>
            <w:top w:val="none" w:sz="0" w:space="0" w:color="auto"/>
            <w:left w:val="none" w:sz="0" w:space="0" w:color="auto"/>
            <w:bottom w:val="none" w:sz="0" w:space="0" w:color="auto"/>
            <w:right w:val="none" w:sz="0" w:space="0" w:color="auto"/>
          </w:divBdr>
          <w:divsChild>
            <w:div w:id="814375267">
              <w:marLeft w:val="0"/>
              <w:marRight w:val="0"/>
              <w:marTop w:val="0"/>
              <w:marBottom w:val="0"/>
              <w:divBdr>
                <w:top w:val="none" w:sz="0" w:space="0" w:color="auto"/>
                <w:left w:val="none" w:sz="0" w:space="0" w:color="auto"/>
                <w:bottom w:val="none" w:sz="0" w:space="0" w:color="auto"/>
                <w:right w:val="none" w:sz="0" w:space="0" w:color="auto"/>
              </w:divBdr>
            </w:div>
          </w:divsChild>
        </w:div>
        <w:div w:id="1695963845">
          <w:marLeft w:val="0"/>
          <w:marRight w:val="0"/>
          <w:marTop w:val="0"/>
          <w:marBottom w:val="0"/>
          <w:divBdr>
            <w:top w:val="none" w:sz="0" w:space="0" w:color="auto"/>
            <w:left w:val="none" w:sz="0" w:space="0" w:color="auto"/>
            <w:bottom w:val="none" w:sz="0" w:space="0" w:color="auto"/>
            <w:right w:val="none" w:sz="0" w:space="0" w:color="auto"/>
          </w:divBdr>
          <w:divsChild>
            <w:div w:id="9038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3278">
      <w:bodyDiv w:val="1"/>
      <w:marLeft w:val="0"/>
      <w:marRight w:val="0"/>
      <w:marTop w:val="0"/>
      <w:marBottom w:val="0"/>
      <w:divBdr>
        <w:top w:val="none" w:sz="0" w:space="0" w:color="auto"/>
        <w:left w:val="none" w:sz="0" w:space="0" w:color="auto"/>
        <w:bottom w:val="none" w:sz="0" w:space="0" w:color="auto"/>
        <w:right w:val="none" w:sz="0" w:space="0" w:color="auto"/>
      </w:divBdr>
      <w:divsChild>
        <w:div w:id="109053138">
          <w:marLeft w:val="0"/>
          <w:marRight w:val="0"/>
          <w:marTop w:val="0"/>
          <w:marBottom w:val="0"/>
          <w:divBdr>
            <w:top w:val="none" w:sz="0" w:space="0" w:color="auto"/>
            <w:left w:val="none" w:sz="0" w:space="0" w:color="auto"/>
            <w:bottom w:val="none" w:sz="0" w:space="0" w:color="auto"/>
            <w:right w:val="none" w:sz="0" w:space="0" w:color="auto"/>
          </w:divBdr>
          <w:divsChild>
            <w:div w:id="1121801772">
              <w:marLeft w:val="0"/>
              <w:marRight w:val="0"/>
              <w:marTop w:val="0"/>
              <w:marBottom w:val="0"/>
              <w:divBdr>
                <w:top w:val="none" w:sz="0" w:space="0" w:color="auto"/>
                <w:left w:val="none" w:sz="0" w:space="0" w:color="auto"/>
                <w:bottom w:val="none" w:sz="0" w:space="0" w:color="auto"/>
                <w:right w:val="none" w:sz="0" w:space="0" w:color="auto"/>
              </w:divBdr>
            </w:div>
          </w:divsChild>
        </w:div>
        <w:div w:id="1359576279">
          <w:marLeft w:val="0"/>
          <w:marRight w:val="0"/>
          <w:marTop w:val="0"/>
          <w:marBottom w:val="0"/>
          <w:divBdr>
            <w:top w:val="none" w:sz="0" w:space="0" w:color="auto"/>
            <w:left w:val="none" w:sz="0" w:space="0" w:color="auto"/>
            <w:bottom w:val="none" w:sz="0" w:space="0" w:color="auto"/>
            <w:right w:val="none" w:sz="0" w:space="0" w:color="auto"/>
          </w:divBdr>
          <w:divsChild>
            <w:div w:id="727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5998">
      <w:bodyDiv w:val="1"/>
      <w:marLeft w:val="0"/>
      <w:marRight w:val="0"/>
      <w:marTop w:val="0"/>
      <w:marBottom w:val="0"/>
      <w:divBdr>
        <w:top w:val="none" w:sz="0" w:space="0" w:color="auto"/>
        <w:left w:val="none" w:sz="0" w:space="0" w:color="auto"/>
        <w:bottom w:val="none" w:sz="0" w:space="0" w:color="auto"/>
        <w:right w:val="none" w:sz="0" w:space="0" w:color="auto"/>
      </w:divBdr>
      <w:divsChild>
        <w:div w:id="432823856">
          <w:marLeft w:val="0"/>
          <w:marRight w:val="0"/>
          <w:marTop w:val="0"/>
          <w:marBottom w:val="0"/>
          <w:divBdr>
            <w:top w:val="none" w:sz="0" w:space="0" w:color="auto"/>
            <w:left w:val="none" w:sz="0" w:space="0" w:color="auto"/>
            <w:bottom w:val="none" w:sz="0" w:space="0" w:color="auto"/>
            <w:right w:val="none" w:sz="0" w:space="0" w:color="auto"/>
          </w:divBdr>
          <w:divsChild>
            <w:div w:id="434517360">
              <w:marLeft w:val="0"/>
              <w:marRight w:val="0"/>
              <w:marTop w:val="0"/>
              <w:marBottom w:val="0"/>
              <w:divBdr>
                <w:top w:val="none" w:sz="0" w:space="0" w:color="auto"/>
                <w:left w:val="none" w:sz="0" w:space="0" w:color="auto"/>
                <w:bottom w:val="none" w:sz="0" w:space="0" w:color="auto"/>
                <w:right w:val="none" w:sz="0" w:space="0" w:color="auto"/>
              </w:divBdr>
            </w:div>
          </w:divsChild>
        </w:div>
        <w:div w:id="1705136083">
          <w:marLeft w:val="0"/>
          <w:marRight w:val="0"/>
          <w:marTop w:val="0"/>
          <w:marBottom w:val="0"/>
          <w:divBdr>
            <w:top w:val="none" w:sz="0" w:space="0" w:color="auto"/>
            <w:left w:val="none" w:sz="0" w:space="0" w:color="auto"/>
            <w:bottom w:val="none" w:sz="0" w:space="0" w:color="auto"/>
            <w:right w:val="none" w:sz="0" w:space="0" w:color="auto"/>
          </w:divBdr>
          <w:divsChild>
            <w:div w:id="80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3206">
      <w:bodyDiv w:val="1"/>
      <w:marLeft w:val="0"/>
      <w:marRight w:val="0"/>
      <w:marTop w:val="0"/>
      <w:marBottom w:val="0"/>
      <w:divBdr>
        <w:top w:val="none" w:sz="0" w:space="0" w:color="auto"/>
        <w:left w:val="none" w:sz="0" w:space="0" w:color="auto"/>
        <w:bottom w:val="none" w:sz="0" w:space="0" w:color="auto"/>
        <w:right w:val="none" w:sz="0" w:space="0" w:color="auto"/>
      </w:divBdr>
    </w:div>
    <w:div w:id="1781686586">
      <w:bodyDiv w:val="1"/>
      <w:marLeft w:val="0"/>
      <w:marRight w:val="0"/>
      <w:marTop w:val="0"/>
      <w:marBottom w:val="0"/>
      <w:divBdr>
        <w:top w:val="none" w:sz="0" w:space="0" w:color="auto"/>
        <w:left w:val="none" w:sz="0" w:space="0" w:color="auto"/>
        <w:bottom w:val="none" w:sz="0" w:space="0" w:color="auto"/>
        <w:right w:val="none" w:sz="0" w:space="0" w:color="auto"/>
      </w:divBdr>
      <w:divsChild>
        <w:div w:id="933902476">
          <w:marLeft w:val="0"/>
          <w:marRight w:val="0"/>
          <w:marTop w:val="0"/>
          <w:marBottom w:val="0"/>
          <w:divBdr>
            <w:top w:val="none" w:sz="0" w:space="0" w:color="auto"/>
            <w:left w:val="none" w:sz="0" w:space="0" w:color="auto"/>
            <w:bottom w:val="none" w:sz="0" w:space="0" w:color="auto"/>
            <w:right w:val="none" w:sz="0" w:space="0" w:color="auto"/>
          </w:divBdr>
          <w:divsChild>
            <w:div w:id="1843667752">
              <w:marLeft w:val="0"/>
              <w:marRight w:val="0"/>
              <w:marTop w:val="0"/>
              <w:marBottom w:val="0"/>
              <w:divBdr>
                <w:top w:val="none" w:sz="0" w:space="0" w:color="auto"/>
                <w:left w:val="none" w:sz="0" w:space="0" w:color="auto"/>
                <w:bottom w:val="none" w:sz="0" w:space="0" w:color="auto"/>
                <w:right w:val="none" w:sz="0" w:space="0" w:color="auto"/>
              </w:divBdr>
            </w:div>
          </w:divsChild>
        </w:div>
        <w:div w:id="1314945352">
          <w:marLeft w:val="0"/>
          <w:marRight w:val="0"/>
          <w:marTop w:val="0"/>
          <w:marBottom w:val="0"/>
          <w:divBdr>
            <w:top w:val="none" w:sz="0" w:space="0" w:color="auto"/>
            <w:left w:val="none" w:sz="0" w:space="0" w:color="auto"/>
            <w:bottom w:val="none" w:sz="0" w:space="0" w:color="auto"/>
            <w:right w:val="none" w:sz="0" w:space="0" w:color="auto"/>
          </w:divBdr>
          <w:divsChild>
            <w:div w:id="21039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5773">
      <w:bodyDiv w:val="1"/>
      <w:marLeft w:val="0"/>
      <w:marRight w:val="0"/>
      <w:marTop w:val="0"/>
      <w:marBottom w:val="0"/>
      <w:divBdr>
        <w:top w:val="none" w:sz="0" w:space="0" w:color="auto"/>
        <w:left w:val="none" w:sz="0" w:space="0" w:color="auto"/>
        <w:bottom w:val="none" w:sz="0" w:space="0" w:color="auto"/>
        <w:right w:val="none" w:sz="0" w:space="0" w:color="auto"/>
      </w:divBdr>
      <w:divsChild>
        <w:div w:id="201790258">
          <w:marLeft w:val="0"/>
          <w:marRight w:val="0"/>
          <w:marTop w:val="0"/>
          <w:marBottom w:val="0"/>
          <w:divBdr>
            <w:top w:val="none" w:sz="0" w:space="0" w:color="auto"/>
            <w:left w:val="none" w:sz="0" w:space="0" w:color="auto"/>
            <w:bottom w:val="none" w:sz="0" w:space="0" w:color="auto"/>
            <w:right w:val="none" w:sz="0" w:space="0" w:color="auto"/>
          </w:divBdr>
          <w:divsChild>
            <w:div w:id="1703439328">
              <w:marLeft w:val="0"/>
              <w:marRight w:val="0"/>
              <w:marTop w:val="0"/>
              <w:marBottom w:val="0"/>
              <w:divBdr>
                <w:top w:val="none" w:sz="0" w:space="0" w:color="auto"/>
                <w:left w:val="none" w:sz="0" w:space="0" w:color="auto"/>
                <w:bottom w:val="none" w:sz="0" w:space="0" w:color="auto"/>
                <w:right w:val="none" w:sz="0" w:space="0" w:color="auto"/>
              </w:divBdr>
            </w:div>
          </w:divsChild>
        </w:div>
        <w:div w:id="1365449642">
          <w:marLeft w:val="0"/>
          <w:marRight w:val="0"/>
          <w:marTop w:val="0"/>
          <w:marBottom w:val="0"/>
          <w:divBdr>
            <w:top w:val="none" w:sz="0" w:space="0" w:color="auto"/>
            <w:left w:val="none" w:sz="0" w:space="0" w:color="auto"/>
            <w:bottom w:val="none" w:sz="0" w:space="0" w:color="auto"/>
            <w:right w:val="none" w:sz="0" w:space="0" w:color="auto"/>
          </w:divBdr>
          <w:divsChild>
            <w:div w:id="1623421865">
              <w:marLeft w:val="0"/>
              <w:marRight w:val="0"/>
              <w:marTop w:val="0"/>
              <w:marBottom w:val="0"/>
              <w:divBdr>
                <w:top w:val="none" w:sz="0" w:space="0" w:color="auto"/>
                <w:left w:val="none" w:sz="0" w:space="0" w:color="auto"/>
                <w:bottom w:val="none" w:sz="0" w:space="0" w:color="auto"/>
                <w:right w:val="none" w:sz="0" w:space="0" w:color="auto"/>
              </w:divBdr>
            </w:div>
          </w:divsChild>
        </w:div>
        <w:div w:id="1485047171">
          <w:marLeft w:val="0"/>
          <w:marRight w:val="0"/>
          <w:marTop w:val="0"/>
          <w:marBottom w:val="0"/>
          <w:divBdr>
            <w:top w:val="none" w:sz="0" w:space="0" w:color="auto"/>
            <w:left w:val="none" w:sz="0" w:space="0" w:color="auto"/>
            <w:bottom w:val="none" w:sz="0" w:space="0" w:color="auto"/>
            <w:right w:val="none" w:sz="0" w:space="0" w:color="auto"/>
          </w:divBdr>
          <w:divsChild>
            <w:div w:id="16576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5893">
      <w:bodyDiv w:val="1"/>
      <w:marLeft w:val="0"/>
      <w:marRight w:val="0"/>
      <w:marTop w:val="0"/>
      <w:marBottom w:val="0"/>
      <w:divBdr>
        <w:top w:val="none" w:sz="0" w:space="0" w:color="auto"/>
        <w:left w:val="none" w:sz="0" w:space="0" w:color="auto"/>
        <w:bottom w:val="none" w:sz="0" w:space="0" w:color="auto"/>
        <w:right w:val="none" w:sz="0" w:space="0" w:color="auto"/>
      </w:divBdr>
      <w:divsChild>
        <w:div w:id="279845230">
          <w:marLeft w:val="0"/>
          <w:marRight w:val="0"/>
          <w:marTop w:val="0"/>
          <w:marBottom w:val="0"/>
          <w:divBdr>
            <w:top w:val="none" w:sz="0" w:space="0" w:color="auto"/>
            <w:left w:val="none" w:sz="0" w:space="0" w:color="auto"/>
            <w:bottom w:val="none" w:sz="0" w:space="0" w:color="auto"/>
            <w:right w:val="none" w:sz="0" w:space="0" w:color="auto"/>
          </w:divBdr>
          <w:divsChild>
            <w:div w:id="1513301038">
              <w:marLeft w:val="0"/>
              <w:marRight w:val="0"/>
              <w:marTop w:val="0"/>
              <w:marBottom w:val="0"/>
              <w:divBdr>
                <w:top w:val="none" w:sz="0" w:space="0" w:color="auto"/>
                <w:left w:val="none" w:sz="0" w:space="0" w:color="auto"/>
                <w:bottom w:val="none" w:sz="0" w:space="0" w:color="auto"/>
                <w:right w:val="none" w:sz="0" w:space="0" w:color="auto"/>
              </w:divBdr>
              <w:divsChild>
                <w:div w:id="5353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7049">
          <w:marLeft w:val="0"/>
          <w:marRight w:val="0"/>
          <w:marTop w:val="0"/>
          <w:marBottom w:val="0"/>
          <w:divBdr>
            <w:top w:val="none" w:sz="0" w:space="0" w:color="auto"/>
            <w:left w:val="none" w:sz="0" w:space="0" w:color="auto"/>
            <w:bottom w:val="none" w:sz="0" w:space="0" w:color="auto"/>
            <w:right w:val="none" w:sz="0" w:space="0" w:color="auto"/>
          </w:divBdr>
          <w:divsChild>
            <w:div w:id="114107862">
              <w:marLeft w:val="0"/>
              <w:marRight w:val="0"/>
              <w:marTop w:val="0"/>
              <w:marBottom w:val="0"/>
              <w:divBdr>
                <w:top w:val="none" w:sz="0" w:space="0" w:color="auto"/>
                <w:left w:val="none" w:sz="0" w:space="0" w:color="auto"/>
                <w:bottom w:val="none" w:sz="0" w:space="0" w:color="auto"/>
                <w:right w:val="none" w:sz="0" w:space="0" w:color="auto"/>
              </w:divBdr>
              <w:divsChild>
                <w:div w:id="9952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683">
          <w:marLeft w:val="0"/>
          <w:marRight w:val="0"/>
          <w:marTop w:val="0"/>
          <w:marBottom w:val="0"/>
          <w:divBdr>
            <w:top w:val="none" w:sz="0" w:space="0" w:color="auto"/>
            <w:left w:val="none" w:sz="0" w:space="0" w:color="auto"/>
            <w:bottom w:val="none" w:sz="0" w:space="0" w:color="auto"/>
            <w:right w:val="none" w:sz="0" w:space="0" w:color="auto"/>
          </w:divBdr>
          <w:divsChild>
            <w:div w:id="428164655">
              <w:marLeft w:val="0"/>
              <w:marRight w:val="0"/>
              <w:marTop w:val="0"/>
              <w:marBottom w:val="0"/>
              <w:divBdr>
                <w:top w:val="none" w:sz="0" w:space="0" w:color="auto"/>
                <w:left w:val="none" w:sz="0" w:space="0" w:color="auto"/>
                <w:bottom w:val="none" w:sz="0" w:space="0" w:color="auto"/>
                <w:right w:val="none" w:sz="0" w:space="0" w:color="auto"/>
              </w:divBdr>
              <w:divsChild>
                <w:div w:id="15647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2074">
          <w:marLeft w:val="0"/>
          <w:marRight w:val="0"/>
          <w:marTop w:val="0"/>
          <w:marBottom w:val="0"/>
          <w:divBdr>
            <w:top w:val="none" w:sz="0" w:space="0" w:color="auto"/>
            <w:left w:val="none" w:sz="0" w:space="0" w:color="auto"/>
            <w:bottom w:val="none" w:sz="0" w:space="0" w:color="auto"/>
            <w:right w:val="none" w:sz="0" w:space="0" w:color="auto"/>
          </w:divBdr>
          <w:divsChild>
            <w:div w:id="1398358805">
              <w:marLeft w:val="0"/>
              <w:marRight w:val="0"/>
              <w:marTop w:val="0"/>
              <w:marBottom w:val="0"/>
              <w:divBdr>
                <w:top w:val="none" w:sz="0" w:space="0" w:color="auto"/>
                <w:left w:val="none" w:sz="0" w:space="0" w:color="auto"/>
                <w:bottom w:val="none" w:sz="0" w:space="0" w:color="auto"/>
                <w:right w:val="none" w:sz="0" w:space="0" w:color="auto"/>
              </w:divBdr>
              <w:divsChild>
                <w:div w:id="7380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2930">
          <w:marLeft w:val="0"/>
          <w:marRight w:val="0"/>
          <w:marTop w:val="0"/>
          <w:marBottom w:val="0"/>
          <w:divBdr>
            <w:top w:val="none" w:sz="0" w:space="0" w:color="auto"/>
            <w:left w:val="none" w:sz="0" w:space="0" w:color="auto"/>
            <w:bottom w:val="none" w:sz="0" w:space="0" w:color="auto"/>
            <w:right w:val="none" w:sz="0" w:space="0" w:color="auto"/>
          </w:divBdr>
          <w:divsChild>
            <w:div w:id="714819673">
              <w:marLeft w:val="0"/>
              <w:marRight w:val="0"/>
              <w:marTop w:val="0"/>
              <w:marBottom w:val="0"/>
              <w:divBdr>
                <w:top w:val="none" w:sz="0" w:space="0" w:color="auto"/>
                <w:left w:val="none" w:sz="0" w:space="0" w:color="auto"/>
                <w:bottom w:val="none" w:sz="0" w:space="0" w:color="auto"/>
                <w:right w:val="none" w:sz="0" w:space="0" w:color="auto"/>
              </w:divBdr>
              <w:divsChild>
                <w:div w:id="20640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0212">
          <w:marLeft w:val="0"/>
          <w:marRight w:val="0"/>
          <w:marTop w:val="0"/>
          <w:marBottom w:val="0"/>
          <w:divBdr>
            <w:top w:val="none" w:sz="0" w:space="0" w:color="auto"/>
            <w:left w:val="none" w:sz="0" w:space="0" w:color="auto"/>
            <w:bottom w:val="none" w:sz="0" w:space="0" w:color="auto"/>
            <w:right w:val="none" w:sz="0" w:space="0" w:color="auto"/>
          </w:divBdr>
          <w:divsChild>
            <w:div w:id="958488147">
              <w:marLeft w:val="0"/>
              <w:marRight w:val="0"/>
              <w:marTop w:val="0"/>
              <w:marBottom w:val="0"/>
              <w:divBdr>
                <w:top w:val="none" w:sz="0" w:space="0" w:color="auto"/>
                <w:left w:val="none" w:sz="0" w:space="0" w:color="auto"/>
                <w:bottom w:val="none" w:sz="0" w:space="0" w:color="auto"/>
                <w:right w:val="none" w:sz="0" w:space="0" w:color="auto"/>
              </w:divBdr>
              <w:divsChild>
                <w:div w:id="4097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202">
          <w:marLeft w:val="0"/>
          <w:marRight w:val="0"/>
          <w:marTop w:val="0"/>
          <w:marBottom w:val="0"/>
          <w:divBdr>
            <w:top w:val="none" w:sz="0" w:space="0" w:color="auto"/>
            <w:left w:val="none" w:sz="0" w:space="0" w:color="auto"/>
            <w:bottom w:val="none" w:sz="0" w:space="0" w:color="auto"/>
            <w:right w:val="none" w:sz="0" w:space="0" w:color="auto"/>
          </w:divBdr>
          <w:divsChild>
            <w:div w:id="948664477">
              <w:marLeft w:val="0"/>
              <w:marRight w:val="0"/>
              <w:marTop w:val="0"/>
              <w:marBottom w:val="0"/>
              <w:divBdr>
                <w:top w:val="none" w:sz="0" w:space="0" w:color="auto"/>
                <w:left w:val="none" w:sz="0" w:space="0" w:color="auto"/>
                <w:bottom w:val="none" w:sz="0" w:space="0" w:color="auto"/>
                <w:right w:val="none" w:sz="0" w:space="0" w:color="auto"/>
              </w:divBdr>
              <w:divsChild>
                <w:div w:id="30305686">
                  <w:marLeft w:val="0"/>
                  <w:marRight w:val="0"/>
                  <w:marTop w:val="0"/>
                  <w:marBottom w:val="0"/>
                  <w:divBdr>
                    <w:top w:val="none" w:sz="0" w:space="0" w:color="auto"/>
                    <w:left w:val="none" w:sz="0" w:space="0" w:color="auto"/>
                    <w:bottom w:val="none" w:sz="0" w:space="0" w:color="auto"/>
                    <w:right w:val="none" w:sz="0" w:space="0" w:color="auto"/>
                  </w:divBdr>
                </w:div>
              </w:divsChild>
            </w:div>
            <w:div w:id="1108046589">
              <w:marLeft w:val="0"/>
              <w:marRight w:val="0"/>
              <w:marTop w:val="0"/>
              <w:marBottom w:val="0"/>
              <w:divBdr>
                <w:top w:val="none" w:sz="0" w:space="0" w:color="auto"/>
                <w:left w:val="none" w:sz="0" w:space="0" w:color="auto"/>
                <w:bottom w:val="none" w:sz="0" w:space="0" w:color="auto"/>
                <w:right w:val="none" w:sz="0" w:space="0" w:color="auto"/>
              </w:divBdr>
              <w:divsChild>
                <w:div w:id="1290208778">
                  <w:marLeft w:val="0"/>
                  <w:marRight w:val="0"/>
                  <w:marTop w:val="0"/>
                  <w:marBottom w:val="0"/>
                  <w:divBdr>
                    <w:top w:val="none" w:sz="0" w:space="0" w:color="auto"/>
                    <w:left w:val="none" w:sz="0" w:space="0" w:color="auto"/>
                    <w:bottom w:val="none" w:sz="0" w:space="0" w:color="auto"/>
                    <w:right w:val="none" w:sz="0" w:space="0" w:color="auto"/>
                  </w:divBdr>
                </w:div>
              </w:divsChild>
            </w:div>
            <w:div w:id="1512255858">
              <w:marLeft w:val="0"/>
              <w:marRight w:val="0"/>
              <w:marTop w:val="0"/>
              <w:marBottom w:val="0"/>
              <w:divBdr>
                <w:top w:val="none" w:sz="0" w:space="0" w:color="auto"/>
                <w:left w:val="none" w:sz="0" w:space="0" w:color="auto"/>
                <w:bottom w:val="none" w:sz="0" w:space="0" w:color="auto"/>
                <w:right w:val="none" w:sz="0" w:space="0" w:color="auto"/>
              </w:divBdr>
              <w:divsChild>
                <w:div w:id="21273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629">
          <w:marLeft w:val="0"/>
          <w:marRight w:val="0"/>
          <w:marTop w:val="0"/>
          <w:marBottom w:val="0"/>
          <w:divBdr>
            <w:top w:val="none" w:sz="0" w:space="0" w:color="auto"/>
            <w:left w:val="none" w:sz="0" w:space="0" w:color="auto"/>
            <w:bottom w:val="none" w:sz="0" w:space="0" w:color="auto"/>
            <w:right w:val="none" w:sz="0" w:space="0" w:color="auto"/>
          </w:divBdr>
          <w:divsChild>
            <w:div w:id="1286690800">
              <w:marLeft w:val="0"/>
              <w:marRight w:val="0"/>
              <w:marTop w:val="0"/>
              <w:marBottom w:val="0"/>
              <w:divBdr>
                <w:top w:val="none" w:sz="0" w:space="0" w:color="auto"/>
                <w:left w:val="none" w:sz="0" w:space="0" w:color="auto"/>
                <w:bottom w:val="none" w:sz="0" w:space="0" w:color="auto"/>
                <w:right w:val="none" w:sz="0" w:space="0" w:color="auto"/>
              </w:divBdr>
              <w:divsChild>
                <w:div w:id="16457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5653">
          <w:marLeft w:val="0"/>
          <w:marRight w:val="0"/>
          <w:marTop w:val="0"/>
          <w:marBottom w:val="0"/>
          <w:divBdr>
            <w:top w:val="none" w:sz="0" w:space="0" w:color="auto"/>
            <w:left w:val="none" w:sz="0" w:space="0" w:color="auto"/>
            <w:bottom w:val="none" w:sz="0" w:space="0" w:color="auto"/>
            <w:right w:val="none" w:sz="0" w:space="0" w:color="auto"/>
          </w:divBdr>
          <w:divsChild>
            <w:div w:id="1687250376">
              <w:marLeft w:val="0"/>
              <w:marRight w:val="0"/>
              <w:marTop w:val="0"/>
              <w:marBottom w:val="0"/>
              <w:divBdr>
                <w:top w:val="none" w:sz="0" w:space="0" w:color="auto"/>
                <w:left w:val="none" w:sz="0" w:space="0" w:color="auto"/>
                <w:bottom w:val="none" w:sz="0" w:space="0" w:color="auto"/>
                <w:right w:val="none" w:sz="0" w:space="0" w:color="auto"/>
              </w:divBdr>
              <w:divsChild>
                <w:div w:id="1071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2076">
          <w:marLeft w:val="0"/>
          <w:marRight w:val="0"/>
          <w:marTop w:val="0"/>
          <w:marBottom w:val="0"/>
          <w:divBdr>
            <w:top w:val="none" w:sz="0" w:space="0" w:color="auto"/>
            <w:left w:val="none" w:sz="0" w:space="0" w:color="auto"/>
            <w:bottom w:val="none" w:sz="0" w:space="0" w:color="auto"/>
            <w:right w:val="none" w:sz="0" w:space="0" w:color="auto"/>
          </w:divBdr>
          <w:divsChild>
            <w:div w:id="1254778482">
              <w:marLeft w:val="0"/>
              <w:marRight w:val="0"/>
              <w:marTop w:val="0"/>
              <w:marBottom w:val="0"/>
              <w:divBdr>
                <w:top w:val="none" w:sz="0" w:space="0" w:color="auto"/>
                <w:left w:val="none" w:sz="0" w:space="0" w:color="auto"/>
                <w:bottom w:val="none" w:sz="0" w:space="0" w:color="auto"/>
                <w:right w:val="none" w:sz="0" w:space="0" w:color="auto"/>
              </w:divBdr>
              <w:divsChild>
                <w:div w:id="19339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1423">
          <w:marLeft w:val="0"/>
          <w:marRight w:val="0"/>
          <w:marTop w:val="0"/>
          <w:marBottom w:val="0"/>
          <w:divBdr>
            <w:top w:val="none" w:sz="0" w:space="0" w:color="auto"/>
            <w:left w:val="none" w:sz="0" w:space="0" w:color="auto"/>
            <w:bottom w:val="none" w:sz="0" w:space="0" w:color="auto"/>
            <w:right w:val="none" w:sz="0" w:space="0" w:color="auto"/>
          </w:divBdr>
          <w:divsChild>
            <w:div w:id="1274441516">
              <w:marLeft w:val="0"/>
              <w:marRight w:val="0"/>
              <w:marTop w:val="0"/>
              <w:marBottom w:val="0"/>
              <w:divBdr>
                <w:top w:val="none" w:sz="0" w:space="0" w:color="auto"/>
                <w:left w:val="none" w:sz="0" w:space="0" w:color="auto"/>
                <w:bottom w:val="none" w:sz="0" w:space="0" w:color="auto"/>
                <w:right w:val="none" w:sz="0" w:space="0" w:color="auto"/>
              </w:divBdr>
              <w:divsChild>
                <w:div w:id="46491340">
                  <w:marLeft w:val="0"/>
                  <w:marRight w:val="0"/>
                  <w:marTop w:val="0"/>
                  <w:marBottom w:val="0"/>
                  <w:divBdr>
                    <w:top w:val="none" w:sz="0" w:space="0" w:color="auto"/>
                    <w:left w:val="none" w:sz="0" w:space="0" w:color="auto"/>
                    <w:bottom w:val="none" w:sz="0" w:space="0" w:color="auto"/>
                    <w:right w:val="none" w:sz="0" w:space="0" w:color="auto"/>
                  </w:divBdr>
                </w:div>
              </w:divsChild>
            </w:div>
            <w:div w:id="1357579813">
              <w:marLeft w:val="0"/>
              <w:marRight w:val="0"/>
              <w:marTop w:val="0"/>
              <w:marBottom w:val="0"/>
              <w:divBdr>
                <w:top w:val="none" w:sz="0" w:space="0" w:color="auto"/>
                <w:left w:val="none" w:sz="0" w:space="0" w:color="auto"/>
                <w:bottom w:val="none" w:sz="0" w:space="0" w:color="auto"/>
                <w:right w:val="none" w:sz="0" w:space="0" w:color="auto"/>
              </w:divBdr>
              <w:divsChild>
                <w:div w:id="4638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1909">
          <w:marLeft w:val="0"/>
          <w:marRight w:val="0"/>
          <w:marTop w:val="0"/>
          <w:marBottom w:val="0"/>
          <w:divBdr>
            <w:top w:val="none" w:sz="0" w:space="0" w:color="auto"/>
            <w:left w:val="none" w:sz="0" w:space="0" w:color="auto"/>
            <w:bottom w:val="none" w:sz="0" w:space="0" w:color="auto"/>
            <w:right w:val="none" w:sz="0" w:space="0" w:color="auto"/>
          </w:divBdr>
          <w:divsChild>
            <w:div w:id="693000527">
              <w:marLeft w:val="0"/>
              <w:marRight w:val="0"/>
              <w:marTop w:val="0"/>
              <w:marBottom w:val="0"/>
              <w:divBdr>
                <w:top w:val="none" w:sz="0" w:space="0" w:color="auto"/>
                <w:left w:val="none" w:sz="0" w:space="0" w:color="auto"/>
                <w:bottom w:val="none" w:sz="0" w:space="0" w:color="auto"/>
                <w:right w:val="none" w:sz="0" w:space="0" w:color="auto"/>
              </w:divBdr>
              <w:divsChild>
                <w:div w:id="20746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89782">
          <w:marLeft w:val="0"/>
          <w:marRight w:val="0"/>
          <w:marTop w:val="0"/>
          <w:marBottom w:val="0"/>
          <w:divBdr>
            <w:top w:val="none" w:sz="0" w:space="0" w:color="auto"/>
            <w:left w:val="none" w:sz="0" w:space="0" w:color="auto"/>
            <w:bottom w:val="none" w:sz="0" w:space="0" w:color="auto"/>
            <w:right w:val="none" w:sz="0" w:space="0" w:color="auto"/>
          </w:divBdr>
          <w:divsChild>
            <w:div w:id="137454948">
              <w:marLeft w:val="0"/>
              <w:marRight w:val="0"/>
              <w:marTop w:val="0"/>
              <w:marBottom w:val="0"/>
              <w:divBdr>
                <w:top w:val="none" w:sz="0" w:space="0" w:color="auto"/>
                <w:left w:val="none" w:sz="0" w:space="0" w:color="auto"/>
                <w:bottom w:val="none" w:sz="0" w:space="0" w:color="auto"/>
                <w:right w:val="none" w:sz="0" w:space="0" w:color="auto"/>
              </w:divBdr>
              <w:divsChild>
                <w:div w:id="17529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7414">
          <w:marLeft w:val="0"/>
          <w:marRight w:val="0"/>
          <w:marTop w:val="0"/>
          <w:marBottom w:val="0"/>
          <w:divBdr>
            <w:top w:val="none" w:sz="0" w:space="0" w:color="auto"/>
            <w:left w:val="none" w:sz="0" w:space="0" w:color="auto"/>
            <w:bottom w:val="none" w:sz="0" w:space="0" w:color="auto"/>
            <w:right w:val="none" w:sz="0" w:space="0" w:color="auto"/>
          </w:divBdr>
          <w:divsChild>
            <w:div w:id="694965567">
              <w:marLeft w:val="0"/>
              <w:marRight w:val="0"/>
              <w:marTop w:val="0"/>
              <w:marBottom w:val="0"/>
              <w:divBdr>
                <w:top w:val="none" w:sz="0" w:space="0" w:color="auto"/>
                <w:left w:val="none" w:sz="0" w:space="0" w:color="auto"/>
                <w:bottom w:val="none" w:sz="0" w:space="0" w:color="auto"/>
                <w:right w:val="none" w:sz="0" w:space="0" w:color="auto"/>
              </w:divBdr>
              <w:divsChild>
                <w:div w:id="15186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8895">
          <w:marLeft w:val="0"/>
          <w:marRight w:val="0"/>
          <w:marTop w:val="0"/>
          <w:marBottom w:val="0"/>
          <w:divBdr>
            <w:top w:val="none" w:sz="0" w:space="0" w:color="auto"/>
            <w:left w:val="none" w:sz="0" w:space="0" w:color="auto"/>
            <w:bottom w:val="none" w:sz="0" w:space="0" w:color="auto"/>
            <w:right w:val="none" w:sz="0" w:space="0" w:color="auto"/>
          </w:divBdr>
          <w:divsChild>
            <w:div w:id="2071805285">
              <w:marLeft w:val="0"/>
              <w:marRight w:val="0"/>
              <w:marTop w:val="0"/>
              <w:marBottom w:val="0"/>
              <w:divBdr>
                <w:top w:val="none" w:sz="0" w:space="0" w:color="auto"/>
                <w:left w:val="none" w:sz="0" w:space="0" w:color="auto"/>
                <w:bottom w:val="none" w:sz="0" w:space="0" w:color="auto"/>
                <w:right w:val="none" w:sz="0" w:space="0" w:color="auto"/>
              </w:divBdr>
              <w:divsChild>
                <w:div w:id="11351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624">
          <w:marLeft w:val="0"/>
          <w:marRight w:val="0"/>
          <w:marTop w:val="0"/>
          <w:marBottom w:val="0"/>
          <w:divBdr>
            <w:top w:val="none" w:sz="0" w:space="0" w:color="auto"/>
            <w:left w:val="none" w:sz="0" w:space="0" w:color="auto"/>
            <w:bottom w:val="none" w:sz="0" w:space="0" w:color="auto"/>
            <w:right w:val="none" w:sz="0" w:space="0" w:color="auto"/>
          </w:divBdr>
          <w:divsChild>
            <w:div w:id="135876006">
              <w:marLeft w:val="0"/>
              <w:marRight w:val="0"/>
              <w:marTop w:val="0"/>
              <w:marBottom w:val="0"/>
              <w:divBdr>
                <w:top w:val="none" w:sz="0" w:space="0" w:color="auto"/>
                <w:left w:val="none" w:sz="0" w:space="0" w:color="auto"/>
                <w:bottom w:val="none" w:sz="0" w:space="0" w:color="auto"/>
                <w:right w:val="none" w:sz="0" w:space="0" w:color="auto"/>
              </w:divBdr>
              <w:divsChild>
                <w:div w:id="4350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7357">
          <w:marLeft w:val="0"/>
          <w:marRight w:val="0"/>
          <w:marTop w:val="0"/>
          <w:marBottom w:val="0"/>
          <w:divBdr>
            <w:top w:val="none" w:sz="0" w:space="0" w:color="auto"/>
            <w:left w:val="none" w:sz="0" w:space="0" w:color="auto"/>
            <w:bottom w:val="none" w:sz="0" w:space="0" w:color="auto"/>
            <w:right w:val="none" w:sz="0" w:space="0" w:color="auto"/>
          </w:divBdr>
          <w:divsChild>
            <w:div w:id="513883975">
              <w:marLeft w:val="0"/>
              <w:marRight w:val="0"/>
              <w:marTop w:val="0"/>
              <w:marBottom w:val="0"/>
              <w:divBdr>
                <w:top w:val="none" w:sz="0" w:space="0" w:color="auto"/>
                <w:left w:val="none" w:sz="0" w:space="0" w:color="auto"/>
                <w:bottom w:val="none" w:sz="0" w:space="0" w:color="auto"/>
                <w:right w:val="none" w:sz="0" w:space="0" w:color="auto"/>
              </w:divBdr>
              <w:divsChild>
                <w:div w:id="847019595">
                  <w:marLeft w:val="0"/>
                  <w:marRight w:val="0"/>
                  <w:marTop w:val="0"/>
                  <w:marBottom w:val="0"/>
                  <w:divBdr>
                    <w:top w:val="none" w:sz="0" w:space="0" w:color="auto"/>
                    <w:left w:val="none" w:sz="0" w:space="0" w:color="auto"/>
                    <w:bottom w:val="none" w:sz="0" w:space="0" w:color="auto"/>
                    <w:right w:val="none" w:sz="0" w:space="0" w:color="auto"/>
                  </w:divBdr>
                </w:div>
              </w:divsChild>
            </w:div>
            <w:div w:id="849682764">
              <w:marLeft w:val="0"/>
              <w:marRight w:val="0"/>
              <w:marTop w:val="0"/>
              <w:marBottom w:val="0"/>
              <w:divBdr>
                <w:top w:val="none" w:sz="0" w:space="0" w:color="auto"/>
                <w:left w:val="none" w:sz="0" w:space="0" w:color="auto"/>
                <w:bottom w:val="none" w:sz="0" w:space="0" w:color="auto"/>
                <w:right w:val="none" w:sz="0" w:space="0" w:color="auto"/>
              </w:divBdr>
              <w:divsChild>
                <w:div w:id="8511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4087">
          <w:marLeft w:val="0"/>
          <w:marRight w:val="0"/>
          <w:marTop w:val="0"/>
          <w:marBottom w:val="0"/>
          <w:divBdr>
            <w:top w:val="none" w:sz="0" w:space="0" w:color="auto"/>
            <w:left w:val="none" w:sz="0" w:space="0" w:color="auto"/>
            <w:bottom w:val="none" w:sz="0" w:space="0" w:color="auto"/>
            <w:right w:val="none" w:sz="0" w:space="0" w:color="auto"/>
          </w:divBdr>
          <w:divsChild>
            <w:div w:id="2057461409">
              <w:marLeft w:val="0"/>
              <w:marRight w:val="0"/>
              <w:marTop w:val="0"/>
              <w:marBottom w:val="0"/>
              <w:divBdr>
                <w:top w:val="none" w:sz="0" w:space="0" w:color="auto"/>
                <w:left w:val="none" w:sz="0" w:space="0" w:color="auto"/>
                <w:bottom w:val="none" w:sz="0" w:space="0" w:color="auto"/>
                <w:right w:val="none" w:sz="0" w:space="0" w:color="auto"/>
              </w:divBdr>
              <w:divsChild>
                <w:div w:id="3045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3524">
      <w:bodyDiv w:val="1"/>
      <w:marLeft w:val="0"/>
      <w:marRight w:val="0"/>
      <w:marTop w:val="0"/>
      <w:marBottom w:val="0"/>
      <w:divBdr>
        <w:top w:val="none" w:sz="0" w:space="0" w:color="auto"/>
        <w:left w:val="none" w:sz="0" w:space="0" w:color="auto"/>
        <w:bottom w:val="none" w:sz="0" w:space="0" w:color="auto"/>
        <w:right w:val="none" w:sz="0" w:space="0" w:color="auto"/>
      </w:divBdr>
      <w:divsChild>
        <w:div w:id="1755008743">
          <w:marLeft w:val="0"/>
          <w:marRight w:val="0"/>
          <w:marTop w:val="0"/>
          <w:marBottom w:val="0"/>
          <w:divBdr>
            <w:top w:val="none" w:sz="0" w:space="0" w:color="auto"/>
            <w:left w:val="none" w:sz="0" w:space="0" w:color="auto"/>
            <w:bottom w:val="none" w:sz="0" w:space="0" w:color="auto"/>
            <w:right w:val="none" w:sz="0" w:space="0" w:color="auto"/>
          </w:divBdr>
          <w:divsChild>
            <w:div w:id="152529423">
              <w:marLeft w:val="0"/>
              <w:marRight w:val="0"/>
              <w:marTop w:val="0"/>
              <w:marBottom w:val="0"/>
              <w:divBdr>
                <w:top w:val="none" w:sz="0" w:space="0" w:color="auto"/>
                <w:left w:val="none" w:sz="0" w:space="0" w:color="auto"/>
                <w:bottom w:val="none" w:sz="0" w:space="0" w:color="auto"/>
                <w:right w:val="none" w:sz="0" w:space="0" w:color="auto"/>
              </w:divBdr>
              <w:divsChild>
                <w:div w:id="206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2540878">
      <w:bodyDiv w:val="1"/>
      <w:marLeft w:val="0"/>
      <w:marRight w:val="0"/>
      <w:marTop w:val="0"/>
      <w:marBottom w:val="0"/>
      <w:divBdr>
        <w:top w:val="none" w:sz="0" w:space="0" w:color="auto"/>
        <w:left w:val="none" w:sz="0" w:space="0" w:color="auto"/>
        <w:bottom w:val="none" w:sz="0" w:space="0" w:color="auto"/>
        <w:right w:val="none" w:sz="0" w:space="0" w:color="auto"/>
      </w:divBdr>
      <w:divsChild>
        <w:div w:id="16272944">
          <w:marLeft w:val="0"/>
          <w:marRight w:val="0"/>
          <w:marTop w:val="0"/>
          <w:marBottom w:val="0"/>
          <w:divBdr>
            <w:top w:val="none" w:sz="0" w:space="0" w:color="auto"/>
            <w:left w:val="none" w:sz="0" w:space="0" w:color="auto"/>
            <w:bottom w:val="none" w:sz="0" w:space="0" w:color="auto"/>
            <w:right w:val="none" w:sz="0" w:space="0" w:color="auto"/>
          </w:divBdr>
          <w:divsChild>
            <w:div w:id="980771410">
              <w:marLeft w:val="0"/>
              <w:marRight w:val="0"/>
              <w:marTop w:val="0"/>
              <w:marBottom w:val="0"/>
              <w:divBdr>
                <w:top w:val="none" w:sz="0" w:space="0" w:color="auto"/>
                <w:left w:val="none" w:sz="0" w:space="0" w:color="auto"/>
                <w:bottom w:val="none" w:sz="0" w:space="0" w:color="auto"/>
                <w:right w:val="none" w:sz="0" w:space="0" w:color="auto"/>
              </w:divBdr>
              <w:divsChild>
                <w:div w:id="19394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4076">
          <w:marLeft w:val="0"/>
          <w:marRight w:val="0"/>
          <w:marTop w:val="0"/>
          <w:marBottom w:val="0"/>
          <w:divBdr>
            <w:top w:val="none" w:sz="0" w:space="0" w:color="auto"/>
            <w:left w:val="none" w:sz="0" w:space="0" w:color="auto"/>
            <w:bottom w:val="none" w:sz="0" w:space="0" w:color="auto"/>
            <w:right w:val="none" w:sz="0" w:space="0" w:color="auto"/>
          </w:divBdr>
          <w:divsChild>
            <w:div w:id="1935625642">
              <w:marLeft w:val="0"/>
              <w:marRight w:val="0"/>
              <w:marTop w:val="0"/>
              <w:marBottom w:val="0"/>
              <w:divBdr>
                <w:top w:val="none" w:sz="0" w:space="0" w:color="auto"/>
                <w:left w:val="none" w:sz="0" w:space="0" w:color="auto"/>
                <w:bottom w:val="none" w:sz="0" w:space="0" w:color="auto"/>
                <w:right w:val="none" w:sz="0" w:space="0" w:color="auto"/>
              </w:divBdr>
              <w:divsChild>
                <w:div w:id="16133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5294">
          <w:marLeft w:val="0"/>
          <w:marRight w:val="0"/>
          <w:marTop w:val="0"/>
          <w:marBottom w:val="0"/>
          <w:divBdr>
            <w:top w:val="none" w:sz="0" w:space="0" w:color="auto"/>
            <w:left w:val="none" w:sz="0" w:space="0" w:color="auto"/>
            <w:bottom w:val="none" w:sz="0" w:space="0" w:color="auto"/>
            <w:right w:val="none" w:sz="0" w:space="0" w:color="auto"/>
          </w:divBdr>
          <w:divsChild>
            <w:div w:id="1884900715">
              <w:marLeft w:val="0"/>
              <w:marRight w:val="0"/>
              <w:marTop w:val="0"/>
              <w:marBottom w:val="0"/>
              <w:divBdr>
                <w:top w:val="none" w:sz="0" w:space="0" w:color="auto"/>
                <w:left w:val="none" w:sz="0" w:space="0" w:color="auto"/>
                <w:bottom w:val="none" w:sz="0" w:space="0" w:color="auto"/>
                <w:right w:val="none" w:sz="0" w:space="0" w:color="auto"/>
              </w:divBdr>
              <w:divsChild>
                <w:div w:id="9466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08">
          <w:marLeft w:val="0"/>
          <w:marRight w:val="0"/>
          <w:marTop w:val="0"/>
          <w:marBottom w:val="0"/>
          <w:divBdr>
            <w:top w:val="none" w:sz="0" w:space="0" w:color="auto"/>
            <w:left w:val="none" w:sz="0" w:space="0" w:color="auto"/>
            <w:bottom w:val="none" w:sz="0" w:space="0" w:color="auto"/>
            <w:right w:val="none" w:sz="0" w:space="0" w:color="auto"/>
          </w:divBdr>
          <w:divsChild>
            <w:div w:id="76749493">
              <w:marLeft w:val="0"/>
              <w:marRight w:val="0"/>
              <w:marTop w:val="0"/>
              <w:marBottom w:val="0"/>
              <w:divBdr>
                <w:top w:val="none" w:sz="0" w:space="0" w:color="auto"/>
                <w:left w:val="none" w:sz="0" w:space="0" w:color="auto"/>
                <w:bottom w:val="none" w:sz="0" w:space="0" w:color="auto"/>
                <w:right w:val="none" w:sz="0" w:space="0" w:color="auto"/>
              </w:divBdr>
              <w:divsChild>
                <w:div w:id="3447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2343">
          <w:marLeft w:val="0"/>
          <w:marRight w:val="0"/>
          <w:marTop w:val="0"/>
          <w:marBottom w:val="0"/>
          <w:divBdr>
            <w:top w:val="none" w:sz="0" w:space="0" w:color="auto"/>
            <w:left w:val="none" w:sz="0" w:space="0" w:color="auto"/>
            <w:bottom w:val="none" w:sz="0" w:space="0" w:color="auto"/>
            <w:right w:val="none" w:sz="0" w:space="0" w:color="auto"/>
          </w:divBdr>
          <w:divsChild>
            <w:div w:id="484930353">
              <w:marLeft w:val="0"/>
              <w:marRight w:val="0"/>
              <w:marTop w:val="0"/>
              <w:marBottom w:val="0"/>
              <w:divBdr>
                <w:top w:val="none" w:sz="0" w:space="0" w:color="auto"/>
                <w:left w:val="none" w:sz="0" w:space="0" w:color="auto"/>
                <w:bottom w:val="none" w:sz="0" w:space="0" w:color="auto"/>
                <w:right w:val="none" w:sz="0" w:space="0" w:color="auto"/>
              </w:divBdr>
              <w:divsChild>
                <w:div w:id="8942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51117">
          <w:marLeft w:val="0"/>
          <w:marRight w:val="0"/>
          <w:marTop w:val="0"/>
          <w:marBottom w:val="0"/>
          <w:divBdr>
            <w:top w:val="none" w:sz="0" w:space="0" w:color="auto"/>
            <w:left w:val="none" w:sz="0" w:space="0" w:color="auto"/>
            <w:bottom w:val="none" w:sz="0" w:space="0" w:color="auto"/>
            <w:right w:val="none" w:sz="0" w:space="0" w:color="auto"/>
          </w:divBdr>
          <w:divsChild>
            <w:div w:id="1243370070">
              <w:marLeft w:val="0"/>
              <w:marRight w:val="0"/>
              <w:marTop w:val="0"/>
              <w:marBottom w:val="0"/>
              <w:divBdr>
                <w:top w:val="none" w:sz="0" w:space="0" w:color="auto"/>
                <w:left w:val="none" w:sz="0" w:space="0" w:color="auto"/>
                <w:bottom w:val="none" w:sz="0" w:space="0" w:color="auto"/>
                <w:right w:val="none" w:sz="0" w:space="0" w:color="auto"/>
              </w:divBdr>
              <w:divsChild>
                <w:div w:id="19179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6273">
          <w:marLeft w:val="0"/>
          <w:marRight w:val="0"/>
          <w:marTop w:val="0"/>
          <w:marBottom w:val="0"/>
          <w:divBdr>
            <w:top w:val="none" w:sz="0" w:space="0" w:color="auto"/>
            <w:left w:val="none" w:sz="0" w:space="0" w:color="auto"/>
            <w:bottom w:val="none" w:sz="0" w:space="0" w:color="auto"/>
            <w:right w:val="none" w:sz="0" w:space="0" w:color="auto"/>
          </w:divBdr>
          <w:divsChild>
            <w:div w:id="540754197">
              <w:marLeft w:val="0"/>
              <w:marRight w:val="0"/>
              <w:marTop w:val="0"/>
              <w:marBottom w:val="0"/>
              <w:divBdr>
                <w:top w:val="none" w:sz="0" w:space="0" w:color="auto"/>
                <w:left w:val="none" w:sz="0" w:space="0" w:color="auto"/>
                <w:bottom w:val="none" w:sz="0" w:space="0" w:color="auto"/>
                <w:right w:val="none" w:sz="0" w:space="0" w:color="auto"/>
              </w:divBdr>
              <w:divsChild>
                <w:div w:id="764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7263">
          <w:marLeft w:val="0"/>
          <w:marRight w:val="0"/>
          <w:marTop w:val="0"/>
          <w:marBottom w:val="0"/>
          <w:divBdr>
            <w:top w:val="none" w:sz="0" w:space="0" w:color="auto"/>
            <w:left w:val="none" w:sz="0" w:space="0" w:color="auto"/>
            <w:bottom w:val="none" w:sz="0" w:space="0" w:color="auto"/>
            <w:right w:val="none" w:sz="0" w:space="0" w:color="auto"/>
          </w:divBdr>
          <w:divsChild>
            <w:div w:id="344940913">
              <w:marLeft w:val="0"/>
              <w:marRight w:val="0"/>
              <w:marTop w:val="0"/>
              <w:marBottom w:val="0"/>
              <w:divBdr>
                <w:top w:val="none" w:sz="0" w:space="0" w:color="auto"/>
                <w:left w:val="none" w:sz="0" w:space="0" w:color="auto"/>
                <w:bottom w:val="none" w:sz="0" w:space="0" w:color="auto"/>
                <w:right w:val="none" w:sz="0" w:space="0" w:color="auto"/>
              </w:divBdr>
              <w:divsChild>
                <w:div w:id="717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222">
          <w:marLeft w:val="0"/>
          <w:marRight w:val="0"/>
          <w:marTop w:val="0"/>
          <w:marBottom w:val="0"/>
          <w:divBdr>
            <w:top w:val="none" w:sz="0" w:space="0" w:color="auto"/>
            <w:left w:val="none" w:sz="0" w:space="0" w:color="auto"/>
            <w:bottom w:val="none" w:sz="0" w:space="0" w:color="auto"/>
            <w:right w:val="none" w:sz="0" w:space="0" w:color="auto"/>
          </w:divBdr>
          <w:divsChild>
            <w:div w:id="609093027">
              <w:marLeft w:val="0"/>
              <w:marRight w:val="0"/>
              <w:marTop w:val="0"/>
              <w:marBottom w:val="0"/>
              <w:divBdr>
                <w:top w:val="none" w:sz="0" w:space="0" w:color="auto"/>
                <w:left w:val="none" w:sz="0" w:space="0" w:color="auto"/>
                <w:bottom w:val="none" w:sz="0" w:space="0" w:color="auto"/>
                <w:right w:val="none" w:sz="0" w:space="0" w:color="auto"/>
              </w:divBdr>
              <w:divsChild>
                <w:div w:id="2248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0596">
          <w:marLeft w:val="0"/>
          <w:marRight w:val="0"/>
          <w:marTop w:val="0"/>
          <w:marBottom w:val="0"/>
          <w:divBdr>
            <w:top w:val="none" w:sz="0" w:space="0" w:color="auto"/>
            <w:left w:val="none" w:sz="0" w:space="0" w:color="auto"/>
            <w:bottom w:val="none" w:sz="0" w:space="0" w:color="auto"/>
            <w:right w:val="none" w:sz="0" w:space="0" w:color="auto"/>
          </w:divBdr>
          <w:divsChild>
            <w:div w:id="324865424">
              <w:marLeft w:val="0"/>
              <w:marRight w:val="0"/>
              <w:marTop w:val="0"/>
              <w:marBottom w:val="0"/>
              <w:divBdr>
                <w:top w:val="none" w:sz="0" w:space="0" w:color="auto"/>
                <w:left w:val="none" w:sz="0" w:space="0" w:color="auto"/>
                <w:bottom w:val="none" w:sz="0" w:space="0" w:color="auto"/>
                <w:right w:val="none" w:sz="0" w:space="0" w:color="auto"/>
              </w:divBdr>
              <w:divsChild>
                <w:div w:id="16006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694">
          <w:marLeft w:val="0"/>
          <w:marRight w:val="0"/>
          <w:marTop w:val="0"/>
          <w:marBottom w:val="0"/>
          <w:divBdr>
            <w:top w:val="none" w:sz="0" w:space="0" w:color="auto"/>
            <w:left w:val="none" w:sz="0" w:space="0" w:color="auto"/>
            <w:bottom w:val="none" w:sz="0" w:space="0" w:color="auto"/>
            <w:right w:val="none" w:sz="0" w:space="0" w:color="auto"/>
          </w:divBdr>
          <w:divsChild>
            <w:div w:id="971178837">
              <w:marLeft w:val="0"/>
              <w:marRight w:val="0"/>
              <w:marTop w:val="0"/>
              <w:marBottom w:val="0"/>
              <w:divBdr>
                <w:top w:val="none" w:sz="0" w:space="0" w:color="auto"/>
                <w:left w:val="none" w:sz="0" w:space="0" w:color="auto"/>
                <w:bottom w:val="none" w:sz="0" w:space="0" w:color="auto"/>
                <w:right w:val="none" w:sz="0" w:space="0" w:color="auto"/>
              </w:divBdr>
              <w:divsChild>
                <w:div w:id="1393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6789">
          <w:marLeft w:val="0"/>
          <w:marRight w:val="0"/>
          <w:marTop w:val="0"/>
          <w:marBottom w:val="0"/>
          <w:divBdr>
            <w:top w:val="none" w:sz="0" w:space="0" w:color="auto"/>
            <w:left w:val="none" w:sz="0" w:space="0" w:color="auto"/>
            <w:bottom w:val="none" w:sz="0" w:space="0" w:color="auto"/>
            <w:right w:val="none" w:sz="0" w:space="0" w:color="auto"/>
          </w:divBdr>
          <w:divsChild>
            <w:div w:id="945768554">
              <w:marLeft w:val="0"/>
              <w:marRight w:val="0"/>
              <w:marTop w:val="0"/>
              <w:marBottom w:val="0"/>
              <w:divBdr>
                <w:top w:val="none" w:sz="0" w:space="0" w:color="auto"/>
                <w:left w:val="none" w:sz="0" w:space="0" w:color="auto"/>
                <w:bottom w:val="none" w:sz="0" w:space="0" w:color="auto"/>
                <w:right w:val="none" w:sz="0" w:space="0" w:color="auto"/>
              </w:divBdr>
              <w:divsChild>
                <w:div w:id="2012635628">
                  <w:marLeft w:val="0"/>
                  <w:marRight w:val="0"/>
                  <w:marTop w:val="0"/>
                  <w:marBottom w:val="0"/>
                  <w:divBdr>
                    <w:top w:val="none" w:sz="0" w:space="0" w:color="auto"/>
                    <w:left w:val="none" w:sz="0" w:space="0" w:color="auto"/>
                    <w:bottom w:val="none" w:sz="0" w:space="0" w:color="auto"/>
                    <w:right w:val="none" w:sz="0" w:space="0" w:color="auto"/>
                  </w:divBdr>
                </w:div>
              </w:divsChild>
            </w:div>
            <w:div w:id="1361007047">
              <w:marLeft w:val="0"/>
              <w:marRight w:val="0"/>
              <w:marTop w:val="0"/>
              <w:marBottom w:val="0"/>
              <w:divBdr>
                <w:top w:val="none" w:sz="0" w:space="0" w:color="auto"/>
                <w:left w:val="none" w:sz="0" w:space="0" w:color="auto"/>
                <w:bottom w:val="none" w:sz="0" w:space="0" w:color="auto"/>
                <w:right w:val="none" w:sz="0" w:space="0" w:color="auto"/>
              </w:divBdr>
              <w:divsChild>
                <w:div w:id="5566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47059">
          <w:marLeft w:val="0"/>
          <w:marRight w:val="0"/>
          <w:marTop w:val="0"/>
          <w:marBottom w:val="0"/>
          <w:divBdr>
            <w:top w:val="none" w:sz="0" w:space="0" w:color="auto"/>
            <w:left w:val="none" w:sz="0" w:space="0" w:color="auto"/>
            <w:bottom w:val="none" w:sz="0" w:space="0" w:color="auto"/>
            <w:right w:val="none" w:sz="0" w:space="0" w:color="auto"/>
          </w:divBdr>
          <w:divsChild>
            <w:div w:id="1424649436">
              <w:marLeft w:val="0"/>
              <w:marRight w:val="0"/>
              <w:marTop w:val="0"/>
              <w:marBottom w:val="0"/>
              <w:divBdr>
                <w:top w:val="none" w:sz="0" w:space="0" w:color="auto"/>
                <w:left w:val="none" w:sz="0" w:space="0" w:color="auto"/>
                <w:bottom w:val="none" w:sz="0" w:space="0" w:color="auto"/>
                <w:right w:val="none" w:sz="0" w:space="0" w:color="auto"/>
              </w:divBdr>
              <w:divsChild>
                <w:div w:id="8032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9894">
          <w:marLeft w:val="0"/>
          <w:marRight w:val="0"/>
          <w:marTop w:val="0"/>
          <w:marBottom w:val="0"/>
          <w:divBdr>
            <w:top w:val="none" w:sz="0" w:space="0" w:color="auto"/>
            <w:left w:val="none" w:sz="0" w:space="0" w:color="auto"/>
            <w:bottom w:val="none" w:sz="0" w:space="0" w:color="auto"/>
            <w:right w:val="none" w:sz="0" w:space="0" w:color="auto"/>
          </w:divBdr>
          <w:divsChild>
            <w:div w:id="48581156">
              <w:marLeft w:val="0"/>
              <w:marRight w:val="0"/>
              <w:marTop w:val="0"/>
              <w:marBottom w:val="0"/>
              <w:divBdr>
                <w:top w:val="none" w:sz="0" w:space="0" w:color="auto"/>
                <w:left w:val="none" w:sz="0" w:space="0" w:color="auto"/>
                <w:bottom w:val="none" w:sz="0" w:space="0" w:color="auto"/>
                <w:right w:val="none" w:sz="0" w:space="0" w:color="auto"/>
              </w:divBdr>
              <w:divsChild>
                <w:div w:id="399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7782">
          <w:marLeft w:val="0"/>
          <w:marRight w:val="0"/>
          <w:marTop w:val="0"/>
          <w:marBottom w:val="0"/>
          <w:divBdr>
            <w:top w:val="none" w:sz="0" w:space="0" w:color="auto"/>
            <w:left w:val="none" w:sz="0" w:space="0" w:color="auto"/>
            <w:bottom w:val="none" w:sz="0" w:space="0" w:color="auto"/>
            <w:right w:val="none" w:sz="0" w:space="0" w:color="auto"/>
          </w:divBdr>
          <w:divsChild>
            <w:div w:id="1283800431">
              <w:marLeft w:val="0"/>
              <w:marRight w:val="0"/>
              <w:marTop w:val="0"/>
              <w:marBottom w:val="0"/>
              <w:divBdr>
                <w:top w:val="none" w:sz="0" w:space="0" w:color="auto"/>
                <w:left w:val="none" w:sz="0" w:space="0" w:color="auto"/>
                <w:bottom w:val="none" w:sz="0" w:space="0" w:color="auto"/>
                <w:right w:val="none" w:sz="0" w:space="0" w:color="auto"/>
              </w:divBdr>
              <w:divsChild>
                <w:div w:id="7325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3237">
          <w:marLeft w:val="0"/>
          <w:marRight w:val="0"/>
          <w:marTop w:val="0"/>
          <w:marBottom w:val="0"/>
          <w:divBdr>
            <w:top w:val="none" w:sz="0" w:space="0" w:color="auto"/>
            <w:left w:val="none" w:sz="0" w:space="0" w:color="auto"/>
            <w:bottom w:val="none" w:sz="0" w:space="0" w:color="auto"/>
            <w:right w:val="none" w:sz="0" w:space="0" w:color="auto"/>
          </w:divBdr>
          <w:divsChild>
            <w:div w:id="75396534">
              <w:marLeft w:val="0"/>
              <w:marRight w:val="0"/>
              <w:marTop w:val="0"/>
              <w:marBottom w:val="0"/>
              <w:divBdr>
                <w:top w:val="none" w:sz="0" w:space="0" w:color="auto"/>
                <w:left w:val="none" w:sz="0" w:space="0" w:color="auto"/>
                <w:bottom w:val="none" w:sz="0" w:space="0" w:color="auto"/>
                <w:right w:val="none" w:sz="0" w:space="0" w:color="auto"/>
              </w:divBdr>
              <w:divsChild>
                <w:div w:id="11665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2270">
          <w:marLeft w:val="0"/>
          <w:marRight w:val="0"/>
          <w:marTop w:val="0"/>
          <w:marBottom w:val="0"/>
          <w:divBdr>
            <w:top w:val="none" w:sz="0" w:space="0" w:color="auto"/>
            <w:left w:val="none" w:sz="0" w:space="0" w:color="auto"/>
            <w:bottom w:val="none" w:sz="0" w:space="0" w:color="auto"/>
            <w:right w:val="none" w:sz="0" w:space="0" w:color="auto"/>
          </w:divBdr>
          <w:divsChild>
            <w:div w:id="432823829">
              <w:marLeft w:val="0"/>
              <w:marRight w:val="0"/>
              <w:marTop w:val="0"/>
              <w:marBottom w:val="0"/>
              <w:divBdr>
                <w:top w:val="none" w:sz="0" w:space="0" w:color="auto"/>
                <w:left w:val="none" w:sz="0" w:space="0" w:color="auto"/>
                <w:bottom w:val="none" w:sz="0" w:space="0" w:color="auto"/>
                <w:right w:val="none" w:sz="0" w:space="0" w:color="auto"/>
              </w:divBdr>
              <w:divsChild>
                <w:div w:id="20667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8042">
          <w:marLeft w:val="0"/>
          <w:marRight w:val="0"/>
          <w:marTop w:val="0"/>
          <w:marBottom w:val="0"/>
          <w:divBdr>
            <w:top w:val="none" w:sz="0" w:space="0" w:color="auto"/>
            <w:left w:val="none" w:sz="0" w:space="0" w:color="auto"/>
            <w:bottom w:val="none" w:sz="0" w:space="0" w:color="auto"/>
            <w:right w:val="none" w:sz="0" w:space="0" w:color="auto"/>
          </w:divBdr>
          <w:divsChild>
            <w:div w:id="380446092">
              <w:marLeft w:val="0"/>
              <w:marRight w:val="0"/>
              <w:marTop w:val="0"/>
              <w:marBottom w:val="0"/>
              <w:divBdr>
                <w:top w:val="none" w:sz="0" w:space="0" w:color="auto"/>
                <w:left w:val="none" w:sz="0" w:space="0" w:color="auto"/>
                <w:bottom w:val="none" w:sz="0" w:space="0" w:color="auto"/>
                <w:right w:val="none" w:sz="0" w:space="0" w:color="auto"/>
              </w:divBdr>
              <w:divsChild>
                <w:div w:id="1343628204">
                  <w:marLeft w:val="0"/>
                  <w:marRight w:val="0"/>
                  <w:marTop w:val="0"/>
                  <w:marBottom w:val="0"/>
                  <w:divBdr>
                    <w:top w:val="none" w:sz="0" w:space="0" w:color="auto"/>
                    <w:left w:val="none" w:sz="0" w:space="0" w:color="auto"/>
                    <w:bottom w:val="none" w:sz="0" w:space="0" w:color="auto"/>
                    <w:right w:val="none" w:sz="0" w:space="0" w:color="auto"/>
                  </w:divBdr>
                </w:div>
              </w:divsChild>
            </w:div>
            <w:div w:id="1707758738">
              <w:marLeft w:val="0"/>
              <w:marRight w:val="0"/>
              <w:marTop w:val="0"/>
              <w:marBottom w:val="0"/>
              <w:divBdr>
                <w:top w:val="none" w:sz="0" w:space="0" w:color="auto"/>
                <w:left w:val="none" w:sz="0" w:space="0" w:color="auto"/>
                <w:bottom w:val="none" w:sz="0" w:space="0" w:color="auto"/>
                <w:right w:val="none" w:sz="0" w:space="0" w:color="auto"/>
              </w:divBdr>
              <w:divsChild>
                <w:div w:id="19497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0592">
          <w:marLeft w:val="0"/>
          <w:marRight w:val="0"/>
          <w:marTop w:val="0"/>
          <w:marBottom w:val="0"/>
          <w:divBdr>
            <w:top w:val="none" w:sz="0" w:space="0" w:color="auto"/>
            <w:left w:val="none" w:sz="0" w:space="0" w:color="auto"/>
            <w:bottom w:val="none" w:sz="0" w:space="0" w:color="auto"/>
            <w:right w:val="none" w:sz="0" w:space="0" w:color="auto"/>
          </w:divBdr>
          <w:divsChild>
            <w:div w:id="760295344">
              <w:marLeft w:val="0"/>
              <w:marRight w:val="0"/>
              <w:marTop w:val="0"/>
              <w:marBottom w:val="0"/>
              <w:divBdr>
                <w:top w:val="none" w:sz="0" w:space="0" w:color="auto"/>
                <w:left w:val="none" w:sz="0" w:space="0" w:color="auto"/>
                <w:bottom w:val="none" w:sz="0" w:space="0" w:color="auto"/>
                <w:right w:val="none" w:sz="0" w:space="0" w:color="auto"/>
              </w:divBdr>
              <w:divsChild>
                <w:div w:id="10443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4702">
          <w:marLeft w:val="0"/>
          <w:marRight w:val="0"/>
          <w:marTop w:val="0"/>
          <w:marBottom w:val="0"/>
          <w:divBdr>
            <w:top w:val="none" w:sz="0" w:space="0" w:color="auto"/>
            <w:left w:val="none" w:sz="0" w:space="0" w:color="auto"/>
            <w:bottom w:val="none" w:sz="0" w:space="0" w:color="auto"/>
            <w:right w:val="none" w:sz="0" w:space="0" w:color="auto"/>
          </w:divBdr>
          <w:divsChild>
            <w:div w:id="1115097752">
              <w:marLeft w:val="0"/>
              <w:marRight w:val="0"/>
              <w:marTop w:val="0"/>
              <w:marBottom w:val="0"/>
              <w:divBdr>
                <w:top w:val="none" w:sz="0" w:space="0" w:color="auto"/>
                <w:left w:val="none" w:sz="0" w:space="0" w:color="auto"/>
                <w:bottom w:val="none" w:sz="0" w:space="0" w:color="auto"/>
                <w:right w:val="none" w:sz="0" w:space="0" w:color="auto"/>
              </w:divBdr>
              <w:divsChild>
                <w:div w:id="5860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3808">
          <w:marLeft w:val="0"/>
          <w:marRight w:val="0"/>
          <w:marTop w:val="0"/>
          <w:marBottom w:val="0"/>
          <w:divBdr>
            <w:top w:val="none" w:sz="0" w:space="0" w:color="auto"/>
            <w:left w:val="none" w:sz="0" w:space="0" w:color="auto"/>
            <w:bottom w:val="none" w:sz="0" w:space="0" w:color="auto"/>
            <w:right w:val="none" w:sz="0" w:space="0" w:color="auto"/>
          </w:divBdr>
          <w:divsChild>
            <w:div w:id="209923639">
              <w:marLeft w:val="0"/>
              <w:marRight w:val="0"/>
              <w:marTop w:val="0"/>
              <w:marBottom w:val="0"/>
              <w:divBdr>
                <w:top w:val="none" w:sz="0" w:space="0" w:color="auto"/>
                <w:left w:val="none" w:sz="0" w:space="0" w:color="auto"/>
                <w:bottom w:val="none" w:sz="0" w:space="0" w:color="auto"/>
                <w:right w:val="none" w:sz="0" w:space="0" w:color="auto"/>
              </w:divBdr>
              <w:divsChild>
                <w:div w:id="5064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5741">
          <w:marLeft w:val="0"/>
          <w:marRight w:val="0"/>
          <w:marTop w:val="0"/>
          <w:marBottom w:val="0"/>
          <w:divBdr>
            <w:top w:val="none" w:sz="0" w:space="0" w:color="auto"/>
            <w:left w:val="none" w:sz="0" w:space="0" w:color="auto"/>
            <w:bottom w:val="none" w:sz="0" w:space="0" w:color="auto"/>
            <w:right w:val="none" w:sz="0" w:space="0" w:color="auto"/>
          </w:divBdr>
          <w:divsChild>
            <w:div w:id="473181144">
              <w:marLeft w:val="0"/>
              <w:marRight w:val="0"/>
              <w:marTop w:val="0"/>
              <w:marBottom w:val="0"/>
              <w:divBdr>
                <w:top w:val="none" w:sz="0" w:space="0" w:color="auto"/>
                <w:left w:val="none" w:sz="0" w:space="0" w:color="auto"/>
                <w:bottom w:val="none" w:sz="0" w:space="0" w:color="auto"/>
                <w:right w:val="none" w:sz="0" w:space="0" w:color="auto"/>
              </w:divBdr>
              <w:divsChild>
                <w:div w:id="19339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4737">
      <w:bodyDiv w:val="1"/>
      <w:marLeft w:val="0"/>
      <w:marRight w:val="0"/>
      <w:marTop w:val="0"/>
      <w:marBottom w:val="0"/>
      <w:divBdr>
        <w:top w:val="none" w:sz="0" w:space="0" w:color="auto"/>
        <w:left w:val="none" w:sz="0" w:space="0" w:color="auto"/>
        <w:bottom w:val="none" w:sz="0" w:space="0" w:color="auto"/>
        <w:right w:val="none" w:sz="0" w:space="0" w:color="auto"/>
      </w:divBdr>
      <w:divsChild>
        <w:div w:id="795411743">
          <w:marLeft w:val="0"/>
          <w:marRight w:val="0"/>
          <w:marTop w:val="0"/>
          <w:marBottom w:val="0"/>
          <w:divBdr>
            <w:top w:val="none" w:sz="0" w:space="0" w:color="auto"/>
            <w:left w:val="none" w:sz="0" w:space="0" w:color="auto"/>
            <w:bottom w:val="none" w:sz="0" w:space="0" w:color="auto"/>
            <w:right w:val="none" w:sz="0" w:space="0" w:color="auto"/>
          </w:divBdr>
          <w:divsChild>
            <w:div w:id="342905780">
              <w:marLeft w:val="0"/>
              <w:marRight w:val="0"/>
              <w:marTop w:val="0"/>
              <w:marBottom w:val="0"/>
              <w:divBdr>
                <w:top w:val="none" w:sz="0" w:space="0" w:color="auto"/>
                <w:left w:val="none" w:sz="0" w:space="0" w:color="auto"/>
                <w:bottom w:val="none" w:sz="0" w:space="0" w:color="auto"/>
                <w:right w:val="none" w:sz="0" w:space="0" w:color="auto"/>
              </w:divBdr>
            </w:div>
          </w:divsChild>
        </w:div>
        <w:div w:id="1214267107">
          <w:marLeft w:val="0"/>
          <w:marRight w:val="0"/>
          <w:marTop w:val="0"/>
          <w:marBottom w:val="0"/>
          <w:divBdr>
            <w:top w:val="none" w:sz="0" w:space="0" w:color="auto"/>
            <w:left w:val="none" w:sz="0" w:space="0" w:color="auto"/>
            <w:bottom w:val="none" w:sz="0" w:space="0" w:color="auto"/>
            <w:right w:val="none" w:sz="0" w:space="0" w:color="auto"/>
          </w:divBdr>
          <w:divsChild>
            <w:div w:id="16926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7082">
      <w:bodyDiv w:val="1"/>
      <w:marLeft w:val="0"/>
      <w:marRight w:val="0"/>
      <w:marTop w:val="0"/>
      <w:marBottom w:val="0"/>
      <w:divBdr>
        <w:top w:val="none" w:sz="0" w:space="0" w:color="auto"/>
        <w:left w:val="none" w:sz="0" w:space="0" w:color="auto"/>
        <w:bottom w:val="none" w:sz="0" w:space="0" w:color="auto"/>
        <w:right w:val="none" w:sz="0" w:space="0" w:color="auto"/>
      </w:divBdr>
      <w:divsChild>
        <w:div w:id="141587554">
          <w:marLeft w:val="0"/>
          <w:marRight w:val="0"/>
          <w:marTop w:val="0"/>
          <w:marBottom w:val="0"/>
          <w:divBdr>
            <w:top w:val="none" w:sz="0" w:space="0" w:color="auto"/>
            <w:left w:val="none" w:sz="0" w:space="0" w:color="auto"/>
            <w:bottom w:val="none" w:sz="0" w:space="0" w:color="auto"/>
            <w:right w:val="none" w:sz="0" w:space="0" w:color="auto"/>
          </w:divBdr>
          <w:divsChild>
            <w:div w:id="1648514745">
              <w:marLeft w:val="0"/>
              <w:marRight w:val="0"/>
              <w:marTop w:val="0"/>
              <w:marBottom w:val="0"/>
              <w:divBdr>
                <w:top w:val="none" w:sz="0" w:space="0" w:color="auto"/>
                <w:left w:val="none" w:sz="0" w:space="0" w:color="auto"/>
                <w:bottom w:val="none" w:sz="0" w:space="0" w:color="auto"/>
                <w:right w:val="none" w:sz="0" w:space="0" w:color="auto"/>
              </w:divBdr>
            </w:div>
          </w:divsChild>
        </w:div>
        <w:div w:id="433986972">
          <w:marLeft w:val="0"/>
          <w:marRight w:val="0"/>
          <w:marTop w:val="0"/>
          <w:marBottom w:val="0"/>
          <w:divBdr>
            <w:top w:val="none" w:sz="0" w:space="0" w:color="auto"/>
            <w:left w:val="none" w:sz="0" w:space="0" w:color="auto"/>
            <w:bottom w:val="none" w:sz="0" w:space="0" w:color="auto"/>
            <w:right w:val="none" w:sz="0" w:space="0" w:color="auto"/>
          </w:divBdr>
          <w:divsChild>
            <w:div w:id="1480726477">
              <w:marLeft w:val="0"/>
              <w:marRight w:val="0"/>
              <w:marTop w:val="0"/>
              <w:marBottom w:val="0"/>
              <w:divBdr>
                <w:top w:val="none" w:sz="0" w:space="0" w:color="auto"/>
                <w:left w:val="none" w:sz="0" w:space="0" w:color="auto"/>
                <w:bottom w:val="none" w:sz="0" w:space="0" w:color="auto"/>
                <w:right w:val="none" w:sz="0" w:space="0" w:color="auto"/>
              </w:divBdr>
            </w:div>
          </w:divsChild>
        </w:div>
        <w:div w:id="1867668932">
          <w:marLeft w:val="0"/>
          <w:marRight w:val="0"/>
          <w:marTop w:val="0"/>
          <w:marBottom w:val="0"/>
          <w:divBdr>
            <w:top w:val="none" w:sz="0" w:space="0" w:color="auto"/>
            <w:left w:val="none" w:sz="0" w:space="0" w:color="auto"/>
            <w:bottom w:val="none" w:sz="0" w:space="0" w:color="auto"/>
            <w:right w:val="none" w:sz="0" w:space="0" w:color="auto"/>
          </w:divBdr>
          <w:divsChild>
            <w:div w:id="21372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1995644216">
      <w:bodyDiv w:val="1"/>
      <w:marLeft w:val="0"/>
      <w:marRight w:val="0"/>
      <w:marTop w:val="0"/>
      <w:marBottom w:val="0"/>
      <w:divBdr>
        <w:top w:val="none" w:sz="0" w:space="0" w:color="auto"/>
        <w:left w:val="none" w:sz="0" w:space="0" w:color="auto"/>
        <w:bottom w:val="none" w:sz="0" w:space="0" w:color="auto"/>
        <w:right w:val="none" w:sz="0" w:space="0" w:color="auto"/>
      </w:divBdr>
      <w:divsChild>
        <w:div w:id="1620334334">
          <w:marLeft w:val="0"/>
          <w:marRight w:val="0"/>
          <w:marTop w:val="0"/>
          <w:marBottom w:val="0"/>
          <w:divBdr>
            <w:top w:val="none" w:sz="0" w:space="0" w:color="auto"/>
            <w:left w:val="none" w:sz="0" w:space="0" w:color="auto"/>
            <w:bottom w:val="none" w:sz="0" w:space="0" w:color="auto"/>
            <w:right w:val="none" w:sz="0" w:space="0" w:color="auto"/>
          </w:divBdr>
          <w:divsChild>
            <w:div w:id="256986503">
              <w:marLeft w:val="0"/>
              <w:marRight w:val="0"/>
              <w:marTop w:val="0"/>
              <w:marBottom w:val="0"/>
              <w:divBdr>
                <w:top w:val="none" w:sz="0" w:space="0" w:color="auto"/>
                <w:left w:val="none" w:sz="0" w:space="0" w:color="auto"/>
                <w:bottom w:val="none" w:sz="0" w:space="0" w:color="auto"/>
                <w:right w:val="none" w:sz="0" w:space="0" w:color="auto"/>
              </w:divBdr>
            </w:div>
          </w:divsChild>
        </w:div>
        <w:div w:id="1722749246">
          <w:marLeft w:val="0"/>
          <w:marRight w:val="0"/>
          <w:marTop w:val="0"/>
          <w:marBottom w:val="0"/>
          <w:divBdr>
            <w:top w:val="none" w:sz="0" w:space="0" w:color="auto"/>
            <w:left w:val="none" w:sz="0" w:space="0" w:color="auto"/>
            <w:bottom w:val="none" w:sz="0" w:space="0" w:color="auto"/>
            <w:right w:val="none" w:sz="0" w:space="0" w:color="auto"/>
          </w:divBdr>
          <w:divsChild>
            <w:div w:id="6273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7095177">
      <w:bodyDiv w:val="1"/>
      <w:marLeft w:val="0"/>
      <w:marRight w:val="0"/>
      <w:marTop w:val="0"/>
      <w:marBottom w:val="0"/>
      <w:divBdr>
        <w:top w:val="none" w:sz="0" w:space="0" w:color="auto"/>
        <w:left w:val="none" w:sz="0" w:space="0" w:color="auto"/>
        <w:bottom w:val="none" w:sz="0" w:space="0" w:color="auto"/>
        <w:right w:val="none" w:sz="0" w:space="0" w:color="auto"/>
      </w:divBdr>
      <w:divsChild>
        <w:div w:id="745229007">
          <w:marLeft w:val="0"/>
          <w:marRight w:val="0"/>
          <w:marTop w:val="0"/>
          <w:marBottom w:val="0"/>
          <w:divBdr>
            <w:top w:val="none" w:sz="0" w:space="0" w:color="auto"/>
            <w:left w:val="none" w:sz="0" w:space="0" w:color="auto"/>
            <w:bottom w:val="none" w:sz="0" w:space="0" w:color="auto"/>
            <w:right w:val="none" w:sz="0" w:space="0" w:color="auto"/>
          </w:divBdr>
          <w:divsChild>
            <w:div w:id="380831592">
              <w:marLeft w:val="0"/>
              <w:marRight w:val="0"/>
              <w:marTop w:val="0"/>
              <w:marBottom w:val="0"/>
              <w:divBdr>
                <w:top w:val="none" w:sz="0" w:space="0" w:color="auto"/>
                <w:left w:val="none" w:sz="0" w:space="0" w:color="auto"/>
                <w:bottom w:val="none" w:sz="0" w:space="0" w:color="auto"/>
                <w:right w:val="none" w:sz="0" w:space="0" w:color="auto"/>
              </w:divBdr>
            </w:div>
          </w:divsChild>
        </w:div>
        <w:div w:id="2066367853">
          <w:marLeft w:val="0"/>
          <w:marRight w:val="0"/>
          <w:marTop w:val="0"/>
          <w:marBottom w:val="0"/>
          <w:divBdr>
            <w:top w:val="none" w:sz="0" w:space="0" w:color="auto"/>
            <w:left w:val="none" w:sz="0" w:space="0" w:color="auto"/>
            <w:bottom w:val="none" w:sz="0" w:space="0" w:color="auto"/>
            <w:right w:val="none" w:sz="0" w:space="0" w:color="auto"/>
          </w:divBdr>
          <w:divsChild>
            <w:div w:id="3343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81209">
      <w:bodyDiv w:val="1"/>
      <w:marLeft w:val="0"/>
      <w:marRight w:val="0"/>
      <w:marTop w:val="0"/>
      <w:marBottom w:val="0"/>
      <w:divBdr>
        <w:top w:val="none" w:sz="0" w:space="0" w:color="auto"/>
        <w:left w:val="none" w:sz="0" w:space="0" w:color="auto"/>
        <w:bottom w:val="none" w:sz="0" w:space="0" w:color="auto"/>
        <w:right w:val="none" w:sz="0" w:space="0" w:color="auto"/>
      </w:divBdr>
    </w:div>
    <w:div w:id="2057269200">
      <w:bodyDiv w:val="1"/>
      <w:marLeft w:val="0"/>
      <w:marRight w:val="0"/>
      <w:marTop w:val="0"/>
      <w:marBottom w:val="0"/>
      <w:divBdr>
        <w:top w:val="none" w:sz="0" w:space="0" w:color="auto"/>
        <w:left w:val="none" w:sz="0" w:space="0" w:color="auto"/>
        <w:bottom w:val="none" w:sz="0" w:space="0" w:color="auto"/>
        <w:right w:val="none" w:sz="0" w:space="0" w:color="auto"/>
      </w:divBdr>
    </w:div>
    <w:div w:id="2063164331">
      <w:bodyDiv w:val="1"/>
      <w:marLeft w:val="0"/>
      <w:marRight w:val="0"/>
      <w:marTop w:val="0"/>
      <w:marBottom w:val="0"/>
      <w:divBdr>
        <w:top w:val="none" w:sz="0" w:space="0" w:color="auto"/>
        <w:left w:val="none" w:sz="0" w:space="0" w:color="auto"/>
        <w:bottom w:val="none" w:sz="0" w:space="0" w:color="auto"/>
        <w:right w:val="none" w:sz="0" w:space="0" w:color="auto"/>
      </w:divBdr>
      <w:divsChild>
        <w:div w:id="75635880">
          <w:marLeft w:val="0"/>
          <w:marRight w:val="0"/>
          <w:marTop w:val="0"/>
          <w:marBottom w:val="0"/>
          <w:divBdr>
            <w:top w:val="none" w:sz="0" w:space="0" w:color="auto"/>
            <w:left w:val="none" w:sz="0" w:space="0" w:color="auto"/>
            <w:bottom w:val="none" w:sz="0" w:space="0" w:color="auto"/>
            <w:right w:val="none" w:sz="0" w:space="0" w:color="auto"/>
          </w:divBdr>
          <w:divsChild>
            <w:div w:id="1267694397">
              <w:marLeft w:val="0"/>
              <w:marRight w:val="0"/>
              <w:marTop w:val="0"/>
              <w:marBottom w:val="0"/>
              <w:divBdr>
                <w:top w:val="none" w:sz="0" w:space="0" w:color="auto"/>
                <w:left w:val="none" w:sz="0" w:space="0" w:color="auto"/>
                <w:bottom w:val="none" w:sz="0" w:space="0" w:color="auto"/>
                <w:right w:val="none" w:sz="0" w:space="0" w:color="auto"/>
              </w:divBdr>
            </w:div>
          </w:divsChild>
        </w:div>
        <w:div w:id="995689447">
          <w:marLeft w:val="0"/>
          <w:marRight w:val="0"/>
          <w:marTop w:val="0"/>
          <w:marBottom w:val="0"/>
          <w:divBdr>
            <w:top w:val="none" w:sz="0" w:space="0" w:color="auto"/>
            <w:left w:val="none" w:sz="0" w:space="0" w:color="auto"/>
            <w:bottom w:val="none" w:sz="0" w:space="0" w:color="auto"/>
            <w:right w:val="none" w:sz="0" w:space="0" w:color="auto"/>
          </w:divBdr>
          <w:divsChild>
            <w:div w:id="8822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714">
      <w:bodyDiv w:val="1"/>
      <w:marLeft w:val="0"/>
      <w:marRight w:val="0"/>
      <w:marTop w:val="0"/>
      <w:marBottom w:val="0"/>
      <w:divBdr>
        <w:top w:val="none" w:sz="0" w:space="0" w:color="auto"/>
        <w:left w:val="none" w:sz="0" w:space="0" w:color="auto"/>
        <w:bottom w:val="none" w:sz="0" w:space="0" w:color="auto"/>
        <w:right w:val="none" w:sz="0" w:space="0" w:color="auto"/>
      </w:divBdr>
      <w:divsChild>
        <w:div w:id="1133911355">
          <w:marLeft w:val="0"/>
          <w:marRight w:val="0"/>
          <w:marTop w:val="0"/>
          <w:marBottom w:val="0"/>
          <w:divBdr>
            <w:top w:val="none" w:sz="0" w:space="0" w:color="auto"/>
            <w:left w:val="none" w:sz="0" w:space="0" w:color="auto"/>
            <w:bottom w:val="none" w:sz="0" w:space="0" w:color="auto"/>
            <w:right w:val="none" w:sz="0" w:space="0" w:color="auto"/>
          </w:divBdr>
          <w:divsChild>
            <w:div w:id="737438259">
              <w:marLeft w:val="0"/>
              <w:marRight w:val="0"/>
              <w:marTop w:val="0"/>
              <w:marBottom w:val="0"/>
              <w:divBdr>
                <w:top w:val="none" w:sz="0" w:space="0" w:color="auto"/>
                <w:left w:val="none" w:sz="0" w:space="0" w:color="auto"/>
                <w:bottom w:val="none" w:sz="0" w:space="0" w:color="auto"/>
                <w:right w:val="none" w:sz="0" w:space="0" w:color="auto"/>
              </w:divBdr>
            </w:div>
          </w:divsChild>
        </w:div>
        <w:div w:id="1970355365">
          <w:marLeft w:val="0"/>
          <w:marRight w:val="0"/>
          <w:marTop w:val="0"/>
          <w:marBottom w:val="0"/>
          <w:divBdr>
            <w:top w:val="none" w:sz="0" w:space="0" w:color="auto"/>
            <w:left w:val="none" w:sz="0" w:space="0" w:color="auto"/>
            <w:bottom w:val="none" w:sz="0" w:space="0" w:color="auto"/>
            <w:right w:val="none" w:sz="0" w:space="0" w:color="auto"/>
          </w:divBdr>
          <w:divsChild>
            <w:div w:id="13691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1005">
      <w:bodyDiv w:val="1"/>
      <w:marLeft w:val="0"/>
      <w:marRight w:val="0"/>
      <w:marTop w:val="0"/>
      <w:marBottom w:val="0"/>
      <w:divBdr>
        <w:top w:val="none" w:sz="0" w:space="0" w:color="auto"/>
        <w:left w:val="none" w:sz="0" w:space="0" w:color="auto"/>
        <w:bottom w:val="none" w:sz="0" w:space="0" w:color="auto"/>
        <w:right w:val="none" w:sz="0" w:space="0" w:color="auto"/>
      </w:divBdr>
      <w:divsChild>
        <w:div w:id="94133029">
          <w:marLeft w:val="0"/>
          <w:marRight w:val="0"/>
          <w:marTop w:val="0"/>
          <w:marBottom w:val="0"/>
          <w:divBdr>
            <w:top w:val="none" w:sz="0" w:space="0" w:color="auto"/>
            <w:left w:val="none" w:sz="0" w:space="0" w:color="auto"/>
            <w:bottom w:val="none" w:sz="0" w:space="0" w:color="auto"/>
            <w:right w:val="none" w:sz="0" w:space="0" w:color="auto"/>
          </w:divBdr>
          <w:divsChild>
            <w:div w:id="1677608401">
              <w:marLeft w:val="0"/>
              <w:marRight w:val="0"/>
              <w:marTop w:val="0"/>
              <w:marBottom w:val="0"/>
              <w:divBdr>
                <w:top w:val="none" w:sz="0" w:space="0" w:color="auto"/>
                <w:left w:val="none" w:sz="0" w:space="0" w:color="auto"/>
                <w:bottom w:val="none" w:sz="0" w:space="0" w:color="auto"/>
                <w:right w:val="none" w:sz="0" w:space="0" w:color="auto"/>
              </w:divBdr>
            </w:div>
          </w:divsChild>
        </w:div>
        <w:div w:id="2111509642">
          <w:marLeft w:val="0"/>
          <w:marRight w:val="0"/>
          <w:marTop w:val="0"/>
          <w:marBottom w:val="0"/>
          <w:divBdr>
            <w:top w:val="none" w:sz="0" w:space="0" w:color="auto"/>
            <w:left w:val="none" w:sz="0" w:space="0" w:color="auto"/>
            <w:bottom w:val="none" w:sz="0" w:space="0" w:color="auto"/>
            <w:right w:val="none" w:sz="0" w:space="0" w:color="auto"/>
          </w:divBdr>
          <w:divsChild>
            <w:div w:id="12154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2344">
      <w:bodyDiv w:val="1"/>
      <w:marLeft w:val="0"/>
      <w:marRight w:val="0"/>
      <w:marTop w:val="0"/>
      <w:marBottom w:val="0"/>
      <w:divBdr>
        <w:top w:val="none" w:sz="0" w:space="0" w:color="auto"/>
        <w:left w:val="none" w:sz="0" w:space="0" w:color="auto"/>
        <w:bottom w:val="none" w:sz="0" w:space="0" w:color="auto"/>
        <w:right w:val="none" w:sz="0" w:space="0" w:color="auto"/>
      </w:divBdr>
      <w:divsChild>
        <w:div w:id="1251475551">
          <w:marLeft w:val="0"/>
          <w:marRight w:val="0"/>
          <w:marTop w:val="0"/>
          <w:marBottom w:val="0"/>
          <w:divBdr>
            <w:top w:val="none" w:sz="0" w:space="0" w:color="auto"/>
            <w:left w:val="none" w:sz="0" w:space="0" w:color="auto"/>
            <w:bottom w:val="none" w:sz="0" w:space="0" w:color="auto"/>
            <w:right w:val="none" w:sz="0" w:space="0" w:color="auto"/>
          </w:divBdr>
          <w:divsChild>
            <w:div w:id="1534072372">
              <w:marLeft w:val="0"/>
              <w:marRight w:val="0"/>
              <w:marTop w:val="0"/>
              <w:marBottom w:val="0"/>
              <w:divBdr>
                <w:top w:val="none" w:sz="0" w:space="0" w:color="auto"/>
                <w:left w:val="none" w:sz="0" w:space="0" w:color="auto"/>
                <w:bottom w:val="none" w:sz="0" w:space="0" w:color="auto"/>
                <w:right w:val="none" w:sz="0" w:space="0" w:color="auto"/>
              </w:divBdr>
            </w:div>
          </w:divsChild>
        </w:div>
        <w:div w:id="2035616108">
          <w:marLeft w:val="0"/>
          <w:marRight w:val="0"/>
          <w:marTop w:val="0"/>
          <w:marBottom w:val="0"/>
          <w:divBdr>
            <w:top w:val="none" w:sz="0" w:space="0" w:color="auto"/>
            <w:left w:val="none" w:sz="0" w:space="0" w:color="auto"/>
            <w:bottom w:val="none" w:sz="0" w:space="0" w:color="auto"/>
            <w:right w:val="none" w:sz="0" w:space="0" w:color="auto"/>
          </w:divBdr>
          <w:divsChild>
            <w:div w:id="9172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167">
      <w:bodyDiv w:val="1"/>
      <w:marLeft w:val="0"/>
      <w:marRight w:val="0"/>
      <w:marTop w:val="0"/>
      <w:marBottom w:val="0"/>
      <w:divBdr>
        <w:top w:val="none" w:sz="0" w:space="0" w:color="auto"/>
        <w:left w:val="none" w:sz="0" w:space="0" w:color="auto"/>
        <w:bottom w:val="none" w:sz="0" w:space="0" w:color="auto"/>
        <w:right w:val="none" w:sz="0" w:space="0" w:color="auto"/>
      </w:divBdr>
      <w:divsChild>
        <w:div w:id="255528756">
          <w:marLeft w:val="0"/>
          <w:marRight w:val="0"/>
          <w:marTop w:val="0"/>
          <w:marBottom w:val="0"/>
          <w:divBdr>
            <w:top w:val="none" w:sz="0" w:space="0" w:color="auto"/>
            <w:left w:val="none" w:sz="0" w:space="0" w:color="auto"/>
            <w:bottom w:val="none" w:sz="0" w:space="0" w:color="auto"/>
            <w:right w:val="none" w:sz="0" w:space="0" w:color="auto"/>
          </w:divBdr>
          <w:divsChild>
            <w:div w:id="1081558845">
              <w:marLeft w:val="0"/>
              <w:marRight w:val="0"/>
              <w:marTop w:val="0"/>
              <w:marBottom w:val="0"/>
              <w:divBdr>
                <w:top w:val="none" w:sz="0" w:space="0" w:color="auto"/>
                <w:left w:val="none" w:sz="0" w:space="0" w:color="auto"/>
                <w:bottom w:val="none" w:sz="0" w:space="0" w:color="auto"/>
                <w:right w:val="none" w:sz="0" w:space="0" w:color="auto"/>
              </w:divBdr>
            </w:div>
          </w:divsChild>
        </w:div>
        <w:div w:id="646125230">
          <w:marLeft w:val="0"/>
          <w:marRight w:val="0"/>
          <w:marTop w:val="0"/>
          <w:marBottom w:val="0"/>
          <w:divBdr>
            <w:top w:val="none" w:sz="0" w:space="0" w:color="auto"/>
            <w:left w:val="none" w:sz="0" w:space="0" w:color="auto"/>
            <w:bottom w:val="none" w:sz="0" w:space="0" w:color="auto"/>
            <w:right w:val="none" w:sz="0" w:space="0" w:color="auto"/>
          </w:divBdr>
          <w:divsChild>
            <w:div w:id="1062218619">
              <w:marLeft w:val="0"/>
              <w:marRight w:val="0"/>
              <w:marTop w:val="0"/>
              <w:marBottom w:val="0"/>
              <w:divBdr>
                <w:top w:val="none" w:sz="0" w:space="0" w:color="auto"/>
                <w:left w:val="none" w:sz="0" w:space="0" w:color="auto"/>
                <w:bottom w:val="none" w:sz="0" w:space="0" w:color="auto"/>
                <w:right w:val="none" w:sz="0" w:space="0" w:color="auto"/>
              </w:divBdr>
            </w:div>
          </w:divsChild>
        </w:div>
        <w:div w:id="2101293259">
          <w:marLeft w:val="0"/>
          <w:marRight w:val="0"/>
          <w:marTop w:val="0"/>
          <w:marBottom w:val="0"/>
          <w:divBdr>
            <w:top w:val="none" w:sz="0" w:space="0" w:color="auto"/>
            <w:left w:val="none" w:sz="0" w:space="0" w:color="auto"/>
            <w:bottom w:val="none" w:sz="0" w:space="0" w:color="auto"/>
            <w:right w:val="none" w:sz="0" w:space="0" w:color="auto"/>
          </w:divBdr>
          <w:divsChild>
            <w:div w:id="8472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58774">
      <w:bodyDiv w:val="1"/>
      <w:marLeft w:val="0"/>
      <w:marRight w:val="0"/>
      <w:marTop w:val="0"/>
      <w:marBottom w:val="0"/>
      <w:divBdr>
        <w:top w:val="none" w:sz="0" w:space="0" w:color="auto"/>
        <w:left w:val="none" w:sz="0" w:space="0" w:color="auto"/>
        <w:bottom w:val="none" w:sz="0" w:space="0" w:color="auto"/>
        <w:right w:val="none" w:sz="0" w:space="0" w:color="auto"/>
      </w:divBdr>
    </w:div>
    <w:div w:id="2141799622">
      <w:bodyDiv w:val="1"/>
      <w:marLeft w:val="0"/>
      <w:marRight w:val="0"/>
      <w:marTop w:val="0"/>
      <w:marBottom w:val="0"/>
      <w:divBdr>
        <w:top w:val="none" w:sz="0" w:space="0" w:color="auto"/>
        <w:left w:val="none" w:sz="0" w:space="0" w:color="auto"/>
        <w:bottom w:val="none" w:sz="0" w:space="0" w:color="auto"/>
        <w:right w:val="none" w:sz="0" w:space="0" w:color="auto"/>
      </w:divBdr>
      <w:divsChild>
        <w:div w:id="261885940">
          <w:marLeft w:val="0"/>
          <w:marRight w:val="0"/>
          <w:marTop w:val="0"/>
          <w:marBottom w:val="0"/>
          <w:divBdr>
            <w:top w:val="none" w:sz="0" w:space="0" w:color="auto"/>
            <w:left w:val="none" w:sz="0" w:space="0" w:color="auto"/>
            <w:bottom w:val="none" w:sz="0" w:space="0" w:color="auto"/>
            <w:right w:val="none" w:sz="0" w:space="0" w:color="auto"/>
          </w:divBdr>
          <w:divsChild>
            <w:div w:id="190917769">
              <w:marLeft w:val="0"/>
              <w:marRight w:val="0"/>
              <w:marTop w:val="0"/>
              <w:marBottom w:val="0"/>
              <w:divBdr>
                <w:top w:val="none" w:sz="0" w:space="0" w:color="auto"/>
                <w:left w:val="none" w:sz="0" w:space="0" w:color="auto"/>
                <w:bottom w:val="none" w:sz="0" w:space="0" w:color="auto"/>
                <w:right w:val="none" w:sz="0" w:space="0" w:color="auto"/>
              </w:divBdr>
            </w:div>
          </w:divsChild>
        </w:div>
        <w:div w:id="1402826519">
          <w:marLeft w:val="0"/>
          <w:marRight w:val="0"/>
          <w:marTop w:val="0"/>
          <w:marBottom w:val="0"/>
          <w:divBdr>
            <w:top w:val="none" w:sz="0" w:space="0" w:color="auto"/>
            <w:left w:val="none" w:sz="0" w:space="0" w:color="auto"/>
            <w:bottom w:val="none" w:sz="0" w:space="0" w:color="auto"/>
            <w:right w:val="none" w:sz="0" w:space="0" w:color="auto"/>
          </w:divBdr>
          <w:divsChild>
            <w:div w:id="3659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570">
      <w:bodyDiv w:val="1"/>
      <w:marLeft w:val="0"/>
      <w:marRight w:val="0"/>
      <w:marTop w:val="0"/>
      <w:marBottom w:val="0"/>
      <w:divBdr>
        <w:top w:val="none" w:sz="0" w:space="0" w:color="auto"/>
        <w:left w:val="none" w:sz="0" w:space="0" w:color="auto"/>
        <w:bottom w:val="none" w:sz="0" w:space="0" w:color="auto"/>
        <w:right w:val="none" w:sz="0" w:space="0" w:color="auto"/>
      </w:divBdr>
      <w:divsChild>
        <w:div w:id="450632870">
          <w:marLeft w:val="0"/>
          <w:marRight w:val="0"/>
          <w:marTop w:val="0"/>
          <w:marBottom w:val="0"/>
          <w:divBdr>
            <w:top w:val="none" w:sz="0" w:space="0" w:color="auto"/>
            <w:left w:val="none" w:sz="0" w:space="0" w:color="auto"/>
            <w:bottom w:val="none" w:sz="0" w:space="0" w:color="auto"/>
            <w:right w:val="none" w:sz="0" w:space="0" w:color="auto"/>
          </w:divBdr>
          <w:divsChild>
            <w:div w:id="341981769">
              <w:marLeft w:val="0"/>
              <w:marRight w:val="0"/>
              <w:marTop w:val="0"/>
              <w:marBottom w:val="0"/>
              <w:divBdr>
                <w:top w:val="none" w:sz="0" w:space="0" w:color="auto"/>
                <w:left w:val="none" w:sz="0" w:space="0" w:color="auto"/>
                <w:bottom w:val="none" w:sz="0" w:space="0" w:color="auto"/>
                <w:right w:val="none" w:sz="0" w:space="0" w:color="auto"/>
              </w:divBdr>
              <w:divsChild>
                <w:div w:id="10449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944">
          <w:marLeft w:val="0"/>
          <w:marRight w:val="0"/>
          <w:marTop w:val="0"/>
          <w:marBottom w:val="0"/>
          <w:divBdr>
            <w:top w:val="none" w:sz="0" w:space="0" w:color="auto"/>
            <w:left w:val="none" w:sz="0" w:space="0" w:color="auto"/>
            <w:bottom w:val="none" w:sz="0" w:space="0" w:color="auto"/>
            <w:right w:val="none" w:sz="0" w:space="0" w:color="auto"/>
          </w:divBdr>
          <w:divsChild>
            <w:div w:id="1418095511">
              <w:marLeft w:val="0"/>
              <w:marRight w:val="0"/>
              <w:marTop w:val="0"/>
              <w:marBottom w:val="0"/>
              <w:divBdr>
                <w:top w:val="none" w:sz="0" w:space="0" w:color="auto"/>
                <w:left w:val="none" w:sz="0" w:space="0" w:color="auto"/>
                <w:bottom w:val="none" w:sz="0" w:space="0" w:color="auto"/>
                <w:right w:val="none" w:sz="0" w:space="0" w:color="auto"/>
              </w:divBdr>
              <w:divsChild>
                <w:div w:id="20364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5705">
          <w:marLeft w:val="0"/>
          <w:marRight w:val="0"/>
          <w:marTop w:val="0"/>
          <w:marBottom w:val="0"/>
          <w:divBdr>
            <w:top w:val="none" w:sz="0" w:space="0" w:color="auto"/>
            <w:left w:val="none" w:sz="0" w:space="0" w:color="auto"/>
            <w:bottom w:val="none" w:sz="0" w:space="0" w:color="auto"/>
            <w:right w:val="none" w:sz="0" w:space="0" w:color="auto"/>
          </w:divBdr>
          <w:divsChild>
            <w:div w:id="543904461">
              <w:marLeft w:val="0"/>
              <w:marRight w:val="0"/>
              <w:marTop w:val="0"/>
              <w:marBottom w:val="0"/>
              <w:divBdr>
                <w:top w:val="none" w:sz="0" w:space="0" w:color="auto"/>
                <w:left w:val="none" w:sz="0" w:space="0" w:color="auto"/>
                <w:bottom w:val="none" w:sz="0" w:space="0" w:color="auto"/>
                <w:right w:val="none" w:sz="0" w:space="0" w:color="auto"/>
              </w:divBdr>
              <w:divsChild>
                <w:div w:id="13455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6781">
          <w:marLeft w:val="0"/>
          <w:marRight w:val="0"/>
          <w:marTop w:val="0"/>
          <w:marBottom w:val="0"/>
          <w:divBdr>
            <w:top w:val="none" w:sz="0" w:space="0" w:color="auto"/>
            <w:left w:val="none" w:sz="0" w:space="0" w:color="auto"/>
            <w:bottom w:val="none" w:sz="0" w:space="0" w:color="auto"/>
            <w:right w:val="none" w:sz="0" w:space="0" w:color="auto"/>
          </w:divBdr>
          <w:divsChild>
            <w:div w:id="1968973034">
              <w:marLeft w:val="0"/>
              <w:marRight w:val="0"/>
              <w:marTop w:val="0"/>
              <w:marBottom w:val="0"/>
              <w:divBdr>
                <w:top w:val="none" w:sz="0" w:space="0" w:color="auto"/>
                <w:left w:val="none" w:sz="0" w:space="0" w:color="auto"/>
                <w:bottom w:val="none" w:sz="0" w:space="0" w:color="auto"/>
                <w:right w:val="none" w:sz="0" w:space="0" w:color="auto"/>
              </w:divBdr>
              <w:divsChild>
                <w:div w:id="14783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0552">
          <w:marLeft w:val="0"/>
          <w:marRight w:val="0"/>
          <w:marTop w:val="0"/>
          <w:marBottom w:val="0"/>
          <w:divBdr>
            <w:top w:val="none" w:sz="0" w:space="0" w:color="auto"/>
            <w:left w:val="none" w:sz="0" w:space="0" w:color="auto"/>
            <w:bottom w:val="none" w:sz="0" w:space="0" w:color="auto"/>
            <w:right w:val="none" w:sz="0" w:space="0" w:color="auto"/>
          </w:divBdr>
          <w:divsChild>
            <w:div w:id="711880239">
              <w:marLeft w:val="0"/>
              <w:marRight w:val="0"/>
              <w:marTop w:val="0"/>
              <w:marBottom w:val="0"/>
              <w:divBdr>
                <w:top w:val="none" w:sz="0" w:space="0" w:color="auto"/>
                <w:left w:val="none" w:sz="0" w:space="0" w:color="auto"/>
                <w:bottom w:val="none" w:sz="0" w:space="0" w:color="auto"/>
                <w:right w:val="none" w:sz="0" w:space="0" w:color="auto"/>
              </w:divBdr>
              <w:divsChild>
                <w:div w:id="7433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612">
          <w:marLeft w:val="0"/>
          <w:marRight w:val="0"/>
          <w:marTop w:val="0"/>
          <w:marBottom w:val="0"/>
          <w:divBdr>
            <w:top w:val="none" w:sz="0" w:space="0" w:color="auto"/>
            <w:left w:val="none" w:sz="0" w:space="0" w:color="auto"/>
            <w:bottom w:val="none" w:sz="0" w:space="0" w:color="auto"/>
            <w:right w:val="none" w:sz="0" w:space="0" w:color="auto"/>
          </w:divBdr>
          <w:divsChild>
            <w:div w:id="405032420">
              <w:marLeft w:val="0"/>
              <w:marRight w:val="0"/>
              <w:marTop w:val="0"/>
              <w:marBottom w:val="0"/>
              <w:divBdr>
                <w:top w:val="none" w:sz="0" w:space="0" w:color="auto"/>
                <w:left w:val="none" w:sz="0" w:space="0" w:color="auto"/>
                <w:bottom w:val="none" w:sz="0" w:space="0" w:color="auto"/>
                <w:right w:val="none" w:sz="0" w:space="0" w:color="auto"/>
              </w:divBdr>
              <w:divsChild>
                <w:div w:id="7827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6970">
          <w:marLeft w:val="0"/>
          <w:marRight w:val="0"/>
          <w:marTop w:val="0"/>
          <w:marBottom w:val="0"/>
          <w:divBdr>
            <w:top w:val="none" w:sz="0" w:space="0" w:color="auto"/>
            <w:left w:val="none" w:sz="0" w:space="0" w:color="auto"/>
            <w:bottom w:val="none" w:sz="0" w:space="0" w:color="auto"/>
            <w:right w:val="none" w:sz="0" w:space="0" w:color="auto"/>
          </w:divBdr>
          <w:divsChild>
            <w:div w:id="1284919603">
              <w:marLeft w:val="0"/>
              <w:marRight w:val="0"/>
              <w:marTop w:val="0"/>
              <w:marBottom w:val="0"/>
              <w:divBdr>
                <w:top w:val="none" w:sz="0" w:space="0" w:color="auto"/>
                <w:left w:val="none" w:sz="0" w:space="0" w:color="auto"/>
                <w:bottom w:val="none" w:sz="0" w:space="0" w:color="auto"/>
                <w:right w:val="none" w:sz="0" w:space="0" w:color="auto"/>
              </w:divBdr>
              <w:divsChild>
                <w:div w:id="1648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3888">
          <w:marLeft w:val="0"/>
          <w:marRight w:val="0"/>
          <w:marTop w:val="0"/>
          <w:marBottom w:val="0"/>
          <w:divBdr>
            <w:top w:val="none" w:sz="0" w:space="0" w:color="auto"/>
            <w:left w:val="none" w:sz="0" w:space="0" w:color="auto"/>
            <w:bottom w:val="none" w:sz="0" w:space="0" w:color="auto"/>
            <w:right w:val="none" w:sz="0" w:space="0" w:color="auto"/>
          </w:divBdr>
          <w:divsChild>
            <w:div w:id="1781031167">
              <w:marLeft w:val="0"/>
              <w:marRight w:val="0"/>
              <w:marTop w:val="0"/>
              <w:marBottom w:val="0"/>
              <w:divBdr>
                <w:top w:val="none" w:sz="0" w:space="0" w:color="auto"/>
                <w:left w:val="none" w:sz="0" w:space="0" w:color="auto"/>
                <w:bottom w:val="none" w:sz="0" w:space="0" w:color="auto"/>
                <w:right w:val="none" w:sz="0" w:space="0" w:color="auto"/>
              </w:divBdr>
              <w:divsChild>
                <w:div w:id="763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7883">
          <w:marLeft w:val="0"/>
          <w:marRight w:val="0"/>
          <w:marTop w:val="0"/>
          <w:marBottom w:val="0"/>
          <w:divBdr>
            <w:top w:val="none" w:sz="0" w:space="0" w:color="auto"/>
            <w:left w:val="none" w:sz="0" w:space="0" w:color="auto"/>
            <w:bottom w:val="none" w:sz="0" w:space="0" w:color="auto"/>
            <w:right w:val="none" w:sz="0" w:space="0" w:color="auto"/>
          </w:divBdr>
          <w:divsChild>
            <w:div w:id="409667937">
              <w:marLeft w:val="0"/>
              <w:marRight w:val="0"/>
              <w:marTop w:val="0"/>
              <w:marBottom w:val="0"/>
              <w:divBdr>
                <w:top w:val="none" w:sz="0" w:space="0" w:color="auto"/>
                <w:left w:val="none" w:sz="0" w:space="0" w:color="auto"/>
                <w:bottom w:val="none" w:sz="0" w:space="0" w:color="auto"/>
                <w:right w:val="none" w:sz="0" w:space="0" w:color="auto"/>
              </w:divBdr>
              <w:divsChild>
                <w:div w:id="478041201">
                  <w:marLeft w:val="0"/>
                  <w:marRight w:val="0"/>
                  <w:marTop w:val="0"/>
                  <w:marBottom w:val="0"/>
                  <w:divBdr>
                    <w:top w:val="none" w:sz="0" w:space="0" w:color="auto"/>
                    <w:left w:val="none" w:sz="0" w:space="0" w:color="auto"/>
                    <w:bottom w:val="none" w:sz="0" w:space="0" w:color="auto"/>
                    <w:right w:val="none" w:sz="0" w:space="0" w:color="auto"/>
                  </w:divBdr>
                </w:div>
              </w:divsChild>
            </w:div>
            <w:div w:id="1131510593">
              <w:marLeft w:val="0"/>
              <w:marRight w:val="0"/>
              <w:marTop w:val="0"/>
              <w:marBottom w:val="0"/>
              <w:divBdr>
                <w:top w:val="none" w:sz="0" w:space="0" w:color="auto"/>
                <w:left w:val="none" w:sz="0" w:space="0" w:color="auto"/>
                <w:bottom w:val="none" w:sz="0" w:space="0" w:color="auto"/>
                <w:right w:val="none" w:sz="0" w:space="0" w:color="auto"/>
              </w:divBdr>
              <w:divsChild>
                <w:div w:id="929578981">
                  <w:marLeft w:val="0"/>
                  <w:marRight w:val="0"/>
                  <w:marTop w:val="0"/>
                  <w:marBottom w:val="0"/>
                  <w:divBdr>
                    <w:top w:val="none" w:sz="0" w:space="0" w:color="auto"/>
                    <w:left w:val="none" w:sz="0" w:space="0" w:color="auto"/>
                    <w:bottom w:val="none" w:sz="0" w:space="0" w:color="auto"/>
                    <w:right w:val="none" w:sz="0" w:space="0" w:color="auto"/>
                  </w:divBdr>
                </w:div>
              </w:divsChild>
            </w:div>
            <w:div w:id="1285381285">
              <w:marLeft w:val="0"/>
              <w:marRight w:val="0"/>
              <w:marTop w:val="0"/>
              <w:marBottom w:val="0"/>
              <w:divBdr>
                <w:top w:val="none" w:sz="0" w:space="0" w:color="auto"/>
                <w:left w:val="none" w:sz="0" w:space="0" w:color="auto"/>
                <w:bottom w:val="none" w:sz="0" w:space="0" w:color="auto"/>
                <w:right w:val="none" w:sz="0" w:space="0" w:color="auto"/>
              </w:divBdr>
              <w:divsChild>
                <w:div w:id="134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1103">
          <w:marLeft w:val="0"/>
          <w:marRight w:val="0"/>
          <w:marTop w:val="0"/>
          <w:marBottom w:val="0"/>
          <w:divBdr>
            <w:top w:val="none" w:sz="0" w:space="0" w:color="auto"/>
            <w:left w:val="none" w:sz="0" w:space="0" w:color="auto"/>
            <w:bottom w:val="none" w:sz="0" w:space="0" w:color="auto"/>
            <w:right w:val="none" w:sz="0" w:space="0" w:color="auto"/>
          </w:divBdr>
          <w:divsChild>
            <w:div w:id="71203597">
              <w:marLeft w:val="0"/>
              <w:marRight w:val="0"/>
              <w:marTop w:val="0"/>
              <w:marBottom w:val="0"/>
              <w:divBdr>
                <w:top w:val="none" w:sz="0" w:space="0" w:color="auto"/>
                <w:left w:val="none" w:sz="0" w:space="0" w:color="auto"/>
                <w:bottom w:val="none" w:sz="0" w:space="0" w:color="auto"/>
                <w:right w:val="none" w:sz="0" w:space="0" w:color="auto"/>
              </w:divBdr>
              <w:divsChild>
                <w:div w:id="1625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3260">
          <w:marLeft w:val="0"/>
          <w:marRight w:val="0"/>
          <w:marTop w:val="0"/>
          <w:marBottom w:val="0"/>
          <w:divBdr>
            <w:top w:val="none" w:sz="0" w:space="0" w:color="auto"/>
            <w:left w:val="none" w:sz="0" w:space="0" w:color="auto"/>
            <w:bottom w:val="none" w:sz="0" w:space="0" w:color="auto"/>
            <w:right w:val="none" w:sz="0" w:space="0" w:color="auto"/>
          </w:divBdr>
          <w:divsChild>
            <w:div w:id="632828861">
              <w:marLeft w:val="0"/>
              <w:marRight w:val="0"/>
              <w:marTop w:val="0"/>
              <w:marBottom w:val="0"/>
              <w:divBdr>
                <w:top w:val="none" w:sz="0" w:space="0" w:color="auto"/>
                <w:left w:val="none" w:sz="0" w:space="0" w:color="auto"/>
                <w:bottom w:val="none" w:sz="0" w:space="0" w:color="auto"/>
                <w:right w:val="none" w:sz="0" w:space="0" w:color="auto"/>
              </w:divBdr>
              <w:divsChild>
                <w:div w:id="1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56485">
          <w:marLeft w:val="0"/>
          <w:marRight w:val="0"/>
          <w:marTop w:val="0"/>
          <w:marBottom w:val="0"/>
          <w:divBdr>
            <w:top w:val="none" w:sz="0" w:space="0" w:color="auto"/>
            <w:left w:val="none" w:sz="0" w:space="0" w:color="auto"/>
            <w:bottom w:val="none" w:sz="0" w:space="0" w:color="auto"/>
            <w:right w:val="none" w:sz="0" w:space="0" w:color="auto"/>
          </w:divBdr>
          <w:divsChild>
            <w:div w:id="1800370640">
              <w:marLeft w:val="0"/>
              <w:marRight w:val="0"/>
              <w:marTop w:val="0"/>
              <w:marBottom w:val="0"/>
              <w:divBdr>
                <w:top w:val="none" w:sz="0" w:space="0" w:color="auto"/>
                <w:left w:val="none" w:sz="0" w:space="0" w:color="auto"/>
                <w:bottom w:val="none" w:sz="0" w:space="0" w:color="auto"/>
                <w:right w:val="none" w:sz="0" w:space="0" w:color="auto"/>
              </w:divBdr>
              <w:divsChild>
                <w:div w:id="357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3824">
          <w:marLeft w:val="0"/>
          <w:marRight w:val="0"/>
          <w:marTop w:val="0"/>
          <w:marBottom w:val="0"/>
          <w:divBdr>
            <w:top w:val="none" w:sz="0" w:space="0" w:color="auto"/>
            <w:left w:val="none" w:sz="0" w:space="0" w:color="auto"/>
            <w:bottom w:val="none" w:sz="0" w:space="0" w:color="auto"/>
            <w:right w:val="none" w:sz="0" w:space="0" w:color="auto"/>
          </w:divBdr>
          <w:divsChild>
            <w:div w:id="171723734">
              <w:marLeft w:val="0"/>
              <w:marRight w:val="0"/>
              <w:marTop w:val="0"/>
              <w:marBottom w:val="0"/>
              <w:divBdr>
                <w:top w:val="none" w:sz="0" w:space="0" w:color="auto"/>
                <w:left w:val="none" w:sz="0" w:space="0" w:color="auto"/>
                <w:bottom w:val="none" w:sz="0" w:space="0" w:color="auto"/>
                <w:right w:val="none" w:sz="0" w:space="0" w:color="auto"/>
              </w:divBdr>
              <w:divsChild>
                <w:div w:id="14352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5457">
          <w:marLeft w:val="0"/>
          <w:marRight w:val="0"/>
          <w:marTop w:val="0"/>
          <w:marBottom w:val="0"/>
          <w:divBdr>
            <w:top w:val="none" w:sz="0" w:space="0" w:color="auto"/>
            <w:left w:val="none" w:sz="0" w:space="0" w:color="auto"/>
            <w:bottom w:val="none" w:sz="0" w:space="0" w:color="auto"/>
            <w:right w:val="none" w:sz="0" w:space="0" w:color="auto"/>
          </w:divBdr>
          <w:divsChild>
            <w:div w:id="360858124">
              <w:marLeft w:val="0"/>
              <w:marRight w:val="0"/>
              <w:marTop w:val="0"/>
              <w:marBottom w:val="0"/>
              <w:divBdr>
                <w:top w:val="none" w:sz="0" w:space="0" w:color="auto"/>
                <w:left w:val="none" w:sz="0" w:space="0" w:color="auto"/>
                <w:bottom w:val="none" w:sz="0" w:space="0" w:color="auto"/>
                <w:right w:val="none" w:sz="0" w:space="0" w:color="auto"/>
              </w:divBdr>
              <w:divsChild>
                <w:div w:id="1862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5154">
          <w:marLeft w:val="0"/>
          <w:marRight w:val="0"/>
          <w:marTop w:val="0"/>
          <w:marBottom w:val="0"/>
          <w:divBdr>
            <w:top w:val="none" w:sz="0" w:space="0" w:color="auto"/>
            <w:left w:val="none" w:sz="0" w:space="0" w:color="auto"/>
            <w:bottom w:val="none" w:sz="0" w:space="0" w:color="auto"/>
            <w:right w:val="none" w:sz="0" w:space="0" w:color="auto"/>
          </w:divBdr>
          <w:divsChild>
            <w:div w:id="18356482">
              <w:marLeft w:val="0"/>
              <w:marRight w:val="0"/>
              <w:marTop w:val="0"/>
              <w:marBottom w:val="0"/>
              <w:divBdr>
                <w:top w:val="none" w:sz="0" w:space="0" w:color="auto"/>
                <w:left w:val="none" w:sz="0" w:space="0" w:color="auto"/>
                <w:bottom w:val="none" w:sz="0" w:space="0" w:color="auto"/>
                <w:right w:val="none" w:sz="0" w:space="0" w:color="auto"/>
              </w:divBdr>
              <w:divsChild>
                <w:div w:id="1912736622">
                  <w:marLeft w:val="0"/>
                  <w:marRight w:val="0"/>
                  <w:marTop w:val="0"/>
                  <w:marBottom w:val="0"/>
                  <w:divBdr>
                    <w:top w:val="none" w:sz="0" w:space="0" w:color="auto"/>
                    <w:left w:val="none" w:sz="0" w:space="0" w:color="auto"/>
                    <w:bottom w:val="none" w:sz="0" w:space="0" w:color="auto"/>
                    <w:right w:val="none" w:sz="0" w:space="0" w:color="auto"/>
                  </w:divBdr>
                </w:div>
              </w:divsChild>
            </w:div>
            <w:div w:id="532351924">
              <w:marLeft w:val="0"/>
              <w:marRight w:val="0"/>
              <w:marTop w:val="0"/>
              <w:marBottom w:val="0"/>
              <w:divBdr>
                <w:top w:val="none" w:sz="0" w:space="0" w:color="auto"/>
                <w:left w:val="none" w:sz="0" w:space="0" w:color="auto"/>
                <w:bottom w:val="none" w:sz="0" w:space="0" w:color="auto"/>
                <w:right w:val="none" w:sz="0" w:space="0" w:color="auto"/>
              </w:divBdr>
              <w:divsChild>
                <w:div w:id="17375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5984">
          <w:marLeft w:val="0"/>
          <w:marRight w:val="0"/>
          <w:marTop w:val="0"/>
          <w:marBottom w:val="0"/>
          <w:divBdr>
            <w:top w:val="none" w:sz="0" w:space="0" w:color="auto"/>
            <w:left w:val="none" w:sz="0" w:space="0" w:color="auto"/>
            <w:bottom w:val="none" w:sz="0" w:space="0" w:color="auto"/>
            <w:right w:val="none" w:sz="0" w:space="0" w:color="auto"/>
          </w:divBdr>
          <w:divsChild>
            <w:div w:id="1282152283">
              <w:marLeft w:val="0"/>
              <w:marRight w:val="0"/>
              <w:marTop w:val="0"/>
              <w:marBottom w:val="0"/>
              <w:divBdr>
                <w:top w:val="none" w:sz="0" w:space="0" w:color="auto"/>
                <w:left w:val="none" w:sz="0" w:space="0" w:color="auto"/>
                <w:bottom w:val="none" w:sz="0" w:space="0" w:color="auto"/>
                <w:right w:val="none" w:sz="0" w:space="0" w:color="auto"/>
              </w:divBdr>
              <w:divsChild>
                <w:div w:id="10350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4199">
          <w:marLeft w:val="0"/>
          <w:marRight w:val="0"/>
          <w:marTop w:val="0"/>
          <w:marBottom w:val="0"/>
          <w:divBdr>
            <w:top w:val="none" w:sz="0" w:space="0" w:color="auto"/>
            <w:left w:val="none" w:sz="0" w:space="0" w:color="auto"/>
            <w:bottom w:val="none" w:sz="0" w:space="0" w:color="auto"/>
            <w:right w:val="none" w:sz="0" w:space="0" w:color="auto"/>
          </w:divBdr>
          <w:divsChild>
            <w:div w:id="1553612847">
              <w:marLeft w:val="0"/>
              <w:marRight w:val="0"/>
              <w:marTop w:val="0"/>
              <w:marBottom w:val="0"/>
              <w:divBdr>
                <w:top w:val="none" w:sz="0" w:space="0" w:color="auto"/>
                <w:left w:val="none" w:sz="0" w:space="0" w:color="auto"/>
                <w:bottom w:val="none" w:sz="0" w:space="0" w:color="auto"/>
                <w:right w:val="none" w:sz="0" w:space="0" w:color="auto"/>
              </w:divBdr>
              <w:divsChild>
                <w:div w:id="1452825545">
                  <w:marLeft w:val="0"/>
                  <w:marRight w:val="0"/>
                  <w:marTop w:val="0"/>
                  <w:marBottom w:val="0"/>
                  <w:divBdr>
                    <w:top w:val="none" w:sz="0" w:space="0" w:color="auto"/>
                    <w:left w:val="none" w:sz="0" w:space="0" w:color="auto"/>
                    <w:bottom w:val="none" w:sz="0" w:space="0" w:color="auto"/>
                    <w:right w:val="none" w:sz="0" w:space="0" w:color="auto"/>
                  </w:divBdr>
                </w:div>
              </w:divsChild>
            </w:div>
            <w:div w:id="1731608874">
              <w:marLeft w:val="0"/>
              <w:marRight w:val="0"/>
              <w:marTop w:val="0"/>
              <w:marBottom w:val="0"/>
              <w:divBdr>
                <w:top w:val="none" w:sz="0" w:space="0" w:color="auto"/>
                <w:left w:val="none" w:sz="0" w:space="0" w:color="auto"/>
                <w:bottom w:val="none" w:sz="0" w:space="0" w:color="auto"/>
                <w:right w:val="none" w:sz="0" w:space="0" w:color="auto"/>
              </w:divBdr>
              <w:divsChild>
                <w:div w:id="17700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6455">
          <w:marLeft w:val="0"/>
          <w:marRight w:val="0"/>
          <w:marTop w:val="0"/>
          <w:marBottom w:val="0"/>
          <w:divBdr>
            <w:top w:val="none" w:sz="0" w:space="0" w:color="auto"/>
            <w:left w:val="none" w:sz="0" w:space="0" w:color="auto"/>
            <w:bottom w:val="none" w:sz="0" w:space="0" w:color="auto"/>
            <w:right w:val="none" w:sz="0" w:space="0" w:color="auto"/>
          </w:divBdr>
          <w:divsChild>
            <w:div w:id="1437403303">
              <w:marLeft w:val="0"/>
              <w:marRight w:val="0"/>
              <w:marTop w:val="0"/>
              <w:marBottom w:val="0"/>
              <w:divBdr>
                <w:top w:val="none" w:sz="0" w:space="0" w:color="auto"/>
                <w:left w:val="none" w:sz="0" w:space="0" w:color="auto"/>
                <w:bottom w:val="none" w:sz="0" w:space="0" w:color="auto"/>
                <w:right w:val="none" w:sz="0" w:space="0" w:color="auto"/>
              </w:divBdr>
              <w:divsChild>
                <w:div w:id="58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mc.ncbi.nlm.nih.gov/articles/PMC4245319/table/T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mc.ncbi.nlm.nih.gov/articles/PMC4245319/table/T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mc.ncbi.nlm.nih.gov/articles/PMC4245319/table/T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ice.org.uk/guidance/ta373/chapter/4-Evidence-and-interpretation" TargetMode="External"/><Relationship Id="rId2" Type="http://schemas.openxmlformats.org/officeDocument/2006/relationships/hyperlink" Target="https://www.england.nhs.uk/wp-content/uploads/2018/07/Biologic-therapies-for-the-treatment-of-juvenile-idiopathic-arthritis-Appendix-A.pdf" TargetMode="External"/><Relationship Id="rId1" Type="http://schemas.openxmlformats.org/officeDocument/2006/relationships/hyperlink" Target="https://www.england.nhs.uk/wp-content/uploads/2018/08/Biologic-therapies-for-the-treatment-of-juvenile-idiopathic-arthritis.pdf" TargetMode="External"/><Relationship Id="rId6" Type="http://schemas.openxmlformats.org/officeDocument/2006/relationships/hyperlink" Target="https://doi.org/10.1097/MIB.0000000000000715" TargetMode="External"/><Relationship Id="rId5" Type="http://schemas.openxmlformats.org/officeDocument/2006/relationships/hyperlink" Target="https://doi.org/10.1093/ecco-jcc/jjaa161" TargetMode="External"/><Relationship Id="rId4" Type="http://schemas.openxmlformats.org/officeDocument/2006/relationships/hyperlink" Target="http://www.nice.org.uk/guidance/ta373/chapter/4-Evidence-and-interpre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6BF6CB66-6FF7-49D4-8147-F4F2E56D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2B5A4-DC82-4B2C-A098-58A8DED566DB}">
  <ds:schemaRefs>
    <ds:schemaRef ds:uri="http://schemas.microsoft.com/sharepoint/v3/contenttype/forms"/>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FCC305FE-A89A-4087-B1DC-C039587361F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61321</Words>
  <Characters>349533</Characters>
  <Application>Microsoft Office Word</Application>
  <DocSecurity>4</DocSecurity>
  <Lines>2912</Lines>
  <Paragraphs>820</Paragraphs>
  <ScaleCrop>false</ScaleCrop>
  <Company/>
  <LinksUpToDate>false</LinksUpToDate>
  <CharactersWithSpaces>410034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2025-10-27T20:54:00Z</dcterms:created>
  <dcterms:modified xsi:type="dcterms:W3CDTF">2025-10-28T02:10:00Z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34a4abd8,553cc2f6,3e330a42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b343a62,540a1b77,3b464cf7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2025-08-26T03:32:38Z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8d5f5a07-0b58-4937-8c83-8874b3d9bf2f</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