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E1EB" w14:textId="3EA7116E" w:rsidR="0037291E" w:rsidRPr="00AF1481" w:rsidRDefault="00183D5E" w:rsidP="0037291E">
      <w:pPr>
        <w:keepNext/>
        <w:tabs>
          <w:tab w:val="left" w:pos="720"/>
          <w:tab w:val="left" w:pos="1440"/>
          <w:tab w:val="left" w:pos="2160"/>
          <w:tab w:val="left" w:pos="2880"/>
          <w:tab w:val="left" w:pos="7060"/>
        </w:tabs>
        <w:spacing w:before="120" w:after="160"/>
        <w:ind w:left="720" w:hanging="720"/>
        <w:contextualSpacing/>
        <w:jc w:val="left"/>
        <w:outlineLvl w:val="0"/>
        <w:rPr>
          <w:rFonts w:asciiTheme="minorHAnsi" w:eastAsiaTheme="majorEastAsia" w:hAnsiTheme="minorHAnsi" w:cstheme="majorBidi"/>
          <w:b/>
          <w:spacing w:val="5"/>
          <w:kern w:val="28"/>
          <w:sz w:val="36"/>
          <w:szCs w:val="36"/>
        </w:rPr>
      </w:pPr>
      <w:r w:rsidRPr="00AF1481">
        <w:rPr>
          <w:rFonts w:asciiTheme="minorHAnsi" w:eastAsiaTheme="majorEastAsia" w:hAnsiTheme="minorHAnsi" w:cstheme="majorBidi"/>
          <w:b/>
          <w:spacing w:val="5"/>
          <w:kern w:val="28"/>
          <w:sz w:val="36"/>
          <w:szCs w:val="36"/>
        </w:rPr>
        <w:t>5.01</w:t>
      </w:r>
      <w:r w:rsidRPr="00AF1481">
        <w:rPr>
          <w:rFonts w:asciiTheme="minorHAnsi" w:eastAsiaTheme="majorEastAsia" w:hAnsiTheme="minorHAnsi" w:cstheme="majorBidi"/>
          <w:b/>
          <w:spacing w:val="5"/>
          <w:kern w:val="28"/>
          <w:sz w:val="36"/>
          <w:szCs w:val="36"/>
        </w:rPr>
        <w:tab/>
        <w:t>AFLIBERCEPT,</w:t>
      </w:r>
      <w:r w:rsidRPr="00AF1481">
        <w:rPr>
          <w:rFonts w:asciiTheme="minorHAnsi" w:eastAsiaTheme="majorEastAsia" w:hAnsiTheme="minorHAnsi" w:cstheme="majorBidi"/>
          <w:b/>
          <w:spacing w:val="5"/>
          <w:kern w:val="28"/>
          <w:sz w:val="36"/>
          <w:szCs w:val="36"/>
        </w:rPr>
        <w:br/>
      </w:r>
      <w:bookmarkStart w:id="0" w:name="_Toc153957285"/>
      <w:r w:rsidRPr="00AF1481">
        <w:rPr>
          <w:rFonts w:asciiTheme="minorHAnsi" w:eastAsiaTheme="majorEastAsia" w:hAnsiTheme="minorHAnsi" w:cstheme="majorBidi"/>
          <w:b/>
          <w:spacing w:val="5"/>
          <w:kern w:val="28"/>
          <w:sz w:val="36"/>
          <w:szCs w:val="36"/>
        </w:rPr>
        <w:t>Solution for intravitreal injection 11.43 mg in 100</w:t>
      </w:r>
      <w:r w:rsidR="001A5A0A">
        <w:rPr>
          <w:rFonts w:asciiTheme="minorHAnsi" w:eastAsiaTheme="majorEastAsia" w:hAnsiTheme="minorHAnsi" w:cstheme="majorBidi"/>
          <w:b/>
          <w:spacing w:val="5"/>
          <w:kern w:val="28"/>
          <w:sz w:val="36"/>
          <w:szCs w:val="36"/>
        </w:rPr>
        <w:t> </w:t>
      </w:r>
      <w:r w:rsidRPr="00AF1481">
        <w:rPr>
          <w:rFonts w:asciiTheme="minorHAnsi" w:eastAsiaTheme="majorEastAsia" w:hAnsiTheme="minorHAnsi" w:cstheme="majorBidi"/>
          <w:b/>
          <w:spacing w:val="5"/>
          <w:kern w:val="28"/>
          <w:sz w:val="36"/>
          <w:szCs w:val="36"/>
        </w:rPr>
        <w:t>microlitres (114.3 mg per mL),</w:t>
      </w:r>
      <w:r w:rsidR="0037291E">
        <w:rPr>
          <w:rFonts w:asciiTheme="minorHAnsi" w:eastAsiaTheme="majorEastAsia" w:hAnsiTheme="minorHAnsi" w:cstheme="majorBidi"/>
          <w:b/>
          <w:spacing w:val="5"/>
          <w:kern w:val="28"/>
          <w:sz w:val="36"/>
          <w:szCs w:val="36"/>
        </w:rPr>
        <w:br/>
        <w:t>Eylea</w:t>
      </w:r>
      <w:r w:rsidR="002A65B2">
        <w:rPr>
          <w:rFonts w:asciiTheme="minorHAnsi" w:eastAsiaTheme="majorEastAsia" w:hAnsiTheme="minorHAnsi" w:cstheme="majorBidi"/>
          <w:b/>
          <w:spacing w:val="5"/>
          <w:kern w:val="28"/>
          <w:sz w:val="36"/>
          <w:szCs w:val="36"/>
        </w:rPr>
        <w:t>®</w:t>
      </w:r>
      <w:r w:rsidR="0037291E">
        <w:rPr>
          <w:rFonts w:asciiTheme="minorHAnsi" w:eastAsiaTheme="majorEastAsia" w:hAnsiTheme="minorHAnsi" w:cstheme="majorBidi"/>
          <w:b/>
          <w:spacing w:val="5"/>
          <w:kern w:val="28"/>
          <w:sz w:val="36"/>
          <w:szCs w:val="36"/>
        </w:rPr>
        <w:t>,</w:t>
      </w:r>
    </w:p>
    <w:p w14:paraId="4B02873D" w14:textId="7BA84B18" w:rsidR="00183D5E" w:rsidRPr="00AF1481" w:rsidRDefault="00183D5E" w:rsidP="00183D5E">
      <w:pPr>
        <w:keepNext/>
        <w:spacing w:before="120" w:after="160"/>
        <w:ind w:left="720"/>
        <w:contextualSpacing/>
        <w:jc w:val="left"/>
        <w:rPr>
          <w:rFonts w:asciiTheme="minorHAnsi" w:eastAsiaTheme="majorEastAsia" w:hAnsiTheme="minorHAnsi" w:cstheme="majorBidi"/>
          <w:b/>
          <w:spacing w:val="5"/>
          <w:kern w:val="28"/>
          <w:sz w:val="36"/>
          <w:szCs w:val="36"/>
        </w:rPr>
      </w:pPr>
      <w:bookmarkStart w:id="1" w:name="_Toc153957286"/>
      <w:bookmarkStart w:id="2" w:name="_Toc156896358"/>
      <w:bookmarkEnd w:id="0"/>
      <w:r w:rsidRPr="00AF1481">
        <w:rPr>
          <w:rFonts w:asciiTheme="minorHAnsi" w:eastAsiaTheme="majorEastAsia" w:hAnsiTheme="minorHAnsi" w:cstheme="majorBidi"/>
          <w:b/>
          <w:spacing w:val="5"/>
          <w:kern w:val="28"/>
          <w:sz w:val="36"/>
          <w:szCs w:val="36"/>
        </w:rPr>
        <w:t>Bayer Australia Ltd</w:t>
      </w:r>
      <w:bookmarkEnd w:id="1"/>
      <w:bookmarkEnd w:id="2"/>
    </w:p>
    <w:p w14:paraId="4494A036" w14:textId="77777777" w:rsidR="00A474F6" w:rsidRPr="00AF1481" w:rsidRDefault="00A474F6" w:rsidP="00A474F6">
      <w:pPr>
        <w:pStyle w:val="2-SectionHeading"/>
      </w:pPr>
      <w:bookmarkStart w:id="3" w:name="_Toc107927618"/>
      <w:bookmarkStart w:id="4" w:name="_Toc153957288"/>
      <w:bookmarkStart w:id="5" w:name="_Toc156896360"/>
      <w:bookmarkStart w:id="6" w:name="_Toc22897640"/>
      <w:r w:rsidRPr="00AF1481">
        <w:t>Purpose of submission</w:t>
      </w:r>
      <w:bookmarkEnd w:id="3"/>
      <w:bookmarkEnd w:id="4"/>
      <w:bookmarkEnd w:id="5"/>
    </w:p>
    <w:p w14:paraId="14D32278" w14:textId="77777777" w:rsidR="00A474F6" w:rsidRPr="00AF1481" w:rsidRDefault="00A474F6" w:rsidP="00A474F6">
      <w:pPr>
        <w:pStyle w:val="3-BodyText"/>
        <w:ind w:left="709" w:hanging="709"/>
      </w:pPr>
      <w:r w:rsidRPr="00AF1481">
        <w:t>The Category 2 submission requested an Authority Required, General Schedule listing of aflibercept 8 mg for the treatment of patients with visual impairment due to diabetic macular oedema (DMO). The key components of the submission are summarised in Table 1.</w:t>
      </w:r>
    </w:p>
    <w:p w14:paraId="7008D7CE" w14:textId="77777777" w:rsidR="00A05AA6" w:rsidRDefault="00A474F6" w:rsidP="00A474F6">
      <w:pPr>
        <w:pStyle w:val="ExecSumBodyText"/>
        <w:numPr>
          <w:ilvl w:val="1"/>
          <w:numId w:val="1"/>
        </w:numPr>
        <w:ind w:left="709" w:hanging="709"/>
      </w:pPr>
      <w:r w:rsidRPr="00AF1481">
        <w:t>Listing was requested on the basis of a cost-minimisation approach (CMA) versus aflibercept 2 mg.</w:t>
      </w:r>
    </w:p>
    <w:p w14:paraId="1B2B87EC" w14:textId="4342AD8D" w:rsidR="00A474F6" w:rsidRPr="00AF1481" w:rsidRDefault="00A474F6" w:rsidP="00A474F6">
      <w:pPr>
        <w:pStyle w:val="ExecSumBodyText"/>
        <w:numPr>
          <w:ilvl w:val="1"/>
          <w:numId w:val="1"/>
        </w:numPr>
        <w:ind w:left="709" w:hanging="709"/>
      </w:pPr>
      <w:r w:rsidRPr="00AF1481">
        <w:t xml:space="preserve">A submission for aflibercept 8 mg for the treatment of neovascular age-related macular degeneration (nAMD) </w:t>
      </w:r>
      <w:r w:rsidR="00A12198" w:rsidRPr="00AF1481">
        <w:t>was also</w:t>
      </w:r>
      <w:r w:rsidRPr="00AF1481">
        <w:t xml:space="preserve"> considered at the Ma</w:t>
      </w:r>
      <w:r w:rsidR="00456AF2" w:rsidRPr="00AF1481">
        <w:t>y</w:t>
      </w:r>
      <w:r w:rsidRPr="00AF1481">
        <w:t xml:space="preserve"> 2024 Pharmaceutical Benefits Advisory Committee (PBAC) meeting.</w:t>
      </w:r>
    </w:p>
    <w:p w14:paraId="700A18EA" w14:textId="58CFAC52" w:rsidR="00A474F6" w:rsidRPr="00AF1481" w:rsidRDefault="00A474F6" w:rsidP="00A474F6">
      <w:pPr>
        <w:pStyle w:val="Caption"/>
      </w:pPr>
      <w:bookmarkStart w:id="7" w:name="_Toc107927619"/>
      <w:r w:rsidRPr="00AF1481">
        <w:t xml:space="preserve">Table </w:t>
      </w:r>
      <w:r w:rsidR="00393E69">
        <w:fldChar w:fldCharType="begin"/>
      </w:r>
      <w:r w:rsidR="00393E69">
        <w:instrText xml:space="preserve"> SEQ Table \* ARABIC </w:instrText>
      </w:r>
      <w:r w:rsidR="00393E69">
        <w:fldChar w:fldCharType="separate"/>
      </w:r>
      <w:r w:rsidR="009404AF">
        <w:rPr>
          <w:noProof/>
        </w:rPr>
        <w:t>1</w:t>
      </w:r>
      <w:r w:rsidR="00393E69">
        <w:fldChar w:fldCharType="end"/>
      </w:r>
      <w:r w:rsidRPr="00AF1481">
        <w:t xml:space="preserve">: </w:t>
      </w:r>
      <w:r w:rsidRPr="00AF1481">
        <w:rPr>
          <w:rStyle w:val="CommentReference"/>
          <w:b/>
          <w:szCs w:val="24"/>
        </w:rPr>
        <w:t>Key components of the clinical issue addressed by the submission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27"/>
      </w:tblGrid>
      <w:tr w:rsidR="00A474F6" w:rsidRPr="00AF1481" w14:paraId="62420C09" w14:textId="77777777" w:rsidTr="00A618DC">
        <w:tc>
          <w:tcPr>
            <w:tcW w:w="1668" w:type="dxa"/>
            <w:vAlign w:val="center"/>
          </w:tcPr>
          <w:p w14:paraId="4E6AB1FB" w14:textId="77777777" w:rsidR="00A474F6" w:rsidRPr="00AF1481" w:rsidRDefault="00A474F6" w:rsidP="008C5949">
            <w:pPr>
              <w:pStyle w:val="In-tableHeading"/>
              <w:rPr>
                <w:lang w:val="en-AU"/>
              </w:rPr>
            </w:pPr>
            <w:r w:rsidRPr="00AF1481">
              <w:rPr>
                <w:lang w:val="en-AU"/>
              </w:rPr>
              <w:t>Component</w:t>
            </w:r>
          </w:p>
        </w:tc>
        <w:tc>
          <w:tcPr>
            <w:tcW w:w="7327" w:type="dxa"/>
            <w:vAlign w:val="center"/>
          </w:tcPr>
          <w:p w14:paraId="6E3AD674" w14:textId="77777777" w:rsidR="00A474F6" w:rsidRPr="00AF1481" w:rsidRDefault="00A474F6" w:rsidP="008C5949">
            <w:pPr>
              <w:pStyle w:val="In-tableHeading"/>
              <w:rPr>
                <w:lang w:val="en-AU"/>
              </w:rPr>
            </w:pPr>
            <w:r w:rsidRPr="00AF1481">
              <w:rPr>
                <w:lang w:val="en-AU"/>
              </w:rPr>
              <w:t>Description</w:t>
            </w:r>
          </w:p>
        </w:tc>
      </w:tr>
      <w:tr w:rsidR="00A474F6" w:rsidRPr="00AF1481" w14:paraId="357BB65F" w14:textId="77777777" w:rsidTr="00A618DC">
        <w:tc>
          <w:tcPr>
            <w:tcW w:w="1668" w:type="dxa"/>
            <w:vAlign w:val="center"/>
          </w:tcPr>
          <w:p w14:paraId="1AD4A4B1" w14:textId="77777777" w:rsidR="00A474F6" w:rsidRPr="00AF1481" w:rsidRDefault="00A474F6" w:rsidP="008C5949">
            <w:pPr>
              <w:pStyle w:val="TableText0"/>
            </w:pPr>
            <w:r w:rsidRPr="00AF1481">
              <w:t>Population</w:t>
            </w:r>
          </w:p>
        </w:tc>
        <w:tc>
          <w:tcPr>
            <w:tcW w:w="7327" w:type="dxa"/>
            <w:vAlign w:val="center"/>
          </w:tcPr>
          <w:p w14:paraId="6ABED198" w14:textId="77777777" w:rsidR="00A474F6" w:rsidRPr="00AF1481" w:rsidRDefault="00A474F6" w:rsidP="008C5949">
            <w:pPr>
              <w:pStyle w:val="TableText0"/>
            </w:pPr>
            <w:r w:rsidRPr="00AF1481">
              <w:rPr>
                <w:lang w:eastAsia="en-US"/>
              </w:rPr>
              <w:t>Patients with visual impairment due to diabetic macular oedema (DMO)</w:t>
            </w:r>
          </w:p>
        </w:tc>
      </w:tr>
      <w:tr w:rsidR="00A474F6" w:rsidRPr="00AF1481" w14:paraId="215046FC" w14:textId="77777777" w:rsidTr="00A618DC">
        <w:tc>
          <w:tcPr>
            <w:tcW w:w="1668" w:type="dxa"/>
            <w:vAlign w:val="center"/>
          </w:tcPr>
          <w:p w14:paraId="6610218B" w14:textId="77777777" w:rsidR="00A474F6" w:rsidRPr="00AF1481" w:rsidRDefault="00A474F6" w:rsidP="008C5949">
            <w:pPr>
              <w:pStyle w:val="TableText0"/>
            </w:pPr>
            <w:r w:rsidRPr="00AF1481">
              <w:t>Intervention</w:t>
            </w:r>
          </w:p>
        </w:tc>
        <w:tc>
          <w:tcPr>
            <w:tcW w:w="7327" w:type="dxa"/>
            <w:vAlign w:val="center"/>
          </w:tcPr>
          <w:p w14:paraId="13E3B2D5" w14:textId="77777777" w:rsidR="00A474F6" w:rsidRPr="00AF1481" w:rsidRDefault="00A474F6" w:rsidP="008C5949">
            <w:pPr>
              <w:pStyle w:val="TableText0"/>
            </w:pPr>
            <w:r w:rsidRPr="00AF1481">
              <w:rPr>
                <w:lang w:eastAsia="en-US"/>
              </w:rPr>
              <w:t xml:space="preserve">Aflibercept 8.0 mg intravitreal injection </w:t>
            </w:r>
          </w:p>
        </w:tc>
      </w:tr>
      <w:tr w:rsidR="00A474F6" w:rsidRPr="00AF1481" w14:paraId="33B6EACF" w14:textId="77777777" w:rsidTr="00A618DC">
        <w:tc>
          <w:tcPr>
            <w:tcW w:w="1668" w:type="dxa"/>
            <w:vAlign w:val="center"/>
          </w:tcPr>
          <w:p w14:paraId="1FBFEE77" w14:textId="77777777" w:rsidR="00A474F6" w:rsidRPr="00AF1481" w:rsidRDefault="00A474F6" w:rsidP="008C5949">
            <w:pPr>
              <w:pStyle w:val="TableText0"/>
            </w:pPr>
            <w:r w:rsidRPr="00AF1481">
              <w:t>Comparator</w:t>
            </w:r>
          </w:p>
        </w:tc>
        <w:tc>
          <w:tcPr>
            <w:tcW w:w="7327" w:type="dxa"/>
            <w:vAlign w:val="center"/>
          </w:tcPr>
          <w:p w14:paraId="212C188F" w14:textId="6FF7278C" w:rsidR="005B49D4" w:rsidRPr="00AF1481" w:rsidRDefault="00A474F6" w:rsidP="008C5949">
            <w:pPr>
              <w:pStyle w:val="TableText0"/>
              <w:rPr>
                <w:lang w:eastAsia="en-US"/>
              </w:rPr>
            </w:pPr>
            <w:r w:rsidRPr="00AF1481">
              <w:rPr>
                <w:lang w:eastAsia="en-US"/>
              </w:rPr>
              <w:t xml:space="preserve">Aflibercept 2.0 mg intravitreal injection </w:t>
            </w:r>
          </w:p>
        </w:tc>
      </w:tr>
      <w:tr w:rsidR="00A474F6" w:rsidRPr="00AF1481" w14:paraId="009C51C6" w14:textId="77777777" w:rsidTr="00A618DC">
        <w:tc>
          <w:tcPr>
            <w:tcW w:w="1668" w:type="dxa"/>
            <w:vAlign w:val="center"/>
          </w:tcPr>
          <w:p w14:paraId="0B5ADE45" w14:textId="77777777" w:rsidR="00A474F6" w:rsidRPr="00AF1481" w:rsidRDefault="00A474F6" w:rsidP="008C5949">
            <w:pPr>
              <w:pStyle w:val="TableText0"/>
            </w:pPr>
            <w:r w:rsidRPr="00AF1481">
              <w:t>Outcomes</w:t>
            </w:r>
          </w:p>
        </w:tc>
        <w:tc>
          <w:tcPr>
            <w:tcW w:w="7327" w:type="dxa"/>
            <w:vAlign w:val="center"/>
          </w:tcPr>
          <w:p w14:paraId="380DB317" w14:textId="77777777" w:rsidR="00A474F6" w:rsidRPr="00AF1481" w:rsidRDefault="00A474F6" w:rsidP="008C5949">
            <w:pPr>
              <w:pStyle w:val="TableText0"/>
            </w:pPr>
            <w:r w:rsidRPr="00AF1481">
              <w:rPr>
                <w:lang w:eastAsia="en-US"/>
              </w:rPr>
              <w:t>Best corrected visual acuity (BCVA), quality of life, safety</w:t>
            </w:r>
          </w:p>
        </w:tc>
      </w:tr>
      <w:tr w:rsidR="00A474F6" w:rsidRPr="00AF1481" w14:paraId="25C6033A" w14:textId="77777777" w:rsidTr="00A618DC">
        <w:tc>
          <w:tcPr>
            <w:tcW w:w="1668" w:type="dxa"/>
            <w:vAlign w:val="center"/>
          </w:tcPr>
          <w:p w14:paraId="07F9D94C" w14:textId="77777777" w:rsidR="00A474F6" w:rsidRPr="00AF1481" w:rsidRDefault="00A474F6" w:rsidP="008C5949">
            <w:pPr>
              <w:pStyle w:val="TableText0"/>
            </w:pPr>
            <w:r w:rsidRPr="00AF1481">
              <w:t>Clinical claim</w:t>
            </w:r>
          </w:p>
        </w:tc>
        <w:tc>
          <w:tcPr>
            <w:tcW w:w="7327" w:type="dxa"/>
            <w:vAlign w:val="center"/>
          </w:tcPr>
          <w:p w14:paraId="1711ED37" w14:textId="00468CA3" w:rsidR="00A474F6" w:rsidRPr="00AF1481" w:rsidRDefault="00A474F6" w:rsidP="008C5949">
            <w:pPr>
              <w:pStyle w:val="TableText0"/>
            </w:pPr>
            <w:r w:rsidRPr="00AF1481">
              <w:rPr>
                <w:lang w:eastAsia="en-US"/>
              </w:rPr>
              <w:t>In patients with DMO, aflibercept 8</w:t>
            </w:r>
            <w:r w:rsidR="000066C4" w:rsidRPr="00AF1481">
              <w:rPr>
                <w:lang w:eastAsia="en-US"/>
              </w:rPr>
              <w:t xml:space="preserve"> </w:t>
            </w:r>
            <w:r w:rsidRPr="00AF1481">
              <w:rPr>
                <w:lang w:eastAsia="en-US"/>
              </w:rPr>
              <w:t>mg is non-inferior in terms of efficacy and safety</w:t>
            </w:r>
            <w:r w:rsidR="00227DAF" w:rsidRPr="00AF1481">
              <w:rPr>
                <w:lang w:eastAsia="en-US"/>
              </w:rPr>
              <w:t xml:space="preserve"> </w:t>
            </w:r>
            <w:r w:rsidRPr="00AF1481">
              <w:rPr>
                <w:lang w:eastAsia="en-US"/>
              </w:rPr>
              <w:t>compared to aflibercept 2</w:t>
            </w:r>
            <w:r w:rsidR="000066C4" w:rsidRPr="00AF1481">
              <w:rPr>
                <w:lang w:eastAsia="en-US"/>
              </w:rPr>
              <w:t xml:space="preserve"> </w:t>
            </w:r>
            <w:r w:rsidRPr="00AF1481">
              <w:rPr>
                <w:lang w:eastAsia="en-US"/>
              </w:rPr>
              <w:t>mg</w:t>
            </w:r>
          </w:p>
        </w:tc>
      </w:tr>
    </w:tbl>
    <w:p w14:paraId="387698A8" w14:textId="38A7FFEC" w:rsidR="00A474F6" w:rsidRPr="00AF1481" w:rsidRDefault="00A474F6" w:rsidP="00A474F6">
      <w:pPr>
        <w:pStyle w:val="FooterTableFigure"/>
      </w:pPr>
      <w:r w:rsidRPr="00AF1481">
        <w:t>Source: Table 1</w:t>
      </w:r>
      <w:r w:rsidR="000D1361" w:rsidRPr="00AF1481">
        <w:t>-</w:t>
      </w:r>
      <w:r w:rsidRPr="00AF1481">
        <w:t>2 p5 of the submission</w:t>
      </w:r>
    </w:p>
    <w:p w14:paraId="67619C5B" w14:textId="77777777" w:rsidR="00A474F6" w:rsidRPr="00AF1481" w:rsidRDefault="00A474F6" w:rsidP="00A474F6">
      <w:pPr>
        <w:pStyle w:val="2-SectionHeading"/>
      </w:pPr>
      <w:bookmarkStart w:id="8" w:name="_Toc153957289"/>
      <w:bookmarkStart w:id="9" w:name="_Toc156896361"/>
      <w:r w:rsidRPr="00AF1481">
        <w:t>Background</w:t>
      </w:r>
      <w:bookmarkEnd w:id="7"/>
      <w:bookmarkEnd w:id="8"/>
      <w:bookmarkEnd w:id="9"/>
    </w:p>
    <w:p w14:paraId="26B82C0C" w14:textId="77777777" w:rsidR="00A474F6" w:rsidRPr="00AF1481" w:rsidRDefault="00A474F6" w:rsidP="00A474F6">
      <w:pPr>
        <w:pStyle w:val="4-SubsectionHeading"/>
      </w:pPr>
      <w:bookmarkStart w:id="10" w:name="_Toc22897638"/>
      <w:bookmarkStart w:id="11" w:name="_Toc107927620"/>
      <w:bookmarkStart w:id="12" w:name="_Toc153957290"/>
      <w:bookmarkStart w:id="13" w:name="_Toc156896362"/>
      <w:r w:rsidRPr="00AF1481">
        <w:t>Registration status</w:t>
      </w:r>
      <w:bookmarkEnd w:id="10"/>
      <w:bookmarkEnd w:id="11"/>
      <w:bookmarkEnd w:id="12"/>
      <w:bookmarkEnd w:id="13"/>
    </w:p>
    <w:p w14:paraId="604AD9CC" w14:textId="2CA2CB91" w:rsidR="0048020A" w:rsidRPr="00AF1481" w:rsidRDefault="00A474F6" w:rsidP="0048020A">
      <w:pPr>
        <w:pStyle w:val="ExecSumBodyText"/>
        <w:numPr>
          <w:ilvl w:val="1"/>
          <w:numId w:val="1"/>
        </w:numPr>
        <w:ind w:left="709" w:hanging="709"/>
      </w:pPr>
      <w:bookmarkStart w:id="14" w:name="_Toc22897639"/>
      <w:bookmarkStart w:id="15" w:name="_Toc107927621"/>
      <w:r w:rsidRPr="00AF1481">
        <w:t xml:space="preserve">The submission was </w:t>
      </w:r>
      <w:r w:rsidR="00B51232" w:rsidRPr="00AF1481">
        <w:t xml:space="preserve">made </w:t>
      </w:r>
      <w:r w:rsidRPr="00AF1481">
        <w:t xml:space="preserve">under the Therapeutic Goods Administration (TGA)/PBAC parallel process. At the time of the evaluation, no TGA evaluation documents were available. </w:t>
      </w:r>
      <w:r w:rsidR="008C2E43" w:rsidRPr="00AF1481">
        <w:rPr>
          <w:rFonts w:cstheme="minorHAnsi"/>
          <w:iCs/>
        </w:rPr>
        <w:t xml:space="preserve">The </w:t>
      </w:r>
      <w:r w:rsidR="00DB757E" w:rsidRPr="00AF1481">
        <w:rPr>
          <w:rFonts w:cstheme="minorHAnsi"/>
          <w:iCs/>
        </w:rPr>
        <w:t xml:space="preserve">TGA </w:t>
      </w:r>
      <w:r w:rsidR="008C2E43" w:rsidRPr="00AF1481">
        <w:rPr>
          <w:rFonts w:cstheme="minorHAnsi"/>
          <w:iCs/>
        </w:rPr>
        <w:t xml:space="preserve">Delegate’s Overview </w:t>
      </w:r>
      <w:r w:rsidR="00456AF2" w:rsidRPr="00AF1481">
        <w:rPr>
          <w:rFonts w:cstheme="minorHAnsi"/>
          <w:iCs/>
        </w:rPr>
        <w:t xml:space="preserve">was </w:t>
      </w:r>
      <w:r w:rsidR="00DB757E" w:rsidRPr="00AF1481">
        <w:rPr>
          <w:rFonts w:cstheme="minorHAnsi"/>
          <w:iCs/>
        </w:rPr>
        <w:t>provided</w:t>
      </w:r>
      <w:r w:rsidR="00456AF2" w:rsidRPr="00AF1481">
        <w:rPr>
          <w:rFonts w:cstheme="minorHAnsi"/>
          <w:iCs/>
        </w:rPr>
        <w:t xml:space="preserve"> </w:t>
      </w:r>
      <w:r w:rsidR="00227DAF" w:rsidRPr="00AF1481">
        <w:rPr>
          <w:rFonts w:cstheme="minorHAnsi"/>
          <w:iCs/>
        </w:rPr>
        <w:t>prior to consideration by the PBAC</w:t>
      </w:r>
      <w:r w:rsidR="008C2E43" w:rsidRPr="00AF1481">
        <w:rPr>
          <w:iCs/>
        </w:rPr>
        <w:t>.</w:t>
      </w:r>
      <w:r w:rsidR="005426D4" w:rsidRPr="00AF1481">
        <w:rPr>
          <w:rFonts w:ascii="Calibri" w:eastAsia="Calibri" w:hAnsi="Calibri"/>
          <w:szCs w:val="22"/>
        </w:rPr>
        <w:t xml:space="preserve"> </w:t>
      </w:r>
      <w:bookmarkStart w:id="16" w:name="_Hlk167719833"/>
      <w:r w:rsidR="0048020A" w:rsidRPr="00AF1481">
        <w:t>The TGA Delegate was supportive of registering aflibercept 8 mg for the treatment of adults with diabetic macular oedema.</w:t>
      </w:r>
    </w:p>
    <w:p w14:paraId="4EF88757" w14:textId="77777777" w:rsidR="00183D5E" w:rsidRPr="00AF1481" w:rsidRDefault="00183D5E" w:rsidP="00183D5E">
      <w:pPr>
        <w:ind w:firstLine="709"/>
        <w:rPr>
          <w:rFonts w:asciiTheme="minorHAnsi" w:hAnsiTheme="minorHAnsi"/>
          <w:i/>
        </w:rPr>
      </w:pPr>
      <w:bookmarkStart w:id="17" w:name="_Hlk76375324"/>
      <w:bookmarkEnd w:id="16"/>
      <w:r w:rsidRPr="00AF1481">
        <w:rPr>
          <w:rFonts w:asciiTheme="minorHAnsi" w:hAnsiTheme="minorHAnsi"/>
          <w:i/>
        </w:rPr>
        <w:t>For more detail on PBAC’s view, see section 7 PBAC outcome.</w:t>
      </w:r>
    </w:p>
    <w:bookmarkEnd w:id="17"/>
    <w:p w14:paraId="17D6AC51" w14:textId="77777777" w:rsidR="00183D5E" w:rsidRPr="00AF1481" w:rsidRDefault="00183D5E" w:rsidP="00183D5E">
      <w:pPr>
        <w:pStyle w:val="ExecSumBodyText"/>
        <w:ind w:left="0" w:firstLine="0"/>
      </w:pPr>
    </w:p>
    <w:p w14:paraId="0C6069A1" w14:textId="77777777" w:rsidR="00A474F6" w:rsidRPr="00AF1481" w:rsidRDefault="00A474F6" w:rsidP="00A474F6">
      <w:pPr>
        <w:pStyle w:val="2-SectionHeading"/>
      </w:pPr>
      <w:bookmarkStart w:id="18" w:name="_Toc107902078"/>
      <w:bookmarkStart w:id="19" w:name="_Toc107927622"/>
      <w:bookmarkStart w:id="20" w:name="_Toc153957291"/>
      <w:bookmarkStart w:id="21" w:name="_Toc156896363"/>
      <w:bookmarkEnd w:id="14"/>
      <w:bookmarkEnd w:id="15"/>
      <w:bookmarkEnd w:id="18"/>
      <w:r w:rsidRPr="00AF1481">
        <w:lastRenderedPageBreak/>
        <w:t>Requested listing</w:t>
      </w:r>
      <w:bookmarkEnd w:id="19"/>
      <w:bookmarkEnd w:id="20"/>
      <w:bookmarkEnd w:id="21"/>
    </w:p>
    <w:tbl>
      <w:tblPr>
        <w:tblW w:w="4985" w:type="pct"/>
        <w:tblLayout w:type="fixed"/>
        <w:tblCellMar>
          <w:left w:w="28" w:type="dxa"/>
          <w:right w:w="28" w:type="dxa"/>
        </w:tblCellMar>
        <w:tblLook w:val="0000" w:firstRow="0" w:lastRow="0" w:firstColumn="0" w:lastColumn="0" w:noHBand="0" w:noVBand="0"/>
      </w:tblPr>
      <w:tblGrid>
        <w:gridCol w:w="1828"/>
        <w:gridCol w:w="866"/>
        <w:gridCol w:w="850"/>
        <w:gridCol w:w="1258"/>
        <w:gridCol w:w="846"/>
        <w:gridCol w:w="1694"/>
        <w:gridCol w:w="1658"/>
      </w:tblGrid>
      <w:tr w:rsidR="00A474F6" w:rsidRPr="00AF1481" w14:paraId="3C6EB665" w14:textId="77777777" w:rsidTr="00A618DC">
        <w:trPr>
          <w:cantSplit/>
          <w:trHeight w:val="463"/>
        </w:trPr>
        <w:tc>
          <w:tcPr>
            <w:tcW w:w="1497" w:type="pct"/>
            <w:gridSpan w:val="2"/>
            <w:tcBorders>
              <w:top w:val="single" w:sz="4" w:space="0" w:color="auto"/>
              <w:bottom w:val="single" w:sz="4" w:space="0" w:color="auto"/>
            </w:tcBorders>
            <w:vAlign w:val="center"/>
          </w:tcPr>
          <w:p w14:paraId="69C10F4A" w14:textId="77777777" w:rsidR="00A474F6" w:rsidRPr="00AF1481" w:rsidRDefault="00A474F6" w:rsidP="008C5949">
            <w:pPr>
              <w:keepNext/>
              <w:keepLines/>
              <w:jc w:val="left"/>
              <w:rPr>
                <w:rFonts w:ascii="Arial Narrow" w:hAnsi="Arial Narrow"/>
                <w:b/>
                <w:bCs/>
                <w:sz w:val="20"/>
                <w:szCs w:val="20"/>
              </w:rPr>
            </w:pPr>
            <w:r w:rsidRPr="00AF1481">
              <w:rPr>
                <w:rFonts w:ascii="Arial Narrow" w:hAnsi="Arial Narrow"/>
                <w:b/>
                <w:bCs/>
                <w:sz w:val="20"/>
                <w:szCs w:val="20"/>
              </w:rPr>
              <w:t>Name, restriction, manner of administration, form</w:t>
            </w:r>
          </w:p>
        </w:tc>
        <w:tc>
          <w:tcPr>
            <w:tcW w:w="472" w:type="pct"/>
            <w:tcBorders>
              <w:top w:val="single" w:sz="4" w:space="0" w:color="auto"/>
              <w:bottom w:val="single" w:sz="4" w:space="0" w:color="auto"/>
            </w:tcBorders>
            <w:vAlign w:val="center"/>
          </w:tcPr>
          <w:p w14:paraId="2E7486DD" w14:textId="77777777" w:rsidR="00A474F6" w:rsidRPr="00AF1481" w:rsidRDefault="00A474F6" w:rsidP="008C5949">
            <w:pPr>
              <w:keepNext/>
              <w:keepLines/>
              <w:jc w:val="center"/>
              <w:rPr>
                <w:rFonts w:ascii="Arial Narrow" w:hAnsi="Arial Narrow"/>
                <w:b/>
                <w:bCs/>
                <w:sz w:val="20"/>
                <w:szCs w:val="20"/>
              </w:rPr>
            </w:pPr>
            <w:r w:rsidRPr="00AF1481">
              <w:rPr>
                <w:rFonts w:ascii="Arial Narrow" w:hAnsi="Arial Narrow"/>
                <w:b/>
                <w:bCs/>
                <w:sz w:val="20"/>
                <w:szCs w:val="20"/>
              </w:rPr>
              <w:t>Maximum Qty (packs)</w:t>
            </w:r>
          </w:p>
        </w:tc>
        <w:tc>
          <w:tcPr>
            <w:tcW w:w="699" w:type="pct"/>
            <w:tcBorders>
              <w:top w:val="single" w:sz="4" w:space="0" w:color="auto"/>
              <w:bottom w:val="single" w:sz="4" w:space="0" w:color="auto"/>
            </w:tcBorders>
            <w:vAlign w:val="center"/>
          </w:tcPr>
          <w:p w14:paraId="4766A53A" w14:textId="77777777" w:rsidR="00A474F6" w:rsidRPr="00AF1481" w:rsidRDefault="00A474F6" w:rsidP="008C5949">
            <w:pPr>
              <w:keepNext/>
              <w:keepLines/>
              <w:jc w:val="center"/>
              <w:rPr>
                <w:rFonts w:ascii="Arial Narrow" w:hAnsi="Arial Narrow"/>
                <w:b/>
                <w:bCs/>
                <w:sz w:val="20"/>
                <w:szCs w:val="20"/>
              </w:rPr>
            </w:pPr>
            <w:r w:rsidRPr="00AF1481">
              <w:rPr>
                <w:rFonts w:ascii="Arial Narrow" w:hAnsi="Arial Narrow"/>
                <w:b/>
                <w:bCs/>
                <w:sz w:val="20"/>
                <w:szCs w:val="20"/>
              </w:rPr>
              <w:t>Maximum Qty (units)</w:t>
            </w:r>
          </w:p>
        </w:tc>
        <w:tc>
          <w:tcPr>
            <w:tcW w:w="470" w:type="pct"/>
            <w:tcBorders>
              <w:top w:val="single" w:sz="4" w:space="0" w:color="auto"/>
              <w:bottom w:val="single" w:sz="4" w:space="0" w:color="auto"/>
            </w:tcBorders>
            <w:vAlign w:val="center"/>
          </w:tcPr>
          <w:p w14:paraId="47DD6CD9" w14:textId="77777777" w:rsidR="00A474F6" w:rsidRPr="00AF1481" w:rsidRDefault="00A474F6" w:rsidP="008C5949">
            <w:pPr>
              <w:keepNext/>
              <w:keepLines/>
              <w:jc w:val="center"/>
              <w:rPr>
                <w:rFonts w:ascii="Arial Narrow" w:hAnsi="Arial Narrow"/>
                <w:b/>
                <w:bCs/>
                <w:sz w:val="20"/>
                <w:szCs w:val="20"/>
              </w:rPr>
            </w:pPr>
            <w:r w:rsidRPr="00AF1481">
              <w:rPr>
                <w:rFonts w:ascii="Arial Narrow" w:hAnsi="Arial Narrow"/>
                <w:b/>
                <w:bCs/>
                <w:sz w:val="20"/>
                <w:szCs w:val="20"/>
              </w:rPr>
              <w:t>No. of repeats</w:t>
            </w:r>
          </w:p>
        </w:tc>
        <w:tc>
          <w:tcPr>
            <w:tcW w:w="941" w:type="pct"/>
            <w:tcBorders>
              <w:top w:val="single" w:sz="4" w:space="0" w:color="auto"/>
              <w:bottom w:val="single" w:sz="4" w:space="0" w:color="auto"/>
            </w:tcBorders>
            <w:vAlign w:val="center"/>
          </w:tcPr>
          <w:p w14:paraId="14A5A550" w14:textId="77777777" w:rsidR="00A474F6" w:rsidRPr="00AF1481" w:rsidRDefault="00A474F6" w:rsidP="008C5949">
            <w:pPr>
              <w:keepNext/>
              <w:keepLines/>
              <w:jc w:val="center"/>
              <w:rPr>
                <w:rFonts w:ascii="Arial Narrow" w:hAnsi="Arial Narrow"/>
                <w:b/>
                <w:bCs/>
                <w:sz w:val="20"/>
                <w:szCs w:val="20"/>
              </w:rPr>
            </w:pPr>
            <w:r w:rsidRPr="00AF1481">
              <w:rPr>
                <w:rFonts w:ascii="Arial Narrow" w:hAnsi="Arial Narrow"/>
                <w:b/>
                <w:bCs/>
                <w:sz w:val="20"/>
                <w:szCs w:val="20"/>
              </w:rPr>
              <w:t>DPMQ</w:t>
            </w:r>
          </w:p>
        </w:tc>
        <w:tc>
          <w:tcPr>
            <w:tcW w:w="921" w:type="pct"/>
            <w:tcBorders>
              <w:top w:val="single" w:sz="4" w:space="0" w:color="auto"/>
              <w:bottom w:val="single" w:sz="4" w:space="0" w:color="auto"/>
            </w:tcBorders>
            <w:vAlign w:val="center"/>
          </w:tcPr>
          <w:p w14:paraId="31C3B7CB" w14:textId="77777777" w:rsidR="00A474F6" w:rsidRPr="00AF1481" w:rsidRDefault="00A474F6" w:rsidP="008C5949">
            <w:pPr>
              <w:keepNext/>
              <w:keepLines/>
              <w:jc w:val="center"/>
              <w:rPr>
                <w:rFonts w:ascii="Arial Narrow" w:hAnsi="Arial Narrow"/>
                <w:b/>
                <w:bCs/>
                <w:sz w:val="20"/>
                <w:szCs w:val="20"/>
              </w:rPr>
            </w:pPr>
            <w:r w:rsidRPr="00AF1481">
              <w:rPr>
                <w:rFonts w:ascii="Arial Narrow" w:hAnsi="Arial Narrow"/>
                <w:b/>
                <w:bCs/>
                <w:sz w:val="20"/>
                <w:szCs w:val="20"/>
              </w:rPr>
              <w:t>Proprietary Name and Manufacturer</w:t>
            </w:r>
          </w:p>
        </w:tc>
      </w:tr>
      <w:tr w:rsidR="00A474F6" w:rsidRPr="00AF1481" w14:paraId="73C41D68" w14:textId="77777777" w:rsidTr="00A618DC">
        <w:trPr>
          <w:cantSplit/>
          <w:trHeight w:val="113"/>
        </w:trPr>
        <w:tc>
          <w:tcPr>
            <w:tcW w:w="1497" w:type="pct"/>
            <w:gridSpan w:val="2"/>
            <w:vAlign w:val="center"/>
          </w:tcPr>
          <w:p w14:paraId="7E581DC0" w14:textId="5E6A8FD5" w:rsidR="00A474F6" w:rsidRPr="00AF1481" w:rsidRDefault="00A474F6" w:rsidP="008C5949">
            <w:pPr>
              <w:pStyle w:val="In-tableHeading"/>
              <w:keepLines/>
              <w:rPr>
                <w:lang w:val="en-AU"/>
              </w:rPr>
            </w:pPr>
            <w:r w:rsidRPr="00AF1481">
              <w:rPr>
                <w:lang w:val="en-AU"/>
              </w:rPr>
              <w:t xml:space="preserve">Initial </w:t>
            </w:r>
            <w:r w:rsidR="00DD72E2" w:rsidRPr="00AF1481">
              <w:rPr>
                <w:lang w:val="en-AU"/>
              </w:rPr>
              <w:t>and Continuation</w:t>
            </w:r>
          </w:p>
        </w:tc>
        <w:tc>
          <w:tcPr>
            <w:tcW w:w="472" w:type="pct"/>
            <w:vAlign w:val="center"/>
          </w:tcPr>
          <w:p w14:paraId="157A3F85" w14:textId="77777777" w:rsidR="00A474F6" w:rsidRPr="00AF1481" w:rsidRDefault="00A474F6" w:rsidP="008C5949">
            <w:pPr>
              <w:keepNext/>
              <w:keepLines/>
              <w:jc w:val="center"/>
              <w:rPr>
                <w:rFonts w:ascii="Arial Narrow" w:hAnsi="Arial Narrow"/>
                <w:sz w:val="20"/>
                <w:szCs w:val="20"/>
              </w:rPr>
            </w:pPr>
          </w:p>
        </w:tc>
        <w:tc>
          <w:tcPr>
            <w:tcW w:w="699" w:type="pct"/>
            <w:vAlign w:val="center"/>
          </w:tcPr>
          <w:p w14:paraId="0DE39308" w14:textId="77777777" w:rsidR="00A474F6" w:rsidRPr="00AF1481" w:rsidRDefault="00A474F6" w:rsidP="008C5949">
            <w:pPr>
              <w:keepNext/>
              <w:keepLines/>
              <w:jc w:val="center"/>
              <w:rPr>
                <w:rFonts w:ascii="Arial Narrow" w:hAnsi="Arial Narrow"/>
                <w:sz w:val="20"/>
                <w:szCs w:val="20"/>
              </w:rPr>
            </w:pPr>
          </w:p>
        </w:tc>
        <w:tc>
          <w:tcPr>
            <w:tcW w:w="470" w:type="pct"/>
            <w:vAlign w:val="center"/>
          </w:tcPr>
          <w:p w14:paraId="6E8C58D8" w14:textId="77777777" w:rsidR="00A474F6" w:rsidRPr="00AF1481" w:rsidRDefault="00A474F6" w:rsidP="008C5949">
            <w:pPr>
              <w:keepNext/>
              <w:keepLines/>
              <w:jc w:val="center"/>
              <w:rPr>
                <w:rFonts w:ascii="Arial Narrow" w:hAnsi="Arial Narrow"/>
                <w:sz w:val="20"/>
                <w:szCs w:val="20"/>
                <w:highlight w:val="yellow"/>
              </w:rPr>
            </w:pPr>
          </w:p>
        </w:tc>
        <w:tc>
          <w:tcPr>
            <w:tcW w:w="941" w:type="pct"/>
            <w:vAlign w:val="center"/>
          </w:tcPr>
          <w:p w14:paraId="1939467D" w14:textId="77777777" w:rsidR="00A474F6" w:rsidRPr="00AF1481" w:rsidRDefault="00A474F6" w:rsidP="008C5949">
            <w:pPr>
              <w:pStyle w:val="TableText0"/>
              <w:keepLines/>
              <w:jc w:val="center"/>
              <w:rPr>
                <w:highlight w:val="yellow"/>
              </w:rPr>
            </w:pPr>
          </w:p>
        </w:tc>
        <w:tc>
          <w:tcPr>
            <w:tcW w:w="921" w:type="pct"/>
            <w:vAlign w:val="center"/>
          </w:tcPr>
          <w:p w14:paraId="4551F22A" w14:textId="77777777" w:rsidR="00A474F6" w:rsidRPr="00AF1481" w:rsidRDefault="00A474F6" w:rsidP="008C5949">
            <w:pPr>
              <w:pStyle w:val="In-tableHeading"/>
              <w:keepLines/>
              <w:jc w:val="center"/>
              <w:rPr>
                <w:b w:val="0"/>
                <w:bCs/>
                <w:highlight w:val="yellow"/>
                <w:lang w:val="en-AU"/>
              </w:rPr>
            </w:pPr>
          </w:p>
        </w:tc>
      </w:tr>
      <w:tr w:rsidR="00A474F6" w:rsidRPr="00AF1481" w14:paraId="78F25CAB" w14:textId="77777777" w:rsidTr="00A618DC">
        <w:trPr>
          <w:cantSplit/>
          <w:trHeight w:val="567"/>
        </w:trPr>
        <w:tc>
          <w:tcPr>
            <w:tcW w:w="1497" w:type="pct"/>
            <w:gridSpan w:val="2"/>
            <w:vAlign w:val="center"/>
          </w:tcPr>
          <w:p w14:paraId="1318A737" w14:textId="77777777" w:rsidR="00A05AA6" w:rsidRDefault="00A474F6" w:rsidP="008C5949">
            <w:pPr>
              <w:pStyle w:val="In-tableHeading"/>
              <w:keepLines/>
              <w:rPr>
                <w:b w:val="0"/>
                <w:bCs/>
                <w:lang w:val="en-AU"/>
              </w:rPr>
            </w:pPr>
            <w:r w:rsidRPr="00AF1481">
              <w:rPr>
                <w:b w:val="0"/>
                <w:bCs/>
                <w:lang w:val="en-AU"/>
              </w:rPr>
              <w:t>Aflibercept solution for intravitreal injection</w:t>
            </w:r>
            <w:r w:rsidRPr="00AF1481">
              <w:rPr>
                <w:b w:val="0"/>
                <w:bCs/>
                <w:vertAlign w:val="superscript"/>
                <w:lang w:val="en-AU"/>
              </w:rPr>
              <w:t>a</w:t>
            </w:r>
          </w:p>
          <w:p w14:paraId="0119DDB3" w14:textId="64F7D7A4" w:rsidR="00A474F6" w:rsidRPr="00AF1481" w:rsidRDefault="00A474F6" w:rsidP="008C5949">
            <w:pPr>
              <w:pStyle w:val="In-tableHeading"/>
              <w:keepLines/>
              <w:rPr>
                <w:b w:val="0"/>
                <w:bCs/>
                <w:lang w:val="en-AU"/>
              </w:rPr>
            </w:pPr>
            <w:r w:rsidRPr="00AF1481">
              <w:rPr>
                <w:b w:val="0"/>
                <w:bCs/>
                <w:lang w:val="en-AU"/>
              </w:rPr>
              <w:t>8 mg vial: 11.43 mg/ 0.1</w:t>
            </w:r>
            <w:r w:rsidR="00DD72E2" w:rsidRPr="00AF1481">
              <w:rPr>
                <w:b w:val="0"/>
                <w:bCs/>
                <w:lang w:val="en-AU"/>
              </w:rPr>
              <w:t xml:space="preserve"> </w:t>
            </w:r>
            <w:r w:rsidRPr="00AF1481">
              <w:rPr>
                <w:b w:val="0"/>
                <w:bCs/>
                <w:lang w:val="en-AU"/>
              </w:rPr>
              <w:t>mL, 0.1</w:t>
            </w:r>
            <w:r w:rsidR="00DD72E2" w:rsidRPr="00AF1481">
              <w:rPr>
                <w:b w:val="0"/>
                <w:bCs/>
                <w:lang w:val="en-AU"/>
              </w:rPr>
              <w:t xml:space="preserve"> </w:t>
            </w:r>
            <w:r w:rsidRPr="00AF1481">
              <w:rPr>
                <w:b w:val="0"/>
                <w:bCs/>
                <w:lang w:val="en-AU"/>
              </w:rPr>
              <w:t>mL vial</w:t>
            </w:r>
          </w:p>
          <w:p w14:paraId="585AC5B0" w14:textId="36F98A08" w:rsidR="00A474F6" w:rsidRPr="00AF1481" w:rsidRDefault="00A474F6" w:rsidP="008C5949">
            <w:pPr>
              <w:pStyle w:val="In-tableHeading"/>
              <w:keepLines/>
              <w:rPr>
                <w:szCs w:val="20"/>
                <w:lang w:val="en-AU"/>
              </w:rPr>
            </w:pPr>
            <w:r w:rsidRPr="00AF1481">
              <w:rPr>
                <w:b w:val="0"/>
                <w:bCs/>
                <w:lang w:val="en-AU"/>
              </w:rPr>
              <w:t>8 mg pre-filled syringe: 11.43 mg/ 0.1</w:t>
            </w:r>
            <w:r w:rsidR="00DD72E2" w:rsidRPr="00AF1481">
              <w:rPr>
                <w:b w:val="0"/>
                <w:bCs/>
                <w:lang w:val="en-AU"/>
              </w:rPr>
              <w:t xml:space="preserve"> </w:t>
            </w:r>
            <w:r w:rsidRPr="00AF1481">
              <w:rPr>
                <w:b w:val="0"/>
                <w:bCs/>
                <w:lang w:val="en-AU"/>
              </w:rPr>
              <w:t>mL, 0.1</w:t>
            </w:r>
            <w:r w:rsidR="00CC2547" w:rsidRPr="00AF1481">
              <w:rPr>
                <w:b w:val="0"/>
                <w:bCs/>
                <w:lang w:val="en-AU"/>
              </w:rPr>
              <w:t xml:space="preserve"> </w:t>
            </w:r>
            <w:r w:rsidRPr="00AF1481">
              <w:rPr>
                <w:b w:val="0"/>
                <w:bCs/>
                <w:lang w:val="en-AU"/>
              </w:rPr>
              <w:t>mL syringe</w:t>
            </w:r>
          </w:p>
        </w:tc>
        <w:tc>
          <w:tcPr>
            <w:tcW w:w="472" w:type="pct"/>
            <w:vAlign w:val="center"/>
          </w:tcPr>
          <w:p w14:paraId="2D5ECA7B" w14:textId="77777777" w:rsidR="00A474F6" w:rsidRPr="00AF1481" w:rsidRDefault="00A474F6" w:rsidP="008C5949">
            <w:pPr>
              <w:keepNext/>
              <w:keepLines/>
              <w:jc w:val="center"/>
              <w:rPr>
                <w:rFonts w:ascii="Arial Narrow" w:hAnsi="Arial Narrow"/>
                <w:sz w:val="20"/>
                <w:szCs w:val="20"/>
              </w:rPr>
            </w:pPr>
            <w:r w:rsidRPr="00AF1481">
              <w:rPr>
                <w:rFonts w:ascii="Arial Narrow" w:hAnsi="Arial Narrow"/>
                <w:sz w:val="20"/>
                <w:szCs w:val="20"/>
              </w:rPr>
              <w:t>1</w:t>
            </w:r>
          </w:p>
        </w:tc>
        <w:tc>
          <w:tcPr>
            <w:tcW w:w="699" w:type="pct"/>
            <w:vAlign w:val="center"/>
          </w:tcPr>
          <w:p w14:paraId="288A91F3" w14:textId="77777777" w:rsidR="00A474F6" w:rsidRPr="00AF1481" w:rsidRDefault="00A474F6" w:rsidP="008C5949">
            <w:pPr>
              <w:keepNext/>
              <w:keepLines/>
              <w:jc w:val="center"/>
              <w:rPr>
                <w:rFonts w:ascii="Arial Narrow" w:hAnsi="Arial Narrow"/>
                <w:sz w:val="20"/>
                <w:szCs w:val="20"/>
              </w:rPr>
            </w:pPr>
            <w:r w:rsidRPr="00AF1481">
              <w:rPr>
                <w:rFonts w:ascii="Arial Narrow" w:hAnsi="Arial Narrow"/>
                <w:sz w:val="20"/>
                <w:szCs w:val="20"/>
              </w:rPr>
              <w:t>1</w:t>
            </w:r>
          </w:p>
        </w:tc>
        <w:tc>
          <w:tcPr>
            <w:tcW w:w="470" w:type="pct"/>
            <w:vAlign w:val="center"/>
          </w:tcPr>
          <w:p w14:paraId="670DD2C5" w14:textId="77777777" w:rsidR="00A474F6" w:rsidRPr="00AF1481" w:rsidRDefault="00A474F6" w:rsidP="008C5949">
            <w:pPr>
              <w:keepNext/>
              <w:keepLines/>
              <w:jc w:val="center"/>
              <w:rPr>
                <w:rFonts w:ascii="Arial Narrow" w:hAnsi="Arial Narrow"/>
                <w:sz w:val="20"/>
                <w:szCs w:val="20"/>
              </w:rPr>
            </w:pPr>
            <w:r w:rsidRPr="00AF1481">
              <w:rPr>
                <w:rFonts w:ascii="Arial Narrow" w:hAnsi="Arial Narrow"/>
                <w:sz w:val="20"/>
                <w:szCs w:val="20"/>
              </w:rPr>
              <w:t>5</w:t>
            </w:r>
          </w:p>
        </w:tc>
        <w:tc>
          <w:tcPr>
            <w:tcW w:w="941" w:type="pct"/>
            <w:vAlign w:val="center"/>
          </w:tcPr>
          <w:p w14:paraId="185BB1F3" w14:textId="77777777" w:rsidR="00A474F6" w:rsidRPr="00AF1481" w:rsidRDefault="00A474F6" w:rsidP="008C5949">
            <w:pPr>
              <w:pStyle w:val="TableText0"/>
              <w:keepLines/>
              <w:jc w:val="center"/>
              <w:rPr>
                <w:szCs w:val="20"/>
                <w:vertAlign w:val="superscript"/>
              </w:rPr>
            </w:pPr>
            <w:r w:rsidRPr="00AF1481">
              <w:t>$</w:t>
            </w:r>
            <w:r w:rsidRPr="00FD014B">
              <w:t>1,297.17</w:t>
            </w:r>
            <w:r w:rsidRPr="00AF1481">
              <w:rPr>
                <w:szCs w:val="20"/>
              </w:rPr>
              <w:t xml:space="preserve"> (published)</w:t>
            </w:r>
          </w:p>
          <w:p w14:paraId="10C67DB7" w14:textId="4160E7CD" w:rsidR="00A474F6" w:rsidRPr="00AF1481" w:rsidRDefault="00A474F6" w:rsidP="008C5949">
            <w:pPr>
              <w:keepNext/>
              <w:keepLines/>
              <w:jc w:val="center"/>
              <w:rPr>
                <w:rFonts w:ascii="Arial Narrow" w:hAnsi="Arial Narrow"/>
                <w:sz w:val="20"/>
                <w:szCs w:val="20"/>
              </w:rPr>
            </w:pPr>
            <w:r w:rsidRPr="00AF1481">
              <w:rPr>
                <w:rFonts w:ascii="Arial Narrow" w:hAnsi="Arial Narrow"/>
                <w:sz w:val="20"/>
                <w:szCs w:val="20"/>
              </w:rPr>
              <w:t>$</w:t>
            </w:r>
            <w:r w:rsidR="00BD1B38" w:rsidRPr="00A01F50">
              <w:rPr>
                <w:rFonts w:ascii="Arial Narrow" w:hAnsi="Arial Narrow"/>
                <w:color w:val="000000"/>
                <w:spacing w:val="74"/>
                <w:sz w:val="20"/>
                <w:szCs w:val="20"/>
                <w:shd w:val="solid" w:color="000000" w:fill="000000"/>
                <w:fitText w:val="160" w:id="-931927296"/>
                <w14:textFill>
                  <w14:solidFill>
                    <w14:srgbClr w14:val="000000">
                      <w14:alpha w14:val="100000"/>
                    </w14:srgbClr>
                  </w14:solidFill>
                </w14:textFill>
              </w:rPr>
              <w:t>|</w:t>
            </w:r>
            <w:r w:rsidR="00BD1B38" w:rsidRPr="00A01F50">
              <w:rPr>
                <w:rFonts w:ascii="Arial Narrow" w:hAnsi="Arial Narrow"/>
                <w:color w:val="000000"/>
                <w:sz w:val="20"/>
                <w:szCs w:val="20"/>
                <w:shd w:val="solid" w:color="000000" w:fill="000000"/>
                <w:fitText w:val="160" w:id="-931927296"/>
                <w14:textFill>
                  <w14:solidFill>
                    <w14:srgbClr w14:val="000000">
                      <w14:alpha w14:val="100000"/>
                    </w14:srgbClr>
                  </w14:solidFill>
                </w14:textFill>
              </w:rPr>
              <w:t>|</w:t>
            </w:r>
            <w:r w:rsidRPr="00AF1481">
              <w:rPr>
                <w:rFonts w:ascii="Arial Narrow" w:hAnsi="Arial Narrow"/>
                <w:sz w:val="20"/>
                <w:szCs w:val="20"/>
              </w:rPr>
              <w:t xml:space="preserve"> (effective)</w:t>
            </w:r>
          </w:p>
        </w:tc>
        <w:tc>
          <w:tcPr>
            <w:tcW w:w="921" w:type="pct"/>
            <w:vAlign w:val="center"/>
          </w:tcPr>
          <w:p w14:paraId="29D17F11" w14:textId="77777777" w:rsidR="00A474F6" w:rsidRPr="00AF1481" w:rsidRDefault="00A474F6" w:rsidP="008C5949">
            <w:pPr>
              <w:pStyle w:val="In-tableHeading"/>
              <w:keepLines/>
              <w:jc w:val="center"/>
              <w:rPr>
                <w:b w:val="0"/>
                <w:bCs/>
                <w:lang w:val="en-AU"/>
              </w:rPr>
            </w:pPr>
            <w:r w:rsidRPr="00AF1481">
              <w:rPr>
                <w:b w:val="0"/>
                <w:bCs/>
                <w:lang w:val="en-AU"/>
              </w:rPr>
              <w:t>Eylea</w:t>
            </w:r>
          </w:p>
          <w:p w14:paraId="650481BF" w14:textId="77777777" w:rsidR="00A474F6" w:rsidRPr="00AF1481" w:rsidRDefault="00A474F6" w:rsidP="008C5949">
            <w:pPr>
              <w:pStyle w:val="TableText0"/>
              <w:keepLines/>
              <w:jc w:val="center"/>
              <w:rPr>
                <w:szCs w:val="20"/>
              </w:rPr>
            </w:pPr>
            <w:r w:rsidRPr="00AF1481">
              <w:t>Bayer Australia Ltd</w:t>
            </w:r>
          </w:p>
        </w:tc>
      </w:tr>
      <w:tr w:rsidR="00A474F6" w:rsidRPr="00AF1481" w14:paraId="37C4DB82"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3FDAF85B" w14:textId="77777777" w:rsidR="00A474F6" w:rsidRPr="00AF1481" w:rsidRDefault="00A474F6" w:rsidP="008C5949">
            <w:pPr>
              <w:pStyle w:val="TableText0"/>
              <w:keepLines/>
              <w:rPr>
                <w:b/>
                <w:bCs w:val="0"/>
              </w:rPr>
            </w:pPr>
            <w:r w:rsidRPr="00AF1481">
              <w:rPr>
                <w:b/>
                <w:bCs w:val="0"/>
              </w:rPr>
              <w:t>Category/Program</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4E769F2A" w14:textId="77777777" w:rsidR="00A474F6" w:rsidRPr="00AF1481" w:rsidRDefault="00A474F6" w:rsidP="008C5949">
            <w:pPr>
              <w:pStyle w:val="TableText0"/>
              <w:keepLines/>
            </w:pPr>
            <w:r w:rsidRPr="00AF1481">
              <w:t>Section 85 – General Schedule</w:t>
            </w:r>
          </w:p>
        </w:tc>
      </w:tr>
      <w:tr w:rsidR="00A474F6" w:rsidRPr="00AF1481" w14:paraId="10DFAA07"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1625EE7C" w14:textId="77777777" w:rsidR="00A474F6" w:rsidRPr="00AF1481" w:rsidRDefault="00A474F6" w:rsidP="008C5949">
            <w:pPr>
              <w:pStyle w:val="TableText0"/>
              <w:keepLines/>
              <w:rPr>
                <w:b/>
                <w:bCs w:val="0"/>
              </w:rPr>
            </w:pPr>
            <w:r w:rsidRPr="00AF1481">
              <w:rPr>
                <w:b/>
                <w:bCs w:val="0"/>
              </w:rPr>
              <w:t>Prescriber type</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483ABFDF" w14:textId="77777777" w:rsidR="00A474F6" w:rsidRPr="00AF1481" w:rsidRDefault="00A474F6" w:rsidP="008C5949">
            <w:pPr>
              <w:pStyle w:val="TableText0"/>
              <w:keepLines/>
            </w:pPr>
            <w:r w:rsidRPr="00AF1481">
              <w:t>Medical Practitioners</w:t>
            </w:r>
            <w:r w:rsidRPr="00AF1481" w:rsidDel="00172C6C">
              <w:t xml:space="preserve"> </w:t>
            </w:r>
          </w:p>
        </w:tc>
      </w:tr>
      <w:tr w:rsidR="00A474F6" w:rsidRPr="00AF1481" w14:paraId="5600E8E3"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6F8A841D" w14:textId="77777777" w:rsidR="00A474F6" w:rsidRPr="00AF1481" w:rsidRDefault="00A474F6" w:rsidP="008C5949">
            <w:pPr>
              <w:pStyle w:val="TableText0"/>
              <w:keepLines/>
              <w:rPr>
                <w:b/>
                <w:bCs w:val="0"/>
              </w:rPr>
            </w:pPr>
            <w:r w:rsidRPr="00AF1481">
              <w:rPr>
                <w:b/>
                <w:bCs w:val="0"/>
              </w:rPr>
              <w:t>Indication</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2FFB47DE" w14:textId="77777777" w:rsidR="00A474F6" w:rsidRPr="00AF1481" w:rsidRDefault="00A474F6" w:rsidP="008C5949">
            <w:pPr>
              <w:pStyle w:val="TableText0"/>
              <w:keepLines/>
            </w:pPr>
            <w:r w:rsidRPr="00AF1481">
              <w:t>Diabetic macular oedema (DMO)</w:t>
            </w:r>
          </w:p>
        </w:tc>
      </w:tr>
      <w:tr w:rsidR="00A474F6" w:rsidRPr="00AF1481" w14:paraId="6E3FF17E"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7BF3331D" w14:textId="77777777" w:rsidR="00A474F6" w:rsidRPr="00AF1481" w:rsidRDefault="00A474F6" w:rsidP="008C5949">
            <w:pPr>
              <w:pStyle w:val="TableText0"/>
              <w:keepLines/>
              <w:rPr>
                <w:b/>
                <w:bCs w:val="0"/>
              </w:rPr>
            </w:pPr>
            <w:r w:rsidRPr="00AF1481">
              <w:rPr>
                <w:b/>
                <w:bCs w:val="0"/>
              </w:rPr>
              <w:t>Treatment phase</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3BFCD9E5" w14:textId="77777777" w:rsidR="00A474F6" w:rsidRPr="00AF1481" w:rsidRDefault="00A474F6" w:rsidP="008C5949">
            <w:pPr>
              <w:pStyle w:val="TableText0"/>
              <w:keepLines/>
            </w:pPr>
            <w:r w:rsidRPr="00AF1481">
              <w:t xml:space="preserve">Initial treatment </w:t>
            </w:r>
          </w:p>
        </w:tc>
      </w:tr>
      <w:tr w:rsidR="00A474F6" w:rsidRPr="00AF1481" w14:paraId="6436B46B"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26205DAB" w14:textId="77777777" w:rsidR="00A474F6" w:rsidRPr="00AF1481" w:rsidRDefault="00A474F6" w:rsidP="008C5949">
            <w:pPr>
              <w:pStyle w:val="TableText0"/>
              <w:keepLines/>
              <w:rPr>
                <w:b/>
                <w:bCs w:val="0"/>
              </w:rPr>
            </w:pPr>
            <w:r w:rsidRPr="00AF1481">
              <w:rPr>
                <w:b/>
                <w:bCs w:val="0"/>
              </w:rPr>
              <w:t>Restriction</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42B63C5E" w14:textId="77777777" w:rsidR="00A474F6" w:rsidRPr="00AF1481" w:rsidRDefault="00A474F6" w:rsidP="008C5949">
            <w:pPr>
              <w:pStyle w:val="TableText0"/>
              <w:keepLines/>
            </w:pPr>
            <w:r w:rsidRPr="00AF1481">
              <w:t>Authority required – In Writing</w:t>
            </w:r>
          </w:p>
        </w:tc>
      </w:tr>
      <w:tr w:rsidR="00A474F6" w:rsidRPr="00AF1481" w14:paraId="0E87EB11"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21B457A5" w14:textId="77777777" w:rsidR="00A474F6" w:rsidRPr="00AF1481" w:rsidRDefault="00A474F6" w:rsidP="008C5949">
            <w:pPr>
              <w:pStyle w:val="TableText0"/>
              <w:keepLines/>
              <w:rPr>
                <w:b/>
                <w:bCs w:val="0"/>
              </w:rPr>
            </w:pPr>
            <w:r w:rsidRPr="00AF1481">
              <w:rPr>
                <w:b/>
                <w:bCs w:val="0"/>
              </w:rPr>
              <w:t>Treatment criteria</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1E932890" w14:textId="77777777" w:rsidR="00A474F6" w:rsidRPr="00AF1481" w:rsidRDefault="00A474F6" w:rsidP="008C5949">
            <w:pPr>
              <w:pStyle w:val="TableText0"/>
              <w:keepLines/>
            </w:pPr>
            <w:r w:rsidRPr="00AF1481">
              <w:t>Must be treated by an ophthalmologist or by an accredited ophthalmology registrar in consultation with an ophthalmologist</w:t>
            </w:r>
          </w:p>
        </w:tc>
      </w:tr>
      <w:tr w:rsidR="00A474F6" w:rsidRPr="00AF1481" w14:paraId="684D4649"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1016" w:type="pct"/>
            <w:tcBorders>
              <w:top w:val="single" w:sz="4" w:space="0" w:color="auto"/>
              <w:left w:val="single" w:sz="4" w:space="0" w:color="auto"/>
              <w:bottom w:val="single" w:sz="4" w:space="0" w:color="auto"/>
              <w:right w:val="single" w:sz="4" w:space="0" w:color="auto"/>
            </w:tcBorders>
            <w:vAlign w:val="center"/>
            <w:hideMark/>
          </w:tcPr>
          <w:p w14:paraId="0F519AFC" w14:textId="77777777" w:rsidR="00A474F6" w:rsidRPr="00AF1481" w:rsidRDefault="00A474F6" w:rsidP="008C5949">
            <w:pPr>
              <w:pStyle w:val="TableText0"/>
              <w:keepLines/>
              <w:rPr>
                <w:b/>
                <w:bCs w:val="0"/>
              </w:rPr>
            </w:pPr>
            <w:r w:rsidRPr="00AF1481">
              <w:rPr>
                <w:b/>
                <w:bCs w:val="0"/>
              </w:rPr>
              <w:t>Clinical criteria</w:t>
            </w: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48B364AD" w14:textId="77777777" w:rsidR="00A474F6" w:rsidRPr="00AF1481" w:rsidRDefault="00A474F6" w:rsidP="008C5949">
            <w:pPr>
              <w:pStyle w:val="TableText0"/>
              <w:keepLines/>
            </w:pPr>
            <w:r w:rsidRPr="00AF1481">
              <w:t>The patient must have visual impairment due to diabetic macular oedema</w:t>
            </w:r>
          </w:p>
          <w:p w14:paraId="252A245B" w14:textId="77777777" w:rsidR="00A474F6" w:rsidRPr="00AF1481" w:rsidRDefault="00A474F6" w:rsidP="008C5949">
            <w:pPr>
              <w:pStyle w:val="TableText0"/>
              <w:keepLines/>
            </w:pPr>
            <w:r w:rsidRPr="00AF1481">
              <w:t>AND</w:t>
            </w:r>
          </w:p>
          <w:p w14:paraId="5CC172ED" w14:textId="77777777" w:rsidR="00A474F6" w:rsidRPr="00AF1481" w:rsidRDefault="00A474F6" w:rsidP="008C5949">
            <w:pPr>
              <w:pStyle w:val="TableText0"/>
              <w:keepLines/>
            </w:pPr>
            <w:r w:rsidRPr="00AF1481">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p w14:paraId="0462CCF6" w14:textId="77777777" w:rsidR="00A474F6" w:rsidRPr="00AF1481" w:rsidRDefault="00A474F6" w:rsidP="008C5949">
            <w:pPr>
              <w:pStyle w:val="TableText0"/>
              <w:keepLines/>
            </w:pPr>
            <w:r w:rsidRPr="00AF1481">
              <w:t>AND</w:t>
            </w:r>
          </w:p>
          <w:p w14:paraId="5D5DAB31" w14:textId="77777777" w:rsidR="00A474F6" w:rsidRPr="00AF1481" w:rsidRDefault="00A474F6" w:rsidP="008C5949">
            <w:pPr>
              <w:pStyle w:val="TableText0"/>
              <w:keepLines/>
            </w:pPr>
            <w:r w:rsidRPr="00AF1481">
              <w:t>The condition must be diagnosed by optical coherence tomography; or</w:t>
            </w:r>
          </w:p>
          <w:p w14:paraId="6D7D6EFC" w14:textId="77777777" w:rsidR="00A474F6" w:rsidRPr="00AF1481" w:rsidRDefault="00A474F6" w:rsidP="008C5949">
            <w:pPr>
              <w:pStyle w:val="TableText0"/>
              <w:keepLines/>
            </w:pPr>
            <w:r w:rsidRPr="00AF1481">
              <w:t>The condition must be diagnosed by flurorescein angiography</w:t>
            </w:r>
          </w:p>
          <w:p w14:paraId="0017A0E1" w14:textId="77777777" w:rsidR="00A474F6" w:rsidRPr="00AF1481" w:rsidRDefault="00A474F6" w:rsidP="008C5949">
            <w:pPr>
              <w:pStyle w:val="TableText0"/>
              <w:keepLines/>
            </w:pPr>
            <w:r w:rsidRPr="00AF1481">
              <w:t>AND</w:t>
            </w:r>
          </w:p>
          <w:p w14:paraId="2583776F" w14:textId="77777777" w:rsidR="00A474F6" w:rsidRPr="00AF1481" w:rsidRDefault="00A474F6" w:rsidP="008C5949">
            <w:pPr>
              <w:pStyle w:val="TableText0"/>
              <w:keepLines/>
            </w:pPr>
            <w:r w:rsidRPr="00AF1481">
              <w:t>The treatment must be as monotherapy; or</w:t>
            </w:r>
          </w:p>
          <w:p w14:paraId="3F89B0CC" w14:textId="77777777" w:rsidR="00A474F6" w:rsidRPr="00AF1481" w:rsidRDefault="00A474F6" w:rsidP="008C5949">
            <w:pPr>
              <w:pStyle w:val="TableText0"/>
              <w:keepLines/>
            </w:pPr>
            <w:r w:rsidRPr="00AF1481">
              <w:t>The treatment must be in combination with laser photocoagulation</w:t>
            </w:r>
          </w:p>
          <w:p w14:paraId="20505090" w14:textId="77777777" w:rsidR="00A474F6" w:rsidRPr="00AF1481" w:rsidRDefault="00A474F6" w:rsidP="008C5949">
            <w:pPr>
              <w:pStyle w:val="TableText0"/>
              <w:keepLines/>
            </w:pPr>
            <w:r w:rsidRPr="00AF1481">
              <w:t>AND</w:t>
            </w:r>
          </w:p>
          <w:p w14:paraId="442F5E9B" w14:textId="77777777" w:rsidR="00A474F6" w:rsidRPr="00AF1481" w:rsidRDefault="00A474F6" w:rsidP="008C5949">
            <w:pPr>
              <w:pStyle w:val="TableText0"/>
              <w:keepLines/>
            </w:pPr>
            <w:r w:rsidRPr="00AF1481">
              <w:t>The treatment must be the sole PBS-subsidised therapy for this condition</w:t>
            </w:r>
          </w:p>
        </w:tc>
      </w:tr>
      <w:tr w:rsidR="00A474F6" w:rsidRPr="00AF1481" w14:paraId="1C925044" w14:textId="77777777" w:rsidTr="00A61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071"/>
        </w:trPr>
        <w:tc>
          <w:tcPr>
            <w:tcW w:w="1016" w:type="pct"/>
            <w:tcBorders>
              <w:top w:val="single" w:sz="4" w:space="0" w:color="auto"/>
              <w:left w:val="single" w:sz="4" w:space="0" w:color="auto"/>
              <w:bottom w:val="single" w:sz="4" w:space="0" w:color="auto"/>
              <w:right w:val="single" w:sz="4" w:space="0" w:color="auto"/>
            </w:tcBorders>
            <w:vAlign w:val="center"/>
            <w:hideMark/>
          </w:tcPr>
          <w:p w14:paraId="778E4086" w14:textId="77777777" w:rsidR="00A474F6" w:rsidRPr="00AF1481" w:rsidRDefault="00A474F6" w:rsidP="008C5949">
            <w:pPr>
              <w:pStyle w:val="TableText0"/>
              <w:keepLines/>
              <w:rPr>
                <w:b/>
                <w:bCs w:val="0"/>
              </w:rPr>
            </w:pPr>
            <w:r w:rsidRPr="00AF1481">
              <w:rPr>
                <w:b/>
                <w:bCs w:val="0"/>
              </w:rPr>
              <w:t>Administrative advice</w:t>
            </w:r>
          </w:p>
          <w:p w14:paraId="274E4500" w14:textId="77777777" w:rsidR="00A474F6" w:rsidRPr="00AF1481" w:rsidRDefault="00A474F6" w:rsidP="008C5949">
            <w:pPr>
              <w:pStyle w:val="TableText0"/>
              <w:keepLines/>
              <w:rPr>
                <w:b/>
                <w:bCs w:val="0"/>
              </w:rPr>
            </w:pPr>
          </w:p>
        </w:tc>
        <w:tc>
          <w:tcPr>
            <w:tcW w:w="3984" w:type="pct"/>
            <w:gridSpan w:val="6"/>
            <w:tcBorders>
              <w:top w:val="single" w:sz="4" w:space="0" w:color="auto"/>
              <w:left w:val="single" w:sz="4" w:space="0" w:color="auto"/>
              <w:bottom w:val="single" w:sz="4" w:space="0" w:color="auto"/>
              <w:right w:val="single" w:sz="4" w:space="0" w:color="auto"/>
            </w:tcBorders>
            <w:vAlign w:val="center"/>
            <w:hideMark/>
          </w:tcPr>
          <w:p w14:paraId="00B9CF45" w14:textId="77777777" w:rsidR="00A474F6" w:rsidRPr="00AF1481" w:rsidRDefault="00A474F6" w:rsidP="008C5949">
            <w:pPr>
              <w:pStyle w:val="TableText0"/>
              <w:keepLines/>
            </w:pPr>
            <w:r w:rsidRPr="00AF1481">
              <w:t>Authority approval for initial treatment of each eye must be sought.</w:t>
            </w:r>
          </w:p>
          <w:p w14:paraId="73513B5E" w14:textId="77777777" w:rsidR="00A474F6" w:rsidRPr="00AF1481" w:rsidRDefault="00A474F6" w:rsidP="008C5949">
            <w:pPr>
              <w:pStyle w:val="TableText0"/>
              <w:keepLines/>
            </w:pPr>
            <w:r w:rsidRPr="00AF1481">
              <w:t>The first authority application for each eye must be made via the Online PBS Authorities System (real time assessment) or in writing via HPOS form upload or mail and must include:</w:t>
            </w:r>
          </w:p>
          <w:p w14:paraId="0E5F72EC" w14:textId="77777777" w:rsidR="00A474F6" w:rsidRPr="00AF1481" w:rsidRDefault="00A474F6" w:rsidP="008C5949">
            <w:pPr>
              <w:pStyle w:val="TableText0"/>
              <w:keepLines/>
            </w:pPr>
            <w:r w:rsidRPr="00AF1481">
              <w:t>(1) Details (date, unique identifying number/code or provider number) of the optical coherence tomography or fluorescein angiogram report.</w:t>
            </w:r>
          </w:p>
          <w:p w14:paraId="7EC88ACB" w14:textId="77777777" w:rsidR="00A474F6" w:rsidRPr="00AF1481" w:rsidRDefault="00A474F6" w:rsidP="008C5949">
            <w:pPr>
              <w:pStyle w:val="TableText0"/>
              <w:keepLines/>
            </w:pPr>
            <w:r w:rsidRPr="00AF1481">
              <w:t>If the application is submitted through HPOS form upload or mail, it must include:</w:t>
            </w:r>
          </w:p>
          <w:p w14:paraId="6E817D63" w14:textId="77777777" w:rsidR="00A474F6" w:rsidRPr="00AF1481" w:rsidRDefault="00A474F6" w:rsidP="008C5949">
            <w:pPr>
              <w:pStyle w:val="TableText0"/>
              <w:keepLines/>
            </w:pPr>
            <w:r w:rsidRPr="00AF1481">
              <w:t>(a) A completed authority prescription form; and</w:t>
            </w:r>
          </w:p>
          <w:p w14:paraId="78B431AD" w14:textId="77777777" w:rsidR="00A474F6" w:rsidRPr="00AF1481" w:rsidRDefault="00A474F6" w:rsidP="008C5949">
            <w:pPr>
              <w:pStyle w:val="TableText0"/>
              <w:keepLines/>
            </w:pPr>
            <w:r w:rsidRPr="00AF1481">
              <w:t>(b) A completed authority application form relevant to the indication and treatment phase (the latest version is located on the website specified in the Administrative Advice).</w:t>
            </w:r>
          </w:p>
          <w:p w14:paraId="33E2BDA6" w14:textId="77777777" w:rsidR="00A474F6" w:rsidRPr="00AF1481" w:rsidRDefault="00A474F6" w:rsidP="008C5949">
            <w:pPr>
              <w:pStyle w:val="TableText0"/>
              <w:keepLines/>
            </w:pPr>
            <w:r w:rsidRPr="00AF1481">
              <w:t>All reports must be documented in the patient's medical records.</w:t>
            </w:r>
          </w:p>
        </w:tc>
      </w:tr>
    </w:tbl>
    <w:p w14:paraId="341DF4B4" w14:textId="77777777" w:rsidR="00A474F6" w:rsidRPr="00AF1481" w:rsidRDefault="00A474F6" w:rsidP="00A474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38"/>
        <w:gridCol w:w="7229"/>
      </w:tblGrid>
      <w:tr w:rsidR="00A474F6" w:rsidRPr="00AF1481" w14:paraId="428721EB" w14:textId="77777777" w:rsidTr="008C5949">
        <w:tc>
          <w:tcPr>
            <w:tcW w:w="1838" w:type="dxa"/>
            <w:tcBorders>
              <w:top w:val="single" w:sz="4" w:space="0" w:color="auto"/>
              <w:left w:val="single" w:sz="4" w:space="0" w:color="auto"/>
              <w:bottom w:val="single" w:sz="4" w:space="0" w:color="auto"/>
              <w:right w:val="single" w:sz="4" w:space="0" w:color="auto"/>
            </w:tcBorders>
            <w:vAlign w:val="center"/>
            <w:hideMark/>
          </w:tcPr>
          <w:p w14:paraId="7C417979" w14:textId="77777777" w:rsidR="00A474F6" w:rsidRPr="00AF1481" w:rsidRDefault="00A474F6" w:rsidP="008C5949">
            <w:pPr>
              <w:pStyle w:val="TableText0"/>
              <w:rPr>
                <w:b/>
                <w:bCs w:val="0"/>
              </w:rPr>
            </w:pPr>
            <w:r w:rsidRPr="00AF1481">
              <w:rPr>
                <w:b/>
                <w:bCs w:val="0"/>
              </w:rPr>
              <w:lastRenderedPageBreak/>
              <w:t>Treatment phase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6DE2039" w14:textId="77777777" w:rsidR="00A474F6" w:rsidRPr="00AF1481" w:rsidRDefault="00A474F6" w:rsidP="008C5949">
            <w:pPr>
              <w:pStyle w:val="TableText0"/>
            </w:pPr>
            <w:r w:rsidRPr="00AF1481">
              <w:t xml:space="preserve">Continuing treatment </w:t>
            </w:r>
          </w:p>
        </w:tc>
      </w:tr>
      <w:tr w:rsidR="00A474F6" w:rsidRPr="00AF1481" w14:paraId="68E2EBB5" w14:textId="77777777" w:rsidTr="008C5949">
        <w:tc>
          <w:tcPr>
            <w:tcW w:w="1838" w:type="dxa"/>
            <w:tcBorders>
              <w:top w:val="single" w:sz="4" w:space="0" w:color="auto"/>
              <w:left w:val="single" w:sz="4" w:space="0" w:color="auto"/>
              <w:bottom w:val="single" w:sz="4" w:space="0" w:color="auto"/>
              <w:right w:val="single" w:sz="4" w:space="0" w:color="auto"/>
            </w:tcBorders>
            <w:vAlign w:val="center"/>
            <w:hideMark/>
          </w:tcPr>
          <w:p w14:paraId="552D0DE9" w14:textId="77777777" w:rsidR="00A474F6" w:rsidRPr="00AF1481" w:rsidRDefault="00A474F6" w:rsidP="008C5949">
            <w:pPr>
              <w:pStyle w:val="TableText0"/>
              <w:rPr>
                <w:b/>
                <w:bCs w:val="0"/>
              </w:rPr>
            </w:pPr>
            <w:r w:rsidRPr="00AF1481">
              <w:rPr>
                <w:b/>
                <w:bCs w:val="0"/>
              </w:rPr>
              <w:t>Restriction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C7B7FCF" w14:textId="77777777" w:rsidR="00A474F6" w:rsidRPr="00AF1481" w:rsidRDefault="00A474F6" w:rsidP="008C5949">
            <w:pPr>
              <w:pStyle w:val="TableText0"/>
            </w:pPr>
            <w:r w:rsidRPr="00AF1481">
              <w:t>Streamlined</w:t>
            </w:r>
          </w:p>
        </w:tc>
      </w:tr>
      <w:tr w:rsidR="00A474F6" w:rsidRPr="00AF1481" w14:paraId="0B9CB960" w14:textId="77777777" w:rsidTr="008C5949">
        <w:tc>
          <w:tcPr>
            <w:tcW w:w="1838" w:type="dxa"/>
            <w:tcBorders>
              <w:top w:val="single" w:sz="4" w:space="0" w:color="auto"/>
              <w:left w:val="single" w:sz="4" w:space="0" w:color="auto"/>
              <w:bottom w:val="single" w:sz="4" w:space="0" w:color="auto"/>
              <w:right w:val="single" w:sz="4" w:space="0" w:color="auto"/>
            </w:tcBorders>
            <w:vAlign w:val="center"/>
            <w:hideMark/>
          </w:tcPr>
          <w:p w14:paraId="647971D8" w14:textId="77777777" w:rsidR="00A474F6" w:rsidRPr="00AF1481" w:rsidRDefault="00A474F6" w:rsidP="008C5949">
            <w:pPr>
              <w:pStyle w:val="TableText0"/>
              <w:rPr>
                <w:b/>
                <w:bCs w:val="0"/>
              </w:rPr>
            </w:pPr>
            <w:r w:rsidRPr="00AF1481">
              <w:rPr>
                <w:b/>
                <w:bCs w:val="0"/>
              </w:rPr>
              <w:t>Treatment criteria</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211454F" w14:textId="77777777" w:rsidR="00A474F6" w:rsidRPr="00AF1481" w:rsidRDefault="00A474F6" w:rsidP="008C5949">
            <w:pPr>
              <w:pStyle w:val="TableText0"/>
            </w:pPr>
            <w:r w:rsidRPr="00AF1481">
              <w:t>Must be treated by an ophthalmologist or by an accredited ophthalmology registrar in consultation with an ophthalmologist</w:t>
            </w:r>
          </w:p>
        </w:tc>
      </w:tr>
      <w:tr w:rsidR="00A474F6" w:rsidRPr="00AF1481" w14:paraId="1E591441" w14:textId="77777777" w:rsidTr="008C5949">
        <w:tc>
          <w:tcPr>
            <w:tcW w:w="1838" w:type="dxa"/>
            <w:tcBorders>
              <w:top w:val="single" w:sz="4" w:space="0" w:color="auto"/>
              <w:left w:val="single" w:sz="4" w:space="0" w:color="auto"/>
              <w:bottom w:val="single" w:sz="4" w:space="0" w:color="auto"/>
              <w:right w:val="single" w:sz="4" w:space="0" w:color="auto"/>
            </w:tcBorders>
            <w:vAlign w:val="center"/>
            <w:hideMark/>
          </w:tcPr>
          <w:p w14:paraId="16804AE7" w14:textId="77777777" w:rsidR="00A474F6" w:rsidRPr="00AF1481" w:rsidRDefault="00A474F6" w:rsidP="008C5949">
            <w:pPr>
              <w:pStyle w:val="TableText0"/>
              <w:rPr>
                <w:b/>
                <w:bCs w:val="0"/>
              </w:rPr>
            </w:pPr>
            <w:r w:rsidRPr="00AF1481">
              <w:rPr>
                <w:b/>
                <w:bCs w:val="0"/>
              </w:rPr>
              <w:t>Clinical criteria</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2C64E24" w14:textId="77777777" w:rsidR="00A474F6" w:rsidRPr="00AF1481" w:rsidRDefault="00A474F6" w:rsidP="008C5949">
            <w:pPr>
              <w:pStyle w:val="TableText0"/>
            </w:pPr>
            <w:r w:rsidRPr="00AF1481">
              <w:t>Patient must have previously received PBS-subsidised treatment with this drug for this condition for the same eye</w:t>
            </w:r>
          </w:p>
          <w:p w14:paraId="1CB0AD32" w14:textId="77777777" w:rsidR="00A474F6" w:rsidRPr="00AF1481" w:rsidRDefault="00A474F6" w:rsidP="008C5949">
            <w:pPr>
              <w:pStyle w:val="TableText0"/>
            </w:pPr>
            <w:r w:rsidRPr="00AF1481">
              <w:t>AND</w:t>
            </w:r>
          </w:p>
          <w:p w14:paraId="40F12324" w14:textId="77777777" w:rsidR="00A474F6" w:rsidRPr="00AF1481" w:rsidRDefault="00A474F6" w:rsidP="008C5949">
            <w:pPr>
              <w:pStyle w:val="TableText0"/>
            </w:pPr>
            <w:r w:rsidRPr="00AF1481">
              <w:t>The treatment must be as monotherapy; or</w:t>
            </w:r>
          </w:p>
          <w:p w14:paraId="7DDDFCF5" w14:textId="77777777" w:rsidR="00A474F6" w:rsidRPr="00AF1481" w:rsidRDefault="00A474F6" w:rsidP="008C5949">
            <w:pPr>
              <w:pStyle w:val="TableText0"/>
            </w:pPr>
            <w:r w:rsidRPr="00AF1481">
              <w:t>The treatment must be in combination with laser photocoagulation</w:t>
            </w:r>
          </w:p>
          <w:p w14:paraId="483E3DE3" w14:textId="77777777" w:rsidR="00A474F6" w:rsidRPr="00AF1481" w:rsidRDefault="00A474F6" w:rsidP="008C5949">
            <w:pPr>
              <w:pStyle w:val="TableText0"/>
            </w:pPr>
            <w:r w:rsidRPr="00AF1481">
              <w:t>AND</w:t>
            </w:r>
          </w:p>
          <w:p w14:paraId="16D9031C" w14:textId="77777777" w:rsidR="00A474F6" w:rsidRPr="00AF1481" w:rsidRDefault="00A474F6" w:rsidP="008C5949">
            <w:pPr>
              <w:pStyle w:val="TableText0"/>
            </w:pPr>
            <w:r w:rsidRPr="00AF1481">
              <w:t>The treatment must be the sole PBS-subsidised therapy for this condition</w:t>
            </w:r>
          </w:p>
        </w:tc>
      </w:tr>
    </w:tbl>
    <w:p w14:paraId="5AAFA8F2" w14:textId="77777777" w:rsidR="00A05AA6" w:rsidRDefault="00A474F6" w:rsidP="00A474F6">
      <w:pPr>
        <w:pStyle w:val="FooterTableFigure"/>
      </w:pPr>
      <w:r w:rsidRPr="00AF1481">
        <w:t>Source: Table 1-6 p14, Table 1-7 p15 of the submission, Table 1</w:t>
      </w:r>
      <w:r w:rsidR="000D1361" w:rsidRPr="00AF1481">
        <w:t>-</w:t>
      </w:r>
      <w:r w:rsidRPr="00AF1481">
        <w:t>8 p16 of the submission,</w:t>
      </w:r>
    </w:p>
    <w:p w14:paraId="05587FB7" w14:textId="77777777" w:rsidR="00A05AA6" w:rsidRDefault="00A474F6" w:rsidP="00A474F6">
      <w:pPr>
        <w:pStyle w:val="FooterTableFigure"/>
      </w:pPr>
      <w:r w:rsidRPr="00AF1481">
        <w:t xml:space="preserve">DMO = diabetic macular oedema; DPMQ = dispensed price for maximum quantity; HPOS = Health Professional Online Services; PFS = pre-filled syringe; PBS = </w:t>
      </w:r>
      <w:r w:rsidR="00F33FA1" w:rsidRPr="00AF1481">
        <w:t>Pharmaceutical</w:t>
      </w:r>
      <w:r w:rsidRPr="00AF1481">
        <w:t xml:space="preserve"> Benefits Schedule</w:t>
      </w:r>
    </w:p>
    <w:p w14:paraId="07048AB8" w14:textId="1FF14107" w:rsidR="00A474F6" w:rsidRPr="00AF1481" w:rsidRDefault="00A474F6" w:rsidP="00A474F6">
      <w:pPr>
        <w:pStyle w:val="FooterTableFigure"/>
      </w:pPr>
      <w:r w:rsidRPr="00AF1481">
        <w:rPr>
          <w:vertAlign w:val="superscript"/>
        </w:rPr>
        <w:t>a</w:t>
      </w:r>
      <w:r w:rsidRPr="00AF1481">
        <w:t xml:space="preserve"> Each vial and PFS provides a usable amount to deliver a single dose of 70 </w:t>
      </w:r>
      <w:r w:rsidR="00CC2547" w:rsidRPr="00AF1481">
        <w:t xml:space="preserve">microlitre </w:t>
      </w:r>
      <w:r w:rsidRPr="00AF1481">
        <w:t xml:space="preserve">solution for intravitreal injection containing aflibercept 8 </w:t>
      </w:r>
      <w:r w:rsidR="00F33FA1" w:rsidRPr="00AF1481">
        <w:t xml:space="preserve">mg. </w:t>
      </w:r>
      <w:r w:rsidR="00740978" w:rsidRPr="00AF1481">
        <w:t>The DPMQ was</w:t>
      </w:r>
      <w:r w:rsidRPr="00AF1481">
        <w:t xml:space="preserve"> updated during the evaluation (</w:t>
      </w:r>
      <w:r w:rsidRPr="001B7A31">
        <w:t>from $</w:t>
      </w:r>
      <w:r w:rsidRPr="00FD014B">
        <w:t>1,296.57</w:t>
      </w:r>
      <w:r w:rsidRPr="00AF1481">
        <w:t xml:space="preserve"> published) using the updated scheduled fee for intravitreal injection (MBS item 42738</w:t>
      </w:r>
      <w:r w:rsidR="00871A40" w:rsidRPr="00AF1481">
        <w:t>)</w:t>
      </w:r>
      <w:r w:rsidR="00573094" w:rsidRPr="00AF1481">
        <w:t>.</w:t>
      </w:r>
    </w:p>
    <w:p w14:paraId="35F6CA2D" w14:textId="3CDA57FB" w:rsidR="00A05AA6" w:rsidRDefault="00A474F6" w:rsidP="00A474F6">
      <w:pPr>
        <w:pStyle w:val="ExecSumBodyText"/>
        <w:numPr>
          <w:ilvl w:val="1"/>
          <w:numId w:val="1"/>
        </w:numPr>
        <w:ind w:left="709" w:hanging="709"/>
      </w:pPr>
      <w:r w:rsidRPr="00AF1481">
        <w:t xml:space="preserve">The submission proposed a special pricing arrangement (SPA), with a published </w:t>
      </w:r>
      <w:r w:rsidR="00FE467B" w:rsidRPr="00AF1481">
        <w:t xml:space="preserve">ex-manufacturer </w:t>
      </w:r>
      <w:r w:rsidRPr="00AF1481">
        <w:t xml:space="preserve">price for aflibercept 8 mg of </w:t>
      </w:r>
      <w:r w:rsidRPr="001B7A31">
        <w:rPr>
          <w:bCs/>
          <w:iCs/>
        </w:rPr>
        <w:t>$</w:t>
      </w:r>
      <w:r w:rsidR="00FE467B" w:rsidRPr="00FD014B">
        <w:rPr>
          <w:bCs/>
          <w:iCs/>
        </w:rPr>
        <w:t>1,173.08</w:t>
      </w:r>
      <w:r w:rsidR="00FE467B" w:rsidRPr="001B7A31">
        <w:rPr>
          <w:bCs/>
          <w:iCs/>
        </w:rPr>
        <w:t xml:space="preserve"> per injection</w:t>
      </w:r>
      <w:r w:rsidR="00FE467B" w:rsidRPr="00AF1481">
        <w:rPr>
          <w:bCs/>
          <w:iCs/>
        </w:rPr>
        <w:t xml:space="preserve"> </w:t>
      </w:r>
      <w:r w:rsidR="00C91F79" w:rsidRPr="00AF1481">
        <w:rPr>
          <w:bCs/>
          <w:iCs/>
        </w:rPr>
        <w:t>a</w:t>
      </w:r>
      <w:r w:rsidRPr="00AF1481">
        <w:t>nd an effective</w:t>
      </w:r>
      <w:r w:rsidR="00FE467B" w:rsidRPr="00AF1481">
        <w:t xml:space="preserve"> ex-manufacturer</w:t>
      </w:r>
      <w:r w:rsidR="00B51232" w:rsidRPr="00AF1481">
        <w:t xml:space="preserve"> </w:t>
      </w:r>
      <w:r w:rsidRPr="00AF1481">
        <w:t>price of $</w:t>
      </w:r>
      <w:r w:rsidR="00BD1B38" w:rsidRPr="009404AF">
        <w:rPr>
          <w:color w:val="000000"/>
          <w:w w:val="15"/>
          <w:shd w:val="solid" w:color="000000" w:fill="000000"/>
          <w:fitText w:val="-20" w:id="-931927295"/>
          <w14:textFill>
            <w14:solidFill>
              <w14:srgbClr w14:val="000000">
                <w14:alpha w14:val="100000"/>
              </w14:srgbClr>
            </w14:solidFill>
          </w14:textFill>
        </w:rPr>
        <w:t xml:space="preserve">|  </w:t>
      </w:r>
      <w:r w:rsidR="00BD1B38" w:rsidRPr="009404AF">
        <w:rPr>
          <w:color w:val="000000"/>
          <w:spacing w:val="-69"/>
          <w:w w:val="15"/>
          <w:shd w:val="solid" w:color="000000" w:fill="000000"/>
          <w:fitText w:val="-20" w:id="-931927295"/>
          <w14:textFill>
            <w14:solidFill>
              <w14:srgbClr w14:val="000000">
                <w14:alpha w14:val="100000"/>
              </w14:srgbClr>
            </w14:solidFill>
          </w14:textFill>
        </w:rPr>
        <w:t>|</w:t>
      </w:r>
      <w:r w:rsidR="0048020A" w:rsidRPr="00AF1481">
        <w:t xml:space="preserve"> (based on a cost</w:t>
      </w:r>
      <w:r w:rsidR="0068142E" w:rsidRPr="00AF1481">
        <w:t>-</w:t>
      </w:r>
      <w:r w:rsidR="0048020A" w:rsidRPr="00AF1481">
        <w:t>minimisation approach to aflibercept 2 mg)</w:t>
      </w:r>
      <w:r w:rsidRPr="00AF1481">
        <w:t>.</w:t>
      </w:r>
    </w:p>
    <w:p w14:paraId="544A5D74" w14:textId="2F283E9D" w:rsidR="00A474F6" w:rsidRPr="00AF1481" w:rsidRDefault="00A447DA" w:rsidP="00A474F6">
      <w:pPr>
        <w:pStyle w:val="ExecSumBodyText"/>
        <w:numPr>
          <w:ilvl w:val="1"/>
          <w:numId w:val="1"/>
        </w:numPr>
        <w:ind w:left="709" w:hanging="709"/>
      </w:pPr>
      <w:r w:rsidRPr="00AF1481">
        <w:rPr>
          <w:iCs/>
        </w:rPr>
        <w:t>The proposed restrictions are consistent with the current PBS restrictions for aflibercept 2 mg, ranibizumab and faricimab for DMO.</w:t>
      </w:r>
    </w:p>
    <w:p w14:paraId="43F01637" w14:textId="1C1CFA87" w:rsidR="00A474F6" w:rsidRPr="00AF1481" w:rsidRDefault="00A474F6" w:rsidP="00A474F6">
      <w:pPr>
        <w:pStyle w:val="ExecSumBodyText"/>
        <w:numPr>
          <w:ilvl w:val="1"/>
          <w:numId w:val="1"/>
        </w:numPr>
        <w:ind w:left="709" w:hanging="709"/>
        <w:rPr>
          <w:iCs/>
        </w:rPr>
      </w:pPr>
      <w:r w:rsidRPr="00AF1481">
        <w:rPr>
          <w:iCs/>
        </w:rPr>
        <w:t>The proposed PBS listing includes restrictions based on the presence/level of visual impairment, method of diagnosis, and use of aflibercept as monotherapy or in combination with laser photocoagulation, making it narrower than the proposed TGA listing.</w:t>
      </w:r>
    </w:p>
    <w:p w14:paraId="22EAC6A0" w14:textId="77777777" w:rsidR="00A05AA6" w:rsidRDefault="00A474F6" w:rsidP="00A474F6">
      <w:pPr>
        <w:pStyle w:val="ExecSumBodyText"/>
        <w:numPr>
          <w:ilvl w:val="1"/>
          <w:numId w:val="1"/>
        </w:numPr>
        <w:ind w:left="709" w:hanging="709"/>
        <w:rPr>
          <w:iCs/>
        </w:rPr>
      </w:pPr>
      <w:r w:rsidRPr="00AF1481">
        <w:rPr>
          <w:iCs/>
        </w:rPr>
        <w:t xml:space="preserve">There were differences between the proposed restriction and the eligibility criteria for PHOTON (the pivotal study presented in </w:t>
      </w:r>
      <w:r w:rsidR="00740978" w:rsidRPr="00AF1481">
        <w:rPr>
          <w:iCs/>
        </w:rPr>
        <w:t>the submission</w:t>
      </w:r>
      <w:r w:rsidRPr="00AF1481">
        <w:rPr>
          <w:iCs/>
        </w:rPr>
        <w:t>) with respect to patient’s age, central retinal thickness</w:t>
      </w:r>
      <w:r w:rsidRPr="00AF1481">
        <w:rPr>
          <w:rFonts w:ascii="Helvetica Neue" w:hAnsi="Helvetica Neue" w:cs="Helvetica Neue"/>
          <w:color w:val="000000"/>
          <w:sz w:val="26"/>
          <w:szCs w:val="26"/>
        </w:rPr>
        <w:t xml:space="preserve"> (</w:t>
      </w:r>
      <w:r w:rsidRPr="00AF1481">
        <w:rPr>
          <w:iCs/>
        </w:rPr>
        <w:t xml:space="preserve">CRT), the level of visual impairment, use as </w:t>
      </w:r>
      <w:r w:rsidR="00F33FA1" w:rsidRPr="00AF1481">
        <w:rPr>
          <w:iCs/>
        </w:rPr>
        <w:t>monotherapy</w:t>
      </w:r>
      <w:r w:rsidRPr="00AF1481">
        <w:rPr>
          <w:iCs/>
        </w:rPr>
        <w:t xml:space="preserve"> or in combination with laser photocoagulation and prior VEGF treatment.</w:t>
      </w:r>
    </w:p>
    <w:p w14:paraId="6728B53F" w14:textId="77777777" w:rsidR="00A05AA6" w:rsidRDefault="00CC2547" w:rsidP="00A474F6">
      <w:pPr>
        <w:pStyle w:val="ExecSumBodyText"/>
        <w:numPr>
          <w:ilvl w:val="1"/>
          <w:numId w:val="1"/>
        </w:numPr>
        <w:ind w:left="709" w:hanging="709"/>
        <w:rPr>
          <w:iCs/>
        </w:rPr>
      </w:pPr>
      <w:r w:rsidRPr="00AF1481">
        <w:rPr>
          <w:iCs/>
        </w:rPr>
        <w:t xml:space="preserve">The submission requested PBS listing for </w:t>
      </w:r>
      <w:r w:rsidR="00714EE5" w:rsidRPr="00AF1481">
        <w:rPr>
          <w:iCs/>
        </w:rPr>
        <w:t xml:space="preserve">both </w:t>
      </w:r>
      <w:r w:rsidRPr="00AF1481">
        <w:rPr>
          <w:iCs/>
        </w:rPr>
        <w:t>vial and pre-filled syringe</w:t>
      </w:r>
      <w:r w:rsidR="00714EE5" w:rsidRPr="00AF1481">
        <w:rPr>
          <w:iCs/>
        </w:rPr>
        <w:t xml:space="preserve"> forms of aflibercept 8 mg. H</w:t>
      </w:r>
      <w:r w:rsidRPr="00AF1481">
        <w:rPr>
          <w:iCs/>
        </w:rPr>
        <w:t xml:space="preserve">owever, </w:t>
      </w:r>
      <w:r w:rsidR="00714EE5" w:rsidRPr="00AF1481">
        <w:rPr>
          <w:iCs/>
        </w:rPr>
        <w:t>a TGA application to register the</w:t>
      </w:r>
      <w:r w:rsidRPr="00AF1481">
        <w:rPr>
          <w:iCs/>
        </w:rPr>
        <w:t xml:space="preserve"> pre-filled syringe presentation </w:t>
      </w:r>
      <w:r w:rsidR="00714EE5" w:rsidRPr="00AF1481">
        <w:rPr>
          <w:iCs/>
        </w:rPr>
        <w:t>had not been submitted prior to lodgement of this submission</w:t>
      </w:r>
      <w:r w:rsidRPr="00AF1481">
        <w:rPr>
          <w:iCs/>
        </w:rPr>
        <w:t>. Therefore, the syringe presentation was not considered by the PBAC.</w:t>
      </w:r>
    </w:p>
    <w:p w14:paraId="5ADA18F6" w14:textId="77777777" w:rsidR="00A05AA6" w:rsidRDefault="00A474F6" w:rsidP="00A474F6">
      <w:pPr>
        <w:pStyle w:val="ExecSumBodyText"/>
        <w:numPr>
          <w:ilvl w:val="1"/>
          <w:numId w:val="1"/>
        </w:numPr>
        <w:ind w:left="709" w:hanging="709"/>
        <w:rPr>
          <w:iCs/>
        </w:rPr>
      </w:pPr>
      <w:r w:rsidRPr="00AF1481">
        <w:t>The submission requested grandfathering provisions for patients who initiate treatment with aflibercept</w:t>
      </w:r>
      <w:r w:rsidR="008356B6" w:rsidRPr="00AF1481">
        <w:t xml:space="preserve"> 8 mg</w:t>
      </w:r>
      <w:r w:rsidRPr="00AF1481">
        <w:t xml:space="preserve"> through an early access program planned for 2024, prior to PBS listing. </w:t>
      </w:r>
      <w:r w:rsidRPr="00AF1481">
        <w:rPr>
          <w:iCs/>
        </w:rPr>
        <w:t>The submission did not provide an estimate of the number of eligible grandfathered patients if aflibercept receive</w:t>
      </w:r>
      <w:r w:rsidR="0048020A" w:rsidRPr="00AF1481">
        <w:rPr>
          <w:iCs/>
        </w:rPr>
        <w:t>d</w:t>
      </w:r>
      <w:r w:rsidRPr="00AF1481">
        <w:rPr>
          <w:iCs/>
        </w:rPr>
        <w:t xml:space="preserve"> a positive PBAC recommendation.</w:t>
      </w:r>
    </w:p>
    <w:p w14:paraId="6CEAF336" w14:textId="1FBE1937" w:rsidR="00CF2A8E" w:rsidRPr="00AF1481" w:rsidRDefault="00CF2A8E" w:rsidP="00CF2A8E">
      <w:pPr>
        <w:ind w:firstLine="709"/>
        <w:rPr>
          <w:rFonts w:asciiTheme="minorHAnsi" w:hAnsiTheme="minorHAnsi"/>
          <w:i/>
        </w:rPr>
      </w:pPr>
      <w:r w:rsidRPr="00AF1481">
        <w:rPr>
          <w:rFonts w:asciiTheme="minorHAnsi" w:hAnsiTheme="minorHAnsi"/>
          <w:i/>
        </w:rPr>
        <w:t>For more detail on PBAC’s view, see section 7 PBAC outcome.</w:t>
      </w:r>
    </w:p>
    <w:p w14:paraId="03327B38" w14:textId="77777777" w:rsidR="00A474F6" w:rsidRPr="00AF1481" w:rsidDel="00195452" w:rsidRDefault="00A474F6" w:rsidP="00A474F6">
      <w:pPr>
        <w:pStyle w:val="2-SectionHeading"/>
      </w:pPr>
      <w:bookmarkStart w:id="22" w:name="_Toc107927623"/>
      <w:bookmarkStart w:id="23" w:name="_Toc153957292"/>
      <w:bookmarkStart w:id="24" w:name="_Toc156896364"/>
      <w:r w:rsidRPr="00AF1481" w:rsidDel="00195452">
        <w:lastRenderedPageBreak/>
        <w:t>Population and disease</w:t>
      </w:r>
      <w:bookmarkEnd w:id="22"/>
      <w:bookmarkEnd w:id="23"/>
      <w:bookmarkEnd w:id="24"/>
    </w:p>
    <w:p w14:paraId="22032ABC" w14:textId="77777777" w:rsidR="00A05AA6" w:rsidRDefault="00A474F6" w:rsidP="00A474F6">
      <w:pPr>
        <w:pStyle w:val="ExecSumBodyText"/>
        <w:numPr>
          <w:ilvl w:val="1"/>
          <w:numId w:val="1"/>
        </w:numPr>
        <w:ind w:left="709" w:hanging="709"/>
      </w:pPr>
      <w:r w:rsidRPr="00AF1481">
        <w:t xml:space="preserve">Diabetic retinopathy describes microvascular abnormalities on the interior surface of the eye (fundus) that develop in persons with diabetes. DMO is an advanced manifestation of diabetic </w:t>
      </w:r>
      <w:r w:rsidR="00493CC7" w:rsidRPr="00AF1481">
        <w:t>retinopathy and</w:t>
      </w:r>
      <w:r w:rsidRPr="00AF1481">
        <w:t xml:space="preserve"> is characterised by retinal thickening/swelling due to accumulation of fluid within the retina. DMO affects approximately 6.8% of the patient population with diabetes mellitus. Symptoms of macular oedema include blurring or distortion of central vision, and disturbance in the perception of colours. DMO causes visual impairment. If left untreated, the majority of patients lose more than two lines of visual acuity (VA) within two years. The burden of DMO on society is expected to increase with the increasing prevalence of </w:t>
      </w:r>
      <w:r w:rsidR="008356B6" w:rsidRPr="00AF1481">
        <w:t>diabetes mellitus</w:t>
      </w:r>
      <w:r w:rsidRPr="00AF1481">
        <w:t>.</w:t>
      </w:r>
    </w:p>
    <w:p w14:paraId="6B3C735B" w14:textId="77777777" w:rsidR="00A05AA6" w:rsidRDefault="00A474F6" w:rsidP="00A474F6">
      <w:pPr>
        <w:pStyle w:val="ExecSumBodyText"/>
        <w:numPr>
          <w:ilvl w:val="1"/>
          <w:numId w:val="1"/>
        </w:numPr>
        <w:ind w:left="709" w:hanging="709"/>
      </w:pPr>
      <w:r w:rsidRPr="00AF1481">
        <w:t>The current standard of care for patients with DMO is intravitreal (IVT) administration of anti-VEGF therapy. Three anti-VEGF IVT therapies (aflibercept 2 mg, ranibizumab and faricimab) are currently listed on the PBS for the treatment of DMO.</w:t>
      </w:r>
      <w:r w:rsidRPr="00AF1481">
        <w:rPr>
          <w:color w:val="000000" w:themeColor="text1"/>
        </w:rPr>
        <w:t xml:space="preserve"> Aflibercept </w:t>
      </w:r>
      <w:r w:rsidRPr="00AF1481">
        <w:t>is a recombinant fusion protein consisting of portions of human VEGF receptor 1 (VEGF-R1) and 2 (VEGF-R2) extracellular domains fused to the Fc proportion of human immunoglobulin G (IgG) 1.</w:t>
      </w:r>
    </w:p>
    <w:p w14:paraId="5D0550F8" w14:textId="6E8B25F7" w:rsidR="00F14F50" w:rsidRPr="00AF1481" w:rsidRDefault="00F14F50" w:rsidP="00A474F6">
      <w:pPr>
        <w:pStyle w:val="ExecSumBodyText"/>
        <w:numPr>
          <w:ilvl w:val="1"/>
          <w:numId w:val="1"/>
        </w:numPr>
        <w:ind w:left="709" w:hanging="709"/>
      </w:pPr>
      <w:bookmarkStart w:id="25" w:name="_Ref155082464"/>
      <w:r w:rsidRPr="00AF1481">
        <w:t xml:space="preserve">Aflibercept 2 mg is currently the most widely used IVT </w:t>
      </w:r>
      <w:r w:rsidR="009C137F" w:rsidRPr="00AF1481">
        <w:t>anti-</w:t>
      </w:r>
      <w:r w:rsidRPr="00AF1481">
        <w:t>VEGF</w:t>
      </w:r>
      <w:r w:rsidR="009C137F" w:rsidRPr="00AF1481">
        <w:t xml:space="preserve"> therapy</w:t>
      </w:r>
      <w:r w:rsidRPr="00AF1481">
        <w:t xml:space="preserve"> for DMO. </w:t>
      </w:r>
      <w:bookmarkStart w:id="26" w:name="_Hlk167720355"/>
      <w:r w:rsidRPr="00AF1481">
        <w:t xml:space="preserve">The dosing regimen for aflibercept 2 mg is </w:t>
      </w:r>
      <w:r w:rsidR="005961DF" w:rsidRPr="00AF1481">
        <w:t>five</w:t>
      </w:r>
      <w:r w:rsidRPr="00AF1481">
        <w:t xml:space="preserve"> initial </w:t>
      </w:r>
      <w:r w:rsidR="00B51232" w:rsidRPr="00AF1481">
        <w:t xml:space="preserve">monthly </w:t>
      </w:r>
      <w:r w:rsidRPr="00AF1481">
        <w:t>loading doses, followed by an 8</w:t>
      </w:r>
      <w:r w:rsidR="008E1AB6" w:rsidRPr="00AF1481">
        <w:t>-</w:t>
      </w:r>
      <w:r w:rsidRPr="00AF1481">
        <w:t>week dosing interval, with possible extension of that interval based on physician's assessment of visual and/or anatomic outcomes.</w:t>
      </w:r>
      <w:r w:rsidRPr="00AF1481">
        <w:rPr>
          <w:iCs/>
        </w:rPr>
        <w:t xml:space="preserve"> </w:t>
      </w:r>
      <w:bookmarkEnd w:id="26"/>
      <w:r w:rsidRPr="00AF1481">
        <w:rPr>
          <w:iCs/>
        </w:rPr>
        <w:t xml:space="preserve">This is the treatment practice known as 'treat-and-extend' (T&amp;E) whereby the dosing interval for anti-VEGF therapies is increased after the initial stabilisation period; T&amp;E is applied to all IVT </w:t>
      </w:r>
      <w:r w:rsidR="00A33985" w:rsidRPr="00AF1481">
        <w:rPr>
          <w:iCs/>
        </w:rPr>
        <w:t>anti-</w:t>
      </w:r>
      <w:r w:rsidRPr="00AF1481">
        <w:rPr>
          <w:iCs/>
        </w:rPr>
        <w:t>VEGF therapies.</w:t>
      </w:r>
      <w:bookmarkEnd w:id="25"/>
    </w:p>
    <w:p w14:paraId="0830DFA4" w14:textId="77777777" w:rsidR="00A05AA6" w:rsidRDefault="00A474F6" w:rsidP="00A474F6">
      <w:pPr>
        <w:pStyle w:val="ExecSumBodyText"/>
        <w:numPr>
          <w:ilvl w:val="1"/>
          <w:numId w:val="1"/>
        </w:numPr>
        <w:ind w:left="709" w:hanging="709"/>
      </w:pPr>
      <w:bookmarkStart w:id="27" w:name="_Ref155082591"/>
      <w:r w:rsidRPr="00AF1481">
        <w:t xml:space="preserve">The </w:t>
      </w:r>
      <w:r w:rsidR="00A33985" w:rsidRPr="00AF1481">
        <w:t>proposed</w:t>
      </w:r>
      <w:r w:rsidRPr="00AF1481">
        <w:t xml:space="preserve"> dose for aflibercept in the 8 mg form </w:t>
      </w:r>
      <w:r w:rsidR="00F14F50" w:rsidRPr="00AF1481">
        <w:t xml:space="preserve">is IVT </w:t>
      </w:r>
      <w:r w:rsidRPr="00AF1481">
        <w:t>injection monthly for the first 3 consecutive months</w:t>
      </w:r>
      <w:r w:rsidR="00DD72E2" w:rsidRPr="00AF1481">
        <w:t xml:space="preserve"> (as loading doses)</w:t>
      </w:r>
      <w:r w:rsidRPr="00AF1481">
        <w:t xml:space="preserve">. Thereafter, the treatment interval may be extended based on physician’s </w:t>
      </w:r>
      <w:r w:rsidR="00F14F50" w:rsidRPr="00AF1481">
        <w:t>assessment</w:t>
      </w:r>
      <w:r w:rsidR="009A1844" w:rsidRPr="00AF1481">
        <w:t>, with the proposed maximum treatment interval being 16 weeks (based on the TGA Delegate’s Overview).</w:t>
      </w:r>
      <w:bookmarkEnd w:id="27"/>
    </w:p>
    <w:p w14:paraId="66C94E5D" w14:textId="77777777" w:rsidR="00A05AA6" w:rsidRDefault="00A474F6" w:rsidP="00A474F6">
      <w:pPr>
        <w:pStyle w:val="ExecSumBodyText"/>
        <w:numPr>
          <w:ilvl w:val="1"/>
          <w:numId w:val="1"/>
        </w:numPr>
        <w:ind w:left="709" w:hanging="709"/>
      </w:pPr>
      <w:r w:rsidRPr="00AF1481">
        <w:t>The submission positioned aflibercept 8 mg as an alternative to the PBS-listed anti-VEGF therapies ranibizumab, aflibercept 2 mg and faricimab.</w:t>
      </w:r>
    </w:p>
    <w:p w14:paraId="3B622DCB" w14:textId="56005BA9" w:rsidR="00CF2A8E" w:rsidRPr="00AF1481" w:rsidRDefault="00CF2A8E" w:rsidP="00CF2A8E">
      <w:pPr>
        <w:ind w:firstLine="709"/>
        <w:rPr>
          <w:rFonts w:asciiTheme="minorHAnsi" w:hAnsiTheme="minorHAnsi"/>
          <w:i/>
        </w:rPr>
      </w:pPr>
      <w:r w:rsidRPr="00AF1481">
        <w:rPr>
          <w:rFonts w:asciiTheme="minorHAnsi" w:hAnsiTheme="minorHAnsi"/>
          <w:i/>
        </w:rPr>
        <w:t>For more detail on PBAC’s view, see section 7 PBAC outcome.</w:t>
      </w:r>
    </w:p>
    <w:p w14:paraId="5A616EFB" w14:textId="77777777" w:rsidR="00A474F6" w:rsidRPr="00AF1481" w:rsidRDefault="00A474F6" w:rsidP="00A474F6">
      <w:pPr>
        <w:pStyle w:val="2-SectionHeading"/>
      </w:pPr>
      <w:bookmarkStart w:id="28" w:name="_Toc107927624"/>
      <w:bookmarkStart w:id="29" w:name="_Toc153957293"/>
      <w:bookmarkStart w:id="30" w:name="_Toc156896365"/>
      <w:r w:rsidRPr="00AF1481">
        <w:t>Comparator</w:t>
      </w:r>
      <w:bookmarkEnd w:id="28"/>
      <w:bookmarkEnd w:id="29"/>
      <w:bookmarkEnd w:id="30"/>
    </w:p>
    <w:p w14:paraId="66EB8167" w14:textId="77777777" w:rsidR="00A474F6" w:rsidRPr="00AF1481" w:rsidRDefault="00A474F6" w:rsidP="00A474F6">
      <w:pPr>
        <w:pStyle w:val="ExecSumBodyText"/>
        <w:numPr>
          <w:ilvl w:val="1"/>
          <w:numId w:val="1"/>
        </w:numPr>
        <w:ind w:left="709" w:hanging="709"/>
      </w:pPr>
      <w:bookmarkStart w:id="31" w:name="_Toc107927625"/>
      <w:r w:rsidRPr="00AF1481">
        <w:t>The submission nominated aflibercept 2 mg as the main comparator. The main arguments provided in support of this nomination were:</w:t>
      </w:r>
    </w:p>
    <w:p w14:paraId="73D02DAC" w14:textId="339E8079" w:rsidR="00A474F6" w:rsidRPr="00AF1481" w:rsidRDefault="00A474F6" w:rsidP="00A45CFC">
      <w:pPr>
        <w:pStyle w:val="ExecSumBodyText"/>
        <w:numPr>
          <w:ilvl w:val="0"/>
          <w:numId w:val="7"/>
        </w:numPr>
        <w:ind w:left="1069"/>
        <w:rPr>
          <w:iCs/>
        </w:rPr>
      </w:pPr>
      <w:r w:rsidRPr="00AF1481">
        <w:t xml:space="preserve">Aflibercept 2 mg is the most commonly used anti-VEGF treatment for DMO on the </w:t>
      </w:r>
      <w:r w:rsidR="00AF1481" w:rsidRPr="00AF1481">
        <w:t>PBS and</w:t>
      </w:r>
      <w:r w:rsidRPr="00AF1481">
        <w:t xml:space="preserve"> is the therapy most likely to be replaced. </w:t>
      </w:r>
      <w:r w:rsidRPr="00AF1481">
        <w:rPr>
          <w:iCs/>
        </w:rPr>
        <w:t>This argument was supported by PBS dispensing data presented in the submission, which indicated that in 202</w:t>
      </w:r>
      <w:r w:rsidR="0049520F" w:rsidRPr="00AF1481">
        <w:rPr>
          <w:iCs/>
        </w:rPr>
        <w:t>2/23</w:t>
      </w:r>
      <w:r w:rsidRPr="00AF1481">
        <w:rPr>
          <w:iCs/>
        </w:rPr>
        <w:t xml:space="preserve"> </w:t>
      </w:r>
      <w:r w:rsidRPr="00AF1481">
        <w:rPr>
          <w:iCs/>
        </w:rPr>
        <w:lastRenderedPageBreak/>
        <w:t>aflibercept</w:t>
      </w:r>
      <w:r w:rsidR="0048020A" w:rsidRPr="00AF1481">
        <w:rPr>
          <w:iCs/>
        </w:rPr>
        <w:t xml:space="preserve">, </w:t>
      </w:r>
      <w:r w:rsidRPr="00AF1481">
        <w:rPr>
          <w:iCs/>
        </w:rPr>
        <w:t xml:space="preserve">ranibizumab </w:t>
      </w:r>
      <w:r w:rsidR="0048020A" w:rsidRPr="00AF1481">
        <w:rPr>
          <w:iCs/>
        </w:rPr>
        <w:t>and faricimab</w:t>
      </w:r>
      <w:r w:rsidR="0048020A" w:rsidRPr="00AF1481">
        <w:rPr>
          <w:rStyle w:val="FootnoteReference"/>
          <w:iCs/>
        </w:rPr>
        <w:footnoteReference w:id="2"/>
      </w:r>
      <w:r w:rsidR="0048020A" w:rsidRPr="00AF1481">
        <w:rPr>
          <w:iCs/>
        </w:rPr>
        <w:t xml:space="preserve"> </w:t>
      </w:r>
      <w:r w:rsidRPr="00AF1481">
        <w:rPr>
          <w:iCs/>
        </w:rPr>
        <w:t>accounted for 81%</w:t>
      </w:r>
      <w:r w:rsidR="0048020A" w:rsidRPr="00AF1481">
        <w:rPr>
          <w:iCs/>
        </w:rPr>
        <w:t xml:space="preserve">, </w:t>
      </w:r>
      <w:r w:rsidRPr="00AF1481">
        <w:rPr>
          <w:iCs/>
        </w:rPr>
        <w:t xml:space="preserve">14% </w:t>
      </w:r>
      <w:r w:rsidR="0048020A" w:rsidRPr="00AF1481">
        <w:rPr>
          <w:iCs/>
        </w:rPr>
        <w:t xml:space="preserve">and 5% </w:t>
      </w:r>
      <w:r w:rsidRPr="00AF1481">
        <w:rPr>
          <w:iCs/>
        </w:rPr>
        <w:t>of PBS dispensed items for DMO, respectively.</w:t>
      </w:r>
    </w:p>
    <w:p w14:paraId="76A13D85" w14:textId="77777777" w:rsidR="00A05AA6" w:rsidRDefault="005601D8" w:rsidP="00A45CFC">
      <w:pPr>
        <w:pStyle w:val="ExecSumBodyText"/>
        <w:numPr>
          <w:ilvl w:val="0"/>
          <w:numId w:val="7"/>
        </w:numPr>
        <w:ind w:left="1069"/>
      </w:pPr>
      <w:r w:rsidRPr="00AF1481">
        <w:t>T</w:t>
      </w:r>
      <w:r w:rsidR="00A474F6" w:rsidRPr="00AF1481">
        <w:t>he PBAC</w:t>
      </w:r>
      <w:r w:rsidRPr="00AF1481">
        <w:t xml:space="preserve"> has previously accepted claims</w:t>
      </w:r>
      <w:r w:rsidR="00A474F6" w:rsidRPr="00AF1481">
        <w:t xml:space="preserve"> of non-inferiority between aflibercept 2 mg and ranibizumab (para</w:t>
      </w:r>
      <w:r w:rsidR="0092755B">
        <w:t>graph</w:t>
      </w:r>
      <w:r w:rsidR="00A474F6" w:rsidRPr="00AF1481">
        <w:t xml:space="preserve"> 7.2, aflibercept DMO Public Summary Document (PSD), November 2014 PBAC Meeting) and</w:t>
      </w:r>
      <w:r w:rsidRPr="00AF1481">
        <w:t xml:space="preserve"> between</w:t>
      </w:r>
      <w:r w:rsidR="00A474F6" w:rsidRPr="00AF1481">
        <w:t xml:space="preserve"> </w:t>
      </w:r>
      <w:r w:rsidRPr="00AF1481">
        <w:t xml:space="preserve">aflibercept 2 mg and </w:t>
      </w:r>
      <w:r w:rsidR="00A474F6" w:rsidRPr="00AF1481">
        <w:t>faricimab (para</w:t>
      </w:r>
      <w:r w:rsidR="0092755B">
        <w:t>graph</w:t>
      </w:r>
      <w:r w:rsidR="00A474F6" w:rsidRPr="00AF1481">
        <w:t xml:space="preserve"> 7.3, faricimab DMO PSD, May 2022 PBAC meeting), </w:t>
      </w:r>
      <w:r w:rsidRPr="00AF1481">
        <w:t xml:space="preserve">and therefore </w:t>
      </w:r>
      <w:r w:rsidR="00A474F6" w:rsidRPr="00AF1481">
        <w:t>aflibercept 2 mg can be considered representative of available anti-VEGF therapies</w:t>
      </w:r>
      <w:r w:rsidR="009C137F" w:rsidRPr="00AF1481">
        <w:t>.</w:t>
      </w:r>
    </w:p>
    <w:p w14:paraId="6AFA43F1" w14:textId="53D03C2C" w:rsidR="00A474F6" w:rsidRPr="00AF1481" w:rsidRDefault="00A474F6" w:rsidP="00A474F6">
      <w:pPr>
        <w:pStyle w:val="ExecSumBodyText"/>
        <w:numPr>
          <w:ilvl w:val="1"/>
          <w:numId w:val="1"/>
        </w:numPr>
        <w:ind w:left="709" w:hanging="709"/>
      </w:pPr>
      <w:bookmarkStart w:id="32" w:name="_Hlk167896298"/>
      <w:r w:rsidRPr="00AF1481">
        <w:t xml:space="preserve">In the context of the cost-minimisation approach taken by the submission, a further consideration for PBAC is that, under Section 101(3B) of the </w:t>
      </w:r>
      <w:r w:rsidRPr="00AF1481">
        <w:rPr>
          <w:i/>
        </w:rPr>
        <w:t>National Health Act 1953</w:t>
      </w:r>
      <w:r w:rsidRPr="00AF1481">
        <w:rPr>
          <w:iCs/>
        </w:rPr>
        <w:t>,</w:t>
      </w:r>
      <w:r w:rsidRPr="00AF1481">
        <w:t xml:space="preserve"> when the proposed medicine is substantially more costly than an alternative therapy, the </w:t>
      </w:r>
      <w:r w:rsidR="00FD2710" w:rsidRPr="00AF1481">
        <w:t xml:space="preserve">Committee </w:t>
      </w:r>
      <w:r w:rsidRPr="00AF1481">
        <w:t xml:space="preserve">cannot make a positive recommendation unless it is satisfied that, for some patients, the proposed medicine provides a significant improvement in efficacy and/or reduction of toxicity over the alternative therapy. If the </w:t>
      </w:r>
      <w:r w:rsidR="00FD2710" w:rsidRPr="00AF1481">
        <w:t xml:space="preserve">Committee </w:t>
      </w:r>
      <w:r w:rsidRPr="00AF1481">
        <w:t>is so satisfied, it must make a statement to this effect.</w:t>
      </w:r>
      <w:r w:rsidR="00E000FB" w:rsidRPr="00AF1481">
        <w:t xml:space="preserve"> </w:t>
      </w:r>
      <w:r w:rsidR="00E000FB" w:rsidRPr="00AF1481">
        <w:rPr>
          <w:iCs/>
        </w:rPr>
        <w:t>F</w:t>
      </w:r>
      <w:r w:rsidR="00E000FB" w:rsidRPr="00AF1481">
        <w:rPr>
          <w:snapToGrid/>
        </w:rPr>
        <w:t>or the requested population, the following PBS-listed medicines may be considered alternative therapies because they could be replaced in practice:</w:t>
      </w:r>
      <w:bookmarkEnd w:id="32"/>
      <w:r w:rsidR="00E000FB" w:rsidRPr="00AF1481">
        <w:rPr>
          <w:snapToGrid/>
        </w:rPr>
        <w:t xml:space="preserve"> aflibercept 2 mg, faricimab and ranibizumab.</w:t>
      </w:r>
    </w:p>
    <w:p w14:paraId="225C41C5" w14:textId="77777777" w:rsidR="00CF2A8E" w:rsidRPr="00AF1481" w:rsidRDefault="00CF2A8E" w:rsidP="00CF2A8E">
      <w:pPr>
        <w:ind w:firstLine="709"/>
        <w:rPr>
          <w:rFonts w:asciiTheme="minorHAnsi" w:hAnsiTheme="minorHAnsi"/>
          <w:i/>
        </w:rPr>
      </w:pPr>
      <w:r w:rsidRPr="00AF1481">
        <w:rPr>
          <w:rFonts w:asciiTheme="minorHAnsi" w:hAnsiTheme="minorHAnsi"/>
          <w:i/>
        </w:rPr>
        <w:t>For more detail on PBAC’s view, see section 7 PBAC outcome.</w:t>
      </w:r>
    </w:p>
    <w:p w14:paraId="1E0D6ED6" w14:textId="77777777" w:rsidR="00A474F6" w:rsidRPr="00AF1481" w:rsidRDefault="00A474F6" w:rsidP="00A474F6">
      <w:pPr>
        <w:pStyle w:val="2-SectionHeading"/>
      </w:pPr>
      <w:bookmarkStart w:id="33" w:name="_Toc153957294"/>
      <w:bookmarkStart w:id="34" w:name="_Toc156896366"/>
      <w:bookmarkEnd w:id="31"/>
      <w:r w:rsidRPr="00AF1481">
        <w:t>Consideration of the evidence</w:t>
      </w:r>
      <w:bookmarkEnd w:id="33"/>
      <w:bookmarkEnd w:id="34"/>
    </w:p>
    <w:p w14:paraId="310CE7D7" w14:textId="77777777" w:rsidR="00CF2A8E" w:rsidRPr="00AF1481" w:rsidRDefault="00CF2A8E" w:rsidP="00CF2A8E">
      <w:pPr>
        <w:pStyle w:val="3-SubsectionHeading"/>
        <w:rPr>
          <w:lang w:eastAsia="en-AU"/>
        </w:rPr>
      </w:pPr>
      <w:bookmarkStart w:id="35" w:name="_Hlk76375935"/>
      <w:bookmarkStart w:id="36" w:name="_Toc153957295"/>
      <w:bookmarkStart w:id="37" w:name="_Toc156896367"/>
      <w:r w:rsidRPr="00AF1481">
        <w:rPr>
          <w:lang w:eastAsia="en-AU"/>
        </w:rPr>
        <w:t>Sponsor hearing</w:t>
      </w:r>
    </w:p>
    <w:p w14:paraId="0B663722" w14:textId="77777777" w:rsidR="00A05AA6" w:rsidRDefault="00CF2A8E" w:rsidP="00CF2A8E">
      <w:pPr>
        <w:widowControl w:val="0"/>
        <w:numPr>
          <w:ilvl w:val="1"/>
          <w:numId w:val="1"/>
        </w:numPr>
        <w:spacing w:after="120"/>
        <w:ind w:left="720"/>
        <w:rPr>
          <w:rFonts w:asciiTheme="minorHAnsi" w:hAnsiTheme="minorHAnsi"/>
          <w:bCs/>
          <w:snapToGrid w:val="0"/>
        </w:rPr>
      </w:pPr>
      <w:bookmarkStart w:id="38" w:name="_Hlk76382586"/>
      <w:r w:rsidRPr="00AF1481">
        <w:rPr>
          <w:rFonts w:asciiTheme="minorHAnsi" w:hAnsiTheme="minorHAnsi"/>
          <w:bCs/>
          <w:snapToGrid w:val="0"/>
        </w:rPr>
        <w:t>The sponsor requested a hearing for this item.</w:t>
      </w:r>
      <w:r w:rsidR="00B93445">
        <w:rPr>
          <w:rFonts w:asciiTheme="minorHAnsi" w:hAnsiTheme="minorHAnsi"/>
          <w:bCs/>
          <w:snapToGrid w:val="0"/>
        </w:rPr>
        <w:t xml:space="preserve"> </w:t>
      </w:r>
      <w:r w:rsidR="00227DAF" w:rsidRPr="00AF1481">
        <w:rPr>
          <w:rFonts w:asciiTheme="minorHAnsi" w:hAnsiTheme="minorHAnsi"/>
          <w:bCs/>
          <w:snapToGrid w:val="0"/>
        </w:rPr>
        <w:t xml:space="preserve">The </w:t>
      </w:r>
      <w:r w:rsidR="00C92511" w:rsidRPr="00AF1481">
        <w:rPr>
          <w:rFonts w:asciiTheme="minorHAnsi" w:hAnsiTheme="minorHAnsi"/>
          <w:bCs/>
          <w:snapToGrid w:val="0"/>
        </w:rPr>
        <w:t>clinicians</w:t>
      </w:r>
      <w:r w:rsidR="00F04BAF" w:rsidRPr="00AF1481">
        <w:rPr>
          <w:rFonts w:asciiTheme="minorHAnsi" w:hAnsiTheme="minorHAnsi"/>
          <w:bCs/>
          <w:snapToGrid w:val="0"/>
        </w:rPr>
        <w:t xml:space="preserve"> </w:t>
      </w:r>
      <w:r w:rsidR="00D42C99" w:rsidRPr="00AF1481">
        <w:rPr>
          <w:rFonts w:asciiTheme="minorHAnsi" w:hAnsiTheme="minorHAnsi"/>
          <w:bCs/>
          <w:snapToGrid w:val="0"/>
        </w:rPr>
        <w:t>stat</w:t>
      </w:r>
      <w:r w:rsidR="00227DAF" w:rsidRPr="00AF1481">
        <w:rPr>
          <w:rFonts w:asciiTheme="minorHAnsi" w:hAnsiTheme="minorHAnsi"/>
          <w:bCs/>
          <w:snapToGrid w:val="0"/>
        </w:rPr>
        <w:t xml:space="preserve">ed </w:t>
      </w:r>
      <w:r w:rsidR="00D42C99" w:rsidRPr="00AF1481">
        <w:rPr>
          <w:rFonts w:asciiTheme="minorHAnsi" w:hAnsiTheme="minorHAnsi"/>
          <w:bCs/>
          <w:snapToGrid w:val="0"/>
        </w:rPr>
        <w:t>that in Australia</w:t>
      </w:r>
      <w:r w:rsidR="006215E2" w:rsidRPr="00AF1481">
        <w:rPr>
          <w:rFonts w:asciiTheme="minorHAnsi" w:hAnsiTheme="minorHAnsi"/>
          <w:bCs/>
          <w:snapToGrid w:val="0"/>
        </w:rPr>
        <w:t xml:space="preserve"> the </w:t>
      </w:r>
      <w:r w:rsidR="00F04BAF" w:rsidRPr="00AF1481">
        <w:rPr>
          <w:rFonts w:asciiTheme="minorHAnsi" w:hAnsiTheme="minorHAnsi"/>
          <w:bCs/>
          <w:snapToGrid w:val="0"/>
        </w:rPr>
        <w:t xml:space="preserve">T&amp;E </w:t>
      </w:r>
      <w:r w:rsidR="006215E2" w:rsidRPr="00AF1481">
        <w:rPr>
          <w:rFonts w:asciiTheme="minorHAnsi" w:hAnsiTheme="minorHAnsi"/>
          <w:bCs/>
          <w:snapToGrid w:val="0"/>
        </w:rPr>
        <w:t xml:space="preserve">paradigm is widely used, </w:t>
      </w:r>
      <w:r w:rsidR="00F04BAF" w:rsidRPr="00AF1481">
        <w:rPr>
          <w:rFonts w:asciiTheme="minorHAnsi" w:hAnsiTheme="minorHAnsi"/>
          <w:bCs/>
          <w:snapToGrid w:val="0"/>
        </w:rPr>
        <w:t>that</w:t>
      </w:r>
      <w:r w:rsidR="006215E2" w:rsidRPr="00AF1481">
        <w:rPr>
          <w:rFonts w:asciiTheme="minorHAnsi" w:hAnsiTheme="minorHAnsi"/>
          <w:bCs/>
          <w:snapToGrid w:val="0"/>
        </w:rPr>
        <w:t xml:space="preserve"> the potential for longer durability with aflibercept 8 mg is clinically relevant for patients in metropolitan and rural/remote settings, </w:t>
      </w:r>
      <w:r w:rsidR="00C275B8" w:rsidRPr="00AF1481">
        <w:rPr>
          <w:rFonts w:asciiTheme="minorHAnsi" w:hAnsiTheme="minorHAnsi"/>
          <w:bCs/>
          <w:snapToGrid w:val="0"/>
        </w:rPr>
        <w:t xml:space="preserve">and that a </w:t>
      </w:r>
      <w:r w:rsidR="006215E2" w:rsidRPr="00AF1481">
        <w:rPr>
          <w:rFonts w:asciiTheme="minorHAnsi" w:hAnsiTheme="minorHAnsi"/>
          <w:bCs/>
          <w:snapToGrid w:val="0"/>
        </w:rPr>
        <w:t xml:space="preserve">lower injection frequency </w:t>
      </w:r>
      <w:r w:rsidR="00C275B8" w:rsidRPr="00AF1481">
        <w:rPr>
          <w:rFonts w:asciiTheme="minorHAnsi" w:hAnsiTheme="minorHAnsi"/>
          <w:bCs/>
          <w:snapToGrid w:val="0"/>
        </w:rPr>
        <w:t xml:space="preserve">will </w:t>
      </w:r>
      <w:r w:rsidR="006215E2" w:rsidRPr="00AF1481">
        <w:rPr>
          <w:rFonts w:asciiTheme="minorHAnsi" w:hAnsiTheme="minorHAnsi"/>
          <w:bCs/>
          <w:snapToGrid w:val="0"/>
        </w:rPr>
        <w:t>reduc</w:t>
      </w:r>
      <w:r w:rsidR="00C275B8" w:rsidRPr="00AF1481">
        <w:rPr>
          <w:rFonts w:asciiTheme="minorHAnsi" w:hAnsiTheme="minorHAnsi"/>
          <w:bCs/>
          <w:snapToGrid w:val="0"/>
        </w:rPr>
        <w:t>e</w:t>
      </w:r>
      <w:r w:rsidR="006215E2" w:rsidRPr="00AF1481">
        <w:rPr>
          <w:rFonts w:asciiTheme="minorHAnsi" w:hAnsiTheme="minorHAnsi"/>
          <w:bCs/>
          <w:snapToGrid w:val="0"/>
        </w:rPr>
        <w:t xml:space="preserve"> the burden of access to treatment, including transport, carer and out of pocket costs.</w:t>
      </w:r>
    </w:p>
    <w:p w14:paraId="06577781" w14:textId="77777777" w:rsidR="00A05AA6" w:rsidRDefault="006215E2" w:rsidP="00FD014B">
      <w:pPr>
        <w:widowControl w:val="0"/>
        <w:numPr>
          <w:ilvl w:val="1"/>
          <w:numId w:val="42"/>
        </w:numPr>
        <w:spacing w:after="120"/>
        <w:ind w:left="1134"/>
        <w:rPr>
          <w:rFonts w:asciiTheme="minorHAnsi" w:hAnsiTheme="minorHAnsi"/>
          <w:bCs/>
          <w:snapToGrid w:val="0"/>
        </w:rPr>
      </w:pPr>
      <w:r w:rsidRPr="00AF1481">
        <w:rPr>
          <w:rFonts w:asciiTheme="minorHAnsi" w:hAnsiTheme="minorHAnsi"/>
          <w:bCs/>
          <w:snapToGrid w:val="0"/>
        </w:rPr>
        <w:t>With respect to switching</w:t>
      </w:r>
      <w:r w:rsidR="00F04BAF" w:rsidRPr="00AF1481">
        <w:rPr>
          <w:rFonts w:asciiTheme="minorHAnsi" w:hAnsiTheme="minorHAnsi"/>
          <w:bCs/>
          <w:snapToGrid w:val="0"/>
        </w:rPr>
        <w:t xml:space="preserve"> patients currently on VEGF-I therapy</w:t>
      </w:r>
      <w:r w:rsidRPr="00AF1481">
        <w:rPr>
          <w:rFonts w:asciiTheme="minorHAnsi" w:hAnsiTheme="minorHAnsi"/>
          <w:bCs/>
          <w:snapToGrid w:val="0"/>
        </w:rPr>
        <w:t xml:space="preserve">, </w:t>
      </w:r>
      <w:r w:rsidR="00C92511" w:rsidRPr="00AF1481">
        <w:rPr>
          <w:rFonts w:asciiTheme="minorHAnsi" w:hAnsiTheme="minorHAnsi"/>
          <w:bCs/>
          <w:snapToGrid w:val="0"/>
        </w:rPr>
        <w:t>one</w:t>
      </w:r>
      <w:r w:rsidRPr="00AF1481">
        <w:rPr>
          <w:rFonts w:asciiTheme="minorHAnsi" w:hAnsiTheme="minorHAnsi"/>
          <w:bCs/>
          <w:snapToGrid w:val="0"/>
        </w:rPr>
        <w:t xml:space="preserve"> clinician suggested that </w:t>
      </w:r>
      <w:r w:rsidR="00F04BAF" w:rsidRPr="00AF1481">
        <w:rPr>
          <w:rFonts w:asciiTheme="minorHAnsi" w:hAnsiTheme="minorHAnsi"/>
          <w:bCs/>
          <w:snapToGrid w:val="0"/>
        </w:rPr>
        <w:t>he</w:t>
      </w:r>
      <w:r w:rsidR="00C275B8" w:rsidRPr="00AF1481">
        <w:rPr>
          <w:rFonts w:asciiTheme="minorHAnsi" w:hAnsiTheme="minorHAnsi"/>
          <w:bCs/>
          <w:snapToGrid w:val="0"/>
        </w:rPr>
        <w:t xml:space="preserve"> would switch </w:t>
      </w:r>
      <w:r w:rsidR="00C92511" w:rsidRPr="00AF1481">
        <w:rPr>
          <w:rFonts w:asciiTheme="minorHAnsi" w:hAnsiTheme="minorHAnsi"/>
          <w:bCs/>
          <w:snapToGrid w:val="0"/>
        </w:rPr>
        <w:t xml:space="preserve">nearly all </w:t>
      </w:r>
      <w:r w:rsidR="00C275B8" w:rsidRPr="00AF1481">
        <w:rPr>
          <w:rFonts w:asciiTheme="minorHAnsi" w:hAnsiTheme="minorHAnsi"/>
          <w:bCs/>
          <w:snapToGrid w:val="0"/>
        </w:rPr>
        <w:t>patients</w:t>
      </w:r>
      <w:r w:rsidR="00F04BAF" w:rsidRPr="00AF1481">
        <w:rPr>
          <w:rFonts w:asciiTheme="minorHAnsi" w:hAnsiTheme="minorHAnsi"/>
          <w:bCs/>
          <w:snapToGrid w:val="0"/>
        </w:rPr>
        <w:t xml:space="preserve"> (apart from those</w:t>
      </w:r>
      <w:r w:rsidR="00C275B8" w:rsidRPr="00AF1481">
        <w:rPr>
          <w:rFonts w:asciiTheme="minorHAnsi" w:hAnsiTheme="minorHAnsi"/>
          <w:bCs/>
          <w:snapToGrid w:val="0"/>
        </w:rPr>
        <w:t xml:space="preserve"> </w:t>
      </w:r>
      <w:r w:rsidR="00F04BAF" w:rsidRPr="00AF1481">
        <w:rPr>
          <w:rFonts w:asciiTheme="minorHAnsi" w:hAnsiTheme="minorHAnsi"/>
          <w:bCs/>
          <w:snapToGrid w:val="0"/>
        </w:rPr>
        <w:t xml:space="preserve">stabilised </w:t>
      </w:r>
      <w:r w:rsidRPr="00AF1481">
        <w:rPr>
          <w:rFonts w:asciiTheme="minorHAnsi" w:hAnsiTheme="minorHAnsi"/>
          <w:bCs/>
          <w:snapToGrid w:val="0"/>
        </w:rPr>
        <w:t>on another therapy</w:t>
      </w:r>
      <w:r w:rsidR="00F04BAF" w:rsidRPr="00AF1481">
        <w:rPr>
          <w:rFonts w:asciiTheme="minorHAnsi" w:hAnsiTheme="minorHAnsi"/>
          <w:bCs/>
          <w:snapToGrid w:val="0"/>
        </w:rPr>
        <w:t xml:space="preserve"> </w:t>
      </w:r>
      <w:r w:rsidRPr="00AF1481">
        <w:rPr>
          <w:rFonts w:asciiTheme="minorHAnsi" w:hAnsiTheme="minorHAnsi"/>
          <w:bCs/>
          <w:snapToGrid w:val="0"/>
        </w:rPr>
        <w:t xml:space="preserve">with the treatment interval having been extended out to more than </w:t>
      </w:r>
      <w:r w:rsidR="00046F96" w:rsidRPr="00AF1481">
        <w:rPr>
          <w:rFonts w:asciiTheme="minorHAnsi" w:hAnsiTheme="minorHAnsi"/>
          <w:bCs/>
          <w:snapToGrid w:val="0"/>
        </w:rPr>
        <w:t xml:space="preserve">8 to </w:t>
      </w:r>
      <w:r w:rsidRPr="00AF1481">
        <w:rPr>
          <w:rFonts w:asciiTheme="minorHAnsi" w:hAnsiTheme="minorHAnsi"/>
          <w:bCs/>
          <w:snapToGrid w:val="0"/>
        </w:rPr>
        <w:t>12 weeks</w:t>
      </w:r>
      <w:r w:rsidR="00D42C99" w:rsidRPr="00AF1481">
        <w:rPr>
          <w:rFonts w:asciiTheme="minorHAnsi" w:hAnsiTheme="minorHAnsi"/>
          <w:bCs/>
          <w:snapToGrid w:val="0"/>
        </w:rPr>
        <w:t>)</w:t>
      </w:r>
      <w:r w:rsidR="00C92511" w:rsidRPr="00AF1481">
        <w:rPr>
          <w:rFonts w:asciiTheme="minorHAnsi" w:hAnsiTheme="minorHAnsi"/>
          <w:bCs/>
          <w:snapToGrid w:val="0"/>
        </w:rPr>
        <w:t xml:space="preserve">. The other clinician stated that </w:t>
      </w:r>
      <w:r w:rsidR="00F04BAF" w:rsidRPr="00AF1481">
        <w:rPr>
          <w:rFonts w:asciiTheme="minorHAnsi" w:hAnsiTheme="minorHAnsi"/>
          <w:bCs/>
          <w:snapToGrid w:val="0"/>
        </w:rPr>
        <w:t>he</w:t>
      </w:r>
      <w:r w:rsidR="00C92511" w:rsidRPr="00AF1481">
        <w:rPr>
          <w:rFonts w:asciiTheme="minorHAnsi" w:hAnsiTheme="minorHAnsi"/>
          <w:bCs/>
          <w:snapToGrid w:val="0"/>
        </w:rPr>
        <w:t xml:space="preserve"> would switch patients </w:t>
      </w:r>
      <w:r w:rsidR="008D1023" w:rsidRPr="00AF1481">
        <w:rPr>
          <w:rFonts w:asciiTheme="minorHAnsi" w:hAnsiTheme="minorHAnsi"/>
          <w:bCs/>
          <w:snapToGrid w:val="0"/>
        </w:rPr>
        <w:t>who were receiving</w:t>
      </w:r>
      <w:r w:rsidR="00C92511" w:rsidRPr="00AF1481">
        <w:rPr>
          <w:rFonts w:asciiTheme="minorHAnsi" w:hAnsiTheme="minorHAnsi"/>
          <w:bCs/>
          <w:snapToGrid w:val="0"/>
        </w:rPr>
        <w:t xml:space="preserve"> injections every 1 to 2 months with the </w:t>
      </w:r>
      <w:r w:rsidR="00D42C99" w:rsidRPr="00AF1481">
        <w:rPr>
          <w:rFonts w:asciiTheme="minorHAnsi" w:hAnsiTheme="minorHAnsi"/>
          <w:bCs/>
          <w:snapToGrid w:val="0"/>
        </w:rPr>
        <w:t>expectation</w:t>
      </w:r>
      <w:r w:rsidR="00C92511" w:rsidRPr="00AF1481">
        <w:rPr>
          <w:rFonts w:asciiTheme="minorHAnsi" w:hAnsiTheme="minorHAnsi"/>
          <w:bCs/>
          <w:snapToGrid w:val="0"/>
        </w:rPr>
        <w:t xml:space="preserve"> that with longer durability the treatment interval could be extended over time</w:t>
      </w:r>
      <w:r w:rsidRPr="00AF1481">
        <w:rPr>
          <w:rFonts w:asciiTheme="minorHAnsi" w:hAnsiTheme="minorHAnsi"/>
          <w:bCs/>
          <w:snapToGrid w:val="0"/>
        </w:rPr>
        <w:t>.</w:t>
      </w:r>
    </w:p>
    <w:p w14:paraId="0B4F2AFB" w14:textId="6C9D3A3E" w:rsidR="00A05AA6" w:rsidRDefault="006215E2" w:rsidP="00FD014B">
      <w:pPr>
        <w:widowControl w:val="0"/>
        <w:numPr>
          <w:ilvl w:val="1"/>
          <w:numId w:val="42"/>
        </w:numPr>
        <w:spacing w:after="120"/>
        <w:ind w:left="1134"/>
        <w:rPr>
          <w:rFonts w:asciiTheme="minorHAnsi" w:hAnsiTheme="minorHAnsi"/>
          <w:bCs/>
          <w:snapToGrid w:val="0"/>
        </w:rPr>
      </w:pPr>
      <w:r w:rsidRPr="00AF1481">
        <w:rPr>
          <w:rFonts w:asciiTheme="minorHAnsi" w:hAnsiTheme="minorHAnsi"/>
          <w:bCs/>
          <w:snapToGrid w:val="0"/>
        </w:rPr>
        <w:t>With respect to re</w:t>
      </w:r>
      <w:r w:rsidR="003B17DB" w:rsidRPr="00AF1481">
        <w:rPr>
          <w:rFonts w:asciiTheme="minorHAnsi" w:hAnsiTheme="minorHAnsi"/>
          <w:bCs/>
          <w:snapToGrid w:val="0"/>
        </w:rPr>
        <w:t>-</w:t>
      </w:r>
      <w:r w:rsidRPr="00AF1481">
        <w:rPr>
          <w:rFonts w:asciiTheme="minorHAnsi" w:hAnsiTheme="minorHAnsi"/>
          <w:bCs/>
          <w:snapToGrid w:val="0"/>
        </w:rPr>
        <w:t xml:space="preserve">loading doses for patients who were switched, </w:t>
      </w:r>
      <w:r w:rsidR="00C92511" w:rsidRPr="00AF1481">
        <w:rPr>
          <w:rFonts w:asciiTheme="minorHAnsi" w:hAnsiTheme="minorHAnsi"/>
          <w:bCs/>
          <w:snapToGrid w:val="0"/>
        </w:rPr>
        <w:t>one</w:t>
      </w:r>
      <w:r w:rsidRPr="00AF1481">
        <w:rPr>
          <w:rFonts w:asciiTheme="minorHAnsi" w:hAnsiTheme="minorHAnsi"/>
          <w:bCs/>
          <w:snapToGrid w:val="0"/>
        </w:rPr>
        <w:t xml:space="preserve"> clinician suggested that </w:t>
      </w:r>
      <w:r w:rsidR="00F04BAF" w:rsidRPr="00AF1481">
        <w:rPr>
          <w:rFonts w:asciiTheme="minorHAnsi" w:hAnsiTheme="minorHAnsi"/>
          <w:bCs/>
          <w:snapToGrid w:val="0"/>
        </w:rPr>
        <w:t>he</w:t>
      </w:r>
      <w:r w:rsidR="00C275B8" w:rsidRPr="00AF1481">
        <w:rPr>
          <w:rFonts w:asciiTheme="minorHAnsi" w:hAnsiTheme="minorHAnsi"/>
          <w:bCs/>
          <w:snapToGrid w:val="0"/>
        </w:rPr>
        <w:t xml:space="preserve"> would reload patients with 3 doses</w:t>
      </w:r>
      <w:r w:rsidRPr="00AF1481">
        <w:rPr>
          <w:rFonts w:asciiTheme="minorHAnsi" w:hAnsiTheme="minorHAnsi"/>
          <w:bCs/>
          <w:snapToGrid w:val="0"/>
        </w:rPr>
        <w:t xml:space="preserve">, with the </w:t>
      </w:r>
      <w:r w:rsidR="008D1023" w:rsidRPr="00AF1481">
        <w:rPr>
          <w:rFonts w:asciiTheme="minorHAnsi" w:hAnsiTheme="minorHAnsi"/>
          <w:bCs/>
          <w:snapToGrid w:val="0"/>
        </w:rPr>
        <w:t xml:space="preserve">exception </w:t>
      </w:r>
      <w:r w:rsidR="002757B7" w:rsidRPr="00AF1481">
        <w:rPr>
          <w:rFonts w:asciiTheme="minorHAnsi" w:hAnsiTheme="minorHAnsi"/>
          <w:bCs/>
          <w:snapToGrid w:val="0"/>
        </w:rPr>
        <w:t>being</w:t>
      </w:r>
      <w:r w:rsidRPr="00AF1481">
        <w:rPr>
          <w:rFonts w:asciiTheme="minorHAnsi" w:hAnsiTheme="minorHAnsi"/>
          <w:bCs/>
          <w:snapToGrid w:val="0"/>
        </w:rPr>
        <w:t xml:space="preserve"> </w:t>
      </w:r>
      <w:r w:rsidR="002757B7" w:rsidRPr="00AF1481">
        <w:rPr>
          <w:rFonts w:asciiTheme="minorHAnsi" w:hAnsiTheme="minorHAnsi"/>
          <w:bCs/>
          <w:snapToGrid w:val="0"/>
        </w:rPr>
        <w:t xml:space="preserve">that </w:t>
      </w:r>
      <w:r w:rsidRPr="00AF1481">
        <w:rPr>
          <w:rFonts w:asciiTheme="minorHAnsi" w:hAnsiTheme="minorHAnsi"/>
          <w:bCs/>
          <w:snapToGrid w:val="0"/>
        </w:rPr>
        <w:t xml:space="preserve">patients </w:t>
      </w:r>
      <w:r w:rsidR="008D1023" w:rsidRPr="00AF1481">
        <w:rPr>
          <w:rFonts w:asciiTheme="minorHAnsi" w:hAnsiTheme="minorHAnsi"/>
          <w:bCs/>
          <w:snapToGrid w:val="0"/>
        </w:rPr>
        <w:t xml:space="preserve">whose treatment interval had </w:t>
      </w:r>
      <w:r w:rsidRPr="00AF1481">
        <w:rPr>
          <w:rFonts w:asciiTheme="minorHAnsi" w:hAnsiTheme="minorHAnsi"/>
          <w:bCs/>
          <w:snapToGrid w:val="0"/>
        </w:rPr>
        <w:t>already</w:t>
      </w:r>
      <w:r w:rsidR="008D1023" w:rsidRPr="00AF1481">
        <w:rPr>
          <w:rFonts w:asciiTheme="minorHAnsi" w:hAnsiTheme="minorHAnsi"/>
          <w:bCs/>
          <w:snapToGrid w:val="0"/>
        </w:rPr>
        <w:t xml:space="preserve"> been</w:t>
      </w:r>
      <w:r w:rsidRPr="00AF1481">
        <w:rPr>
          <w:rFonts w:asciiTheme="minorHAnsi" w:hAnsiTheme="minorHAnsi"/>
          <w:bCs/>
          <w:snapToGrid w:val="0"/>
        </w:rPr>
        <w:t xml:space="preserve"> extended out to </w:t>
      </w:r>
      <w:r w:rsidR="00C275B8" w:rsidRPr="00AF1481">
        <w:rPr>
          <w:rFonts w:asciiTheme="minorHAnsi" w:hAnsiTheme="minorHAnsi"/>
          <w:bCs/>
          <w:snapToGrid w:val="0"/>
        </w:rPr>
        <w:t>8 to 10</w:t>
      </w:r>
      <w:r w:rsidR="001A5A0A">
        <w:rPr>
          <w:rFonts w:asciiTheme="minorHAnsi" w:hAnsiTheme="minorHAnsi"/>
          <w:bCs/>
          <w:snapToGrid w:val="0"/>
        </w:rPr>
        <w:t> </w:t>
      </w:r>
      <w:r w:rsidR="00C275B8" w:rsidRPr="00AF1481">
        <w:rPr>
          <w:rFonts w:asciiTheme="minorHAnsi" w:hAnsiTheme="minorHAnsi"/>
          <w:bCs/>
          <w:snapToGrid w:val="0"/>
        </w:rPr>
        <w:t>weeks m</w:t>
      </w:r>
      <w:r w:rsidR="008D1023" w:rsidRPr="00AF1481">
        <w:rPr>
          <w:rFonts w:asciiTheme="minorHAnsi" w:hAnsiTheme="minorHAnsi"/>
          <w:bCs/>
          <w:snapToGrid w:val="0"/>
        </w:rPr>
        <w:t>ight</w:t>
      </w:r>
      <w:r w:rsidR="00C275B8" w:rsidRPr="00AF1481">
        <w:rPr>
          <w:rFonts w:asciiTheme="minorHAnsi" w:hAnsiTheme="minorHAnsi"/>
          <w:bCs/>
          <w:snapToGrid w:val="0"/>
        </w:rPr>
        <w:t xml:space="preserve"> be reloaded with only 1 or 2 doses with the aim of extending the treatment interval quite quickly.</w:t>
      </w:r>
      <w:r w:rsidR="00C92511" w:rsidRPr="00AF1481">
        <w:rPr>
          <w:rFonts w:asciiTheme="minorHAnsi" w:hAnsiTheme="minorHAnsi"/>
          <w:bCs/>
          <w:snapToGrid w:val="0"/>
        </w:rPr>
        <w:t xml:space="preserve"> The other clinician stated that following </w:t>
      </w:r>
      <w:r w:rsidR="00C92511" w:rsidRPr="00AF1481">
        <w:rPr>
          <w:rFonts w:asciiTheme="minorHAnsi" w:hAnsiTheme="minorHAnsi"/>
          <w:bCs/>
          <w:snapToGrid w:val="0"/>
        </w:rPr>
        <w:lastRenderedPageBreak/>
        <w:t>switching</w:t>
      </w:r>
      <w:r w:rsidR="002757B7" w:rsidRPr="00AF1481">
        <w:rPr>
          <w:rFonts w:asciiTheme="minorHAnsi" w:hAnsiTheme="minorHAnsi"/>
          <w:bCs/>
          <w:snapToGrid w:val="0"/>
        </w:rPr>
        <w:t xml:space="preserve"> they would reload all patients with 3 doses</w:t>
      </w:r>
      <w:r w:rsidR="00C92511" w:rsidRPr="00AF1481">
        <w:rPr>
          <w:rFonts w:asciiTheme="minorHAnsi" w:hAnsiTheme="minorHAnsi"/>
          <w:bCs/>
          <w:snapToGrid w:val="0"/>
        </w:rPr>
        <w:t xml:space="preserve">, </w:t>
      </w:r>
      <w:r w:rsidR="002757B7" w:rsidRPr="00AF1481">
        <w:rPr>
          <w:rFonts w:asciiTheme="minorHAnsi" w:hAnsiTheme="minorHAnsi"/>
          <w:bCs/>
          <w:snapToGrid w:val="0"/>
        </w:rPr>
        <w:t>on the basis that</w:t>
      </w:r>
      <w:r w:rsidR="00C92511" w:rsidRPr="00AF1481">
        <w:rPr>
          <w:rFonts w:asciiTheme="minorHAnsi" w:hAnsiTheme="minorHAnsi"/>
          <w:bCs/>
          <w:snapToGrid w:val="0"/>
        </w:rPr>
        <w:t xml:space="preserve"> pivotal trial data </w:t>
      </w:r>
      <w:r w:rsidR="002757B7" w:rsidRPr="00AF1481">
        <w:rPr>
          <w:rFonts w:asciiTheme="minorHAnsi" w:hAnsiTheme="minorHAnsi"/>
          <w:bCs/>
          <w:snapToGrid w:val="0"/>
        </w:rPr>
        <w:t xml:space="preserve">has shown </w:t>
      </w:r>
      <w:r w:rsidR="00C92511" w:rsidRPr="00AF1481">
        <w:rPr>
          <w:rFonts w:asciiTheme="minorHAnsi" w:hAnsiTheme="minorHAnsi"/>
          <w:bCs/>
          <w:snapToGrid w:val="0"/>
        </w:rPr>
        <w:t>that when a patient receives loading doses at the start that this leads to an optimum response.</w:t>
      </w:r>
    </w:p>
    <w:p w14:paraId="5726E005" w14:textId="64903507" w:rsidR="00CF2A8E" w:rsidRPr="00AF1481" w:rsidRDefault="00CF2A8E" w:rsidP="0048020A">
      <w:pPr>
        <w:widowControl w:val="0"/>
        <w:numPr>
          <w:ilvl w:val="1"/>
          <w:numId w:val="1"/>
        </w:numPr>
        <w:spacing w:after="120"/>
        <w:ind w:left="720"/>
        <w:rPr>
          <w:rFonts w:asciiTheme="minorHAnsi" w:hAnsiTheme="minorHAnsi"/>
          <w:bCs/>
          <w:snapToGrid w:val="0"/>
        </w:rPr>
      </w:pPr>
      <w:r w:rsidRPr="00AF1481">
        <w:rPr>
          <w:rFonts w:asciiTheme="minorHAnsi" w:hAnsiTheme="minorHAnsi"/>
          <w:bCs/>
          <w:snapToGrid w:val="0"/>
        </w:rPr>
        <w:t xml:space="preserve">The PBAC considered that the hearing was informative as it provided a clinical perspective on </w:t>
      </w:r>
      <w:r w:rsidR="00046F96" w:rsidRPr="00AF1481">
        <w:rPr>
          <w:rFonts w:asciiTheme="minorHAnsi" w:hAnsiTheme="minorHAnsi"/>
          <w:bCs/>
          <w:snapToGrid w:val="0"/>
        </w:rPr>
        <w:t xml:space="preserve">the challenges of </w:t>
      </w:r>
      <w:r w:rsidRPr="00AF1481">
        <w:rPr>
          <w:rFonts w:asciiTheme="minorHAnsi" w:hAnsiTheme="minorHAnsi"/>
          <w:bCs/>
          <w:snapToGrid w:val="0"/>
        </w:rPr>
        <w:t>treating this disease</w:t>
      </w:r>
      <w:r w:rsidR="002757B7" w:rsidRPr="00AF1481">
        <w:rPr>
          <w:rFonts w:asciiTheme="minorHAnsi" w:hAnsiTheme="minorHAnsi"/>
          <w:bCs/>
          <w:snapToGrid w:val="0"/>
        </w:rPr>
        <w:t>, the treatment burden on patients</w:t>
      </w:r>
      <w:r w:rsidR="00046F96" w:rsidRPr="00AF1481">
        <w:rPr>
          <w:rFonts w:asciiTheme="minorHAnsi" w:hAnsiTheme="minorHAnsi"/>
          <w:bCs/>
          <w:snapToGrid w:val="0"/>
        </w:rPr>
        <w:t xml:space="preserve"> and the likely use of aflibercept 8 mg in clinical practice</w:t>
      </w:r>
      <w:r w:rsidRPr="00AF1481">
        <w:rPr>
          <w:rFonts w:asciiTheme="minorHAnsi" w:hAnsiTheme="minorHAnsi"/>
          <w:bCs/>
          <w:snapToGrid w:val="0"/>
        </w:rPr>
        <w:t>.</w:t>
      </w:r>
    </w:p>
    <w:bookmarkEnd w:id="38"/>
    <w:p w14:paraId="59F24E0F" w14:textId="77777777" w:rsidR="00CF2A8E" w:rsidRPr="00AF1481" w:rsidRDefault="00CF2A8E" w:rsidP="00CF2A8E">
      <w:pPr>
        <w:pStyle w:val="3-SubsectionHeading"/>
        <w:rPr>
          <w:lang w:eastAsia="en-AU"/>
        </w:rPr>
      </w:pPr>
      <w:r w:rsidRPr="00AF1481">
        <w:rPr>
          <w:lang w:eastAsia="en-AU"/>
        </w:rPr>
        <w:t>Consumer comments</w:t>
      </w:r>
    </w:p>
    <w:p w14:paraId="4037254A" w14:textId="77777777" w:rsidR="00A05AA6" w:rsidRDefault="00CF2A8E" w:rsidP="00D815F5">
      <w:pPr>
        <w:keepNext/>
        <w:numPr>
          <w:ilvl w:val="1"/>
          <w:numId w:val="1"/>
        </w:numPr>
        <w:spacing w:after="120"/>
        <w:ind w:left="720"/>
        <w:rPr>
          <w:rFonts w:asciiTheme="minorHAnsi" w:hAnsiTheme="minorHAnsi"/>
          <w:bCs/>
          <w:snapToGrid w:val="0"/>
        </w:rPr>
      </w:pPr>
      <w:bookmarkStart w:id="39" w:name="_Hlk163815845"/>
      <w:bookmarkStart w:id="40" w:name="_Hlk76382618"/>
      <w:r w:rsidRPr="00AF1481">
        <w:rPr>
          <w:rFonts w:asciiTheme="minorHAnsi" w:hAnsiTheme="minorHAnsi"/>
          <w:bCs/>
          <w:snapToGrid w:val="0"/>
        </w:rPr>
        <w:t>The PBAC noted and welcomed the input from individuals (</w:t>
      </w:r>
      <w:r w:rsidR="00CC34F3" w:rsidRPr="00AF1481">
        <w:rPr>
          <w:rFonts w:asciiTheme="minorHAnsi" w:hAnsiTheme="minorHAnsi"/>
          <w:bCs/>
          <w:snapToGrid w:val="0"/>
        </w:rPr>
        <w:t>1</w:t>
      </w:r>
      <w:r w:rsidRPr="00AF1481">
        <w:rPr>
          <w:rFonts w:asciiTheme="minorHAnsi" w:hAnsiTheme="minorHAnsi"/>
          <w:bCs/>
          <w:snapToGrid w:val="0"/>
        </w:rPr>
        <w:t>), health care professionals (</w:t>
      </w:r>
      <w:r w:rsidR="00CC34F3" w:rsidRPr="00AF1481">
        <w:rPr>
          <w:rFonts w:asciiTheme="minorHAnsi" w:hAnsiTheme="minorHAnsi"/>
          <w:bCs/>
          <w:snapToGrid w:val="0"/>
        </w:rPr>
        <w:t>6</w:t>
      </w:r>
      <w:r w:rsidRPr="00AF1481">
        <w:rPr>
          <w:rFonts w:asciiTheme="minorHAnsi" w:hAnsiTheme="minorHAnsi"/>
          <w:bCs/>
          <w:snapToGrid w:val="0"/>
        </w:rPr>
        <w:t>) and organisations (1) via the Consumer Comments facility on the PBS website. The comments described a range of benefits of treat</w:t>
      </w:r>
      <w:r w:rsidR="00C960A4" w:rsidRPr="00AF1481">
        <w:rPr>
          <w:rFonts w:asciiTheme="minorHAnsi" w:hAnsiTheme="minorHAnsi"/>
          <w:bCs/>
          <w:snapToGrid w:val="0"/>
        </w:rPr>
        <w:t xml:space="preserve">ing patients </w:t>
      </w:r>
      <w:r w:rsidRPr="00AF1481">
        <w:rPr>
          <w:rFonts w:asciiTheme="minorHAnsi" w:hAnsiTheme="minorHAnsi"/>
          <w:bCs/>
          <w:snapToGrid w:val="0"/>
        </w:rPr>
        <w:t xml:space="preserve">with </w:t>
      </w:r>
      <w:r w:rsidR="00B84A7F" w:rsidRPr="00AF1481">
        <w:rPr>
          <w:rFonts w:asciiTheme="minorHAnsi" w:hAnsiTheme="minorHAnsi"/>
          <w:bCs/>
          <w:snapToGrid w:val="0"/>
        </w:rPr>
        <w:t>aflibercept</w:t>
      </w:r>
      <w:r w:rsidR="00D815F5" w:rsidRPr="00AF1481">
        <w:rPr>
          <w:rFonts w:asciiTheme="minorHAnsi" w:hAnsiTheme="minorHAnsi"/>
          <w:bCs/>
          <w:snapToGrid w:val="0"/>
        </w:rPr>
        <w:t xml:space="preserve"> </w:t>
      </w:r>
      <w:r w:rsidR="00B84A7F" w:rsidRPr="00AF1481">
        <w:rPr>
          <w:rFonts w:asciiTheme="minorHAnsi" w:hAnsiTheme="minorHAnsi"/>
          <w:bCs/>
          <w:snapToGrid w:val="0"/>
        </w:rPr>
        <w:t>8</w:t>
      </w:r>
      <w:r w:rsidR="00D815F5" w:rsidRPr="00AF1481">
        <w:rPr>
          <w:rFonts w:asciiTheme="minorHAnsi" w:hAnsiTheme="minorHAnsi"/>
          <w:bCs/>
          <w:snapToGrid w:val="0"/>
        </w:rPr>
        <w:t xml:space="preserve"> </w:t>
      </w:r>
      <w:r w:rsidR="00B84A7F" w:rsidRPr="00AF1481">
        <w:rPr>
          <w:rFonts w:asciiTheme="minorHAnsi" w:hAnsiTheme="minorHAnsi"/>
          <w:bCs/>
          <w:snapToGrid w:val="0"/>
        </w:rPr>
        <w:t xml:space="preserve">mg </w:t>
      </w:r>
      <w:r w:rsidRPr="00AF1481">
        <w:rPr>
          <w:rFonts w:asciiTheme="minorHAnsi" w:hAnsiTheme="minorHAnsi"/>
          <w:bCs/>
          <w:snapToGrid w:val="0"/>
        </w:rPr>
        <w:t xml:space="preserve">including </w:t>
      </w:r>
      <w:r w:rsidR="00B84A7F" w:rsidRPr="00AF1481">
        <w:rPr>
          <w:rFonts w:asciiTheme="minorHAnsi" w:hAnsiTheme="minorHAnsi"/>
          <w:bCs/>
          <w:snapToGrid w:val="0"/>
        </w:rPr>
        <w:t>reduced treatment burden and hospital visits, and the potential for improved quality of life associated with a lower injection frequency. The comments highlighted that there could be benefit over aflibercept 2</w:t>
      </w:r>
      <w:r w:rsidR="00D815F5" w:rsidRPr="00AF1481">
        <w:rPr>
          <w:rFonts w:asciiTheme="minorHAnsi" w:hAnsiTheme="minorHAnsi"/>
          <w:bCs/>
          <w:snapToGrid w:val="0"/>
        </w:rPr>
        <w:t xml:space="preserve"> </w:t>
      </w:r>
      <w:r w:rsidR="00B84A7F" w:rsidRPr="00AF1481">
        <w:rPr>
          <w:rFonts w:asciiTheme="minorHAnsi" w:hAnsiTheme="minorHAnsi"/>
          <w:bCs/>
          <w:snapToGrid w:val="0"/>
        </w:rPr>
        <w:t xml:space="preserve">mg in </w:t>
      </w:r>
      <w:r w:rsidR="0048020A" w:rsidRPr="00AF1481">
        <w:rPr>
          <w:rFonts w:asciiTheme="minorHAnsi" w:hAnsiTheme="minorHAnsi"/>
          <w:bCs/>
          <w:snapToGrid w:val="0"/>
        </w:rPr>
        <w:t xml:space="preserve">Aboriginal and Torres Strait Islander people who are </w:t>
      </w:r>
      <w:r w:rsidR="00B84A7F" w:rsidRPr="00AF1481">
        <w:rPr>
          <w:rFonts w:asciiTheme="minorHAnsi" w:hAnsiTheme="minorHAnsi"/>
          <w:bCs/>
          <w:snapToGrid w:val="0"/>
        </w:rPr>
        <w:t xml:space="preserve">diabetic and </w:t>
      </w:r>
      <w:r w:rsidR="00871A40" w:rsidRPr="00AF1481">
        <w:rPr>
          <w:rFonts w:asciiTheme="minorHAnsi" w:hAnsiTheme="minorHAnsi"/>
          <w:bCs/>
          <w:snapToGrid w:val="0"/>
        </w:rPr>
        <w:t xml:space="preserve">in </w:t>
      </w:r>
      <w:r w:rsidR="00B84A7F" w:rsidRPr="00AF1481">
        <w:rPr>
          <w:rFonts w:asciiTheme="minorHAnsi" w:hAnsiTheme="minorHAnsi"/>
          <w:bCs/>
          <w:snapToGrid w:val="0"/>
        </w:rPr>
        <w:t>rural population</w:t>
      </w:r>
      <w:r w:rsidR="00AC4C2E" w:rsidRPr="00AF1481">
        <w:rPr>
          <w:rFonts w:asciiTheme="minorHAnsi" w:hAnsiTheme="minorHAnsi"/>
          <w:bCs/>
          <w:snapToGrid w:val="0"/>
        </w:rPr>
        <w:t>s,</w:t>
      </w:r>
      <w:r w:rsidR="00B84A7F" w:rsidRPr="00AF1481">
        <w:rPr>
          <w:rFonts w:asciiTheme="minorHAnsi" w:hAnsiTheme="minorHAnsi"/>
          <w:bCs/>
          <w:snapToGrid w:val="0"/>
        </w:rPr>
        <w:t xml:space="preserve"> where there may be r</w:t>
      </w:r>
      <w:r w:rsidR="00FC4F36" w:rsidRPr="00AF1481">
        <w:rPr>
          <w:rFonts w:asciiTheme="minorHAnsi" w:hAnsiTheme="minorHAnsi"/>
          <w:bCs/>
          <w:snapToGrid w:val="0"/>
        </w:rPr>
        <w:t>educed access to specialist ophthalmology services</w:t>
      </w:r>
      <w:bookmarkEnd w:id="39"/>
      <w:r w:rsidR="00FC4F36" w:rsidRPr="00AF1481">
        <w:rPr>
          <w:rFonts w:asciiTheme="minorHAnsi" w:hAnsiTheme="minorHAnsi"/>
          <w:bCs/>
          <w:snapToGrid w:val="0"/>
        </w:rPr>
        <w:t>.</w:t>
      </w:r>
    </w:p>
    <w:p w14:paraId="3BA7D86F" w14:textId="77777777" w:rsidR="00A05AA6" w:rsidRDefault="00CF2A8E" w:rsidP="00CF2A8E">
      <w:pPr>
        <w:widowControl w:val="0"/>
        <w:numPr>
          <w:ilvl w:val="1"/>
          <w:numId w:val="1"/>
        </w:numPr>
        <w:spacing w:after="120"/>
        <w:ind w:left="720"/>
        <w:rPr>
          <w:rFonts w:asciiTheme="minorHAnsi" w:hAnsiTheme="minorHAnsi"/>
          <w:bCs/>
          <w:snapToGrid w:val="0"/>
        </w:rPr>
      </w:pPr>
      <w:bookmarkStart w:id="41" w:name="_Hlk163816270"/>
      <w:r w:rsidRPr="00AF1481">
        <w:rPr>
          <w:rFonts w:asciiTheme="minorHAnsi" w:hAnsiTheme="minorHAnsi"/>
          <w:bCs/>
          <w:snapToGrid w:val="0"/>
        </w:rPr>
        <w:t xml:space="preserve">The PBAC noted the advice received from </w:t>
      </w:r>
      <w:r w:rsidR="00B84A7F" w:rsidRPr="00AF1481">
        <w:rPr>
          <w:rFonts w:asciiTheme="minorHAnsi" w:hAnsiTheme="minorHAnsi"/>
          <w:bCs/>
          <w:snapToGrid w:val="0"/>
        </w:rPr>
        <w:t>the Macular Disease Foundation Australia</w:t>
      </w:r>
      <w:r w:rsidRPr="00AF1481">
        <w:rPr>
          <w:rFonts w:asciiTheme="minorHAnsi" w:hAnsiTheme="minorHAnsi"/>
          <w:bCs/>
          <w:snapToGrid w:val="0"/>
        </w:rPr>
        <w:t xml:space="preserve"> clarifying the likely use of </w:t>
      </w:r>
      <w:r w:rsidR="00B84A7F" w:rsidRPr="00AF1481">
        <w:rPr>
          <w:rFonts w:asciiTheme="minorHAnsi" w:hAnsiTheme="minorHAnsi"/>
          <w:bCs/>
          <w:snapToGrid w:val="0"/>
        </w:rPr>
        <w:t>aflibercept 8 mg</w:t>
      </w:r>
      <w:r w:rsidRPr="00AF1481">
        <w:rPr>
          <w:rFonts w:asciiTheme="minorHAnsi" w:hAnsiTheme="minorHAnsi"/>
          <w:bCs/>
          <w:snapToGrid w:val="0"/>
        </w:rPr>
        <w:t xml:space="preserve"> in clinical practice.</w:t>
      </w:r>
      <w:r w:rsidR="00B93445">
        <w:rPr>
          <w:rFonts w:asciiTheme="minorHAnsi" w:hAnsiTheme="minorHAnsi"/>
          <w:bCs/>
          <w:snapToGrid w:val="0"/>
        </w:rPr>
        <w:t xml:space="preserve"> </w:t>
      </w:r>
      <w:r w:rsidRPr="00AF1481">
        <w:rPr>
          <w:rFonts w:asciiTheme="minorHAnsi" w:hAnsiTheme="minorHAnsi"/>
          <w:bCs/>
          <w:snapToGrid w:val="0"/>
        </w:rPr>
        <w:t>The PBAC noted</w:t>
      </w:r>
      <w:r w:rsidR="00FC4F36" w:rsidRPr="00AF1481">
        <w:rPr>
          <w:rFonts w:asciiTheme="minorHAnsi" w:hAnsiTheme="minorHAnsi"/>
          <w:bCs/>
          <w:snapToGrid w:val="0"/>
        </w:rPr>
        <w:t xml:space="preserve"> </w:t>
      </w:r>
      <w:r w:rsidRPr="00AF1481">
        <w:rPr>
          <w:rFonts w:asciiTheme="minorHAnsi" w:hAnsiTheme="minorHAnsi"/>
          <w:bCs/>
          <w:snapToGrid w:val="0"/>
        </w:rPr>
        <w:t xml:space="preserve">the </w:t>
      </w:r>
      <w:r w:rsidR="005B32AB" w:rsidRPr="00AF1481">
        <w:rPr>
          <w:rFonts w:asciiTheme="minorHAnsi" w:hAnsiTheme="minorHAnsi"/>
          <w:bCs/>
          <w:snapToGrid w:val="0"/>
        </w:rPr>
        <w:t xml:space="preserve">Foundation’s comments that the </w:t>
      </w:r>
      <w:r w:rsidRPr="00AF1481">
        <w:rPr>
          <w:rFonts w:asciiTheme="minorHAnsi" w:hAnsiTheme="minorHAnsi"/>
          <w:bCs/>
          <w:snapToGrid w:val="0"/>
        </w:rPr>
        <w:t xml:space="preserve">use of </w:t>
      </w:r>
      <w:r w:rsidR="00B84A7F" w:rsidRPr="00AF1481">
        <w:rPr>
          <w:rFonts w:asciiTheme="minorHAnsi" w:hAnsiTheme="minorHAnsi"/>
          <w:bCs/>
          <w:snapToGrid w:val="0"/>
        </w:rPr>
        <w:t>aflibercept 8</w:t>
      </w:r>
      <w:r w:rsidR="00D815F5" w:rsidRPr="00AF1481">
        <w:rPr>
          <w:rFonts w:asciiTheme="minorHAnsi" w:hAnsiTheme="minorHAnsi"/>
          <w:bCs/>
          <w:snapToGrid w:val="0"/>
        </w:rPr>
        <w:t xml:space="preserve"> </w:t>
      </w:r>
      <w:r w:rsidR="00B84A7F" w:rsidRPr="00AF1481">
        <w:rPr>
          <w:rFonts w:asciiTheme="minorHAnsi" w:hAnsiTheme="minorHAnsi"/>
          <w:bCs/>
          <w:snapToGrid w:val="0"/>
        </w:rPr>
        <w:t xml:space="preserve">mg </w:t>
      </w:r>
      <w:r w:rsidRPr="00AF1481">
        <w:rPr>
          <w:rFonts w:asciiTheme="minorHAnsi" w:hAnsiTheme="minorHAnsi"/>
          <w:bCs/>
          <w:snapToGrid w:val="0"/>
        </w:rPr>
        <w:t>may</w:t>
      </w:r>
      <w:r w:rsidR="00FC4F36" w:rsidRPr="00AF1481">
        <w:rPr>
          <w:rFonts w:asciiTheme="minorHAnsi" w:hAnsiTheme="minorHAnsi"/>
          <w:bCs/>
          <w:snapToGrid w:val="0"/>
        </w:rPr>
        <w:t xml:space="preserve"> lead to a reduction in injection frequency, which could help reduce anxiety associated with injections, reduce the burden on health professionals and carers, and improve longer term compliance and patient satisfaction.</w:t>
      </w:r>
      <w:r w:rsidR="00B93445">
        <w:rPr>
          <w:rFonts w:asciiTheme="minorHAnsi" w:hAnsiTheme="minorHAnsi"/>
          <w:bCs/>
          <w:snapToGrid w:val="0"/>
        </w:rPr>
        <w:t xml:space="preserve"> </w:t>
      </w:r>
      <w:r w:rsidR="00752E37" w:rsidRPr="00AF1481">
        <w:rPr>
          <w:rFonts w:asciiTheme="minorHAnsi" w:hAnsiTheme="minorHAnsi"/>
          <w:bCs/>
          <w:snapToGrid w:val="0"/>
        </w:rPr>
        <w:t xml:space="preserve">The comments from the Foundation suggested that this could be particularly important for </w:t>
      </w:r>
      <w:r w:rsidR="0048020A" w:rsidRPr="00AF1481">
        <w:rPr>
          <w:rFonts w:asciiTheme="minorHAnsi" w:hAnsiTheme="minorHAnsi"/>
          <w:bCs/>
          <w:snapToGrid w:val="0"/>
        </w:rPr>
        <w:t>Aboriginal and Torres Strait Islander people.</w:t>
      </w:r>
    </w:p>
    <w:bookmarkEnd w:id="35"/>
    <w:bookmarkEnd w:id="40"/>
    <w:bookmarkEnd w:id="41"/>
    <w:p w14:paraId="0461CC01" w14:textId="1E9E5822" w:rsidR="00A474F6" w:rsidRPr="00AF1481" w:rsidRDefault="00A474F6" w:rsidP="00A474F6">
      <w:pPr>
        <w:pStyle w:val="4-SubsectionHeading"/>
      </w:pPr>
      <w:r w:rsidRPr="00AF1481">
        <w:t>Clinical trial</w:t>
      </w:r>
      <w:bookmarkEnd w:id="6"/>
      <w:bookmarkEnd w:id="36"/>
      <w:bookmarkEnd w:id="37"/>
    </w:p>
    <w:p w14:paraId="36DC080C" w14:textId="2DC25DE1" w:rsidR="00A474F6" w:rsidRPr="00AF1481" w:rsidRDefault="00A474F6" w:rsidP="00A474F6">
      <w:pPr>
        <w:pStyle w:val="ExecSumBodyText"/>
        <w:numPr>
          <w:ilvl w:val="1"/>
          <w:numId w:val="1"/>
        </w:numPr>
        <w:ind w:left="709" w:hanging="709"/>
      </w:pPr>
      <w:r w:rsidRPr="00AF1481">
        <w:rPr>
          <w:snapToGrid/>
        </w:rPr>
        <w:t xml:space="preserve">Details of the trial presented in the submission are provided in </w:t>
      </w:r>
      <w:r w:rsidRPr="00AF1481">
        <w:rPr>
          <w:snapToGrid/>
        </w:rPr>
        <w:fldChar w:fldCharType="begin"/>
      </w:r>
      <w:r w:rsidRPr="00AF1481">
        <w:rPr>
          <w:snapToGrid/>
        </w:rPr>
        <w:instrText xml:space="preserve"> REF _Ref104803956 \h </w:instrText>
      </w:r>
      <w:r w:rsidRPr="00AF1481">
        <w:rPr>
          <w:snapToGrid/>
        </w:rPr>
      </w:r>
      <w:r w:rsidRPr="00AF1481">
        <w:rPr>
          <w:snapToGrid/>
        </w:rPr>
        <w:fldChar w:fldCharType="separate"/>
      </w:r>
      <w:r w:rsidR="009404AF" w:rsidRPr="00AF1481">
        <w:t xml:space="preserve">Table </w:t>
      </w:r>
      <w:r w:rsidR="009404AF">
        <w:rPr>
          <w:noProof/>
        </w:rPr>
        <w:t>2</w:t>
      </w:r>
      <w:r w:rsidRPr="00AF1481">
        <w:rPr>
          <w:snapToGrid/>
        </w:rPr>
        <w:fldChar w:fldCharType="end"/>
      </w:r>
      <w:r w:rsidRPr="00AF1481">
        <w:rPr>
          <w:snapToGrid/>
        </w:rPr>
        <w:t>.</w:t>
      </w:r>
    </w:p>
    <w:p w14:paraId="322D8B5A" w14:textId="7E75175A" w:rsidR="00A474F6" w:rsidRPr="00AF1481" w:rsidRDefault="00A474F6" w:rsidP="00A474F6">
      <w:pPr>
        <w:pStyle w:val="TableFigureHeading"/>
        <w:rPr>
          <w:rStyle w:val="CommentReference"/>
          <w:b/>
          <w:szCs w:val="24"/>
        </w:rPr>
      </w:pPr>
      <w:bookmarkStart w:id="42" w:name="_Ref104803956"/>
      <w:r w:rsidRPr="00AF1481">
        <w:lastRenderedPageBreak/>
        <w:t xml:space="preserve">Table </w:t>
      </w:r>
      <w:r w:rsidR="00393E69">
        <w:fldChar w:fldCharType="begin"/>
      </w:r>
      <w:r w:rsidR="00393E69">
        <w:instrText xml:space="preserve"> SEQ Table \* ARABIC </w:instrText>
      </w:r>
      <w:r w:rsidR="00393E69">
        <w:fldChar w:fldCharType="separate"/>
      </w:r>
      <w:r w:rsidR="009404AF">
        <w:rPr>
          <w:noProof/>
        </w:rPr>
        <w:t>2</w:t>
      </w:r>
      <w:r w:rsidR="00393E69">
        <w:fldChar w:fldCharType="end"/>
      </w:r>
      <w:bookmarkEnd w:id="42"/>
      <w:r w:rsidRPr="00AF1481">
        <w:t>:</w:t>
      </w:r>
      <w:r w:rsidRPr="00AF1481">
        <w:rPr>
          <w:rStyle w:val="CommentReference"/>
          <w:b/>
          <w:szCs w:val="24"/>
        </w:rPr>
        <w:t xml:space="preserve">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623"/>
        <w:gridCol w:w="2123"/>
      </w:tblGrid>
      <w:tr w:rsidR="00A474F6" w:rsidRPr="00AF1481" w14:paraId="17BBF351" w14:textId="77777777" w:rsidTr="008C5949">
        <w:trPr>
          <w:tblHeader/>
        </w:trPr>
        <w:tc>
          <w:tcPr>
            <w:tcW w:w="705" w:type="pct"/>
            <w:tcBorders>
              <w:bottom w:val="single" w:sz="4" w:space="0" w:color="auto"/>
            </w:tcBorders>
            <w:vAlign w:val="center"/>
          </w:tcPr>
          <w:p w14:paraId="1847D11E" w14:textId="77777777" w:rsidR="00A474F6" w:rsidRPr="00AF1481" w:rsidRDefault="00A474F6" w:rsidP="008C5949">
            <w:pPr>
              <w:pStyle w:val="TableText0"/>
              <w:rPr>
                <w:b/>
                <w:bCs w:val="0"/>
              </w:rPr>
            </w:pPr>
            <w:r w:rsidRPr="00AF1481">
              <w:rPr>
                <w:b/>
                <w:bCs w:val="0"/>
              </w:rPr>
              <w:t>Trial ID</w:t>
            </w:r>
          </w:p>
        </w:tc>
        <w:tc>
          <w:tcPr>
            <w:tcW w:w="3118" w:type="pct"/>
            <w:vAlign w:val="center"/>
          </w:tcPr>
          <w:p w14:paraId="162E2213" w14:textId="77777777" w:rsidR="00A474F6" w:rsidRPr="00AF1481" w:rsidRDefault="00A474F6" w:rsidP="008C5949">
            <w:pPr>
              <w:pStyle w:val="TableText0"/>
              <w:rPr>
                <w:b/>
                <w:bCs w:val="0"/>
              </w:rPr>
            </w:pPr>
            <w:r w:rsidRPr="00AF1481">
              <w:rPr>
                <w:b/>
                <w:bCs w:val="0"/>
              </w:rPr>
              <w:t>Protocol title/ Publication title</w:t>
            </w:r>
          </w:p>
        </w:tc>
        <w:tc>
          <w:tcPr>
            <w:tcW w:w="1177" w:type="pct"/>
            <w:tcBorders>
              <w:bottom w:val="single" w:sz="4" w:space="0" w:color="auto"/>
            </w:tcBorders>
            <w:vAlign w:val="center"/>
          </w:tcPr>
          <w:p w14:paraId="02DDF2E5" w14:textId="77777777" w:rsidR="00A474F6" w:rsidRPr="00AF1481" w:rsidRDefault="00A474F6" w:rsidP="008C5949">
            <w:pPr>
              <w:pStyle w:val="TableText0"/>
              <w:rPr>
                <w:b/>
                <w:bCs w:val="0"/>
              </w:rPr>
            </w:pPr>
            <w:r w:rsidRPr="00AF1481">
              <w:rPr>
                <w:b/>
                <w:bCs w:val="0"/>
              </w:rPr>
              <w:t>Publication citation</w:t>
            </w:r>
          </w:p>
        </w:tc>
      </w:tr>
      <w:tr w:rsidR="00A474F6" w:rsidRPr="00AF1481" w14:paraId="7A1FDFC2" w14:textId="77777777" w:rsidTr="008C5949">
        <w:trPr>
          <w:trHeight w:val="752"/>
        </w:trPr>
        <w:tc>
          <w:tcPr>
            <w:tcW w:w="705" w:type="pct"/>
            <w:vMerge w:val="restart"/>
            <w:vAlign w:val="center"/>
          </w:tcPr>
          <w:p w14:paraId="20721FC8" w14:textId="77777777" w:rsidR="00A474F6" w:rsidRPr="00AF1481" w:rsidRDefault="00A474F6" w:rsidP="008C5949">
            <w:pPr>
              <w:pStyle w:val="TableText0"/>
            </w:pPr>
            <w:r w:rsidRPr="00AF1481">
              <w:t>PHOTON</w:t>
            </w:r>
          </w:p>
          <w:p w14:paraId="5539EC5C" w14:textId="77777777" w:rsidR="00A474F6" w:rsidRPr="00AF1481" w:rsidRDefault="00A474F6" w:rsidP="008C5949">
            <w:pPr>
              <w:pStyle w:val="TableText0"/>
            </w:pPr>
            <w:r w:rsidRPr="00AF1481">
              <w:t>(NCT04429503)</w:t>
            </w:r>
          </w:p>
        </w:tc>
        <w:tc>
          <w:tcPr>
            <w:tcW w:w="3118" w:type="pct"/>
            <w:tcBorders>
              <w:bottom w:val="nil"/>
            </w:tcBorders>
          </w:tcPr>
          <w:p w14:paraId="2A2D61CF" w14:textId="77777777" w:rsidR="00A474F6" w:rsidRPr="00AF1481" w:rsidRDefault="00A474F6" w:rsidP="008C5949">
            <w:pPr>
              <w:pStyle w:val="TableText0"/>
            </w:pPr>
            <w:r w:rsidRPr="00AF1481">
              <w:t xml:space="preserve">A randomized, double-masked, active-controlled Phase 2/3 study of the efficacy and safety of high dose aflibercept in patients with diabetic macular edema. VGFTe-8-DME-1934. Amendment 4 </w:t>
            </w:r>
          </w:p>
        </w:tc>
        <w:tc>
          <w:tcPr>
            <w:tcW w:w="1177" w:type="pct"/>
            <w:tcBorders>
              <w:bottom w:val="nil"/>
            </w:tcBorders>
            <w:vAlign w:val="center"/>
          </w:tcPr>
          <w:p w14:paraId="2A0E1A9E" w14:textId="77777777" w:rsidR="00A474F6" w:rsidRPr="00AF1481" w:rsidRDefault="00A474F6" w:rsidP="008C5949">
            <w:pPr>
              <w:pStyle w:val="TableText0"/>
            </w:pPr>
            <w:r w:rsidRPr="00AF1481">
              <w:t xml:space="preserve">Clinical Study Protocol, April 2022 </w:t>
            </w:r>
          </w:p>
        </w:tc>
      </w:tr>
      <w:tr w:rsidR="00A474F6" w:rsidRPr="00AF1481" w14:paraId="3EC51ED2" w14:textId="77777777" w:rsidTr="008C5949">
        <w:tc>
          <w:tcPr>
            <w:tcW w:w="705" w:type="pct"/>
            <w:vMerge/>
          </w:tcPr>
          <w:p w14:paraId="33D816CE" w14:textId="77777777" w:rsidR="00A474F6" w:rsidRPr="00AF1481" w:rsidRDefault="00A474F6" w:rsidP="008C5949">
            <w:pPr>
              <w:pStyle w:val="TableText0"/>
            </w:pPr>
          </w:p>
        </w:tc>
        <w:tc>
          <w:tcPr>
            <w:tcW w:w="3118" w:type="pct"/>
            <w:tcBorders>
              <w:top w:val="nil"/>
              <w:bottom w:val="nil"/>
              <w:right w:val="single" w:sz="4" w:space="0" w:color="auto"/>
            </w:tcBorders>
          </w:tcPr>
          <w:p w14:paraId="03EFA419" w14:textId="77777777" w:rsidR="00A474F6" w:rsidRPr="00AF1481" w:rsidRDefault="00A474F6" w:rsidP="008C5949">
            <w:pPr>
              <w:pStyle w:val="TableText0"/>
            </w:pPr>
            <w:r w:rsidRPr="00AF1481">
              <w:t>A randomized, double-masked, active-controlled Phase 2/3 study of the efficacy and safety of high dose aflibercept in patients with diabetic macular edema</w:t>
            </w:r>
          </w:p>
        </w:tc>
        <w:tc>
          <w:tcPr>
            <w:tcW w:w="1177" w:type="pct"/>
            <w:tcBorders>
              <w:top w:val="nil"/>
              <w:left w:val="single" w:sz="4" w:space="0" w:color="auto"/>
              <w:bottom w:val="nil"/>
              <w:right w:val="single" w:sz="4" w:space="0" w:color="auto"/>
            </w:tcBorders>
            <w:vAlign w:val="center"/>
          </w:tcPr>
          <w:p w14:paraId="1B76FC98" w14:textId="77777777" w:rsidR="00A474F6" w:rsidRPr="00AF1481" w:rsidRDefault="00A474F6" w:rsidP="008C5949">
            <w:pPr>
              <w:pStyle w:val="TableText0"/>
            </w:pPr>
            <w:r w:rsidRPr="00AF1481">
              <w:t>Clinical Study Report, January 2023</w:t>
            </w:r>
          </w:p>
        </w:tc>
      </w:tr>
      <w:tr w:rsidR="00A474F6" w:rsidRPr="00AF1481" w14:paraId="5A6F48D5" w14:textId="77777777" w:rsidTr="008C5949">
        <w:tc>
          <w:tcPr>
            <w:tcW w:w="705" w:type="pct"/>
            <w:vMerge/>
            <w:vAlign w:val="center"/>
          </w:tcPr>
          <w:p w14:paraId="2B3C42B2" w14:textId="77777777" w:rsidR="00A474F6" w:rsidRPr="00AF1481" w:rsidRDefault="00A474F6" w:rsidP="008C5949">
            <w:pPr>
              <w:pStyle w:val="TableText0"/>
            </w:pPr>
          </w:p>
        </w:tc>
        <w:tc>
          <w:tcPr>
            <w:tcW w:w="3118" w:type="pct"/>
            <w:tcBorders>
              <w:top w:val="nil"/>
              <w:bottom w:val="nil"/>
              <w:right w:val="single" w:sz="4" w:space="0" w:color="auto"/>
            </w:tcBorders>
          </w:tcPr>
          <w:p w14:paraId="41D7696D" w14:textId="77777777" w:rsidR="00A474F6" w:rsidRPr="00AF1481" w:rsidRDefault="00A474F6" w:rsidP="008C5949">
            <w:pPr>
              <w:pStyle w:val="TableText0"/>
            </w:pPr>
            <w:r w:rsidRPr="00AF1481">
              <w:t xml:space="preserve">A randomized, double-masked, active-controlled Phase 2/3 study of the efficacy and safety of high dose aflibercept in patients with diabetic macular edema. Amendment Version 2.0 / 19 </w:t>
            </w:r>
          </w:p>
        </w:tc>
        <w:tc>
          <w:tcPr>
            <w:tcW w:w="1177" w:type="pct"/>
            <w:tcBorders>
              <w:top w:val="nil"/>
              <w:left w:val="single" w:sz="4" w:space="0" w:color="auto"/>
              <w:bottom w:val="nil"/>
              <w:right w:val="single" w:sz="4" w:space="0" w:color="auto"/>
            </w:tcBorders>
            <w:vAlign w:val="center"/>
          </w:tcPr>
          <w:p w14:paraId="7FF44E5D" w14:textId="77777777" w:rsidR="00A474F6" w:rsidRPr="00AF1481" w:rsidRDefault="00A474F6" w:rsidP="008C5949">
            <w:pPr>
              <w:pStyle w:val="TableText0"/>
              <w:rPr>
                <w:i/>
              </w:rPr>
            </w:pPr>
            <w:r w:rsidRPr="00AF1481">
              <w:t>Statistical analysis plan, August 2022</w:t>
            </w:r>
          </w:p>
        </w:tc>
      </w:tr>
      <w:tr w:rsidR="00A474F6" w:rsidRPr="00AF1481" w14:paraId="2FA18579" w14:textId="77777777" w:rsidTr="008C5949">
        <w:tc>
          <w:tcPr>
            <w:tcW w:w="705" w:type="pct"/>
            <w:vMerge/>
            <w:vAlign w:val="center"/>
          </w:tcPr>
          <w:p w14:paraId="7A4A07BD" w14:textId="77777777" w:rsidR="00A474F6" w:rsidRPr="00AF1481" w:rsidRDefault="00A474F6" w:rsidP="008C5949">
            <w:pPr>
              <w:pStyle w:val="TableText0"/>
            </w:pPr>
          </w:p>
        </w:tc>
        <w:tc>
          <w:tcPr>
            <w:tcW w:w="3118" w:type="pct"/>
            <w:tcBorders>
              <w:top w:val="nil"/>
              <w:bottom w:val="nil"/>
              <w:right w:val="single" w:sz="4" w:space="0" w:color="auto"/>
            </w:tcBorders>
          </w:tcPr>
          <w:p w14:paraId="0517E13D" w14:textId="77777777" w:rsidR="00A474F6" w:rsidRPr="00AF1481" w:rsidRDefault="00A474F6" w:rsidP="008C5949">
            <w:pPr>
              <w:pStyle w:val="TableText0"/>
            </w:pPr>
            <w:r w:rsidRPr="00AF1481">
              <w:t xml:space="preserve">Brown DM. Baseline Disease Characteristics of Patients Who Maintained 12- and 16-Week Aflibercept 8 mg Dosing Versus Patients with Shortened Treatment Intervals Through Week 48 in the Phase 2/3 PHOTON Trial. </w:t>
            </w:r>
          </w:p>
        </w:tc>
        <w:tc>
          <w:tcPr>
            <w:tcW w:w="1177" w:type="pct"/>
            <w:tcBorders>
              <w:top w:val="nil"/>
              <w:left w:val="single" w:sz="4" w:space="0" w:color="auto"/>
              <w:bottom w:val="nil"/>
              <w:right w:val="single" w:sz="4" w:space="0" w:color="auto"/>
            </w:tcBorders>
            <w:vAlign w:val="center"/>
          </w:tcPr>
          <w:p w14:paraId="00289324" w14:textId="77777777" w:rsidR="00A474F6" w:rsidRPr="00AF1481" w:rsidRDefault="00A474F6" w:rsidP="008C5949">
            <w:pPr>
              <w:pStyle w:val="TableText0"/>
            </w:pPr>
            <w:r w:rsidRPr="00AF1481">
              <w:t>Investigative Ophthalmology and Visual Science. 2023;64(8):2813</w:t>
            </w:r>
          </w:p>
        </w:tc>
      </w:tr>
      <w:tr w:rsidR="00A474F6" w:rsidRPr="00AF1481" w14:paraId="46B174DC" w14:textId="77777777" w:rsidTr="008C5949">
        <w:tc>
          <w:tcPr>
            <w:tcW w:w="705" w:type="pct"/>
            <w:vMerge/>
            <w:vAlign w:val="center"/>
          </w:tcPr>
          <w:p w14:paraId="628A520A" w14:textId="77777777" w:rsidR="00A474F6" w:rsidRPr="00AF1481" w:rsidRDefault="00A474F6" w:rsidP="008C5949">
            <w:pPr>
              <w:pStyle w:val="TableText0"/>
            </w:pPr>
          </w:p>
        </w:tc>
        <w:tc>
          <w:tcPr>
            <w:tcW w:w="3118" w:type="pct"/>
            <w:tcBorders>
              <w:top w:val="nil"/>
              <w:bottom w:val="nil"/>
              <w:right w:val="single" w:sz="4" w:space="0" w:color="auto"/>
            </w:tcBorders>
          </w:tcPr>
          <w:p w14:paraId="6F7A451D" w14:textId="77777777" w:rsidR="00A474F6" w:rsidRPr="00AF1481" w:rsidRDefault="00A474F6" w:rsidP="008C5949">
            <w:pPr>
              <w:pStyle w:val="TableText0"/>
              <w:contextualSpacing/>
            </w:pPr>
            <w:r w:rsidRPr="00AF1481">
              <w:t xml:space="preserve">Do DV. Aflibercept 8 mg for Diabetic Macular Edema: 48-Week Results From the Phase 2/3 PHOTON Trial. </w:t>
            </w:r>
          </w:p>
        </w:tc>
        <w:tc>
          <w:tcPr>
            <w:tcW w:w="1177" w:type="pct"/>
            <w:tcBorders>
              <w:top w:val="nil"/>
              <w:left w:val="single" w:sz="4" w:space="0" w:color="auto"/>
              <w:bottom w:val="nil"/>
              <w:right w:val="single" w:sz="4" w:space="0" w:color="auto"/>
            </w:tcBorders>
            <w:vAlign w:val="center"/>
          </w:tcPr>
          <w:p w14:paraId="40BA5090" w14:textId="77777777" w:rsidR="00A474F6" w:rsidRPr="00AF1481" w:rsidRDefault="00A474F6" w:rsidP="008C5949">
            <w:pPr>
              <w:pStyle w:val="TableText0"/>
            </w:pPr>
            <w:r w:rsidRPr="00AF1481">
              <w:t>Investigative Ophthalmology and Visual Science. 2023;64(8):2814</w:t>
            </w:r>
          </w:p>
        </w:tc>
      </w:tr>
      <w:tr w:rsidR="00A474F6" w:rsidRPr="00AF1481" w14:paraId="0B75ABC9" w14:textId="77777777" w:rsidTr="008C5949">
        <w:tc>
          <w:tcPr>
            <w:tcW w:w="705" w:type="pct"/>
            <w:vMerge/>
            <w:vAlign w:val="center"/>
          </w:tcPr>
          <w:p w14:paraId="20DCFFE1" w14:textId="77777777" w:rsidR="00A474F6" w:rsidRPr="00AF1481" w:rsidRDefault="00A474F6" w:rsidP="008C5949">
            <w:pPr>
              <w:pStyle w:val="TableText0"/>
            </w:pPr>
          </w:p>
        </w:tc>
        <w:tc>
          <w:tcPr>
            <w:tcW w:w="3118" w:type="pct"/>
            <w:tcBorders>
              <w:top w:val="nil"/>
              <w:bottom w:val="nil"/>
              <w:right w:val="single" w:sz="4" w:space="0" w:color="auto"/>
            </w:tcBorders>
          </w:tcPr>
          <w:p w14:paraId="59511A0D" w14:textId="77777777" w:rsidR="00A474F6" w:rsidRPr="00AF1481" w:rsidRDefault="00A474F6" w:rsidP="008C5949">
            <w:pPr>
              <w:pStyle w:val="TableText0"/>
              <w:contextualSpacing/>
            </w:pPr>
            <w:r w:rsidRPr="00AF1481">
              <w:t>Ghorayeb G. Intravitreal Aflibercept 8 mg for Diabetic Macular Edema: Week 48 Efficacy Outcomes by Baseline Demographics in the Phase 2/3 PHOTON Trial.</w:t>
            </w:r>
          </w:p>
        </w:tc>
        <w:tc>
          <w:tcPr>
            <w:tcW w:w="1177" w:type="pct"/>
            <w:tcBorders>
              <w:top w:val="nil"/>
              <w:left w:val="single" w:sz="4" w:space="0" w:color="auto"/>
              <w:bottom w:val="nil"/>
              <w:right w:val="single" w:sz="4" w:space="0" w:color="auto"/>
            </w:tcBorders>
            <w:vAlign w:val="center"/>
          </w:tcPr>
          <w:p w14:paraId="17615139" w14:textId="77777777" w:rsidR="00A474F6" w:rsidRPr="00AF1481" w:rsidRDefault="00A474F6" w:rsidP="008C5949">
            <w:pPr>
              <w:pStyle w:val="TableText0"/>
            </w:pPr>
            <w:r w:rsidRPr="00AF1481">
              <w:t>Investigative Ophthalmology and Visual Science. 2023;64(8):2707</w:t>
            </w:r>
          </w:p>
        </w:tc>
      </w:tr>
      <w:tr w:rsidR="00A474F6" w:rsidRPr="00AF1481" w14:paraId="6DABB405" w14:textId="77777777" w:rsidTr="008C5949">
        <w:tc>
          <w:tcPr>
            <w:tcW w:w="705" w:type="pct"/>
            <w:vMerge/>
            <w:tcBorders>
              <w:bottom w:val="single" w:sz="4" w:space="0" w:color="auto"/>
            </w:tcBorders>
            <w:vAlign w:val="center"/>
          </w:tcPr>
          <w:p w14:paraId="3C4BFAB6" w14:textId="77777777" w:rsidR="00A474F6" w:rsidRPr="00AF1481" w:rsidRDefault="00A474F6" w:rsidP="008C5949">
            <w:pPr>
              <w:pStyle w:val="TableText0"/>
            </w:pPr>
          </w:p>
        </w:tc>
        <w:tc>
          <w:tcPr>
            <w:tcW w:w="3118" w:type="pct"/>
            <w:tcBorders>
              <w:top w:val="nil"/>
              <w:bottom w:val="single" w:sz="4" w:space="0" w:color="auto"/>
              <w:right w:val="single" w:sz="4" w:space="0" w:color="auto"/>
            </w:tcBorders>
          </w:tcPr>
          <w:p w14:paraId="49DDF6E7" w14:textId="77777777" w:rsidR="00A474F6" w:rsidRPr="00AF1481" w:rsidRDefault="00A474F6" w:rsidP="008C5949">
            <w:pPr>
              <w:pStyle w:val="TableText0"/>
            </w:pPr>
            <w:r w:rsidRPr="00AF1481">
              <w:t>Schneider E. Pooled Safety Analysis of Aflibercept 8 mg in the CANDELA, PHOTON, and PULSAR Trials.</w:t>
            </w:r>
          </w:p>
        </w:tc>
        <w:tc>
          <w:tcPr>
            <w:tcW w:w="1177" w:type="pct"/>
            <w:tcBorders>
              <w:top w:val="nil"/>
              <w:left w:val="single" w:sz="4" w:space="0" w:color="auto"/>
              <w:bottom w:val="single" w:sz="4" w:space="0" w:color="auto"/>
              <w:right w:val="single" w:sz="4" w:space="0" w:color="auto"/>
            </w:tcBorders>
            <w:vAlign w:val="center"/>
          </w:tcPr>
          <w:p w14:paraId="6355CD23" w14:textId="77777777" w:rsidR="00A474F6" w:rsidRPr="00AF1481" w:rsidRDefault="00A474F6" w:rsidP="008C5949">
            <w:pPr>
              <w:pStyle w:val="TableText0"/>
            </w:pPr>
            <w:r w:rsidRPr="00AF1481">
              <w:t>Investigative Ophthalmology and Visual Science. 2023;64(8):3724</w:t>
            </w:r>
          </w:p>
        </w:tc>
      </w:tr>
    </w:tbl>
    <w:p w14:paraId="6F260AC4" w14:textId="77777777" w:rsidR="00A474F6" w:rsidRPr="00AF1481" w:rsidRDefault="00A474F6" w:rsidP="00A474F6">
      <w:pPr>
        <w:pStyle w:val="FooterTableFigure"/>
      </w:pPr>
      <w:r w:rsidRPr="00AF1481">
        <w:t>Source: Table 2-3 p25 of the submission</w:t>
      </w:r>
    </w:p>
    <w:p w14:paraId="2177F139" w14:textId="0451A1C0" w:rsidR="00A474F6" w:rsidRPr="00AF1481" w:rsidRDefault="00A474F6" w:rsidP="00A474F6">
      <w:pPr>
        <w:pStyle w:val="FooterTableFigure"/>
        <w:rPr>
          <w:sz w:val="20"/>
        </w:rPr>
      </w:pPr>
      <w:r w:rsidRPr="00AF1481">
        <w:t xml:space="preserve">DME = diabetic macular </w:t>
      </w:r>
      <w:r w:rsidR="00352EBB" w:rsidRPr="00AF1481">
        <w:t>o</w:t>
      </w:r>
      <w:r w:rsidRPr="00AF1481">
        <w:t>edema; VEGF = Vascular endothelial growth factor</w:t>
      </w:r>
    </w:p>
    <w:p w14:paraId="116DE077" w14:textId="3CC019A2" w:rsidR="00A474F6" w:rsidRPr="00AF1481" w:rsidRDefault="00A474F6" w:rsidP="00A474F6">
      <w:pPr>
        <w:pStyle w:val="ExecSumBodyText"/>
        <w:numPr>
          <w:ilvl w:val="1"/>
          <w:numId w:val="1"/>
        </w:numPr>
        <w:ind w:left="709" w:hanging="709"/>
        <w:rPr>
          <w:snapToGrid/>
        </w:rPr>
      </w:pPr>
      <w:r w:rsidRPr="00AF1481">
        <w:rPr>
          <w:snapToGrid/>
        </w:rPr>
        <w:t xml:space="preserve">The submission was based on one head-to-head trial (PHOTON, N=660) comparing aflibercept 8 mg 12-weekly (8q12) or aflibercept 8 mg administered 16-weekly (8q16), to aflibercept 2 mg 8-weekly (2q8) injection intervals. The key features of PHOTON are summarised in </w:t>
      </w:r>
      <w:r w:rsidRPr="00AF1481">
        <w:rPr>
          <w:snapToGrid/>
        </w:rPr>
        <w:fldChar w:fldCharType="begin"/>
      </w:r>
      <w:r w:rsidRPr="00AF1481">
        <w:rPr>
          <w:snapToGrid/>
        </w:rPr>
        <w:instrText xml:space="preserve"> REF _Ref104804098 \h  \* MERGEFORMAT </w:instrText>
      </w:r>
      <w:r w:rsidRPr="00AF1481">
        <w:rPr>
          <w:snapToGrid/>
        </w:rPr>
      </w:r>
      <w:r w:rsidRPr="00AF1481">
        <w:rPr>
          <w:snapToGrid/>
        </w:rPr>
        <w:fldChar w:fldCharType="separate"/>
      </w:r>
      <w:r w:rsidR="009404AF" w:rsidRPr="009404AF">
        <w:rPr>
          <w:snapToGrid/>
        </w:rPr>
        <w:t>Table 3</w:t>
      </w:r>
      <w:r w:rsidRPr="00AF1481">
        <w:rPr>
          <w:snapToGrid/>
        </w:rPr>
        <w:fldChar w:fldCharType="end"/>
      </w:r>
      <w:r w:rsidRPr="00AF1481">
        <w:rPr>
          <w:snapToGrid/>
        </w:rPr>
        <w:t>.</w:t>
      </w:r>
    </w:p>
    <w:p w14:paraId="3F48F705" w14:textId="1860A76C" w:rsidR="00A474F6" w:rsidRPr="00AF1481" w:rsidRDefault="00A474F6" w:rsidP="00A474F6">
      <w:pPr>
        <w:pStyle w:val="Caption"/>
        <w:rPr>
          <w:rFonts w:eastAsiaTheme="majorEastAsia" w:cstheme="majorBidi"/>
          <w:szCs w:val="24"/>
        </w:rPr>
      </w:pPr>
      <w:bookmarkStart w:id="43" w:name="_Ref104804098"/>
      <w:r w:rsidRPr="00AF1481">
        <w:rPr>
          <w:rStyle w:val="CommentReference"/>
          <w:rFonts w:eastAsiaTheme="majorEastAsia" w:cstheme="majorBidi"/>
          <w:b/>
          <w:szCs w:val="24"/>
        </w:rPr>
        <w:lastRenderedPageBreak/>
        <w:t xml:space="preserve">Table </w:t>
      </w:r>
      <w:r w:rsidRPr="00AF1481">
        <w:rPr>
          <w:rStyle w:val="CommentReference"/>
          <w:rFonts w:eastAsiaTheme="majorEastAsia" w:cstheme="majorBidi"/>
          <w:b/>
          <w:szCs w:val="24"/>
        </w:rPr>
        <w:fldChar w:fldCharType="begin"/>
      </w:r>
      <w:r w:rsidRPr="00AF1481">
        <w:rPr>
          <w:rStyle w:val="CommentReference"/>
          <w:rFonts w:eastAsiaTheme="majorEastAsia" w:cstheme="majorBidi"/>
          <w:b/>
          <w:szCs w:val="24"/>
        </w:rPr>
        <w:instrText xml:space="preserve"> SEQ Table \* ARABIC </w:instrText>
      </w:r>
      <w:r w:rsidRPr="00AF1481">
        <w:rPr>
          <w:rStyle w:val="CommentReference"/>
          <w:rFonts w:eastAsiaTheme="majorEastAsia" w:cstheme="majorBidi"/>
          <w:b/>
          <w:szCs w:val="24"/>
        </w:rPr>
        <w:fldChar w:fldCharType="separate"/>
      </w:r>
      <w:r w:rsidR="009404AF">
        <w:rPr>
          <w:rStyle w:val="CommentReference"/>
          <w:rFonts w:eastAsiaTheme="majorEastAsia" w:cstheme="majorBidi"/>
          <w:b/>
          <w:noProof/>
          <w:szCs w:val="24"/>
        </w:rPr>
        <w:t>3</w:t>
      </w:r>
      <w:r w:rsidRPr="00AF1481">
        <w:rPr>
          <w:rStyle w:val="CommentReference"/>
          <w:rFonts w:eastAsiaTheme="majorEastAsia" w:cstheme="majorBidi"/>
          <w:b/>
          <w:szCs w:val="24"/>
        </w:rPr>
        <w:fldChar w:fldCharType="end"/>
      </w:r>
      <w:bookmarkEnd w:id="43"/>
      <w:r w:rsidRPr="00AF1481">
        <w:rPr>
          <w:rStyle w:val="CommentReference"/>
          <w:rFonts w:eastAsiaTheme="majorEastAsia" w:cstheme="majorBidi"/>
          <w:b/>
          <w:szCs w:val="24"/>
        </w:rPr>
        <w:t>: Key features of the included evidence</w:t>
      </w:r>
    </w:p>
    <w:tbl>
      <w:tblPr>
        <w:tblStyle w:val="TableGrid"/>
        <w:tblW w:w="9071" w:type="dxa"/>
        <w:tblLook w:val="04A0" w:firstRow="1" w:lastRow="0" w:firstColumn="1" w:lastColumn="0" w:noHBand="0" w:noVBand="1"/>
      </w:tblPr>
      <w:tblGrid>
        <w:gridCol w:w="1009"/>
        <w:gridCol w:w="995"/>
        <w:gridCol w:w="1677"/>
        <w:gridCol w:w="850"/>
        <w:gridCol w:w="2410"/>
        <w:gridCol w:w="2130"/>
      </w:tblGrid>
      <w:tr w:rsidR="00A474F6" w:rsidRPr="00AF1481" w14:paraId="62F0036F" w14:textId="77777777" w:rsidTr="008C5949">
        <w:trPr>
          <w:trHeight w:val="454"/>
        </w:trPr>
        <w:tc>
          <w:tcPr>
            <w:tcW w:w="1009" w:type="dxa"/>
          </w:tcPr>
          <w:p w14:paraId="6D3940B9" w14:textId="77777777" w:rsidR="00A474F6" w:rsidRPr="00AF1481" w:rsidRDefault="00A474F6" w:rsidP="008C5949">
            <w:pPr>
              <w:pStyle w:val="TableText0"/>
              <w:jc w:val="center"/>
              <w:rPr>
                <w:b/>
                <w:bCs w:val="0"/>
              </w:rPr>
            </w:pPr>
            <w:r w:rsidRPr="00AF1481">
              <w:rPr>
                <w:b/>
                <w:bCs w:val="0"/>
              </w:rPr>
              <w:t>Trial</w:t>
            </w:r>
          </w:p>
        </w:tc>
        <w:tc>
          <w:tcPr>
            <w:tcW w:w="995" w:type="dxa"/>
          </w:tcPr>
          <w:p w14:paraId="4874E51B" w14:textId="77777777" w:rsidR="00A474F6" w:rsidRPr="00AF1481" w:rsidRDefault="00A474F6" w:rsidP="008C5949">
            <w:pPr>
              <w:pStyle w:val="TableText0"/>
              <w:jc w:val="center"/>
              <w:rPr>
                <w:b/>
                <w:bCs w:val="0"/>
              </w:rPr>
            </w:pPr>
            <w:r w:rsidRPr="00AF1481">
              <w:rPr>
                <w:b/>
                <w:bCs w:val="0"/>
              </w:rPr>
              <w:t>N</w:t>
            </w:r>
          </w:p>
        </w:tc>
        <w:tc>
          <w:tcPr>
            <w:tcW w:w="1677" w:type="dxa"/>
          </w:tcPr>
          <w:p w14:paraId="478605DD" w14:textId="77777777" w:rsidR="00A474F6" w:rsidRPr="00AF1481" w:rsidRDefault="00A474F6" w:rsidP="008C5949">
            <w:pPr>
              <w:pStyle w:val="TableText0"/>
              <w:jc w:val="center"/>
              <w:rPr>
                <w:b/>
                <w:bCs w:val="0"/>
              </w:rPr>
            </w:pPr>
            <w:r w:rsidRPr="00AF1481">
              <w:rPr>
                <w:b/>
                <w:bCs w:val="0"/>
              </w:rPr>
              <w:t>Design/duration</w:t>
            </w:r>
          </w:p>
        </w:tc>
        <w:tc>
          <w:tcPr>
            <w:tcW w:w="850" w:type="dxa"/>
          </w:tcPr>
          <w:p w14:paraId="7B9BCCF1" w14:textId="77777777" w:rsidR="00A474F6" w:rsidRPr="00AF1481" w:rsidRDefault="00A474F6" w:rsidP="008C5949">
            <w:pPr>
              <w:pStyle w:val="TableText0"/>
              <w:jc w:val="center"/>
              <w:rPr>
                <w:b/>
                <w:bCs w:val="0"/>
              </w:rPr>
            </w:pPr>
            <w:r w:rsidRPr="00AF1481">
              <w:rPr>
                <w:b/>
                <w:bCs w:val="0"/>
              </w:rPr>
              <w:t>Risk of bias</w:t>
            </w:r>
          </w:p>
        </w:tc>
        <w:tc>
          <w:tcPr>
            <w:tcW w:w="2410" w:type="dxa"/>
          </w:tcPr>
          <w:p w14:paraId="23123BB4" w14:textId="77777777" w:rsidR="00A474F6" w:rsidRPr="00AF1481" w:rsidRDefault="00A474F6" w:rsidP="008C5949">
            <w:pPr>
              <w:pStyle w:val="TableText0"/>
              <w:jc w:val="center"/>
              <w:rPr>
                <w:b/>
                <w:bCs w:val="0"/>
              </w:rPr>
            </w:pPr>
            <w:r w:rsidRPr="00AF1481">
              <w:rPr>
                <w:b/>
                <w:bCs w:val="0"/>
              </w:rPr>
              <w:t>Patient population</w:t>
            </w:r>
          </w:p>
        </w:tc>
        <w:tc>
          <w:tcPr>
            <w:tcW w:w="2130" w:type="dxa"/>
          </w:tcPr>
          <w:p w14:paraId="0D892F80" w14:textId="77777777" w:rsidR="00A474F6" w:rsidRPr="00AF1481" w:rsidRDefault="00A474F6" w:rsidP="008C5949">
            <w:pPr>
              <w:pStyle w:val="TableText0"/>
              <w:jc w:val="center"/>
              <w:rPr>
                <w:b/>
                <w:bCs w:val="0"/>
              </w:rPr>
            </w:pPr>
            <w:r w:rsidRPr="00AF1481">
              <w:rPr>
                <w:b/>
                <w:bCs w:val="0"/>
              </w:rPr>
              <w:t>Outcomes</w:t>
            </w:r>
          </w:p>
        </w:tc>
      </w:tr>
      <w:tr w:rsidR="00A474F6" w:rsidRPr="00AF1481" w14:paraId="756CF477" w14:textId="77777777" w:rsidTr="008C5949">
        <w:trPr>
          <w:trHeight w:val="290"/>
        </w:trPr>
        <w:tc>
          <w:tcPr>
            <w:tcW w:w="1009" w:type="dxa"/>
          </w:tcPr>
          <w:p w14:paraId="2CC0B389" w14:textId="77777777" w:rsidR="00A474F6" w:rsidRPr="00AF1481" w:rsidRDefault="00A474F6" w:rsidP="008C5949">
            <w:pPr>
              <w:pStyle w:val="TableText0"/>
            </w:pPr>
            <w:r w:rsidRPr="00AF1481">
              <w:t>PHOTON</w:t>
            </w:r>
          </w:p>
        </w:tc>
        <w:tc>
          <w:tcPr>
            <w:tcW w:w="995" w:type="dxa"/>
          </w:tcPr>
          <w:p w14:paraId="77B44C0F" w14:textId="77777777" w:rsidR="00A474F6" w:rsidRPr="00AF1481" w:rsidRDefault="00A474F6" w:rsidP="008C5949">
            <w:pPr>
              <w:pStyle w:val="TableText0"/>
              <w:jc w:val="center"/>
            </w:pPr>
            <w:r w:rsidRPr="00AF1481">
              <w:t>660</w:t>
            </w:r>
          </w:p>
        </w:tc>
        <w:tc>
          <w:tcPr>
            <w:tcW w:w="1677" w:type="dxa"/>
          </w:tcPr>
          <w:p w14:paraId="3FEC3EE7" w14:textId="77777777" w:rsidR="001E13FD" w:rsidRPr="00AF1481" w:rsidRDefault="00A474F6" w:rsidP="008C5949">
            <w:pPr>
              <w:pStyle w:val="TableText0"/>
            </w:pPr>
            <w:r w:rsidRPr="00AF1481">
              <w:t xml:space="preserve">R, MC, DB, </w:t>
            </w:r>
            <w:r w:rsidR="001E13FD" w:rsidRPr="00AF1481">
              <w:t>non-inferiority</w:t>
            </w:r>
          </w:p>
          <w:p w14:paraId="5AD6CB9E" w14:textId="0B1501A1" w:rsidR="00A474F6" w:rsidRPr="00AF1481" w:rsidRDefault="00A474F6" w:rsidP="008C5949">
            <w:pPr>
              <w:pStyle w:val="TableText0"/>
            </w:pPr>
            <w:r w:rsidRPr="00AF1481">
              <w:t>Ongoing (96 weeks)</w:t>
            </w:r>
          </w:p>
        </w:tc>
        <w:tc>
          <w:tcPr>
            <w:tcW w:w="850" w:type="dxa"/>
          </w:tcPr>
          <w:p w14:paraId="7D4E4316" w14:textId="77777777" w:rsidR="00A474F6" w:rsidRPr="00AF1481" w:rsidRDefault="00A474F6" w:rsidP="008C5949">
            <w:pPr>
              <w:pStyle w:val="TableText0"/>
              <w:jc w:val="center"/>
            </w:pPr>
            <w:r w:rsidRPr="00AF1481">
              <w:t>Low</w:t>
            </w:r>
          </w:p>
        </w:tc>
        <w:tc>
          <w:tcPr>
            <w:tcW w:w="2410" w:type="dxa"/>
          </w:tcPr>
          <w:p w14:paraId="3E70A944" w14:textId="77777777" w:rsidR="00A474F6" w:rsidRPr="00AF1481" w:rsidRDefault="00A474F6" w:rsidP="00A45CFC">
            <w:pPr>
              <w:pStyle w:val="TableText0"/>
              <w:numPr>
                <w:ilvl w:val="0"/>
                <w:numId w:val="8"/>
              </w:numPr>
              <w:ind w:left="215" w:hanging="215"/>
            </w:pPr>
            <w:r w:rsidRPr="00AF1481">
              <w:t>Adults with macular thickening secondary to DMO involving the centre of the fovea</w:t>
            </w:r>
          </w:p>
          <w:p w14:paraId="031A5C5D" w14:textId="77777777" w:rsidR="00A474F6" w:rsidRPr="00AF1481" w:rsidRDefault="00A474F6" w:rsidP="00A45CFC">
            <w:pPr>
              <w:pStyle w:val="TableText0"/>
              <w:numPr>
                <w:ilvl w:val="0"/>
                <w:numId w:val="8"/>
              </w:numPr>
              <w:ind w:left="215" w:hanging="215"/>
            </w:pPr>
            <w:r w:rsidRPr="00AF1481">
              <w:t>BCVA ETDRS letter score of 78 to 24 in the study eye with decreased vision primarily because of DMO</w:t>
            </w:r>
          </w:p>
          <w:p w14:paraId="25561A47" w14:textId="77777777" w:rsidR="00A474F6" w:rsidRPr="00AF1481" w:rsidRDefault="00A474F6" w:rsidP="00A45CFC">
            <w:pPr>
              <w:pStyle w:val="TableText0"/>
              <w:numPr>
                <w:ilvl w:val="0"/>
                <w:numId w:val="8"/>
              </w:numPr>
              <w:ind w:left="215" w:hanging="215"/>
            </w:pPr>
            <w:r w:rsidRPr="00AF1481">
              <w:t>Type 1 or 2 diabetes</w:t>
            </w:r>
          </w:p>
          <w:p w14:paraId="733ADC00" w14:textId="77777777" w:rsidR="00A474F6" w:rsidRPr="00AF1481" w:rsidRDefault="00A474F6" w:rsidP="00A45CFC">
            <w:pPr>
              <w:pStyle w:val="TableText0"/>
              <w:numPr>
                <w:ilvl w:val="0"/>
                <w:numId w:val="8"/>
              </w:numPr>
              <w:ind w:left="215" w:hanging="215"/>
            </w:pPr>
            <w:r w:rsidRPr="00AF1481">
              <w:t>CRT ≥300 μm (or ≥ 320 μm on Spectralis) as determined by the reading centre at the screening visit.</w:t>
            </w:r>
          </w:p>
          <w:p w14:paraId="3416E469" w14:textId="77777777" w:rsidR="00A474F6" w:rsidRPr="00AF1481" w:rsidRDefault="00A474F6" w:rsidP="008C5949">
            <w:pPr>
              <w:pStyle w:val="TableText0"/>
              <w:jc w:val="center"/>
            </w:pPr>
          </w:p>
        </w:tc>
        <w:tc>
          <w:tcPr>
            <w:tcW w:w="2130" w:type="dxa"/>
          </w:tcPr>
          <w:p w14:paraId="135EB372" w14:textId="77777777" w:rsidR="00A05AA6" w:rsidRDefault="00A474F6" w:rsidP="008C5949">
            <w:pPr>
              <w:pStyle w:val="TableText0"/>
              <w:rPr>
                <w:b/>
                <w:bCs w:val="0"/>
              </w:rPr>
            </w:pPr>
            <w:r w:rsidRPr="00AF1481">
              <w:rPr>
                <w:b/>
                <w:bCs w:val="0"/>
              </w:rPr>
              <w:t>Primary:</w:t>
            </w:r>
          </w:p>
          <w:p w14:paraId="0E742105" w14:textId="77777777" w:rsidR="00A05AA6" w:rsidRDefault="00A474F6" w:rsidP="00A45CFC">
            <w:pPr>
              <w:pStyle w:val="TableText0"/>
              <w:numPr>
                <w:ilvl w:val="0"/>
                <w:numId w:val="6"/>
              </w:numPr>
              <w:ind w:left="173" w:hanging="173"/>
            </w:pPr>
            <w:r w:rsidRPr="00AF1481">
              <w:t>Change in BCVA</w:t>
            </w:r>
          </w:p>
          <w:p w14:paraId="225881C4" w14:textId="77777777" w:rsidR="00A05AA6" w:rsidRDefault="00A474F6" w:rsidP="008C5949">
            <w:pPr>
              <w:pStyle w:val="TableText0"/>
              <w:rPr>
                <w:b/>
                <w:bCs w:val="0"/>
              </w:rPr>
            </w:pPr>
            <w:r w:rsidRPr="00AF1481">
              <w:rPr>
                <w:b/>
                <w:bCs w:val="0"/>
              </w:rPr>
              <w:t>Key secondary:</w:t>
            </w:r>
          </w:p>
          <w:p w14:paraId="47DB209B" w14:textId="77777777" w:rsidR="00A05AA6" w:rsidRDefault="00A474F6" w:rsidP="00A45CFC">
            <w:pPr>
              <w:pStyle w:val="TableText0"/>
              <w:numPr>
                <w:ilvl w:val="0"/>
                <w:numId w:val="6"/>
              </w:numPr>
              <w:ind w:left="173" w:hanging="173"/>
            </w:pPr>
            <w:r w:rsidRPr="00AF1481">
              <w:t>Change in BCVA</w:t>
            </w:r>
          </w:p>
          <w:p w14:paraId="25054E2D" w14:textId="3876FD2B" w:rsidR="00A474F6" w:rsidRPr="00AF1481" w:rsidRDefault="00A474F6" w:rsidP="00A45CFC">
            <w:pPr>
              <w:pStyle w:val="TableText0"/>
              <w:numPr>
                <w:ilvl w:val="0"/>
                <w:numId w:val="6"/>
              </w:numPr>
              <w:ind w:left="173" w:hanging="173"/>
            </w:pPr>
            <w:r w:rsidRPr="00AF1481">
              <w:t>≥2-step improvement on the ETDRS DRS</w:t>
            </w:r>
          </w:p>
          <w:p w14:paraId="61D23E7F" w14:textId="77777777" w:rsidR="00A05AA6" w:rsidRDefault="00A474F6" w:rsidP="008C5949">
            <w:pPr>
              <w:pStyle w:val="TableText0"/>
            </w:pPr>
            <w:r w:rsidRPr="00AF1481">
              <w:rPr>
                <w:b/>
                <w:bCs w:val="0"/>
              </w:rPr>
              <w:t>Additional secondary</w:t>
            </w:r>
            <w:r w:rsidRPr="00AF1481">
              <w:t>:</w:t>
            </w:r>
          </w:p>
          <w:p w14:paraId="073A9C59" w14:textId="3C7EA6D0" w:rsidR="00A474F6" w:rsidRPr="00AF1481" w:rsidRDefault="00A474F6" w:rsidP="00A45CFC">
            <w:pPr>
              <w:pStyle w:val="TableText0"/>
              <w:numPr>
                <w:ilvl w:val="0"/>
                <w:numId w:val="6"/>
              </w:numPr>
              <w:ind w:left="173" w:hanging="173"/>
            </w:pPr>
            <w:r w:rsidRPr="00AF1481">
              <w:t>Proportion of patients gaining ≥15 letters in BCVA</w:t>
            </w:r>
          </w:p>
          <w:p w14:paraId="6E8CA94B" w14:textId="77777777" w:rsidR="00A474F6" w:rsidRPr="00AF1481" w:rsidRDefault="00A474F6" w:rsidP="00A45CFC">
            <w:pPr>
              <w:pStyle w:val="TableText0"/>
              <w:numPr>
                <w:ilvl w:val="0"/>
                <w:numId w:val="6"/>
              </w:numPr>
              <w:ind w:left="173" w:hanging="173"/>
            </w:pPr>
            <w:r w:rsidRPr="00AF1481">
              <w:t>Proportion of patients with BCVA ≥ 69 letters;</w:t>
            </w:r>
          </w:p>
          <w:p w14:paraId="25478D78" w14:textId="77777777" w:rsidR="00A474F6" w:rsidRPr="00AF1481" w:rsidRDefault="00A474F6" w:rsidP="00A45CFC">
            <w:pPr>
              <w:pStyle w:val="TableText0"/>
              <w:numPr>
                <w:ilvl w:val="0"/>
                <w:numId w:val="6"/>
              </w:numPr>
              <w:ind w:left="173" w:hanging="173"/>
            </w:pPr>
            <w:r w:rsidRPr="00AF1481">
              <w:t>Change in CST</w:t>
            </w:r>
          </w:p>
          <w:p w14:paraId="450B0BBC" w14:textId="77777777" w:rsidR="00A474F6" w:rsidRPr="00AF1481" w:rsidRDefault="00A474F6" w:rsidP="00A45CFC">
            <w:pPr>
              <w:pStyle w:val="TableText0"/>
              <w:numPr>
                <w:ilvl w:val="0"/>
                <w:numId w:val="6"/>
              </w:numPr>
              <w:ind w:left="173" w:hanging="173"/>
            </w:pPr>
            <w:r w:rsidRPr="00AF1481">
              <w:t>Proportion of patients with leakage on fluorescein angiography</w:t>
            </w:r>
          </w:p>
          <w:p w14:paraId="53CE0EA7" w14:textId="77777777" w:rsidR="00A474F6" w:rsidRPr="00AF1481" w:rsidRDefault="00A474F6" w:rsidP="00A45CFC">
            <w:pPr>
              <w:pStyle w:val="TableText0"/>
              <w:numPr>
                <w:ilvl w:val="0"/>
                <w:numId w:val="6"/>
              </w:numPr>
              <w:ind w:left="173" w:hanging="173"/>
            </w:pPr>
            <w:r w:rsidRPr="00AF1481">
              <w:t>Quality of life (NEI VFQ-25)</w:t>
            </w:r>
          </w:p>
          <w:p w14:paraId="2314F0F7" w14:textId="77777777" w:rsidR="00A474F6" w:rsidRPr="00AF1481" w:rsidRDefault="00A474F6" w:rsidP="00A45CFC">
            <w:pPr>
              <w:pStyle w:val="TableText0"/>
              <w:numPr>
                <w:ilvl w:val="0"/>
                <w:numId w:val="6"/>
              </w:numPr>
              <w:ind w:left="173" w:hanging="173"/>
            </w:pPr>
            <w:r w:rsidRPr="00AF1481">
              <w:t>Adverse events</w:t>
            </w:r>
          </w:p>
        </w:tc>
      </w:tr>
    </w:tbl>
    <w:p w14:paraId="6FEB7708" w14:textId="77777777" w:rsidR="00A474F6" w:rsidRPr="00AF1481" w:rsidRDefault="00A474F6" w:rsidP="00A474F6">
      <w:pPr>
        <w:pStyle w:val="FooterTableFigure"/>
      </w:pPr>
      <w:r w:rsidRPr="00AF1481">
        <w:t>Source: Prepared during the evaluation based on Section 2.3 of the submission</w:t>
      </w:r>
    </w:p>
    <w:p w14:paraId="4BE1960A" w14:textId="428A6716" w:rsidR="00A474F6" w:rsidRPr="00AF1481" w:rsidRDefault="00A474F6" w:rsidP="00A474F6">
      <w:pPr>
        <w:pStyle w:val="FooterTableFigure"/>
        <w:rPr>
          <w:rFonts w:cs="Arial Narrow"/>
          <w:color w:val="000000"/>
          <w:szCs w:val="18"/>
        </w:rPr>
      </w:pPr>
      <w:r w:rsidRPr="00AF1481">
        <w:rPr>
          <w:rFonts w:cs="Arial Narrow"/>
          <w:color w:val="000000"/>
          <w:szCs w:val="18"/>
        </w:rPr>
        <w:t>BCVA = best corrected visual acuity; CST = central subfield thickness; CRT = Central retinal thickness; DB</w:t>
      </w:r>
      <w:r w:rsidRPr="00AF1481">
        <w:t xml:space="preserve"> = double blind; </w:t>
      </w:r>
      <w:r w:rsidRPr="00AF1481">
        <w:rPr>
          <w:rFonts w:cs="Arial Narrow"/>
          <w:color w:val="000000"/>
          <w:szCs w:val="18"/>
        </w:rPr>
        <w:t>DMO = diabetic macular oedema; DRS = diabetic</w:t>
      </w:r>
      <w:r w:rsidR="00AA28A6" w:rsidRPr="00AF1481">
        <w:rPr>
          <w:rFonts w:cs="Arial Narrow"/>
          <w:color w:val="000000"/>
          <w:szCs w:val="18"/>
        </w:rPr>
        <w:t xml:space="preserve"> </w:t>
      </w:r>
      <w:r w:rsidRPr="00AF1481">
        <w:rPr>
          <w:rFonts w:cs="Arial Narrow"/>
          <w:color w:val="000000"/>
          <w:szCs w:val="18"/>
        </w:rPr>
        <w:t xml:space="preserve">retinopathy severity; ETDRS = Early Treatment Diabetic Retinopathy Study; </w:t>
      </w:r>
      <w:r w:rsidRPr="00AF1481">
        <w:t>MC = multi-centre;</w:t>
      </w:r>
      <w:r w:rsidRPr="00AF1481">
        <w:rPr>
          <w:rFonts w:cs="Arial Narrow"/>
          <w:color w:val="000000"/>
          <w:szCs w:val="18"/>
        </w:rPr>
        <w:t xml:space="preserve"> NEI VFQ-25 = National</w:t>
      </w:r>
      <w:r w:rsidR="00535F38" w:rsidRPr="00AF1481">
        <w:rPr>
          <w:rFonts w:cs="Arial Narrow"/>
          <w:color w:val="000000"/>
          <w:szCs w:val="18"/>
        </w:rPr>
        <w:t xml:space="preserve"> </w:t>
      </w:r>
      <w:r w:rsidRPr="00AF1481">
        <w:rPr>
          <w:rFonts w:cs="Arial Narrow"/>
          <w:color w:val="000000"/>
          <w:szCs w:val="18"/>
        </w:rPr>
        <w:t xml:space="preserve">Eye Institute Visual Functioning Questionaire-25 ; </w:t>
      </w:r>
      <w:r w:rsidRPr="00AF1481">
        <w:t>R = randomised;</w:t>
      </w:r>
    </w:p>
    <w:p w14:paraId="79A6AC3F" w14:textId="77777777" w:rsidR="00A05AA6" w:rsidRDefault="00A474F6" w:rsidP="00A474F6">
      <w:pPr>
        <w:pStyle w:val="ExecSumBodyText"/>
        <w:numPr>
          <w:ilvl w:val="1"/>
          <w:numId w:val="1"/>
        </w:numPr>
        <w:ind w:left="709" w:hanging="709"/>
      </w:pPr>
      <w:bookmarkStart w:id="44" w:name="_Toc22897641"/>
      <w:r w:rsidRPr="00AF1481">
        <w:t xml:space="preserve">PHOTON is an ongoing, international, randomised </w:t>
      </w:r>
      <w:r w:rsidR="0022740D" w:rsidRPr="00AF1481">
        <w:t xml:space="preserve">non-inferiority </w:t>
      </w:r>
      <w:r w:rsidRPr="00AF1481">
        <w:t>trial. The submission was based on the results of the primary analysis for PHOTON, reported for a mean duration of follow-up of approximately 48 weeks. Treatment is planned to continue for a total of 96 weeks. Patients who complete PHOTON will be eligible to participate in an open-label extension study until Week 156.</w:t>
      </w:r>
    </w:p>
    <w:p w14:paraId="2BAE1EEA" w14:textId="77777777" w:rsidR="00A05AA6" w:rsidRDefault="00A474F6" w:rsidP="00A474F6">
      <w:pPr>
        <w:pStyle w:val="ExecSumBodyText"/>
        <w:numPr>
          <w:ilvl w:val="1"/>
          <w:numId w:val="1"/>
        </w:numPr>
        <w:ind w:left="709" w:hanging="709"/>
      </w:pPr>
      <w:r w:rsidRPr="00AF1481">
        <w:t xml:space="preserve">PHOTON recruited adults with DMO involving the centre of the fovea. Patients were required to be diagnosed with Type 1 or 2 diabetes and have a </w:t>
      </w:r>
      <w:r w:rsidR="001F52C7" w:rsidRPr="00AF1481">
        <w:t xml:space="preserve">glycosylated </w:t>
      </w:r>
      <w:r w:rsidR="00F33FA1" w:rsidRPr="00AF1481">
        <w:t>haemoglobin</w:t>
      </w:r>
      <w:r w:rsidR="001F52C7" w:rsidRPr="00AF1481">
        <w:t xml:space="preserve"> (</w:t>
      </w:r>
      <w:r w:rsidRPr="00AF1481">
        <w:t>HbA1c</w:t>
      </w:r>
      <w:r w:rsidR="001F52C7" w:rsidRPr="00AF1481">
        <w:t>)</w:t>
      </w:r>
      <w:r w:rsidRPr="00AF1481">
        <w:t xml:space="preserve"> of ≤12%, have visual impairment (BCVA of 78 to 24 letters) and with CRT ≥300 μm (or ≥ 320 μm on Spectralis) as determined by the reading centre at the screening visit. The trial excluded patients with evidence of macular oedema due to any cause other than diabetes mellitus in either eye, active proliferative diabetic retinopathy in the study eye, or uncontrolled </w:t>
      </w:r>
      <w:r w:rsidR="005F2136" w:rsidRPr="00AF1481">
        <w:t xml:space="preserve">diabetes </w:t>
      </w:r>
      <w:r w:rsidRPr="00AF1481">
        <w:t>or blood pressure. Patients were excluded if they had panretinal/macular laser photocoagulation or IVT anti-VEGF treatment in the study eye within 12 weeks of the screening visit.</w:t>
      </w:r>
    </w:p>
    <w:p w14:paraId="504CDC1A" w14:textId="77777777" w:rsidR="00A05AA6" w:rsidRDefault="00A474F6" w:rsidP="00A474F6">
      <w:pPr>
        <w:pStyle w:val="ExecSumBodyText"/>
        <w:numPr>
          <w:ilvl w:val="1"/>
          <w:numId w:val="1"/>
        </w:numPr>
        <w:ind w:left="709" w:hanging="709"/>
      </w:pPr>
      <w:r w:rsidRPr="00AF1481">
        <w:rPr>
          <w:iCs/>
        </w:rPr>
        <w:t xml:space="preserve">The </w:t>
      </w:r>
      <w:r w:rsidR="00D42C99" w:rsidRPr="00AF1481">
        <w:rPr>
          <w:iCs/>
        </w:rPr>
        <w:t xml:space="preserve">proposed </w:t>
      </w:r>
      <w:r w:rsidRPr="00AF1481">
        <w:rPr>
          <w:iCs/>
        </w:rPr>
        <w:t xml:space="preserve">PI for aflibercept 8 mg </w:t>
      </w:r>
      <w:r w:rsidR="00341CB4" w:rsidRPr="00AF1481">
        <w:rPr>
          <w:iCs/>
        </w:rPr>
        <w:t>did</w:t>
      </w:r>
      <w:r w:rsidRPr="00AF1481">
        <w:rPr>
          <w:iCs/>
        </w:rPr>
        <w:t xml:space="preserve"> not refer to CRT, level of visual impairment, method of diagnosis, use as </w:t>
      </w:r>
      <w:r w:rsidR="00F33FA1" w:rsidRPr="00AF1481">
        <w:rPr>
          <w:iCs/>
        </w:rPr>
        <w:t>monotherapy</w:t>
      </w:r>
      <w:r w:rsidRPr="00AF1481">
        <w:rPr>
          <w:iCs/>
        </w:rPr>
        <w:t xml:space="preserve"> or in combination with laser photocoagulation. In clinical practice both treatment naïve, newly diagnosed, and prevalent patients are likely to receive treatment with aflibercept 8 mg. Approximately 45% of recruited patients included in PHOTON received prior DMO treatment. However, PHOTON did not </w:t>
      </w:r>
      <w:r w:rsidR="0037009A" w:rsidRPr="00AF1481">
        <w:rPr>
          <w:iCs/>
        </w:rPr>
        <w:t xml:space="preserve">report </w:t>
      </w:r>
      <w:r w:rsidRPr="00AF1481">
        <w:rPr>
          <w:iCs/>
        </w:rPr>
        <w:t xml:space="preserve">the </w:t>
      </w:r>
      <w:r w:rsidR="0037009A" w:rsidRPr="00AF1481">
        <w:rPr>
          <w:iCs/>
        </w:rPr>
        <w:t>duration of</w:t>
      </w:r>
      <w:r w:rsidRPr="00AF1481">
        <w:rPr>
          <w:iCs/>
        </w:rPr>
        <w:t xml:space="preserve"> prior DMO treatment</w:t>
      </w:r>
      <w:r w:rsidRPr="00AF1481">
        <w:t>.</w:t>
      </w:r>
    </w:p>
    <w:p w14:paraId="5AE185FA" w14:textId="0D0AAFB2" w:rsidR="00A05AA6" w:rsidRDefault="0037009A" w:rsidP="0037009A">
      <w:pPr>
        <w:pStyle w:val="ExecSumBodyText"/>
        <w:numPr>
          <w:ilvl w:val="1"/>
          <w:numId w:val="1"/>
        </w:numPr>
        <w:ind w:left="709" w:hanging="709"/>
      </w:pPr>
      <w:r w:rsidRPr="00AF1481">
        <w:lastRenderedPageBreak/>
        <w:t xml:space="preserve">PHOTON included three treatment arms as described in </w:t>
      </w:r>
      <w:r w:rsidRPr="00AF1481">
        <w:fldChar w:fldCharType="begin"/>
      </w:r>
      <w:r w:rsidRPr="00AF1481">
        <w:instrText xml:space="preserve"> REF _Ref152788002 \h </w:instrText>
      </w:r>
      <w:r w:rsidRPr="00AF1481">
        <w:fldChar w:fldCharType="separate"/>
      </w:r>
      <w:r w:rsidR="009404AF" w:rsidRPr="00AF1481">
        <w:t xml:space="preserve">Table </w:t>
      </w:r>
      <w:r w:rsidR="009404AF">
        <w:rPr>
          <w:noProof/>
        </w:rPr>
        <w:t>4</w:t>
      </w:r>
      <w:r w:rsidRPr="00AF1481">
        <w:fldChar w:fldCharType="end"/>
      </w:r>
      <w:r w:rsidRPr="00AF1481">
        <w:t>. All three treatment arms undertook 4-weekly study visits.</w:t>
      </w:r>
    </w:p>
    <w:p w14:paraId="12BFCA09" w14:textId="2FA4A883" w:rsidR="00A474F6" w:rsidRPr="00AF1481" w:rsidRDefault="00A474F6" w:rsidP="00A474F6">
      <w:pPr>
        <w:pStyle w:val="ExecSumBodyText"/>
        <w:numPr>
          <w:ilvl w:val="1"/>
          <w:numId w:val="1"/>
        </w:numPr>
        <w:ind w:left="709" w:hanging="709"/>
      </w:pPr>
      <w:r w:rsidRPr="00AF1481">
        <w:t>Baseline characteristics for patients in PHOTON were generally well balanced across the three treatment arms.</w:t>
      </w:r>
      <w:r w:rsidRPr="00AF1481">
        <w:rPr>
          <w:iCs/>
        </w:rPr>
        <w:t xml:space="preserve"> </w:t>
      </w:r>
      <w:r w:rsidRPr="00AF1481">
        <w:t xml:space="preserve">The mean age of study patients was 62 years, with approximately 63% male patients, a mean duration of diabetes of 15 years, a mean BCVA of 63 letters, and a mean CRT of 453 </w:t>
      </w:r>
      <w:r w:rsidRPr="00AF1481">
        <w:rPr>
          <w:rFonts w:cstheme="minorHAnsi"/>
        </w:rPr>
        <w:t>µ</w:t>
      </w:r>
      <w:r w:rsidRPr="00AF1481">
        <w:t>m.</w:t>
      </w:r>
    </w:p>
    <w:p w14:paraId="0E2A8B63" w14:textId="2C9792BC" w:rsidR="00A474F6" w:rsidRPr="00AF1481" w:rsidRDefault="00A474F6" w:rsidP="00A474F6">
      <w:pPr>
        <w:pStyle w:val="Tableheadingrow"/>
        <w:rPr>
          <w:lang w:val="en-AU"/>
        </w:rPr>
      </w:pPr>
      <w:bookmarkStart w:id="45" w:name="_Ref152788002"/>
      <w:bookmarkEnd w:id="44"/>
      <w:r w:rsidRPr="00AF1481">
        <w:rPr>
          <w:lang w:val="en-AU"/>
        </w:rPr>
        <w:t xml:space="preserve">Table </w:t>
      </w:r>
      <w:r w:rsidRPr="00AF1481">
        <w:rPr>
          <w:lang w:val="en-AU"/>
        </w:rPr>
        <w:fldChar w:fldCharType="begin"/>
      </w:r>
      <w:r w:rsidRPr="00AF1481">
        <w:rPr>
          <w:lang w:val="en-AU"/>
        </w:rPr>
        <w:instrText xml:space="preserve"> SEQ Table \* ARABIC </w:instrText>
      </w:r>
      <w:r w:rsidRPr="00AF1481">
        <w:rPr>
          <w:lang w:val="en-AU"/>
        </w:rPr>
        <w:fldChar w:fldCharType="separate"/>
      </w:r>
      <w:r w:rsidR="009404AF">
        <w:rPr>
          <w:noProof/>
          <w:lang w:val="en-AU"/>
        </w:rPr>
        <w:t>4</w:t>
      </w:r>
      <w:r w:rsidRPr="00AF1481">
        <w:rPr>
          <w:lang w:val="en-AU"/>
        </w:rPr>
        <w:fldChar w:fldCharType="end"/>
      </w:r>
      <w:bookmarkEnd w:id="45"/>
      <w:r w:rsidRPr="00AF1481">
        <w:rPr>
          <w:lang w:val="en-AU"/>
        </w:rPr>
        <w:t xml:space="preserve">: Interventions compared in PHOTON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682"/>
        <w:gridCol w:w="1789"/>
        <w:gridCol w:w="1515"/>
      </w:tblGrid>
      <w:tr w:rsidR="00A474F6" w:rsidRPr="00AF1481" w14:paraId="2A32A9F4" w14:textId="77777777" w:rsidTr="00A618DC">
        <w:trPr>
          <w:trHeight w:val="434"/>
          <w:tblHeader/>
        </w:trPr>
        <w:tc>
          <w:tcPr>
            <w:tcW w:w="1009" w:type="dxa"/>
            <w:vAlign w:val="center"/>
          </w:tcPr>
          <w:p w14:paraId="11320872" w14:textId="77777777" w:rsidR="00A474F6" w:rsidRPr="00AF1481" w:rsidRDefault="00A474F6" w:rsidP="008C5949">
            <w:pPr>
              <w:pStyle w:val="TableText0"/>
              <w:rPr>
                <w:b/>
                <w:bCs w:val="0"/>
              </w:rPr>
            </w:pPr>
            <w:r w:rsidRPr="00AF1481">
              <w:rPr>
                <w:b/>
                <w:bCs w:val="0"/>
              </w:rPr>
              <w:t>Treatment</w:t>
            </w:r>
          </w:p>
        </w:tc>
        <w:tc>
          <w:tcPr>
            <w:tcW w:w="4682" w:type="dxa"/>
            <w:vAlign w:val="center"/>
          </w:tcPr>
          <w:p w14:paraId="477AA8B9" w14:textId="77777777" w:rsidR="00A474F6" w:rsidRPr="00AF1481" w:rsidRDefault="00A474F6" w:rsidP="008C5949">
            <w:pPr>
              <w:pStyle w:val="TableText0"/>
              <w:rPr>
                <w:b/>
                <w:bCs w:val="0"/>
              </w:rPr>
            </w:pPr>
            <w:r w:rsidRPr="00AF1481">
              <w:rPr>
                <w:b/>
                <w:bCs w:val="0"/>
              </w:rPr>
              <w:t>Dosage regimen</w:t>
            </w:r>
          </w:p>
        </w:tc>
        <w:tc>
          <w:tcPr>
            <w:tcW w:w="1789" w:type="dxa"/>
            <w:vAlign w:val="center"/>
          </w:tcPr>
          <w:p w14:paraId="47A79A99" w14:textId="4487E4E9" w:rsidR="00A474F6" w:rsidRPr="00AF1481" w:rsidRDefault="00A474F6" w:rsidP="008C5949">
            <w:pPr>
              <w:pStyle w:val="TableText0"/>
              <w:jc w:val="center"/>
              <w:rPr>
                <w:b/>
                <w:bCs w:val="0"/>
              </w:rPr>
            </w:pPr>
            <w:r w:rsidRPr="00AF1481">
              <w:rPr>
                <w:b/>
                <w:bCs w:val="0"/>
              </w:rPr>
              <w:t>Mean duration treatment, weeks (SD); 48</w:t>
            </w:r>
            <w:r w:rsidR="002F1801">
              <w:rPr>
                <w:b/>
                <w:bCs w:val="0"/>
              </w:rPr>
              <w:t>-</w:t>
            </w:r>
            <w:r w:rsidRPr="00AF1481">
              <w:rPr>
                <w:b/>
                <w:bCs w:val="0"/>
              </w:rPr>
              <w:t>week</w:t>
            </w:r>
            <w:r w:rsidR="005F2136" w:rsidRPr="00AF1481">
              <w:rPr>
                <w:b/>
                <w:bCs w:val="0"/>
              </w:rPr>
              <w:t xml:space="preserve"> analysis</w:t>
            </w:r>
          </w:p>
        </w:tc>
        <w:tc>
          <w:tcPr>
            <w:tcW w:w="1515" w:type="dxa"/>
          </w:tcPr>
          <w:p w14:paraId="03E2ADD0" w14:textId="4F16700C" w:rsidR="00A474F6" w:rsidRPr="00AF1481" w:rsidRDefault="00A474F6" w:rsidP="008C5949">
            <w:pPr>
              <w:pStyle w:val="TableText0"/>
              <w:jc w:val="center"/>
              <w:rPr>
                <w:b/>
                <w:bCs w:val="0"/>
              </w:rPr>
            </w:pPr>
            <w:r w:rsidRPr="00AF1481">
              <w:rPr>
                <w:b/>
                <w:bCs w:val="0"/>
              </w:rPr>
              <w:t>Mean duration of treatment, weeks (SD); 60</w:t>
            </w:r>
            <w:r w:rsidR="002F1801">
              <w:rPr>
                <w:b/>
                <w:bCs w:val="0"/>
              </w:rPr>
              <w:t>-</w:t>
            </w:r>
            <w:r w:rsidRPr="00AF1481">
              <w:rPr>
                <w:b/>
                <w:bCs w:val="0"/>
              </w:rPr>
              <w:t>week</w:t>
            </w:r>
            <w:r w:rsidR="005F2136" w:rsidRPr="00AF1481">
              <w:rPr>
                <w:b/>
                <w:bCs w:val="0"/>
              </w:rPr>
              <w:t xml:space="preserve"> analysis</w:t>
            </w:r>
          </w:p>
        </w:tc>
      </w:tr>
      <w:tr w:rsidR="00A474F6" w:rsidRPr="00AF1481" w14:paraId="1173D59E" w14:textId="77777777" w:rsidTr="00A618DC">
        <w:trPr>
          <w:trHeight w:val="636"/>
        </w:trPr>
        <w:tc>
          <w:tcPr>
            <w:tcW w:w="1009" w:type="dxa"/>
            <w:vAlign w:val="center"/>
          </w:tcPr>
          <w:p w14:paraId="74AEC19D" w14:textId="77777777" w:rsidR="00A474F6" w:rsidRPr="00AF1481" w:rsidRDefault="00A474F6" w:rsidP="008C5949">
            <w:pPr>
              <w:pStyle w:val="TableText0"/>
            </w:pPr>
            <w:r w:rsidRPr="00AF1481">
              <w:t>Aflibercept 2 mg 8-weekly</w:t>
            </w:r>
          </w:p>
        </w:tc>
        <w:tc>
          <w:tcPr>
            <w:tcW w:w="4682" w:type="dxa"/>
          </w:tcPr>
          <w:p w14:paraId="6F46AB47" w14:textId="676BC147" w:rsidR="003912DB" w:rsidRPr="00AF1481" w:rsidRDefault="007669F2" w:rsidP="007669F2">
            <w:pPr>
              <w:pStyle w:val="TableText0"/>
            </w:pPr>
            <w:r w:rsidRPr="00AF1481">
              <w:t>Aflibercept 2 mg IVT every 8 weeks, following 5 initial monthly doses</w:t>
            </w:r>
          </w:p>
        </w:tc>
        <w:tc>
          <w:tcPr>
            <w:tcW w:w="1789" w:type="dxa"/>
            <w:vAlign w:val="center"/>
          </w:tcPr>
          <w:p w14:paraId="0525BDC1" w14:textId="77777777" w:rsidR="00A474F6" w:rsidRPr="00AF1481" w:rsidRDefault="00A474F6" w:rsidP="008C5949">
            <w:pPr>
              <w:pStyle w:val="TableText0"/>
              <w:jc w:val="center"/>
            </w:pPr>
            <w:r w:rsidRPr="00AF1481">
              <w:t>46.71 (6.893)</w:t>
            </w:r>
          </w:p>
        </w:tc>
        <w:tc>
          <w:tcPr>
            <w:tcW w:w="1515" w:type="dxa"/>
            <w:vAlign w:val="center"/>
          </w:tcPr>
          <w:p w14:paraId="13ED4B70" w14:textId="77777777" w:rsidR="00A474F6" w:rsidRPr="00AF1481" w:rsidRDefault="00A474F6" w:rsidP="008C5949">
            <w:pPr>
              <w:pStyle w:val="TableText0"/>
              <w:jc w:val="center"/>
            </w:pPr>
            <w:r w:rsidRPr="00AF1481">
              <w:t>57.79 (9.727)</w:t>
            </w:r>
          </w:p>
        </w:tc>
      </w:tr>
      <w:tr w:rsidR="00A474F6" w:rsidRPr="00AF1481" w14:paraId="3881633F" w14:textId="77777777" w:rsidTr="00A618DC">
        <w:trPr>
          <w:trHeight w:val="651"/>
        </w:trPr>
        <w:tc>
          <w:tcPr>
            <w:tcW w:w="1009" w:type="dxa"/>
            <w:vAlign w:val="center"/>
          </w:tcPr>
          <w:p w14:paraId="23D6BE48" w14:textId="77777777" w:rsidR="00A474F6" w:rsidRPr="00AF1481" w:rsidRDefault="00A474F6" w:rsidP="008C5949">
            <w:pPr>
              <w:pStyle w:val="TableText0"/>
            </w:pPr>
            <w:r w:rsidRPr="00AF1481">
              <w:t xml:space="preserve">Aflibercept 8 mg 12-weekly </w:t>
            </w:r>
          </w:p>
        </w:tc>
        <w:tc>
          <w:tcPr>
            <w:tcW w:w="4682" w:type="dxa"/>
          </w:tcPr>
          <w:p w14:paraId="7DB36BC8" w14:textId="5A6E2ECD" w:rsidR="003912DB" w:rsidRPr="00AF1481" w:rsidRDefault="003912DB" w:rsidP="008C5949">
            <w:pPr>
              <w:pStyle w:val="TableText0"/>
            </w:pPr>
            <w:r w:rsidRPr="00AF1481">
              <w:t>Aflibercept 8 mg</w:t>
            </w:r>
            <w:r w:rsidR="007669F2" w:rsidRPr="00AF1481">
              <w:t xml:space="preserve"> IVT</w:t>
            </w:r>
            <w:r w:rsidRPr="00AF1481">
              <w:t xml:space="preserve"> </w:t>
            </w:r>
            <w:r w:rsidR="007669F2" w:rsidRPr="00AF1481">
              <w:t>every 12 weeks, following 3 initial monthly doses.</w:t>
            </w:r>
          </w:p>
          <w:p w14:paraId="6C0DB78D" w14:textId="77777777" w:rsidR="003912DB" w:rsidRPr="00AF1481" w:rsidRDefault="003912DB" w:rsidP="008C5949">
            <w:pPr>
              <w:pStyle w:val="TableText0"/>
            </w:pPr>
          </w:p>
          <w:p w14:paraId="004E8642" w14:textId="082F5981" w:rsidR="003912DB" w:rsidRPr="00AF1481" w:rsidRDefault="003912DB" w:rsidP="008C5949">
            <w:pPr>
              <w:pStyle w:val="TableText0"/>
            </w:pPr>
            <w:r w:rsidRPr="00AF1481">
              <w:t>Shorter dose intervals were permitted from Week 24 up to Week 52, based on pre-specified criteria, and dose intervals of longer than 12 weeks (and up to 24 weeks) were permitted from Week 52 onwards</w:t>
            </w:r>
            <w:r w:rsidR="00C91F79" w:rsidRPr="00AF1481">
              <w:t>.</w:t>
            </w:r>
          </w:p>
        </w:tc>
        <w:tc>
          <w:tcPr>
            <w:tcW w:w="1789" w:type="dxa"/>
            <w:vAlign w:val="center"/>
          </w:tcPr>
          <w:p w14:paraId="5F814AFF" w14:textId="77777777" w:rsidR="00A474F6" w:rsidRPr="00AF1481" w:rsidRDefault="00A474F6" w:rsidP="008C5949">
            <w:pPr>
              <w:pStyle w:val="TableText0"/>
              <w:jc w:val="center"/>
            </w:pPr>
            <w:r w:rsidRPr="00AF1481">
              <w:t>45.67 (9.036)</w:t>
            </w:r>
          </w:p>
        </w:tc>
        <w:tc>
          <w:tcPr>
            <w:tcW w:w="1515" w:type="dxa"/>
            <w:vAlign w:val="center"/>
          </w:tcPr>
          <w:p w14:paraId="7E26FB3E" w14:textId="77777777" w:rsidR="00A474F6" w:rsidRPr="00AF1481" w:rsidRDefault="00A474F6" w:rsidP="008C5949">
            <w:pPr>
              <w:pStyle w:val="TableText0"/>
              <w:jc w:val="center"/>
            </w:pPr>
            <w:r w:rsidRPr="00AF1481">
              <w:t>56.48 (12.524)</w:t>
            </w:r>
          </w:p>
        </w:tc>
      </w:tr>
      <w:tr w:rsidR="00A474F6" w:rsidRPr="00AF1481" w14:paraId="67D4ADA2" w14:textId="77777777" w:rsidTr="00A618DC">
        <w:trPr>
          <w:trHeight w:val="636"/>
        </w:trPr>
        <w:tc>
          <w:tcPr>
            <w:tcW w:w="1009" w:type="dxa"/>
            <w:vAlign w:val="center"/>
          </w:tcPr>
          <w:p w14:paraId="56C94D1D" w14:textId="77777777" w:rsidR="00A474F6" w:rsidRPr="00AF1481" w:rsidRDefault="00A474F6" w:rsidP="008C5949">
            <w:pPr>
              <w:pStyle w:val="TableText0"/>
            </w:pPr>
            <w:r w:rsidRPr="00AF1481">
              <w:t>Aflibercept 8 mg 16-weekly</w:t>
            </w:r>
          </w:p>
        </w:tc>
        <w:tc>
          <w:tcPr>
            <w:tcW w:w="4682" w:type="dxa"/>
          </w:tcPr>
          <w:p w14:paraId="46676D1C" w14:textId="6A65D6D6" w:rsidR="003912DB" w:rsidRPr="00AF1481" w:rsidRDefault="007669F2" w:rsidP="003912DB">
            <w:pPr>
              <w:pStyle w:val="TableText0"/>
            </w:pPr>
            <w:r w:rsidRPr="00AF1481">
              <w:t>Aflibercept 8 mg IVT every 16 weeks, following 3 initial monthly doses</w:t>
            </w:r>
          </w:p>
          <w:p w14:paraId="03A03A97" w14:textId="0CB04E31" w:rsidR="003912DB" w:rsidRPr="00AF1481" w:rsidRDefault="003912DB" w:rsidP="00FD014B">
            <w:pPr>
              <w:pStyle w:val="FooterTableFigure"/>
              <w:spacing w:after="0"/>
            </w:pPr>
            <w:r w:rsidRPr="00AF1481">
              <w:rPr>
                <w:rFonts w:eastAsiaTheme="majorEastAsia" w:cstheme="majorBidi"/>
                <w:bCs/>
                <w:snapToGrid/>
                <w:sz w:val="20"/>
                <w:szCs w:val="24"/>
              </w:rPr>
              <w:t>Shorter dose intervals were permitted from Week 28 up to Week 52 based on pre-specified criteria, and dose intervals of longer than 16 weeks (and up to 24 weeks) were permitted from Week 52 onwards</w:t>
            </w:r>
            <w:r w:rsidR="00C91F79" w:rsidRPr="00AF1481">
              <w:rPr>
                <w:rFonts w:eastAsiaTheme="majorEastAsia" w:cstheme="majorBidi"/>
                <w:bCs/>
                <w:snapToGrid/>
                <w:sz w:val="20"/>
                <w:szCs w:val="24"/>
              </w:rPr>
              <w:t>.</w:t>
            </w:r>
          </w:p>
        </w:tc>
        <w:tc>
          <w:tcPr>
            <w:tcW w:w="1789" w:type="dxa"/>
            <w:vAlign w:val="center"/>
          </w:tcPr>
          <w:p w14:paraId="34F4594B" w14:textId="77777777" w:rsidR="00A474F6" w:rsidRPr="00AF1481" w:rsidRDefault="00A474F6" w:rsidP="008C5949">
            <w:pPr>
              <w:pStyle w:val="TableText0"/>
              <w:jc w:val="center"/>
            </w:pPr>
            <w:r w:rsidRPr="00AF1481">
              <w:t>47.10 (6.002)</w:t>
            </w:r>
          </w:p>
        </w:tc>
        <w:tc>
          <w:tcPr>
            <w:tcW w:w="1515" w:type="dxa"/>
            <w:vAlign w:val="center"/>
          </w:tcPr>
          <w:p w14:paraId="1D12730E" w14:textId="77777777" w:rsidR="00A474F6" w:rsidRPr="00AF1481" w:rsidRDefault="00A474F6" w:rsidP="008C5949">
            <w:pPr>
              <w:pStyle w:val="TableText0"/>
              <w:jc w:val="center"/>
            </w:pPr>
            <w:r w:rsidRPr="00AF1481">
              <w:t>58.45 (8.471)</w:t>
            </w:r>
          </w:p>
        </w:tc>
      </w:tr>
    </w:tbl>
    <w:p w14:paraId="65161FFA" w14:textId="61F9AB6A" w:rsidR="00A474F6" w:rsidRPr="00AF1481" w:rsidRDefault="00A474F6" w:rsidP="00A474F6">
      <w:pPr>
        <w:pStyle w:val="FooterTableFigure"/>
      </w:pPr>
      <w:r w:rsidRPr="00AF1481">
        <w:t>Source: Table 2-12 p47 of the submission</w:t>
      </w:r>
    </w:p>
    <w:p w14:paraId="1CD5AAE4" w14:textId="11340A17" w:rsidR="00A474F6" w:rsidRPr="00AF1481" w:rsidRDefault="00A474F6" w:rsidP="00A474F6">
      <w:pPr>
        <w:pStyle w:val="FooterTableFigure"/>
      </w:pPr>
      <w:r w:rsidRPr="00AF1481">
        <w:t>IVT = intravitreal; SAF = safety analysis set; SD =</w:t>
      </w:r>
      <w:r w:rsidR="00D42C99" w:rsidRPr="00AF1481">
        <w:t xml:space="preserve"> </w:t>
      </w:r>
      <w:r w:rsidRPr="00AF1481">
        <w:t>standard deviation</w:t>
      </w:r>
    </w:p>
    <w:p w14:paraId="72A1D330" w14:textId="410143E7" w:rsidR="00A05AA6" w:rsidRDefault="00A474F6" w:rsidP="00A474F6">
      <w:pPr>
        <w:pStyle w:val="ExecSumBodyText"/>
        <w:numPr>
          <w:ilvl w:val="1"/>
          <w:numId w:val="1"/>
        </w:numPr>
        <w:ind w:left="709" w:hanging="709"/>
        <w:rPr>
          <w:iCs/>
        </w:rPr>
      </w:pPr>
      <w:bookmarkStart w:id="46" w:name="_Ref167714827"/>
      <w:r w:rsidRPr="00AF1481">
        <w:t xml:space="preserve">In PHOTON, aflibercept 2 mg was dosed on a fixed 8-weekly schedule, with no provision for dose regimen modifications. </w:t>
      </w:r>
      <w:r w:rsidRPr="00AF1481">
        <w:rPr>
          <w:iCs/>
        </w:rPr>
        <w:t>This was not consistent with clinical practice or the approved TGA PI, which allows for dose modifications based on a T&amp;E regimen</w:t>
      </w:r>
      <w:r w:rsidR="0037009A" w:rsidRPr="00AF1481">
        <w:rPr>
          <w:iCs/>
        </w:rPr>
        <w:t xml:space="preserve"> (see paragraph </w:t>
      </w:r>
      <w:r w:rsidR="0037009A" w:rsidRPr="00AF1481">
        <w:rPr>
          <w:iCs/>
        </w:rPr>
        <w:fldChar w:fldCharType="begin"/>
      </w:r>
      <w:r w:rsidR="0037009A" w:rsidRPr="00AF1481">
        <w:rPr>
          <w:iCs/>
        </w:rPr>
        <w:instrText xml:space="preserve"> REF _Ref155082464 \r \h </w:instrText>
      </w:r>
      <w:r w:rsidR="0037009A" w:rsidRPr="00AF1481">
        <w:rPr>
          <w:iCs/>
        </w:rPr>
      </w:r>
      <w:r w:rsidR="0037009A" w:rsidRPr="00AF1481">
        <w:rPr>
          <w:iCs/>
        </w:rPr>
        <w:fldChar w:fldCharType="separate"/>
      </w:r>
      <w:r w:rsidR="009404AF">
        <w:rPr>
          <w:iCs/>
        </w:rPr>
        <w:t>4.3</w:t>
      </w:r>
      <w:r w:rsidR="0037009A" w:rsidRPr="00AF1481">
        <w:rPr>
          <w:iCs/>
        </w:rPr>
        <w:fldChar w:fldCharType="end"/>
      </w:r>
      <w:r w:rsidR="0037009A" w:rsidRPr="00AF1481">
        <w:rPr>
          <w:iCs/>
        </w:rPr>
        <w:t>)</w:t>
      </w:r>
      <w:r w:rsidRPr="00AF1481">
        <w:rPr>
          <w:iCs/>
        </w:rPr>
        <w:t>.</w:t>
      </w:r>
      <w:r w:rsidR="006F6338" w:rsidRPr="00AF1481">
        <w:rPr>
          <w:iCs/>
        </w:rPr>
        <w:t xml:space="preserve"> </w:t>
      </w:r>
      <w:r w:rsidR="00C77BE0" w:rsidRPr="00AF1481">
        <w:rPr>
          <w:iCs/>
        </w:rPr>
        <w:t>T</w:t>
      </w:r>
      <w:r w:rsidRPr="00AF1481">
        <w:rPr>
          <w:iCs/>
        </w:rPr>
        <w:t>he mean number of injections of aflibercept 2 mg in PHOTON (estimated by the evaluation to be 14.97 for 2 years of treatment</w:t>
      </w:r>
      <w:r w:rsidR="00CD6569" w:rsidRPr="00AF1481">
        <w:rPr>
          <w:iCs/>
        </w:rPr>
        <w:t>)</w:t>
      </w:r>
      <w:r w:rsidRPr="00AF1481">
        <w:rPr>
          <w:iCs/>
        </w:rPr>
        <w:t xml:space="preserve"> was higher than the number of doses seen in Australian clinical practice, based on </w:t>
      </w:r>
      <w:r w:rsidR="0012342E" w:rsidRPr="00AF1481">
        <w:rPr>
          <w:iCs/>
        </w:rPr>
        <w:t xml:space="preserve">data from the </w:t>
      </w:r>
      <w:r w:rsidRPr="00AF1481">
        <w:rPr>
          <w:iCs/>
        </w:rPr>
        <w:t xml:space="preserve">Drug Utilisation Sub Committee (DUSC) </w:t>
      </w:r>
      <w:r w:rsidR="0012342E" w:rsidRPr="00AF1481">
        <w:rPr>
          <w:iCs/>
        </w:rPr>
        <w:t>Secretariat</w:t>
      </w:r>
      <w:r w:rsidR="00C16F35" w:rsidRPr="00AF1481">
        <w:rPr>
          <w:iCs/>
        </w:rPr>
        <w:t xml:space="preserve"> (dated September 2023)</w:t>
      </w:r>
      <w:r w:rsidRPr="00AF1481">
        <w:rPr>
          <w:iCs/>
        </w:rPr>
        <w:t>, estimated by the submission (11.96 injections in 2 years, based on patients initiating treatment in 2020/2021).</w:t>
      </w:r>
      <w:bookmarkEnd w:id="46"/>
    </w:p>
    <w:p w14:paraId="28E47BAC" w14:textId="4110BD66" w:rsidR="00A474F6" w:rsidRPr="00AF1481" w:rsidRDefault="00A474F6" w:rsidP="00A474F6">
      <w:pPr>
        <w:pStyle w:val="3-BodyText"/>
        <w:ind w:left="709" w:hanging="709"/>
        <w:rPr>
          <w:color w:val="000000" w:themeColor="text1"/>
        </w:rPr>
      </w:pPr>
      <w:bookmarkStart w:id="47" w:name="_Ref167714829"/>
      <w:r w:rsidRPr="00AF1481">
        <w:t>Patients in the aflibercept 8</w:t>
      </w:r>
      <w:r w:rsidR="0037009A" w:rsidRPr="00AF1481">
        <w:t xml:space="preserve"> </w:t>
      </w:r>
      <w:r w:rsidRPr="00AF1481">
        <w:t>mg arm</w:t>
      </w:r>
      <w:r w:rsidR="00243834" w:rsidRPr="00AF1481">
        <w:t>s</w:t>
      </w:r>
      <w:r w:rsidRPr="00AF1481">
        <w:t xml:space="preserve"> of PHOTON could extend dosing intervals in </w:t>
      </w:r>
      <w:r w:rsidR="0057493C" w:rsidRPr="00AF1481">
        <w:t>Year </w:t>
      </w:r>
      <w:r w:rsidRPr="00AF1481">
        <w:t xml:space="preserve">2 only. </w:t>
      </w:r>
      <w:r w:rsidRPr="00AF1481">
        <w:rPr>
          <w:iCs/>
        </w:rPr>
        <w:t>This was inconsistent with the proposed PI where extension of treatment intervals can be considered after the initial loading doses</w:t>
      </w:r>
      <w:r w:rsidR="0037009A" w:rsidRPr="00AF1481">
        <w:rPr>
          <w:iCs/>
        </w:rPr>
        <w:t xml:space="preserve"> (see paragraph </w:t>
      </w:r>
      <w:r w:rsidR="0037009A" w:rsidRPr="00AF1481">
        <w:rPr>
          <w:iCs/>
        </w:rPr>
        <w:fldChar w:fldCharType="begin"/>
      </w:r>
      <w:r w:rsidR="0037009A" w:rsidRPr="00AF1481">
        <w:rPr>
          <w:iCs/>
        </w:rPr>
        <w:instrText xml:space="preserve"> REF _Ref155082591 \r \h </w:instrText>
      </w:r>
      <w:r w:rsidR="0037009A" w:rsidRPr="00AF1481">
        <w:rPr>
          <w:iCs/>
        </w:rPr>
      </w:r>
      <w:r w:rsidR="0037009A" w:rsidRPr="00AF1481">
        <w:rPr>
          <w:iCs/>
        </w:rPr>
        <w:fldChar w:fldCharType="separate"/>
      </w:r>
      <w:r w:rsidR="009404AF">
        <w:rPr>
          <w:iCs/>
        </w:rPr>
        <w:t>4.4</w:t>
      </w:r>
      <w:r w:rsidR="0037009A" w:rsidRPr="00AF1481">
        <w:rPr>
          <w:iCs/>
        </w:rPr>
        <w:fldChar w:fldCharType="end"/>
      </w:r>
      <w:r w:rsidR="0037009A" w:rsidRPr="00AF1481">
        <w:rPr>
          <w:iCs/>
        </w:rPr>
        <w:t>)</w:t>
      </w:r>
      <w:r w:rsidRPr="00AF1481">
        <w:rPr>
          <w:iCs/>
          <w:color w:val="000000" w:themeColor="text1"/>
        </w:rPr>
        <w:t>.</w:t>
      </w:r>
      <w:r w:rsidRPr="00AF1481">
        <w:rPr>
          <w:iCs/>
          <w:color w:val="FF0000"/>
        </w:rPr>
        <w:t xml:space="preserve"> </w:t>
      </w:r>
      <w:r w:rsidRPr="00AF1481">
        <w:rPr>
          <w:iCs/>
          <w:color w:val="000000" w:themeColor="text1"/>
        </w:rPr>
        <w:t>Additionally, in the aflibercept 8 mg treatment arm</w:t>
      </w:r>
      <w:r w:rsidR="00243834" w:rsidRPr="00AF1481">
        <w:rPr>
          <w:iCs/>
          <w:color w:val="000000" w:themeColor="text1"/>
        </w:rPr>
        <w:t>s</w:t>
      </w:r>
      <w:r w:rsidRPr="00AF1481">
        <w:rPr>
          <w:iCs/>
          <w:color w:val="000000" w:themeColor="text1"/>
        </w:rPr>
        <w:t xml:space="preserve">, treatment intervals in PHOTON could be extended up to 24 weeks, inconsistent with the </w:t>
      </w:r>
      <w:r w:rsidR="00EB3C93" w:rsidRPr="00AF1481">
        <w:rPr>
          <w:iCs/>
          <w:color w:val="000000" w:themeColor="text1"/>
        </w:rPr>
        <w:t xml:space="preserve">draft </w:t>
      </w:r>
      <w:r w:rsidRPr="00AF1481">
        <w:rPr>
          <w:iCs/>
          <w:color w:val="000000" w:themeColor="text1"/>
        </w:rPr>
        <w:t xml:space="preserve">PI </w:t>
      </w:r>
      <w:r w:rsidR="00EB3C93" w:rsidRPr="00AF1481">
        <w:rPr>
          <w:iCs/>
          <w:color w:val="000000" w:themeColor="text1"/>
        </w:rPr>
        <w:t>submitted that proposed</w:t>
      </w:r>
      <w:r w:rsidRPr="00AF1481">
        <w:rPr>
          <w:iCs/>
          <w:color w:val="000000" w:themeColor="text1"/>
        </w:rPr>
        <w:t xml:space="preserve"> treatment intervals </w:t>
      </w:r>
      <w:r w:rsidR="00EB3C93" w:rsidRPr="00AF1481">
        <w:rPr>
          <w:iCs/>
          <w:color w:val="000000" w:themeColor="text1"/>
        </w:rPr>
        <w:t xml:space="preserve">could be extended </w:t>
      </w:r>
      <w:r w:rsidRPr="00AF1481">
        <w:rPr>
          <w:iCs/>
          <w:color w:val="000000" w:themeColor="text1"/>
        </w:rPr>
        <w:t xml:space="preserve">up to every 20 weeks based on response. </w:t>
      </w:r>
      <w:r w:rsidR="0047375A" w:rsidRPr="00AF1481">
        <w:rPr>
          <w:iCs/>
          <w:color w:val="000000" w:themeColor="text1"/>
        </w:rPr>
        <w:t xml:space="preserve">(Following the evaluation, the sponsor agreed to accept a maximum treatment interval of 16 weeks based on the recommendation of the TGA Delegate.) </w:t>
      </w:r>
      <w:r w:rsidRPr="00AF1481">
        <w:rPr>
          <w:iCs/>
          <w:color w:val="000000" w:themeColor="text1"/>
        </w:rPr>
        <w:lastRenderedPageBreak/>
        <w:t>Therefore, the mean number of aflibercept 8 mg injections in the first year of the PHOTON trial might be higher than what would be observed in clinical practice and might be lower than what would be observed in clinical practice after Year 1. The impact of these potential differences in dosing regimens on comparative effectiveness and safety is unclear</w:t>
      </w:r>
      <w:r w:rsidRPr="00AF1481">
        <w:rPr>
          <w:color w:val="000000" w:themeColor="text1"/>
        </w:rPr>
        <w:t>.</w:t>
      </w:r>
      <w:r w:rsidR="00727D1E" w:rsidRPr="00AF1481">
        <w:t xml:space="preserve"> </w:t>
      </w:r>
      <w:r w:rsidR="00727D1E" w:rsidRPr="00AF1481">
        <w:rPr>
          <w:iCs/>
        </w:rPr>
        <w:t>The Pre-Sub-Committee Response (PSCR) stated that d</w:t>
      </w:r>
      <w:r w:rsidR="00727D1E" w:rsidRPr="00AF1481">
        <w:rPr>
          <w:iCs/>
          <w:color w:val="000000" w:themeColor="text1"/>
        </w:rPr>
        <w:t xml:space="preserve">ifferences between dosing regimens used in the trial and the longer dosing intervals in clinical practice are not expected to have any clinically relevant implications for comparative effectiveness because “longer dosing intervals will only be implemented in practice after empiric observation demonstrating individual patients continue to maintain efficacy as the treatment interval is extended”. The PSCR claimed that the impact of the differences may be beneficial from a safety point of view because </w:t>
      </w:r>
      <w:r w:rsidR="00AC4C2E" w:rsidRPr="00AF1481">
        <w:rPr>
          <w:iCs/>
          <w:color w:val="000000" w:themeColor="text1"/>
        </w:rPr>
        <w:t xml:space="preserve">a lower frequency of ocular injections reduces </w:t>
      </w:r>
      <w:r w:rsidR="00727D1E" w:rsidRPr="00AF1481">
        <w:rPr>
          <w:iCs/>
          <w:color w:val="000000" w:themeColor="text1"/>
        </w:rPr>
        <w:t xml:space="preserve">the </w:t>
      </w:r>
      <w:r w:rsidR="00AC4C2E" w:rsidRPr="00AF1481">
        <w:rPr>
          <w:iCs/>
          <w:color w:val="000000" w:themeColor="text1"/>
        </w:rPr>
        <w:t xml:space="preserve">risk </w:t>
      </w:r>
      <w:r w:rsidR="00727D1E" w:rsidRPr="00AF1481">
        <w:rPr>
          <w:iCs/>
          <w:color w:val="000000" w:themeColor="text1"/>
        </w:rPr>
        <w:t>for injection related adverse events.</w:t>
      </w:r>
      <w:bookmarkEnd w:id="47"/>
    </w:p>
    <w:p w14:paraId="06D2DE76" w14:textId="3F7D28FC" w:rsidR="00A05AA6" w:rsidRDefault="00C31EBB" w:rsidP="00A474F6">
      <w:pPr>
        <w:pStyle w:val="3-BodyText"/>
        <w:ind w:left="709" w:hanging="709"/>
        <w:rPr>
          <w:bCs/>
          <w:iCs/>
        </w:rPr>
      </w:pPr>
      <w:r w:rsidRPr="00AF1481">
        <w:rPr>
          <w:bCs/>
          <w:iCs/>
        </w:rPr>
        <w:t xml:space="preserve">Additionally, the PSCR argued that it would be simpler for PBAC decision making to ignore the potential impact on health outcomes of these differences between trial based and </w:t>
      </w:r>
      <w:r w:rsidR="004E2810" w:rsidRPr="00AF1481">
        <w:rPr>
          <w:bCs/>
          <w:iCs/>
        </w:rPr>
        <w:t>real-world</w:t>
      </w:r>
      <w:r w:rsidRPr="00AF1481">
        <w:rPr>
          <w:bCs/>
          <w:iCs/>
        </w:rPr>
        <w:t xml:space="preserve"> dosing frequencies because “they are applicable to both arms of the analysis and that instead the PBAC </w:t>
      </w:r>
      <w:r w:rsidR="00954A5E" w:rsidRPr="00AF1481">
        <w:rPr>
          <w:bCs/>
          <w:iCs/>
        </w:rPr>
        <w:t>“</w:t>
      </w:r>
      <w:r w:rsidRPr="00AF1481">
        <w:rPr>
          <w:bCs/>
          <w:iCs/>
        </w:rPr>
        <w:t>should use the most conservative possible estimation of equi-effective dosing”. The PSCR stated that this is the approach PBAC took in its consideration and recommendation of faricimab.</w:t>
      </w:r>
    </w:p>
    <w:p w14:paraId="606944C2" w14:textId="00E5B163" w:rsidR="00A474F6" w:rsidRPr="00AF1481" w:rsidRDefault="00A474F6" w:rsidP="00A474F6">
      <w:pPr>
        <w:pStyle w:val="3-BodyText"/>
        <w:ind w:left="709" w:hanging="709"/>
      </w:pPr>
      <w:r w:rsidRPr="00AF1481">
        <w:t xml:space="preserve">The primary outcome for PHOTON was the change in BCVA score from baseline, assessed with the Early Treatment Diabetic Retinopathy Study (ETDRS) visual acuity chart. </w:t>
      </w:r>
      <w:r w:rsidRPr="00AF1481">
        <w:rPr>
          <w:snapToGrid/>
        </w:rPr>
        <w:t xml:space="preserve">Non-inferiority was assessed by comparing the lower bound of the 95% confidence interval (CI) for the estimated treatment difference in BCVA (8q12 vs 2q8; 8q16 vs 2q8) using a non-inferiority margin of 4 letters. A non-inferiority margin of 4 letters has previously been accepted by the PBAC for </w:t>
      </w:r>
      <w:r w:rsidRPr="00B93445">
        <w:rPr>
          <w:iCs/>
          <w:color w:val="000000" w:themeColor="text1"/>
          <w:szCs w:val="23"/>
        </w:rPr>
        <w:t>the treatment of patients with DMO (para</w:t>
      </w:r>
      <w:r w:rsidR="0092755B" w:rsidRPr="00B93445">
        <w:rPr>
          <w:iCs/>
          <w:color w:val="000000" w:themeColor="text1"/>
          <w:szCs w:val="23"/>
        </w:rPr>
        <w:t>graph</w:t>
      </w:r>
      <w:r w:rsidRPr="00B93445">
        <w:rPr>
          <w:iCs/>
          <w:color w:val="000000" w:themeColor="text1"/>
          <w:szCs w:val="23"/>
        </w:rPr>
        <w:t xml:space="preserve"> 6.12, faricimab DMO PSD, May 2022 PBAC meeting) and for the treatment of subfoveal choroidal neovascularisation (paragraph 6.11, brolucizumab PSD, November 2019 PBAC meeting).</w:t>
      </w:r>
    </w:p>
    <w:p w14:paraId="417FA70F" w14:textId="14776308" w:rsidR="00A474F6" w:rsidRPr="00AF1481" w:rsidRDefault="00A474F6" w:rsidP="00A474F6">
      <w:pPr>
        <w:pStyle w:val="ExecSumBodyText"/>
        <w:numPr>
          <w:ilvl w:val="1"/>
          <w:numId w:val="1"/>
        </w:numPr>
        <w:ind w:left="709" w:hanging="709"/>
      </w:pPr>
      <w:r w:rsidRPr="00AF1481">
        <w:t xml:space="preserve">The proportion of patients with a </w:t>
      </w:r>
      <w:r w:rsidRPr="00AF1481">
        <w:rPr>
          <w:rFonts w:cstheme="minorHAnsi"/>
        </w:rPr>
        <w:t>≥</w:t>
      </w:r>
      <w:r w:rsidRPr="00AF1481">
        <w:t xml:space="preserve">2-step improvement from baseline at Week 48 </w:t>
      </w:r>
      <w:r w:rsidR="000C4685" w:rsidRPr="00AF1481">
        <w:t xml:space="preserve">in their diabetic retinopathy severity score (DRSS) </w:t>
      </w:r>
      <w:r w:rsidRPr="00AF1481">
        <w:t xml:space="preserve">was a key secondary endpoint for PHOTON. A non-inferiority margin of 15% was pre-specified for this outcome in PHOTON. </w:t>
      </w:r>
      <w:r w:rsidRPr="00AF1481">
        <w:rPr>
          <w:bCs/>
        </w:rPr>
        <w:t>Th</w:t>
      </w:r>
      <w:r w:rsidR="006F34D9" w:rsidRPr="00AF1481">
        <w:rPr>
          <w:bCs/>
        </w:rPr>
        <w:t>is is less stringent than th</w:t>
      </w:r>
      <w:r w:rsidRPr="00AF1481">
        <w:rPr>
          <w:bCs/>
        </w:rPr>
        <w:t xml:space="preserve">e </w:t>
      </w:r>
      <w:r w:rsidR="006F34D9" w:rsidRPr="00AF1481">
        <w:rPr>
          <w:bCs/>
        </w:rPr>
        <w:t xml:space="preserve">10% </w:t>
      </w:r>
      <w:r w:rsidRPr="00AF1481">
        <w:rPr>
          <w:bCs/>
        </w:rPr>
        <w:t xml:space="preserve">non-inferiority margin </w:t>
      </w:r>
      <w:r w:rsidR="006F34D9" w:rsidRPr="00AF1481">
        <w:rPr>
          <w:bCs/>
        </w:rPr>
        <w:t xml:space="preserve">previously </w:t>
      </w:r>
      <w:r w:rsidR="00A6796A" w:rsidRPr="00AF1481">
        <w:rPr>
          <w:bCs/>
        </w:rPr>
        <w:t>include</w:t>
      </w:r>
      <w:r w:rsidR="00DF1642" w:rsidRPr="00AF1481">
        <w:rPr>
          <w:bCs/>
        </w:rPr>
        <w:t>d</w:t>
      </w:r>
      <w:r w:rsidR="006F34D9" w:rsidRPr="00AF1481">
        <w:rPr>
          <w:bCs/>
        </w:rPr>
        <w:t xml:space="preserve"> </w:t>
      </w:r>
      <w:r w:rsidR="000C4685" w:rsidRPr="00AF1481">
        <w:rPr>
          <w:bCs/>
        </w:rPr>
        <w:t>for DRSS outcomes</w:t>
      </w:r>
      <w:r w:rsidRPr="00AF1481">
        <w:rPr>
          <w:bCs/>
        </w:rPr>
        <w:t xml:space="preserve"> </w:t>
      </w:r>
      <w:r w:rsidR="006F34D9" w:rsidRPr="00AF1481">
        <w:rPr>
          <w:bCs/>
        </w:rPr>
        <w:t xml:space="preserve">in the consideration </w:t>
      </w:r>
      <w:r w:rsidRPr="00AF1481">
        <w:rPr>
          <w:bCs/>
        </w:rPr>
        <w:t>of the faricimab submission in DMO (para</w:t>
      </w:r>
      <w:r w:rsidR="0092755B">
        <w:rPr>
          <w:bCs/>
        </w:rPr>
        <w:t>graph</w:t>
      </w:r>
      <w:r w:rsidRPr="00AF1481">
        <w:rPr>
          <w:bCs/>
        </w:rPr>
        <w:t xml:space="preserve"> 6.13, faricimab DMO PSD, May 2022 PBAC meeting).</w:t>
      </w:r>
    </w:p>
    <w:p w14:paraId="5938C975" w14:textId="77777777" w:rsidR="00A474F6" w:rsidRPr="00AF1481" w:rsidRDefault="00A474F6" w:rsidP="00A474F6">
      <w:pPr>
        <w:pStyle w:val="3-SubsectionHeading"/>
      </w:pPr>
      <w:bookmarkStart w:id="48" w:name="_Toc101107628"/>
      <w:bookmarkStart w:id="49" w:name="_Toc153957296"/>
      <w:bookmarkStart w:id="50" w:name="_Toc156896368"/>
      <w:r w:rsidRPr="00AF1481">
        <w:t>Comparative effectiveness</w:t>
      </w:r>
      <w:bookmarkEnd w:id="48"/>
      <w:bookmarkEnd w:id="49"/>
      <w:bookmarkEnd w:id="50"/>
    </w:p>
    <w:p w14:paraId="246DA667" w14:textId="7E3D8BCD" w:rsidR="00A05AA6" w:rsidRDefault="00A474F6" w:rsidP="00A474F6">
      <w:pPr>
        <w:pStyle w:val="3-BodyText"/>
        <w:ind w:left="709" w:hanging="709"/>
      </w:pPr>
      <w:r w:rsidRPr="00AF1481">
        <w:t xml:space="preserve">The results </w:t>
      </w:r>
      <w:r w:rsidR="006F34D9" w:rsidRPr="00AF1481">
        <w:t>from</w:t>
      </w:r>
      <w:r w:rsidRPr="00AF1481">
        <w:t xml:space="preserve"> PHOTON </w:t>
      </w:r>
      <w:r w:rsidR="006F34D9" w:rsidRPr="00AF1481">
        <w:t xml:space="preserve">for the </w:t>
      </w:r>
      <w:r w:rsidRPr="00AF1481">
        <w:t xml:space="preserve">primary outcome, change in BCVA score from baseline averaged over Weeks 48, are presented in </w:t>
      </w:r>
      <w:r w:rsidRPr="00AF1481">
        <w:fldChar w:fldCharType="begin"/>
      </w:r>
      <w:r w:rsidRPr="00AF1481">
        <w:instrText xml:space="preserve"> REF _Ref151387412 \h </w:instrText>
      </w:r>
      <w:r w:rsidRPr="00AF1481">
        <w:fldChar w:fldCharType="separate"/>
      </w:r>
      <w:r w:rsidR="009404AF" w:rsidRPr="00AF1481">
        <w:t xml:space="preserve">Table </w:t>
      </w:r>
      <w:r w:rsidR="009404AF">
        <w:rPr>
          <w:noProof/>
        </w:rPr>
        <w:t>5</w:t>
      </w:r>
      <w:r w:rsidRPr="00AF1481">
        <w:fldChar w:fldCharType="end"/>
      </w:r>
      <w:r w:rsidRPr="00AF1481">
        <w:t xml:space="preserve"> and </w:t>
      </w:r>
      <w:r w:rsidRPr="00AF1481">
        <w:fldChar w:fldCharType="begin"/>
      </w:r>
      <w:r w:rsidRPr="00AF1481">
        <w:instrText xml:space="preserve"> REF _Ref153364619 \h </w:instrText>
      </w:r>
      <w:r w:rsidRPr="00AF1481">
        <w:fldChar w:fldCharType="separate"/>
      </w:r>
      <w:r w:rsidR="009404AF" w:rsidRPr="00AF1481">
        <w:t xml:space="preserve">Figure </w:t>
      </w:r>
      <w:r w:rsidR="009404AF">
        <w:rPr>
          <w:noProof/>
        </w:rPr>
        <w:t>1</w:t>
      </w:r>
      <w:r w:rsidRPr="00AF1481">
        <w:fldChar w:fldCharType="end"/>
      </w:r>
      <w:r w:rsidRPr="00AF1481">
        <w:t xml:space="preserve">. </w:t>
      </w:r>
      <w:r w:rsidRPr="00AF1481">
        <w:rPr>
          <w:snapToGrid/>
        </w:rPr>
        <w:t xml:space="preserve">In all instances of comparison (at </w:t>
      </w:r>
      <w:r w:rsidR="00653AA6" w:rsidRPr="00AF1481">
        <w:rPr>
          <w:snapToGrid/>
        </w:rPr>
        <w:t>W</w:t>
      </w:r>
      <w:r w:rsidRPr="00AF1481">
        <w:rPr>
          <w:snapToGrid/>
        </w:rPr>
        <w:t xml:space="preserve">eek 48 and 60 and between 2q8 versus 8q12 and 8q16), the 95% CI included 0, indicating treatment differences were not statistically significant. The p-values were statistically significant and the lower </w:t>
      </w:r>
      <w:r w:rsidR="00FD6A78" w:rsidRPr="00AF1481">
        <w:rPr>
          <w:snapToGrid/>
        </w:rPr>
        <w:t xml:space="preserve">95% </w:t>
      </w:r>
      <w:r w:rsidRPr="00AF1481">
        <w:rPr>
          <w:snapToGrid/>
        </w:rPr>
        <w:t>confidence limits of the treatment difference</w:t>
      </w:r>
      <w:r w:rsidR="00FD6A78" w:rsidRPr="00AF1481">
        <w:rPr>
          <w:snapToGrid/>
        </w:rPr>
        <w:t>s</w:t>
      </w:r>
      <w:r w:rsidRPr="00AF1481">
        <w:rPr>
          <w:snapToGrid/>
        </w:rPr>
        <w:t xml:space="preserve"> were </w:t>
      </w:r>
      <w:r w:rsidR="00DF1642" w:rsidRPr="00AF1481">
        <w:rPr>
          <w:snapToGrid/>
        </w:rPr>
        <w:t>within the non-inferiority limit of</w:t>
      </w:r>
      <w:r w:rsidRPr="00AF1481">
        <w:rPr>
          <w:snapToGrid/>
        </w:rPr>
        <w:t xml:space="preserve"> 4 letter</w:t>
      </w:r>
      <w:r w:rsidRPr="00AF1481">
        <w:t>s, thereby meeting the pre-specified non-inferiority margin.</w:t>
      </w:r>
    </w:p>
    <w:p w14:paraId="6A81D76E" w14:textId="29101F95" w:rsidR="00A474F6" w:rsidRPr="00AF1481" w:rsidRDefault="00A474F6" w:rsidP="00A474F6">
      <w:pPr>
        <w:pStyle w:val="Caption"/>
        <w:rPr>
          <w:rStyle w:val="CommentReference"/>
          <w:b/>
          <w:szCs w:val="24"/>
        </w:rPr>
      </w:pPr>
      <w:bookmarkStart w:id="51" w:name="_Ref151387412"/>
      <w:r w:rsidRPr="00AF1481">
        <w:lastRenderedPageBreak/>
        <w:t xml:space="preserve">Table </w:t>
      </w:r>
      <w:r w:rsidR="00393E69">
        <w:fldChar w:fldCharType="begin"/>
      </w:r>
      <w:r w:rsidR="00393E69">
        <w:instrText xml:space="preserve"> SEQ Table \* ARABIC </w:instrText>
      </w:r>
      <w:r w:rsidR="00393E69">
        <w:fldChar w:fldCharType="separate"/>
      </w:r>
      <w:r w:rsidR="009404AF">
        <w:rPr>
          <w:noProof/>
        </w:rPr>
        <w:t>5</w:t>
      </w:r>
      <w:r w:rsidR="00393E69">
        <w:fldChar w:fldCharType="end"/>
      </w:r>
      <w:bookmarkEnd w:id="51"/>
      <w:r w:rsidRPr="00AF1481">
        <w:t>:</w:t>
      </w:r>
      <w:r w:rsidRPr="00AF1481">
        <w:rPr>
          <w:rStyle w:val="CommentReference"/>
          <w:b/>
          <w:szCs w:val="24"/>
        </w:rPr>
        <w:t xml:space="preserve"> </w:t>
      </w:r>
      <w:r w:rsidRPr="00AF1481">
        <w:t>Change from baseline in BCVA in PHOTON, (FAS;MMRM)</w:t>
      </w:r>
    </w:p>
    <w:tbl>
      <w:tblPr>
        <w:tblStyle w:val="TableGrid"/>
        <w:tblW w:w="5000" w:type="pct"/>
        <w:tblLayout w:type="fixed"/>
        <w:tblLook w:val="04A0" w:firstRow="1" w:lastRow="0" w:firstColumn="1" w:lastColumn="0" w:noHBand="0" w:noVBand="1"/>
      </w:tblPr>
      <w:tblGrid>
        <w:gridCol w:w="2264"/>
        <w:gridCol w:w="1135"/>
        <w:gridCol w:w="1134"/>
        <w:gridCol w:w="1134"/>
        <w:gridCol w:w="1702"/>
        <w:gridCol w:w="1648"/>
      </w:tblGrid>
      <w:tr w:rsidR="00A474F6" w:rsidRPr="00AF1481" w14:paraId="06BA1C89" w14:textId="77777777" w:rsidTr="008C5949">
        <w:trPr>
          <w:trHeight w:val="20"/>
          <w:tblHeader/>
        </w:trPr>
        <w:tc>
          <w:tcPr>
            <w:tcW w:w="1255" w:type="pct"/>
            <w:vMerge w:val="restart"/>
            <w:shd w:val="clear" w:color="auto" w:fill="auto"/>
          </w:tcPr>
          <w:p w14:paraId="12327F30" w14:textId="77777777" w:rsidR="00A474F6" w:rsidRPr="00AF1481" w:rsidRDefault="00A474F6" w:rsidP="008C5949">
            <w:pPr>
              <w:pStyle w:val="TableText0"/>
              <w:jc w:val="center"/>
              <w:rPr>
                <w:b/>
                <w:bCs w:val="0"/>
              </w:rPr>
            </w:pPr>
          </w:p>
        </w:tc>
        <w:tc>
          <w:tcPr>
            <w:tcW w:w="629" w:type="pct"/>
            <w:vMerge w:val="restart"/>
            <w:shd w:val="clear" w:color="auto" w:fill="auto"/>
          </w:tcPr>
          <w:p w14:paraId="36462151" w14:textId="77777777" w:rsidR="00A474F6" w:rsidRPr="00AF1481" w:rsidRDefault="00A474F6" w:rsidP="008C5949">
            <w:pPr>
              <w:pStyle w:val="TableText0"/>
              <w:jc w:val="center"/>
              <w:rPr>
                <w:b/>
                <w:bCs w:val="0"/>
              </w:rPr>
            </w:pPr>
            <w:r w:rsidRPr="00AF1481">
              <w:rPr>
                <w:b/>
                <w:bCs w:val="0"/>
              </w:rPr>
              <w:t>8q12</w:t>
            </w:r>
          </w:p>
          <w:p w14:paraId="3B78E1D7" w14:textId="77777777" w:rsidR="00A474F6" w:rsidRPr="00AF1481" w:rsidRDefault="00A474F6" w:rsidP="008C5949">
            <w:pPr>
              <w:pStyle w:val="TableText0"/>
              <w:jc w:val="center"/>
              <w:rPr>
                <w:b/>
                <w:bCs w:val="0"/>
              </w:rPr>
            </w:pPr>
            <w:r w:rsidRPr="00AF1481">
              <w:rPr>
                <w:b/>
                <w:bCs w:val="0"/>
              </w:rPr>
              <w:t>(N=328)</w:t>
            </w:r>
          </w:p>
        </w:tc>
        <w:tc>
          <w:tcPr>
            <w:tcW w:w="629" w:type="pct"/>
            <w:vMerge w:val="restart"/>
            <w:shd w:val="clear" w:color="auto" w:fill="auto"/>
          </w:tcPr>
          <w:p w14:paraId="277CBE89" w14:textId="77777777" w:rsidR="00A474F6" w:rsidRPr="00AF1481" w:rsidRDefault="00A474F6" w:rsidP="008C5949">
            <w:pPr>
              <w:pStyle w:val="TableText0"/>
              <w:jc w:val="center"/>
              <w:rPr>
                <w:b/>
                <w:bCs w:val="0"/>
              </w:rPr>
            </w:pPr>
            <w:r w:rsidRPr="00AF1481">
              <w:rPr>
                <w:b/>
                <w:bCs w:val="0"/>
              </w:rPr>
              <w:t>8q16</w:t>
            </w:r>
          </w:p>
          <w:p w14:paraId="77A667E8" w14:textId="77777777" w:rsidR="00A474F6" w:rsidRPr="00AF1481" w:rsidRDefault="00A474F6" w:rsidP="008C5949">
            <w:pPr>
              <w:pStyle w:val="TableText0"/>
              <w:jc w:val="center"/>
              <w:rPr>
                <w:b/>
                <w:bCs w:val="0"/>
              </w:rPr>
            </w:pPr>
            <w:r w:rsidRPr="00AF1481">
              <w:rPr>
                <w:b/>
                <w:bCs w:val="0"/>
              </w:rPr>
              <w:t>(N=163)</w:t>
            </w:r>
          </w:p>
        </w:tc>
        <w:tc>
          <w:tcPr>
            <w:tcW w:w="629" w:type="pct"/>
            <w:vMerge w:val="restart"/>
            <w:shd w:val="clear" w:color="auto" w:fill="auto"/>
          </w:tcPr>
          <w:p w14:paraId="45ED1CD4" w14:textId="77777777" w:rsidR="00A474F6" w:rsidRPr="00AF1481" w:rsidRDefault="00A474F6" w:rsidP="008C5949">
            <w:pPr>
              <w:pStyle w:val="TableText0"/>
              <w:jc w:val="center"/>
              <w:rPr>
                <w:b/>
                <w:bCs w:val="0"/>
              </w:rPr>
            </w:pPr>
            <w:r w:rsidRPr="00AF1481">
              <w:rPr>
                <w:b/>
                <w:bCs w:val="0"/>
              </w:rPr>
              <w:t>2q8</w:t>
            </w:r>
          </w:p>
          <w:p w14:paraId="3477BA12" w14:textId="77777777" w:rsidR="00A474F6" w:rsidRPr="00AF1481" w:rsidRDefault="00A474F6" w:rsidP="008C5949">
            <w:pPr>
              <w:pStyle w:val="TableText0"/>
              <w:jc w:val="center"/>
              <w:rPr>
                <w:b/>
                <w:bCs w:val="0"/>
              </w:rPr>
            </w:pPr>
            <w:r w:rsidRPr="00AF1481">
              <w:rPr>
                <w:b/>
                <w:bCs w:val="0"/>
              </w:rPr>
              <w:t>(N=167)</w:t>
            </w:r>
          </w:p>
        </w:tc>
        <w:tc>
          <w:tcPr>
            <w:tcW w:w="944" w:type="pct"/>
            <w:shd w:val="clear" w:color="auto" w:fill="auto"/>
          </w:tcPr>
          <w:p w14:paraId="702A2232" w14:textId="77777777" w:rsidR="00A474F6" w:rsidRPr="00AF1481" w:rsidRDefault="00A474F6" w:rsidP="008C5949">
            <w:pPr>
              <w:pStyle w:val="TableText0"/>
              <w:jc w:val="center"/>
              <w:rPr>
                <w:b/>
                <w:bCs w:val="0"/>
              </w:rPr>
            </w:pPr>
            <w:r w:rsidRPr="00AF1481">
              <w:rPr>
                <w:b/>
                <w:bCs w:val="0"/>
              </w:rPr>
              <w:t xml:space="preserve">8q12 vs </w:t>
            </w:r>
            <w:r w:rsidRPr="00AF1481">
              <w:rPr>
                <w:b/>
                <w:bCs w:val="0"/>
              </w:rPr>
              <w:br/>
              <w:t>2q8</w:t>
            </w:r>
          </w:p>
        </w:tc>
        <w:tc>
          <w:tcPr>
            <w:tcW w:w="914" w:type="pct"/>
            <w:shd w:val="clear" w:color="auto" w:fill="auto"/>
          </w:tcPr>
          <w:p w14:paraId="1B6EDA51" w14:textId="77777777" w:rsidR="00A474F6" w:rsidRPr="00AF1481" w:rsidRDefault="00A474F6" w:rsidP="008C5949">
            <w:pPr>
              <w:pStyle w:val="TableText0"/>
              <w:jc w:val="center"/>
              <w:rPr>
                <w:b/>
                <w:bCs w:val="0"/>
              </w:rPr>
            </w:pPr>
            <w:r w:rsidRPr="00AF1481">
              <w:rPr>
                <w:b/>
                <w:bCs w:val="0"/>
              </w:rPr>
              <w:t xml:space="preserve">8q16 vs </w:t>
            </w:r>
            <w:r w:rsidRPr="00AF1481">
              <w:rPr>
                <w:b/>
                <w:bCs w:val="0"/>
              </w:rPr>
              <w:br/>
              <w:t>2q8</w:t>
            </w:r>
          </w:p>
        </w:tc>
      </w:tr>
      <w:tr w:rsidR="00A474F6" w:rsidRPr="00AF1481" w14:paraId="1B1B8B5C" w14:textId="77777777" w:rsidTr="008C5949">
        <w:trPr>
          <w:trHeight w:val="20"/>
          <w:tblHeader/>
        </w:trPr>
        <w:tc>
          <w:tcPr>
            <w:tcW w:w="1255" w:type="pct"/>
            <w:vMerge/>
            <w:shd w:val="clear" w:color="auto" w:fill="auto"/>
          </w:tcPr>
          <w:p w14:paraId="2CE575B5" w14:textId="77777777" w:rsidR="00A474F6" w:rsidRPr="00AF1481" w:rsidRDefault="00A474F6" w:rsidP="008C5949">
            <w:pPr>
              <w:pStyle w:val="TableText0"/>
              <w:jc w:val="center"/>
              <w:rPr>
                <w:b/>
                <w:bCs w:val="0"/>
              </w:rPr>
            </w:pPr>
          </w:p>
        </w:tc>
        <w:tc>
          <w:tcPr>
            <w:tcW w:w="629" w:type="pct"/>
            <w:vMerge/>
            <w:shd w:val="clear" w:color="auto" w:fill="auto"/>
          </w:tcPr>
          <w:p w14:paraId="79E17498" w14:textId="77777777" w:rsidR="00A474F6" w:rsidRPr="00AF1481" w:rsidRDefault="00A474F6" w:rsidP="008C5949">
            <w:pPr>
              <w:pStyle w:val="TableText0"/>
              <w:jc w:val="center"/>
              <w:rPr>
                <w:b/>
                <w:bCs w:val="0"/>
              </w:rPr>
            </w:pPr>
          </w:p>
        </w:tc>
        <w:tc>
          <w:tcPr>
            <w:tcW w:w="629" w:type="pct"/>
            <w:vMerge/>
            <w:shd w:val="clear" w:color="auto" w:fill="auto"/>
          </w:tcPr>
          <w:p w14:paraId="5942F53C" w14:textId="77777777" w:rsidR="00A474F6" w:rsidRPr="00AF1481" w:rsidRDefault="00A474F6" w:rsidP="008C5949">
            <w:pPr>
              <w:pStyle w:val="TableText0"/>
              <w:jc w:val="center"/>
              <w:rPr>
                <w:b/>
                <w:bCs w:val="0"/>
              </w:rPr>
            </w:pPr>
          </w:p>
        </w:tc>
        <w:tc>
          <w:tcPr>
            <w:tcW w:w="629" w:type="pct"/>
            <w:vMerge/>
            <w:shd w:val="clear" w:color="auto" w:fill="auto"/>
          </w:tcPr>
          <w:p w14:paraId="78C6EF1C" w14:textId="77777777" w:rsidR="00A474F6" w:rsidRPr="00AF1481" w:rsidRDefault="00A474F6" w:rsidP="008C5949">
            <w:pPr>
              <w:pStyle w:val="TableText0"/>
              <w:jc w:val="center"/>
              <w:rPr>
                <w:b/>
                <w:bCs w:val="0"/>
              </w:rPr>
            </w:pPr>
          </w:p>
        </w:tc>
        <w:tc>
          <w:tcPr>
            <w:tcW w:w="1858" w:type="pct"/>
            <w:gridSpan w:val="2"/>
            <w:shd w:val="clear" w:color="auto" w:fill="auto"/>
          </w:tcPr>
          <w:p w14:paraId="02D01018" w14:textId="77777777" w:rsidR="00A474F6" w:rsidRPr="00AF1481" w:rsidRDefault="00A474F6" w:rsidP="008C5949">
            <w:pPr>
              <w:pStyle w:val="TableText0"/>
              <w:jc w:val="center"/>
              <w:rPr>
                <w:b/>
                <w:bCs w:val="0"/>
                <w:vertAlign w:val="superscript"/>
              </w:rPr>
            </w:pPr>
            <w:r w:rsidRPr="00AF1481">
              <w:rPr>
                <w:b/>
                <w:bCs w:val="0"/>
              </w:rPr>
              <w:t>Treatment difference (95% CI)</w:t>
            </w:r>
            <w:r w:rsidRPr="00AF1481">
              <w:rPr>
                <w:b/>
                <w:bCs w:val="0"/>
                <w:vertAlign w:val="superscript"/>
              </w:rPr>
              <w:t>a</w:t>
            </w:r>
          </w:p>
          <w:p w14:paraId="03061335" w14:textId="013351D8" w:rsidR="00A474F6" w:rsidRPr="00AF1481" w:rsidRDefault="00FC681B" w:rsidP="008C5949">
            <w:pPr>
              <w:pStyle w:val="TableText0"/>
              <w:jc w:val="center"/>
              <w:rPr>
                <w:b/>
                <w:bCs w:val="0"/>
              </w:rPr>
            </w:pPr>
            <w:r w:rsidRPr="00AF1481">
              <w:rPr>
                <w:b/>
                <w:bCs w:val="0"/>
              </w:rPr>
              <w:t xml:space="preserve">Non-inferiority </w:t>
            </w:r>
            <w:r w:rsidR="00A474F6" w:rsidRPr="00AF1481">
              <w:rPr>
                <w:b/>
                <w:bCs w:val="0"/>
              </w:rPr>
              <w:t>p-values</w:t>
            </w:r>
          </w:p>
        </w:tc>
      </w:tr>
      <w:tr w:rsidR="00A474F6" w:rsidRPr="00AF1481" w14:paraId="54AB6C52" w14:textId="77777777" w:rsidTr="008C5949">
        <w:trPr>
          <w:trHeight w:val="20"/>
        </w:trPr>
        <w:tc>
          <w:tcPr>
            <w:tcW w:w="1255" w:type="pct"/>
            <w:shd w:val="clear" w:color="auto" w:fill="auto"/>
          </w:tcPr>
          <w:p w14:paraId="0ABE0E41" w14:textId="77777777" w:rsidR="00A474F6" w:rsidRPr="00AF1481" w:rsidRDefault="00A474F6" w:rsidP="008C5949">
            <w:pPr>
              <w:pStyle w:val="TableText0"/>
            </w:pPr>
            <w:r w:rsidRPr="00AF1481">
              <w:t>Baseline BCVA (ETDRS letters score)</w:t>
            </w:r>
          </w:p>
        </w:tc>
        <w:tc>
          <w:tcPr>
            <w:tcW w:w="629" w:type="pct"/>
            <w:shd w:val="clear" w:color="auto" w:fill="auto"/>
          </w:tcPr>
          <w:p w14:paraId="38358A89" w14:textId="77777777" w:rsidR="00A474F6" w:rsidRPr="00AF1481" w:rsidRDefault="00A474F6" w:rsidP="008C5949">
            <w:pPr>
              <w:pStyle w:val="TableText0"/>
              <w:jc w:val="center"/>
            </w:pPr>
            <w:r w:rsidRPr="00AF1481">
              <w:t>63.63</w:t>
            </w:r>
          </w:p>
        </w:tc>
        <w:tc>
          <w:tcPr>
            <w:tcW w:w="629" w:type="pct"/>
            <w:shd w:val="clear" w:color="auto" w:fill="auto"/>
          </w:tcPr>
          <w:p w14:paraId="79108913" w14:textId="77777777" w:rsidR="00A474F6" w:rsidRPr="00AF1481" w:rsidRDefault="00A474F6" w:rsidP="008C5949">
            <w:pPr>
              <w:pStyle w:val="TableText0"/>
              <w:jc w:val="center"/>
            </w:pPr>
            <w:r w:rsidRPr="00AF1481">
              <w:t>61.44</w:t>
            </w:r>
          </w:p>
        </w:tc>
        <w:tc>
          <w:tcPr>
            <w:tcW w:w="629" w:type="pct"/>
            <w:shd w:val="clear" w:color="auto" w:fill="auto"/>
          </w:tcPr>
          <w:p w14:paraId="0A679FE8" w14:textId="77777777" w:rsidR="00A474F6" w:rsidRPr="00AF1481" w:rsidRDefault="00A474F6" w:rsidP="008C5949">
            <w:pPr>
              <w:pStyle w:val="TableText0"/>
              <w:jc w:val="center"/>
            </w:pPr>
            <w:r w:rsidRPr="00AF1481">
              <w:t>61.47</w:t>
            </w:r>
          </w:p>
        </w:tc>
        <w:tc>
          <w:tcPr>
            <w:tcW w:w="1858" w:type="pct"/>
            <w:gridSpan w:val="2"/>
            <w:shd w:val="clear" w:color="auto" w:fill="auto"/>
          </w:tcPr>
          <w:p w14:paraId="446E4074" w14:textId="77777777" w:rsidR="00A474F6" w:rsidRPr="00AF1481" w:rsidRDefault="00A474F6" w:rsidP="008C5949">
            <w:pPr>
              <w:pStyle w:val="TableText0"/>
              <w:jc w:val="center"/>
            </w:pPr>
          </w:p>
        </w:tc>
      </w:tr>
      <w:tr w:rsidR="00A474F6" w:rsidRPr="00AF1481" w14:paraId="4AC9C0CD" w14:textId="77777777" w:rsidTr="008C5949">
        <w:trPr>
          <w:trHeight w:val="20"/>
        </w:trPr>
        <w:tc>
          <w:tcPr>
            <w:tcW w:w="5000" w:type="pct"/>
            <w:gridSpan w:val="6"/>
            <w:shd w:val="clear" w:color="auto" w:fill="auto"/>
          </w:tcPr>
          <w:p w14:paraId="4F6758E2" w14:textId="77777777" w:rsidR="00A474F6" w:rsidRPr="00AF1481" w:rsidRDefault="00A474F6" w:rsidP="008C5949">
            <w:pPr>
              <w:pStyle w:val="TableText0"/>
              <w:rPr>
                <w:b/>
                <w:bCs w:val="0"/>
              </w:rPr>
            </w:pPr>
            <w:r w:rsidRPr="00AF1481">
              <w:rPr>
                <w:b/>
                <w:bCs w:val="0"/>
              </w:rPr>
              <w:t>Week 48</w:t>
            </w:r>
          </w:p>
        </w:tc>
      </w:tr>
      <w:tr w:rsidR="00A474F6" w:rsidRPr="00AF1481" w14:paraId="440DF6E0" w14:textId="77777777" w:rsidTr="008C5949">
        <w:trPr>
          <w:trHeight w:val="20"/>
        </w:trPr>
        <w:tc>
          <w:tcPr>
            <w:tcW w:w="1255" w:type="pct"/>
            <w:shd w:val="clear" w:color="auto" w:fill="auto"/>
          </w:tcPr>
          <w:p w14:paraId="38F64520" w14:textId="77777777" w:rsidR="00A474F6" w:rsidRPr="00AF1481" w:rsidRDefault="00A474F6" w:rsidP="008C5949">
            <w:pPr>
              <w:pStyle w:val="TableText0"/>
            </w:pPr>
            <w:r w:rsidRPr="00AF1481">
              <w:t>Patients n (%)</w:t>
            </w:r>
          </w:p>
        </w:tc>
        <w:tc>
          <w:tcPr>
            <w:tcW w:w="629" w:type="pct"/>
            <w:shd w:val="clear" w:color="auto" w:fill="auto"/>
          </w:tcPr>
          <w:p w14:paraId="5AC6AF7F" w14:textId="77777777" w:rsidR="00A474F6" w:rsidRPr="00AF1481" w:rsidRDefault="00A474F6" w:rsidP="008C5949">
            <w:pPr>
              <w:pStyle w:val="TableText0"/>
              <w:jc w:val="center"/>
            </w:pPr>
            <w:r w:rsidRPr="00AF1481">
              <w:t>277 (84.5%)</w:t>
            </w:r>
          </w:p>
        </w:tc>
        <w:tc>
          <w:tcPr>
            <w:tcW w:w="629" w:type="pct"/>
            <w:shd w:val="clear" w:color="auto" w:fill="auto"/>
          </w:tcPr>
          <w:p w14:paraId="134770EF" w14:textId="77777777" w:rsidR="00A474F6" w:rsidRPr="00AF1481" w:rsidRDefault="00A474F6" w:rsidP="008C5949">
            <w:pPr>
              <w:pStyle w:val="TableText0"/>
              <w:jc w:val="center"/>
            </w:pPr>
            <w:r w:rsidRPr="00AF1481">
              <w:t>149 (91.4%)</w:t>
            </w:r>
          </w:p>
        </w:tc>
        <w:tc>
          <w:tcPr>
            <w:tcW w:w="629" w:type="pct"/>
            <w:shd w:val="clear" w:color="auto" w:fill="auto"/>
          </w:tcPr>
          <w:p w14:paraId="36C4337A" w14:textId="77777777" w:rsidR="00A474F6" w:rsidRPr="00AF1481" w:rsidRDefault="00A474F6" w:rsidP="008C5949">
            <w:pPr>
              <w:pStyle w:val="TableText0"/>
              <w:jc w:val="center"/>
            </w:pPr>
            <w:r w:rsidRPr="00AF1481">
              <w:t>150 (89.8%)</w:t>
            </w:r>
          </w:p>
        </w:tc>
        <w:tc>
          <w:tcPr>
            <w:tcW w:w="944" w:type="pct"/>
            <w:vMerge w:val="restart"/>
            <w:shd w:val="clear" w:color="auto" w:fill="auto"/>
          </w:tcPr>
          <w:p w14:paraId="1FF7A112" w14:textId="77777777" w:rsidR="00A474F6" w:rsidRPr="00AF1481" w:rsidRDefault="00A474F6" w:rsidP="008C5949">
            <w:pPr>
              <w:pStyle w:val="TableText0"/>
              <w:jc w:val="center"/>
              <w:rPr>
                <w:b/>
                <w:bCs w:val="0"/>
              </w:rPr>
            </w:pPr>
            <w:r w:rsidRPr="00AF1481">
              <w:rPr>
                <w:b/>
                <w:bCs w:val="0"/>
              </w:rPr>
              <w:t>–0.57 (–2.26, 1.13) &lt;0.0001</w:t>
            </w:r>
            <w:r w:rsidRPr="00AF1481">
              <w:rPr>
                <w:b/>
                <w:bCs w:val="0"/>
                <w:vertAlign w:val="superscript"/>
              </w:rPr>
              <w:t xml:space="preserve">b </w:t>
            </w:r>
          </w:p>
        </w:tc>
        <w:tc>
          <w:tcPr>
            <w:tcW w:w="914" w:type="pct"/>
            <w:vMerge w:val="restart"/>
            <w:shd w:val="clear" w:color="auto" w:fill="auto"/>
          </w:tcPr>
          <w:p w14:paraId="79EAE988" w14:textId="340B88FC" w:rsidR="00A474F6" w:rsidRPr="00AF1481" w:rsidRDefault="00A474F6" w:rsidP="008C5949">
            <w:pPr>
              <w:pStyle w:val="TableText0"/>
              <w:jc w:val="center"/>
              <w:rPr>
                <w:b/>
                <w:bCs w:val="0"/>
              </w:rPr>
            </w:pPr>
            <w:r w:rsidRPr="00AF1481">
              <w:rPr>
                <w:b/>
                <w:bCs w:val="0"/>
              </w:rPr>
              <w:t>–1.44 (–3.27, 0.39)</w:t>
            </w:r>
            <w:r w:rsidR="002E3CE5">
              <w:rPr>
                <w:b/>
                <w:bCs w:val="0"/>
              </w:rPr>
              <w:t xml:space="preserve"> </w:t>
            </w:r>
            <w:r w:rsidRPr="00AF1481">
              <w:rPr>
                <w:b/>
                <w:bCs w:val="0"/>
              </w:rPr>
              <w:t>0.0031</w:t>
            </w:r>
            <w:r w:rsidRPr="00AF1481">
              <w:rPr>
                <w:b/>
                <w:bCs w:val="0"/>
                <w:vertAlign w:val="superscript"/>
              </w:rPr>
              <w:t xml:space="preserve"> b</w:t>
            </w:r>
          </w:p>
        </w:tc>
      </w:tr>
      <w:tr w:rsidR="00A474F6" w:rsidRPr="00AF1481" w14:paraId="7559C281" w14:textId="77777777" w:rsidTr="008C5949">
        <w:trPr>
          <w:trHeight w:val="20"/>
        </w:trPr>
        <w:tc>
          <w:tcPr>
            <w:tcW w:w="1255" w:type="pct"/>
            <w:shd w:val="clear" w:color="auto" w:fill="auto"/>
          </w:tcPr>
          <w:p w14:paraId="66C4BB93" w14:textId="77777777" w:rsidR="00A474F6" w:rsidRPr="00AF1481" w:rsidRDefault="00A474F6" w:rsidP="008C5949">
            <w:pPr>
              <w:pStyle w:val="TableText0"/>
            </w:pPr>
            <w:r w:rsidRPr="00AF1481">
              <w:t>Mean change from baseline in BCVA (SD)</w:t>
            </w:r>
          </w:p>
        </w:tc>
        <w:tc>
          <w:tcPr>
            <w:tcW w:w="629" w:type="pct"/>
            <w:shd w:val="clear" w:color="auto" w:fill="auto"/>
          </w:tcPr>
          <w:p w14:paraId="245CEC31" w14:textId="77777777" w:rsidR="00A474F6" w:rsidRPr="00AF1481" w:rsidRDefault="00A474F6" w:rsidP="008C5949">
            <w:pPr>
              <w:pStyle w:val="TableText0"/>
              <w:jc w:val="center"/>
            </w:pPr>
            <w:r w:rsidRPr="00AF1481">
              <w:t>8.77 (8.95)</w:t>
            </w:r>
          </w:p>
        </w:tc>
        <w:tc>
          <w:tcPr>
            <w:tcW w:w="629" w:type="pct"/>
            <w:shd w:val="clear" w:color="auto" w:fill="auto"/>
          </w:tcPr>
          <w:p w14:paraId="1BDDDBF6" w14:textId="77777777" w:rsidR="00A474F6" w:rsidRPr="00AF1481" w:rsidRDefault="00A474F6" w:rsidP="008C5949">
            <w:pPr>
              <w:pStyle w:val="TableText0"/>
              <w:jc w:val="center"/>
            </w:pPr>
            <w:r w:rsidRPr="00AF1481">
              <w:t>7.86 (8.38)</w:t>
            </w:r>
          </w:p>
        </w:tc>
        <w:tc>
          <w:tcPr>
            <w:tcW w:w="629" w:type="pct"/>
            <w:shd w:val="clear" w:color="auto" w:fill="auto"/>
          </w:tcPr>
          <w:p w14:paraId="294C1CC6" w14:textId="77777777" w:rsidR="00A474F6" w:rsidRPr="00AF1481" w:rsidRDefault="00A474F6" w:rsidP="008C5949">
            <w:pPr>
              <w:pStyle w:val="TableText0"/>
              <w:jc w:val="center"/>
            </w:pPr>
            <w:r w:rsidRPr="00AF1481">
              <w:t>9.21 (8.99)</w:t>
            </w:r>
          </w:p>
        </w:tc>
        <w:tc>
          <w:tcPr>
            <w:tcW w:w="944" w:type="pct"/>
            <w:vMerge/>
            <w:shd w:val="clear" w:color="auto" w:fill="auto"/>
          </w:tcPr>
          <w:p w14:paraId="67F89871" w14:textId="77777777" w:rsidR="00A474F6" w:rsidRPr="00AF1481" w:rsidRDefault="00A474F6" w:rsidP="008C5949">
            <w:pPr>
              <w:pStyle w:val="TableText0"/>
              <w:jc w:val="center"/>
              <w:rPr>
                <w:b/>
                <w:bCs w:val="0"/>
                <w:vertAlign w:val="superscript"/>
              </w:rPr>
            </w:pPr>
          </w:p>
        </w:tc>
        <w:tc>
          <w:tcPr>
            <w:tcW w:w="914" w:type="pct"/>
            <w:vMerge/>
            <w:shd w:val="clear" w:color="auto" w:fill="auto"/>
          </w:tcPr>
          <w:p w14:paraId="46FD0FF3" w14:textId="77777777" w:rsidR="00A474F6" w:rsidRPr="00AF1481" w:rsidRDefault="00A474F6" w:rsidP="008C5949">
            <w:pPr>
              <w:pStyle w:val="TableText0"/>
              <w:jc w:val="center"/>
              <w:rPr>
                <w:b/>
                <w:bCs w:val="0"/>
                <w:vertAlign w:val="superscript"/>
              </w:rPr>
            </w:pPr>
          </w:p>
        </w:tc>
      </w:tr>
      <w:tr w:rsidR="00A474F6" w:rsidRPr="00AF1481" w14:paraId="2C5C1F71" w14:textId="77777777" w:rsidTr="008C5949">
        <w:trPr>
          <w:trHeight w:val="20"/>
        </w:trPr>
        <w:tc>
          <w:tcPr>
            <w:tcW w:w="1255" w:type="pct"/>
            <w:shd w:val="clear" w:color="auto" w:fill="auto"/>
          </w:tcPr>
          <w:p w14:paraId="0F87B7EB" w14:textId="77777777" w:rsidR="00A474F6" w:rsidRPr="00AF1481" w:rsidRDefault="00A474F6" w:rsidP="008C5949">
            <w:pPr>
              <w:pStyle w:val="TableText0"/>
            </w:pPr>
            <w:r w:rsidRPr="00AF1481">
              <w:t>LS mean change from baseline in BCVA (SE)</w:t>
            </w:r>
          </w:p>
        </w:tc>
        <w:tc>
          <w:tcPr>
            <w:tcW w:w="629" w:type="pct"/>
            <w:shd w:val="clear" w:color="auto" w:fill="auto"/>
          </w:tcPr>
          <w:p w14:paraId="64A758F5" w14:textId="77777777" w:rsidR="00A474F6" w:rsidRPr="00AF1481" w:rsidRDefault="00A474F6" w:rsidP="008C5949">
            <w:pPr>
              <w:pStyle w:val="TableText0"/>
              <w:jc w:val="center"/>
            </w:pPr>
            <w:r w:rsidRPr="00AF1481">
              <w:t>8.10 (0.61)</w:t>
            </w:r>
          </w:p>
        </w:tc>
        <w:tc>
          <w:tcPr>
            <w:tcW w:w="629" w:type="pct"/>
            <w:shd w:val="clear" w:color="auto" w:fill="auto"/>
          </w:tcPr>
          <w:p w14:paraId="030C9DC1" w14:textId="77777777" w:rsidR="00A474F6" w:rsidRPr="00AF1481" w:rsidRDefault="00A474F6" w:rsidP="008C5949">
            <w:pPr>
              <w:pStyle w:val="TableText0"/>
              <w:jc w:val="center"/>
            </w:pPr>
            <w:r w:rsidRPr="00AF1481">
              <w:t>7.23 (0.71)</w:t>
            </w:r>
          </w:p>
        </w:tc>
        <w:tc>
          <w:tcPr>
            <w:tcW w:w="629" w:type="pct"/>
            <w:shd w:val="clear" w:color="auto" w:fill="auto"/>
          </w:tcPr>
          <w:p w14:paraId="160C9410" w14:textId="77777777" w:rsidR="00A474F6" w:rsidRPr="00AF1481" w:rsidRDefault="00A474F6" w:rsidP="008C5949">
            <w:pPr>
              <w:pStyle w:val="TableText0"/>
              <w:jc w:val="center"/>
            </w:pPr>
            <w:r w:rsidRPr="00AF1481">
              <w:t>8.67 (0.73)</w:t>
            </w:r>
          </w:p>
        </w:tc>
        <w:tc>
          <w:tcPr>
            <w:tcW w:w="944" w:type="pct"/>
            <w:vMerge/>
            <w:shd w:val="clear" w:color="auto" w:fill="auto"/>
          </w:tcPr>
          <w:p w14:paraId="7B98DDF6" w14:textId="77777777" w:rsidR="00A474F6" w:rsidRPr="00AF1481" w:rsidRDefault="00A474F6" w:rsidP="008C5949">
            <w:pPr>
              <w:pStyle w:val="TableText0"/>
              <w:jc w:val="center"/>
              <w:rPr>
                <w:b/>
                <w:bCs w:val="0"/>
                <w:vertAlign w:val="superscript"/>
              </w:rPr>
            </w:pPr>
          </w:p>
        </w:tc>
        <w:tc>
          <w:tcPr>
            <w:tcW w:w="914" w:type="pct"/>
            <w:vMerge/>
            <w:shd w:val="clear" w:color="auto" w:fill="auto"/>
          </w:tcPr>
          <w:p w14:paraId="32882765" w14:textId="77777777" w:rsidR="00A474F6" w:rsidRPr="00AF1481" w:rsidRDefault="00A474F6" w:rsidP="008C5949">
            <w:pPr>
              <w:pStyle w:val="TableText0"/>
              <w:jc w:val="center"/>
              <w:rPr>
                <w:b/>
                <w:bCs w:val="0"/>
                <w:vertAlign w:val="superscript"/>
              </w:rPr>
            </w:pPr>
          </w:p>
        </w:tc>
      </w:tr>
      <w:tr w:rsidR="00A474F6" w:rsidRPr="00AF1481" w14:paraId="54225276" w14:textId="77777777" w:rsidTr="008C5949">
        <w:trPr>
          <w:trHeight w:val="20"/>
        </w:trPr>
        <w:tc>
          <w:tcPr>
            <w:tcW w:w="5000" w:type="pct"/>
            <w:gridSpan w:val="6"/>
            <w:shd w:val="clear" w:color="auto" w:fill="auto"/>
          </w:tcPr>
          <w:p w14:paraId="652EEC0B" w14:textId="77777777" w:rsidR="00A474F6" w:rsidRPr="00AF1481" w:rsidRDefault="00A474F6" w:rsidP="008C5949">
            <w:pPr>
              <w:pStyle w:val="TableText0"/>
              <w:rPr>
                <w:b/>
                <w:bCs w:val="0"/>
              </w:rPr>
            </w:pPr>
            <w:r w:rsidRPr="00AF1481">
              <w:rPr>
                <w:b/>
                <w:bCs w:val="0"/>
              </w:rPr>
              <w:t xml:space="preserve">Week 60 </w:t>
            </w:r>
          </w:p>
        </w:tc>
      </w:tr>
      <w:tr w:rsidR="00A474F6" w:rsidRPr="00AF1481" w14:paraId="52EFFD08" w14:textId="77777777" w:rsidTr="008C5949">
        <w:trPr>
          <w:trHeight w:val="20"/>
        </w:trPr>
        <w:tc>
          <w:tcPr>
            <w:tcW w:w="1255" w:type="pct"/>
            <w:shd w:val="clear" w:color="auto" w:fill="auto"/>
          </w:tcPr>
          <w:p w14:paraId="43C26B5C" w14:textId="77777777" w:rsidR="00A474F6" w:rsidRPr="00AF1481" w:rsidRDefault="00A474F6" w:rsidP="008C5949">
            <w:pPr>
              <w:pStyle w:val="TableText0"/>
            </w:pPr>
            <w:r w:rsidRPr="00AF1481">
              <w:t>Patients n (%)</w:t>
            </w:r>
          </w:p>
        </w:tc>
        <w:tc>
          <w:tcPr>
            <w:tcW w:w="629" w:type="pct"/>
            <w:shd w:val="clear" w:color="auto" w:fill="auto"/>
          </w:tcPr>
          <w:p w14:paraId="149D70E1" w14:textId="77777777" w:rsidR="00A474F6" w:rsidRPr="00AF1481" w:rsidRDefault="00A474F6" w:rsidP="008C5949">
            <w:pPr>
              <w:pStyle w:val="TableText0"/>
              <w:jc w:val="center"/>
            </w:pPr>
            <w:r w:rsidRPr="00AF1481">
              <w:t>252 (76.8%)</w:t>
            </w:r>
          </w:p>
        </w:tc>
        <w:tc>
          <w:tcPr>
            <w:tcW w:w="629" w:type="pct"/>
            <w:shd w:val="clear" w:color="auto" w:fill="auto"/>
          </w:tcPr>
          <w:p w14:paraId="77003403" w14:textId="77777777" w:rsidR="00A474F6" w:rsidRPr="00AF1481" w:rsidRDefault="00A474F6" w:rsidP="008C5949">
            <w:pPr>
              <w:pStyle w:val="TableText0"/>
              <w:jc w:val="center"/>
            </w:pPr>
            <w:r w:rsidRPr="00AF1481">
              <w:t>138 (84.7%)</w:t>
            </w:r>
          </w:p>
        </w:tc>
        <w:tc>
          <w:tcPr>
            <w:tcW w:w="629" w:type="pct"/>
            <w:shd w:val="clear" w:color="auto" w:fill="auto"/>
          </w:tcPr>
          <w:p w14:paraId="5DD853D8" w14:textId="77777777" w:rsidR="00A474F6" w:rsidRPr="00AF1481" w:rsidRDefault="00A474F6" w:rsidP="008C5949">
            <w:pPr>
              <w:pStyle w:val="TableText0"/>
              <w:jc w:val="center"/>
            </w:pPr>
            <w:r w:rsidRPr="00AF1481">
              <w:t>133 (79.6%)</w:t>
            </w:r>
          </w:p>
        </w:tc>
        <w:tc>
          <w:tcPr>
            <w:tcW w:w="944" w:type="pct"/>
            <w:vMerge w:val="restart"/>
            <w:shd w:val="clear" w:color="auto" w:fill="auto"/>
          </w:tcPr>
          <w:p w14:paraId="4F156FF1" w14:textId="77777777" w:rsidR="00A474F6" w:rsidRPr="00AF1481" w:rsidRDefault="00A474F6" w:rsidP="008C5949">
            <w:pPr>
              <w:pStyle w:val="TableText0"/>
              <w:jc w:val="center"/>
              <w:rPr>
                <w:b/>
                <w:bCs w:val="0"/>
              </w:rPr>
            </w:pPr>
            <w:r w:rsidRPr="00AF1481">
              <w:rPr>
                <w:b/>
                <w:bCs w:val="0"/>
              </w:rPr>
              <w:t>–0.88 (–2.67, 0.91)</w:t>
            </w:r>
          </w:p>
          <w:p w14:paraId="04744EAA" w14:textId="77777777" w:rsidR="00A474F6" w:rsidRPr="00AF1481" w:rsidRDefault="00A474F6" w:rsidP="008C5949">
            <w:pPr>
              <w:pStyle w:val="TableText0"/>
              <w:jc w:val="center"/>
              <w:rPr>
                <w:b/>
                <w:bCs w:val="0"/>
                <w:vertAlign w:val="superscript"/>
              </w:rPr>
            </w:pPr>
            <w:r w:rsidRPr="00AF1481">
              <w:rPr>
                <w:b/>
                <w:bCs w:val="0"/>
              </w:rPr>
              <w:t>0.0003</w:t>
            </w:r>
            <w:r w:rsidRPr="00AF1481">
              <w:rPr>
                <w:b/>
                <w:bCs w:val="0"/>
                <w:vertAlign w:val="superscript"/>
              </w:rPr>
              <w:t>b</w:t>
            </w:r>
          </w:p>
          <w:p w14:paraId="7CFA88A0" w14:textId="77777777" w:rsidR="00A474F6" w:rsidRPr="00AF1481" w:rsidRDefault="00A474F6" w:rsidP="008C5949">
            <w:pPr>
              <w:pStyle w:val="TableText0"/>
              <w:jc w:val="center"/>
              <w:rPr>
                <w:b/>
                <w:bCs w:val="0"/>
              </w:rPr>
            </w:pPr>
          </w:p>
        </w:tc>
        <w:tc>
          <w:tcPr>
            <w:tcW w:w="914" w:type="pct"/>
            <w:vMerge w:val="restart"/>
            <w:shd w:val="clear" w:color="auto" w:fill="auto"/>
          </w:tcPr>
          <w:p w14:paraId="32585D29" w14:textId="77777777" w:rsidR="00A474F6" w:rsidRPr="00AF1481" w:rsidRDefault="00A474F6" w:rsidP="008C5949">
            <w:pPr>
              <w:pStyle w:val="TableText0"/>
              <w:jc w:val="center"/>
              <w:rPr>
                <w:b/>
                <w:bCs w:val="0"/>
              </w:rPr>
            </w:pPr>
            <w:r w:rsidRPr="00AF1481">
              <w:rPr>
                <w:b/>
                <w:bCs w:val="0"/>
              </w:rPr>
              <w:t>–1.76 (–3.71, 0.19)</w:t>
            </w:r>
          </w:p>
          <w:p w14:paraId="02FAAB44" w14:textId="77777777" w:rsidR="00A474F6" w:rsidRPr="00AF1481" w:rsidRDefault="00A474F6" w:rsidP="008C5949">
            <w:pPr>
              <w:pStyle w:val="TableText0"/>
              <w:jc w:val="center"/>
              <w:rPr>
                <w:b/>
                <w:bCs w:val="0"/>
                <w:vertAlign w:val="superscript"/>
              </w:rPr>
            </w:pPr>
            <w:r w:rsidRPr="00AF1481">
              <w:rPr>
                <w:b/>
                <w:bCs w:val="0"/>
              </w:rPr>
              <w:t>0.0122</w:t>
            </w:r>
            <w:r w:rsidRPr="00AF1481">
              <w:rPr>
                <w:b/>
                <w:bCs w:val="0"/>
                <w:vertAlign w:val="superscript"/>
              </w:rPr>
              <w:t>b</w:t>
            </w:r>
          </w:p>
          <w:p w14:paraId="6588FA1C" w14:textId="77777777" w:rsidR="00A474F6" w:rsidRPr="00AF1481" w:rsidRDefault="00A474F6" w:rsidP="008C5949">
            <w:pPr>
              <w:pStyle w:val="TableText0"/>
              <w:jc w:val="center"/>
              <w:rPr>
                <w:b/>
                <w:bCs w:val="0"/>
              </w:rPr>
            </w:pPr>
          </w:p>
        </w:tc>
      </w:tr>
      <w:tr w:rsidR="00A474F6" w:rsidRPr="00AF1481" w14:paraId="26DC6663" w14:textId="77777777" w:rsidTr="008C5949">
        <w:trPr>
          <w:trHeight w:val="20"/>
        </w:trPr>
        <w:tc>
          <w:tcPr>
            <w:tcW w:w="1255" w:type="pct"/>
            <w:shd w:val="clear" w:color="auto" w:fill="auto"/>
          </w:tcPr>
          <w:p w14:paraId="5BCB0C39" w14:textId="77777777" w:rsidR="00A474F6" w:rsidRPr="00AF1481" w:rsidRDefault="00A474F6" w:rsidP="008C5949">
            <w:pPr>
              <w:pStyle w:val="TableText0"/>
            </w:pPr>
            <w:r w:rsidRPr="00AF1481">
              <w:t>Mean change from baseline in BCVA (SD)</w:t>
            </w:r>
          </w:p>
        </w:tc>
        <w:tc>
          <w:tcPr>
            <w:tcW w:w="629" w:type="pct"/>
            <w:shd w:val="clear" w:color="auto" w:fill="auto"/>
          </w:tcPr>
          <w:p w14:paraId="17A0CB43" w14:textId="77777777" w:rsidR="00A474F6" w:rsidRPr="00AF1481" w:rsidRDefault="00A474F6" w:rsidP="008C5949">
            <w:pPr>
              <w:pStyle w:val="TableText0"/>
              <w:jc w:val="center"/>
            </w:pPr>
            <w:r w:rsidRPr="00AF1481">
              <w:t>9.05 (9.27)</w:t>
            </w:r>
          </w:p>
        </w:tc>
        <w:tc>
          <w:tcPr>
            <w:tcW w:w="629" w:type="pct"/>
            <w:shd w:val="clear" w:color="auto" w:fill="auto"/>
          </w:tcPr>
          <w:p w14:paraId="0EA29A0A" w14:textId="77777777" w:rsidR="00A474F6" w:rsidRPr="00AF1481" w:rsidRDefault="00A474F6" w:rsidP="008C5949">
            <w:pPr>
              <w:pStyle w:val="TableText0"/>
              <w:jc w:val="center"/>
            </w:pPr>
            <w:r w:rsidRPr="00AF1481">
              <w:t>7.96 (9.14)</w:t>
            </w:r>
          </w:p>
        </w:tc>
        <w:tc>
          <w:tcPr>
            <w:tcW w:w="629" w:type="pct"/>
            <w:shd w:val="clear" w:color="auto" w:fill="auto"/>
          </w:tcPr>
          <w:p w14:paraId="0EFC3D2A" w14:textId="77777777" w:rsidR="00A474F6" w:rsidRPr="00AF1481" w:rsidRDefault="00A474F6" w:rsidP="008C5949">
            <w:pPr>
              <w:pStyle w:val="TableText0"/>
              <w:jc w:val="center"/>
            </w:pPr>
            <w:r w:rsidRPr="00AF1481">
              <w:t>9.62 (9.58)</w:t>
            </w:r>
          </w:p>
        </w:tc>
        <w:tc>
          <w:tcPr>
            <w:tcW w:w="944" w:type="pct"/>
            <w:vMerge/>
            <w:shd w:val="clear" w:color="auto" w:fill="auto"/>
          </w:tcPr>
          <w:p w14:paraId="7DC32B54" w14:textId="77777777" w:rsidR="00A474F6" w:rsidRPr="00AF1481" w:rsidRDefault="00A474F6" w:rsidP="008C5949">
            <w:pPr>
              <w:pStyle w:val="TableText0"/>
              <w:jc w:val="center"/>
            </w:pPr>
          </w:p>
        </w:tc>
        <w:tc>
          <w:tcPr>
            <w:tcW w:w="914" w:type="pct"/>
            <w:vMerge/>
            <w:shd w:val="clear" w:color="auto" w:fill="auto"/>
          </w:tcPr>
          <w:p w14:paraId="436222C3" w14:textId="77777777" w:rsidR="00A474F6" w:rsidRPr="00AF1481" w:rsidRDefault="00A474F6" w:rsidP="008C5949">
            <w:pPr>
              <w:pStyle w:val="TableText0"/>
              <w:jc w:val="center"/>
            </w:pPr>
          </w:p>
        </w:tc>
      </w:tr>
      <w:tr w:rsidR="00A474F6" w:rsidRPr="00AF1481" w14:paraId="2A0AE3A9" w14:textId="77777777" w:rsidTr="008C5949">
        <w:trPr>
          <w:trHeight w:val="20"/>
        </w:trPr>
        <w:tc>
          <w:tcPr>
            <w:tcW w:w="1255" w:type="pct"/>
            <w:shd w:val="clear" w:color="auto" w:fill="auto"/>
          </w:tcPr>
          <w:p w14:paraId="7050ABBE" w14:textId="77777777" w:rsidR="00A474F6" w:rsidRPr="00AF1481" w:rsidRDefault="00A474F6" w:rsidP="008C5949">
            <w:pPr>
              <w:pStyle w:val="TableText0"/>
            </w:pPr>
            <w:r w:rsidRPr="00AF1481">
              <w:t>LS mean change from baseline in BCVA (SE)</w:t>
            </w:r>
          </w:p>
        </w:tc>
        <w:tc>
          <w:tcPr>
            <w:tcW w:w="629" w:type="pct"/>
            <w:shd w:val="clear" w:color="auto" w:fill="auto"/>
          </w:tcPr>
          <w:p w14:paraId="61D998AC" w14:textId="77777777" w:rsidR="00A474F6" w:rsidRPr="00AF1481" w:rsidRDefault="00A474F6" w:rsidP="008C5949">
            <w:pPr>
              <w:pStyle w:val="TableText0"/>
              <w:jc w:val="center"/>
            </w:pPr>
            <w:r w:rsidRPr="00AF1481">
              <w:t>8.52 (0.63)</w:t>
            </w:r>
          </w:p>
        </w:tc>
        <w:tc>
          <w:tcPr>
            <w:tcW w:w="629" w:type="pct"/>
            <w:shd w:val="clear" w:color="auto" w:fill="auto"/>
          </w:tcPr>
          <w:p w14:paraId="73C2FA0A" w14:textId="77777777" w:rsidR="00A474F6" w:rsidRPr="00AF1481" w:rsidRDefault="00A474F6" w:rsidP="008C5949">
            <w:pPr>
              <w:pStyle w:val="TableText0"/>
              <w:jc w:val="center"/>
            </w:pPr>
            <w:r w:rsidRPr="00AF1481">
              <w:t>7.64 (0.75)</w:t>
            </w:r>
          </w:p>
        </w:tc>
        <w:tc>
          <w:tcPr>
            <w:tcW w:w="629" w:type="pct"/>
            <w:shd w:val="clear" w:color="auto" w:fill="auto"/>
          </w:tcPr>
          <w:p w14:paraId="19FF3FA1" w14:textId="77777777" w:rsidR="00A474F6" w:rsidRPr="00AF1481" w:rsidRDefault="00A474F6" w:rsidP="008C5949">
            <w:pPr>
              <w:pStyle w:val="TableText0"/>
              <w:jc w:val="center"/>
            </w:pPr>
            <w:r w:rsidRPr="00AF1481">
              <w:t>9.40 (0.77)</w:t>
            </w:r>
          </w:p>
        </w:tc>
        <w:tc>
          <w:tcPr>
            <w:tcW w:w="944" w:type="pct"/>
            <w:vMerge/>
            <w:shd w:val="clear" w:color="auto" w:fill="auto"/>
          </w:tcPr>
          <w:p w14:paraId="7038CFD6" w14:textId="77777777" w:rsidR="00A474F6" w:rsidRPr="00AF1481" w:rsidRDefault="00A474F6" w:rsidP="008C5949">
            <w:pPr>
              <w:pStyle w:val="TableText0"/>
              <w:jc w:val="center"/>
            </w:pPr>
          </w:p>
        </w:tc>
        <w:tc>
          <w:tcPr>
            <w:tcW w:w="914" w:type="pct"/>
            <w:vMerge/>
            <w:shd w:val="clear" w:color="auto" w:fill="auto"/>
          </w:tcPr>
          <w:p w14:paraId="4E8A4877" w14:textId="77777777" w:rsidR="00A474F6" w:rsidRPr="00AF1481" w:rsidRDefault="00A474F6" w:rsidP="008C5949">
            <w:pPr>
              <w:pStyle w:val="TableText0"/>
              <w:jc w:val="center"/>
            </w:pPr>
          </w:p>
        </w:tc>
      </w:tr>
    </w:tbl>
    <w:p w14:paraId="050E2A79" w14:textId="77777777" w:rsidR="00232ABD" w:rsidRPr="00AF1481" w:rsidRDefault="00A474F6" w:rsidP="00A474F6">
      <w:pPr>
        <w:pStyle w:val="FooterTableFigure"/>
      </w:pPr>
      <w:bookmarkStart w:id="52" w:name="_Ref151387557"/>
      <w:bookmarkStart w:id="53" w:name="_Ref152776042"/>
      <w:r w:rsidRPr="00AF1481">
        <w:t>Source: Table 2-16 p57, Table 2-17 p59 of the submission</w:t>
      </w:r>
    </w:p>
    <w:p w14:paraId="6D75B798" w14:textId="77777777" w:rsidR="00A05AA6" w:rsidRDefault="00232ABD" w:rsidP="00A474F6">
      <w:pPr>
        <w:pStyle w:val="FooterTableFigure"/>
      </w:pPr>
      <w:r w:rsidRPr="00AF1481">
        <w:t xml:space="preserve">Bolded values indicate statistical </w:t>
      </w:r>
      <w:r w:rsidR="00F45AE1" w:rsidRPr="00AF1481">
        <w:t>significance</w:t>
      </w:r>
    </w:p>
    <w:p w14:paraId="07C331A4" w14:textId="5945FFDD" w:rsidR="00A474F6" w:rsidRPr="00AF1481" w:rsidRDefault="00A474F6" w:rsidP="00A474F6">
      <w:pPr>
        <w:pStyle w:val="FooterTableFigure"/>
      </w:pPr>
      <w:r w:rsidRPr="00AF1481">
        <w:rPr>
          <w:rFonts w:eastAsia="Calibri"/>
        </w:rPr>
        <w:t xml:space="preserve">BCVA = best corrected visual acuity; CI = confidence interval; ETDRS = </w:t>
      </w:r>
      <w:r w:rsidRPr="00AF1481">
        <w:t>Early Treatment Diabetic Retinopathy Study</w:t>
      </w:r>
      <w:r w:rsidRPr="00AF1481">
        <w:rPr>
          <w:rFonts w:eastAsia="Calibri"/>
        </w:rPr>
        <w:t xml:space="preserve">; n = number of patients with event; FAS = full analysis set; MMRM = </w:t>
      </w:r>
      <w:r w:rsidR="00A6796A" w:rsidRPr="00AF1481">
        <w:rPr>
          <w:rFonts w:eastAsia="Calibri"/>
        </w:rPr>
        <w:t>m</w:t>
      </w:r>
      <w:r w:rsidRPr="00AF1481">
        <w:t xml:space="preserve">ixed model for repeated measurements; </w:t>
      </w:r>
      <w:r w:rsidRPr="00AF1481">
        <w:rPr>
          <w:rFonts w:eastAsia="Calibri"/>
        </w:rPr>
        <w:t xml:space="preserve">N = total patients in group; </w:t>
      </w:r>
      <w:r w:rsidRPr="00AF1481">
        <w:t>SE = standard error; SD = standard deviation; 2q8 = aflibercept 2 mg administered every 8 weeks; 8q12 = aflibercept 8 mg administered every 12 weeks; 8q16 = aflibercept 8 mg administered every 16 weeks;</w:t>
      </w:r>
    </w:p>
    <w:p w14:paraId="66542117" w14:textId="77777777" w:rsidR="00A474F6" w:rsidRPr="00AF1481" w:rsidRDefault="00A474F6" w:rsidP="00A474F6">
      <w:pPr>
        <w:pStyle w:val="FooterTableFigure"/>
        <w:rPr>
          <w:rFonts w:eastAsia="Calibri"/>
        </w:rPr>
      </w:pPr>
      <w:r w:rsidRPr="00AF1481">
        <w:rPr>
          <w:rFonts w:eastAsia="Calibri"/>
        </w:rPr>
        <w:t>a. Estimate for contrast was based on the MMRM model with baseline BCVA measurement as a covariate, treatment group and the stratification variables (geographic region [Japan vs Rest of World]; baseline CRT from reading centre [&lt;400μm vs ≥400μm], prior treatment for DMO per EDC; [yes vs no]) as fixed factors, and terms for the interaction between baseline and visit and the interaction between treatment and visit, computed for the differences of 8q12 minus 2q8 and 8q16 minus 2q8, respectively with 2-sided 95% CIs</w:t>
      </w:r>
    </w:p>
    <w:p w14:paraId="70F49AD7" w14:textId="70BFDC01" w:rsidR="00A474F6" w:rsidRPr="00AF1481" w:rsidRDefault="00A474F6" w:rsidP="00A474F6">
      <w:pPr>
        <w:pStyle w:val="FooterTableFigure"/>
        <w:rPr>
          <w:rFonts w:eastAsia="Calibri"/>
        </w:rPr>
      </w:pPr>
      <w:r w:rsidRPr="00AF1481">
        <w:rPr>
          <w:rFonts w:eastAsia="Calibri"/>
        </w:rPr>
        <w:t>b. p-value for the 1-sided non-inferiority test at a margin of 4 letters</w:t>
      </w:r>
    </w:p>
    <w:p w14:paraId="72E51327" w14:textId="38CFF633" w:rsidR="00A474F6" w:rsidRPr="00AF1481" w:rsidRDefault="00A474F6" w:rsidP="001A5A0A">
      <w:pPr>
        <w:pStyle w:val="Caption"/>
      </w:pPr>
      <w:bookmarkStart w:id="54" w:name="_Ref153364619"/>
      <w:r w:rsidRPr="00AF1481">
        <w:t xml:space="preserve">Figure </w:t>
      </w:r>
      <w:r w:rsidR="00393E69">
        <w:fldChar w:fldCharType="begin"/>
      </w:r>
      <w:r w:rsidR="00393E69">
        <w:instrText xml:space="preserve"> SEQ Figure \* ARABIC </w:instrText>
      </w:r>
      <w:r w:rsidR="00393E69">
        <w:fldChar w:fldCharType="separate"/>
      </w:r>
      <w:r w:rsidR="009404AF">
        <w:rPr>
          <w:noProof/>
        </w:rPr>
        <w:t>1</w:t>
      </w:r>
      <w:r w:rsidR="00393E69">
        <w:fldChar w:fldCharType="end"/>
      </w:r>
      <w:bookmarkEnd w:id="52"/>
      <w:bookmarkEnd w:id="54"/>
      <w:r w:rsidRPr="00AF1481">
        <w:t xml:space="preserve">: Least square change from baseline in BCVA score through to </w:t>
      </w:r>
      <w:r w:rsidR="00434B62" w:rsidRPr="00AF1481">
        <w:t>W</w:t>
      </w:r>
      <w:r w:rsidRPr="00AF1481">
        <w:t>eek 60</w:t>
      </w:r>
      <w:r w:rsidR="00434B62" w:rsidRPr="00AF1481">
        <w:t>, PHOTON</w:t>
      </w:r>
      <w:r w:rsidRPr="00AF1481">
        <w:t xml:space="preserve"> (FAS)</w:t>
      </w:r>
      <w:bookmarkEnd w:id="53"/>
    </w:p>
    <w:p w14:paraId="591CB27B" w14:textId="77777777" w:rsidR="00A474F6" w:rsidRPr="00AF1481" w:rsidRDefault="00A474F6" w:rsidP="00FD014B">
      <w:pPr>
        <w:pStyle w:val="FooterTableFigure"/>
        <w:keepNext/>
        <w:keepLines/>
      </w:pPr>
      <w:r w:rsidRPr="00AF1481">
        <w:rPr>
          <w:noProof/>
        </w:rPr>
        <w:drawing>
          <wp:inline distT="0" distB="0" distL="0" distR="0" wp14:anchorId="2A8D5FFA" wp14:editId="0CA7C893">
            <wp:extent cx="5731510" cy="2001520"/>
            <wp:effectExtent l="0" t="0" r="2540" b="0"/>
            <wp:docPr id="1886827585" name="Picture 1886827585"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number of numbers&#10;&#10;Description automatically generated with medium confidence"/>
                    <pic:cNvPicPr/>
                  </pic:nvPicPr>
                  <pic:blipFill>
                    <a:blip r:embed="rId8"/>
                    <a:stretch>
                      <a:fillRect/>
                    </a:stretch>
                  </pic:blipFill>
                  <pic:spPr>
                    <a:xfrm>
                      <a:off x="0" y="0"/>
                      <a:ext cx="5731510" cy="2001520"/>
                    </a:xfrm>
                    <a:prstGeom prst="rect">
                      <a:avLst/>
                    </a:prstGeom>
                  </pic:spPr>
                </pic:pic>
              </a:graphicData>
            </a:graphic>
          </wp:inline>
        </w:drawing>
      </w:r>
    </w:p>
    <w:p w14:paraId="3CF80781" w14:textId="77777777" w:rsidR="00A474F6" w:rsidRPr="00AF1481" w:rsidRDefault="00A474F6" w:rsidP="00FD014B">
      <w:pPr>
        <w:pStyle w:val="FooterTableFigure"/>
        <w:keepNext/>
        <w:keepLines/>
      </w:pPr>
      <w:r w:rsidRPr="00AF1481">
        <w:t>Source: Figure 2-8 p60 of the submission</w:t>
      </w:r>
    </w:p>
    <w:p w14:paraId="334EC1FE" w14:textId="77777777" w:rsidR="00A05AA6" w:rsidRDefault="00A474F6" w:rsidP="00535F38">
      <w:pPr>
        <w:pStyle w:val="FooterTableFigure"/>
      </w:pPr>
      <w:r w:rsidRPr="00AF1481">
        <w:t xml:space="preserve">BCVA = best corrected visual acuity; CI = confidence intervals; </w:t>
      </w:r>
      <w:r w:rsidR="00A23723" w:rsidRPr="00AF1481">
        <w:t>HD</w:t>
      </w:r>
      <w:r w:rsidRPr="00AF1481">
        <w:t xml:space="preserve">q12 = aflibercept 8 mg administered every 12 weeks; </w:t>
      </w:r>
      <w:r w:rsidR="00A23723" w:rsidRPr="00AF1481">
        <w:t>HD</w:t>
      </w:r>
      <w:r w:rsidRPr="00AF1481">
        <w:t>q16 = aflibercept 8 mg administered every 16 weeks; FAS = full analysis set; 2q8 = aflibercept 2 mg administered every 8 weeks;</w:t>
      </w:r>
    </w:p>
    <w:p w14:paraId="7448FB9D" w14:textId="6CD90826" w:rsidR="00A05AA6" w:rsidRDefault="00A474F6" w:rsidP="00A474F6">
      <w:pPr>
        <w:pStyle w:val="ExecSumBodyText"/>
        <w:numPr>
          <w:ilvl w:val="1"/>
          <w:numId w:val="1"/>
        </w:numPr>
        <w:ind w:left="709" w:hanging="709"/>
        <w:rPr>
          <w:iCs/>
        </w:rPr>
      </w:pPr>
      <w:r w:rsidRPr="00AF1481">
        <w:t xml:space="preserve">There was no statistically significant difference between aflibercept 8 mg (12-weekly or 16-weekly) and aflibercept 2 mg 8-weekly for the proportion of patients with a </w:t>
      </w:r>
      <w:r w:rsidRPr="00AF1481">
        <w:rPr>
          <w:rFonts w:cstheme="minorHAnsi"/>
        </w:rPr>
        <w:t>≥2</w:t>
      </w:r>
      <w:r w:rsidR="001A5A0A">
        <w:rPr>
          <w:rFonts w:cstheme="minorHAnsi"/>
        </w:rPr>
        <w:t> </w:t>
      </w:r>
      <w:r w:rsidRPr="00AF1481">
        <w:rPr>
          <w:rFonts w:cstheme="minorHAnsi"/>
        </w:rPr>
        <w:t xml:space="preserve">step improvement on the DRSS, the proportion who gained ≥15 EDTRS letters, the proportion who gained ≥69 EDTRS letters, the proportion without fluid at foveal centre, or the change from baseline in the CRT </w:t>
      </w:r>
      <w:r w:rsidRPr="00AF1481">
        <w:t>at Week 48 and Week 60</w:t>
      </w:r>
      <w:r w:rsidR="000C4685" w:rsidRPr="00AF1481">
        <w:t>. However, there was a</w:t>
      </w:r>
      <w:r w:rsidRPr="00AF1481">
        <w:t xml:space="preserve"> statistically significantly lower proportion of patients who experienced a </w:t>
      </w:r>
      <w:r w:rsidRPr="00AF1481">
        <w:lastRenderedPageBreak/>
        <w:t xml:space="preserve">≥ 15 letters gain in BCVA </w:t>
      </w:r>
      <w:r w:rsidR="000C4685" w:rsidRPr="00AF1481">
        <w:t xml:space="preserve">at Week 60 in the 8q16 arm compared with 2q8 arm, </w:t>
      </w:r>
      <w:r w:rsidR="007D3B4C" w:rsidRPr="00AF1481">
        <w:t xml:space="preserve">and </w:t>
      </w:r>
      <w:r w:rsidR="000C4685" w:rsidRPr="00AF1481">
        <w:t>the</w:t>
      </w:r>
      <w:r w:rsidR="007D3B4C" w:rsidRPr="00AF1481">
        <w:t xml:space="preserve"> mean change in CRT</w:t>
      </w:r>
      <w:r w:rsidR="00942AA8" w:rsidRPr="00AF1481">
        <w:t xml:space="preserve"> </w:t>
      </w:r>
      <w:r w:rsidRPr="00AF1481">
        <w:t xml:space="preserve">from baseline at Week 60 </w:t>
      </w:r>
      <w:r w:rsidR="000C4685" w:rsidRPr="00AF1481">
        <w:t xml:space="preserve">was statistically significantly lower </w:t>
      </w:r>
      <w:r w:rsidRPr="00AF1481">
        <w:t>in the 8q16 arm compared with 2q8 arm (</w:t>
      </w:r>
      <w:r w:rsidRPr="00AF1481">
        <w:fldChar w:fldCharType="begin"/>
      </w:r>
      <w:r w:rsidRPr="00AF1481">
        <w:instrText xml:space="preserve"> REF _Ref154064768 \h  \* MERGEFORMAT </w:instrText>
      </w:r>
      <w:r w:rsidRPr="00AF1481">
        <w:fldChar w:fldCharType="separate"/>
      </w:r>
      <w:r w:rsidR="009404AF" w:rsidRPr="009404AF">
        <w:t>Table 6</w:t>
      </w:r>
      <w:r w:rsidRPr="00AF1481">
        <w:fldChar w:fldCharType="end"/>
      </w:r>
      <w:r w:rsidR="00903D35" w:rsidRPr="00AF1481">
        <w:t xml:space="preserve"> and </w:t>
      </w:r>
      <w:r w:rsidR="007D3B4C" w:rsidRPr="00AF1481">
        <w:fldChar w:fldCharType="begin"/>
      </w:r>
      <w:r w:rsidR="007D3B4C" w:rsidRPr="00AF1481">
        <w:instrText xml:space="preserve"> REF _Ref154070413 \h </w:instrText>
      </w:r>
      <w:r w:rsidR="00942AA8" w:rsidRPr="00AF1481">
        <w:instrText xml:space="preserve"> \* MERGEFORMAT </w:instrText>
      </w:r>
      <w:r w:rsidR="007D3B4C" w:rsidRPr="00AF1481">
        <w:fldChar w:fldCharType="separate"/>
      </w:r>
      <w:r w:rsidR="009404AF" w:rsidRPr="00AF1481">
        <w:t xml:space="preserve">Figure </w:t>
      </w:r>
      <w:r w:rsidR="009404AF">
        <w:t>2</w:t>
      </w:r>
      <w:r w:rsidR="007D3B4C" w:rsidRPr="00AF1481">
        <w:fldChar w:fldCharType="end"/>
      </w:r>
      <w:r w:rsidRPr="00AF1481">
        <w:t>).</w:t>
      </w:r>
      <w:r w:rsidR="0042471F" w:rsidRPr="00AF1481">
        <w:t xml:space="preserve"> </w:t>
      </w:r>
      <w:r w:rsidR="000C4685" w:rsidRPr="00AF1481">
        <w:rPr>
          <w:iCs/>
        </w:rPr>
        <w:t>T</w:t>
      </w:r>
      <w:r w:rsidR="00E647DC" w:rsidRPr="00AF1481">
        <w:rPr>
          <w:iCs/>
        </w:rPr>
        <w:t>he submission</w:t>
      </w:r>
      <w:r w:rsidR="007D3B4C" w:rsidRPr="00AF1481">
        <w:rPr>
          <w:iCs/>
        </w:rPr>
        <w:t xml:space="preserve"> </w:t>
      </w:r>
      <w:r w:rsidR="000C4685" w:rsidRPr="00AF1481">
        <w:rPr>
          <w:iCs/>
        </w:rPr>
        <w:t>stated that these difference</w:t>
      </w:r>
      <w:r w:rsidR="002F0653" w:rsidRPr="00AF1481">
        <w:rPr>
          <w:iCs/>
        </w:rPr>
        <w:t>s</w:t>
      </w:r>
      <w:r w:rsidR="000C4685" w:rsidRPr="00AF1481">
        <w:rPr>
          <w:iCs/>
        </w:rPr>
        <w:t xml:space="preserve"> were </w:t>
      </w:r>
      <w:r w:rsidR="007D3B4C" w:rsidRPr="00AF1481">
        <w:rPr>
          <w:iCs/>
        </w:rPr>
        <w:t>not clinically relevant as non-inferiority in BCVA was demonstrated successfully</w:t>
      </w:r>
      <w:r w:rsidR="000C4685" w:rsidRPr="00AF1481">
        <w:rPr>
          <w:iCs/>
        </w:rPr>
        <w:t xml:space="preserve">. </w:t>
      </w:r>
      <w:r w:rsidR="004E0897" w:rsidRPr="00AF1481">
        <w:rPr>
          <w:iCs/>
        </w:rPr>
        <w:t>While this is likely to be reasonable</w:t>
      </w:r>
      <w:r w:rsidR="000C4685" w:rsidRPr="00AF1481">
        <w:rPr>
          <w:iCs/>
        </w:rPr>
        <w:t>,</w:t>
      </w:r>
      <w:r w:rsidR="00CC3994" w:rsidRPr="00AF1481">
        <w:rPr>
          <w:iCs/>
        </w:rPr>
        <w:t xml:space="preserve"> </w:t>
      </w:r>
      <w:r w:rsidR="00D201EF" w:rsidRPr="00AF1481">
        <w:rPr>
          <w:iCs/>
        </w:rPr>
        <w:t>the</w:t>
      </w:r>
      <w:r w:rsidR="000C4685" w:rsidRPr="00AF1481">
        <w:rPr>
          <w:iCs/>
        </w:rPr>
        <w:t xml:space="preserve"> difference</w:t>
      </w:r>
      <w:r w:rsidR="00BA6274" w:rsidRPr="00AF1481">
        <w:rPr>
          <w:iCs/>
        </w:rPr>
        <w:t xml:space="preserve">s may suggest </w:t>
      </w:r>
      <w:r w:rsidR="00CC3994" w:rsidRPr="00AF1481">
        <w:rPr>
          <w:iCs/>
        </w:rPr>
        <w:t>a</w:t>
      </w:r>
      <w:r w:rsidR="00D201EF" w:rsidRPr="00AF1481">
        <w:rPr>
          <w:iCs/>
        </w:rPr>
        <w:t xml:space="preserve"> trend for increasing </w:t>
      </w:r>
      <w:r w:rsidR="00BA6274" w:rsidRPr="00AF1481">
        <w:rPr>
          <w:iCs/>
        </w:rPr>
        <w:t xml:space="preserve">disparity </w:t>
      </w:r>
      <w:r w:rsidR="000C4685" w:rsidRPr="00AF1481">
        <w:rPr>
          <w:iCs/>
        </w:rPr>
        <w:t>between the 8q16 and 2q8 group</w:t>
      </w:r>
      <w:r w:rsidR="00BA6274" w:rsidRPr="00AF1481">
        <w:rPr>
          <w:iCs/>
        </w:rPr>
        <w:t xml:space="preserve"> outcom</w:t>
      </w:r>
      <w:r w:rsidR="002F0653" w:rsidRPr="00AF1481">
        <w:rPr>
          <w:iCs/>
        </w:rPr>
        <w:t>e</w:t>
      </w:r>
      <w:r w:rsidR="00BA6274" w:rsidRPr="00AF1481">
        <w:rPr>
          <w:iCs/>
        </w:rPr>
        <w:t>s</w:t>
      </w:r>
      <w:r w:rsidR="000C4685" w:rsidRPr="00AF1481">
        <w:rPr>
          <w:iCs/>
        </w:rPr>
        <w:t xml:space="preserve"> over time</w:t>
      </w:r>
      <w:r w:rsidR="00BA6274" w:rsidRPr="00AF1481">
        <w:rPr>
          <w:iCs/>
        </w:rPr>
        <w:t xml:space="preserve">. Whether those differences </w:t>
      </w:r>
      <w:r w:rsidR="00D201EF" w:rsidRPr="00AF1481">
        <w:rPr>
          <w:iCs/>
        </w:rPr>
        <w:t xml:space="preserve">may </w:t>
      </w:r>
      <w:r w:rsidR="00BA6274" w:rsidRPr="00AF1481">
        <w:rPr>
          <w:iCs/>
        </w:rPr>
        <w:t xml:space="preserve">eventually become </w:t>
      </w:r>
      <w:r w:rsidR="00D201EF" w:rsidRPr="00AF1481">
        <w:rPr>
          <w:iCs/>
        </w:rPr>
        <w:t>clinically meaningful</w:t>
      </w:r>
      <w:r w:rsidR="00BA6274" w:rsidRPr="00AF1481">
        <w:rPr>
          <w:iCs/>
        </w:rPr>
        <w:t>, and their applicability to Australian practice,</w:t>
      </w:r>
      <w:r w:rsidR="00D201EF" w:rsidRPr="00AF1481">
        <w:rPr>
          <w:iCs/>
        </w:rPr>
        <w:t xml:space="preserve"> </w:t>
      </w:r>
      <w:r w:rsidR="00BA6274" w:rsidRPr="00AF1481">
        <w:rPr>
          <w:iCs/>
        </w:rPr>
        <w:t xml:space="preserve">is tempered by the more frequent T&amp;E dosing schedule for aflibercept 2 mg (8 weekly in PHOTON compared with </w:t>
      </w:r>
      <w:r w:rsidR="00C74119" w:rsidRPr="00AF1481">
        <w:rPr>
          <w:iCs/>
        </w:rPr>
        <w:t>gradually increased treatment intervals</w:t>
      </w:r>
      <w:r w:rsidR="00BA6274" w:rsidRPr="00AF1481">
        <w:rPr>
          <w:iCs/>
        </w:rPr>
        <w:t xml:space="preserve"> in </w:t>
      </w:r>
      <w:r w:rsidR="00C74119" w:rsidRPr="00AF1481">
        <w:rPr>
          <w:iCs/>
        </w:rPr>
        <w:t xml:space="preserve">clinical </w:t>
      </w:r>
      <w:r w:rsidR="00BA6274" w:rsidRPr="00AF1481">
        <w:rPr>
          <w:iCs/>
        </w:rPr>
        <w:t>practice) and less frequent dosing schedule for aflibercept 8 mg</w:t>
      </w:r>
      <w:r w:rsidR="008B0E90" w:rsidRPr="00AF1481">
        <w:rPr>
          <w:iCs/>
        </w:rPr>
        <w:t xml:space="preserve"> in </w:t>
      </w:r>
      <w:r w:rsidR="00DD72E2" w:rsidRPr="00AF1481">
        <w:rPr>
          <w:iCs/>
        </w:rPr>
        <w:t>Y</w:t>
      </w:r>
      <w:r w:rsidR="008B0E90" w:rsidRPr="00AF1481">
        <w:rPr>
          <w:iCs/>
        </w:rPr>
        <w:t>ear 2</w:t>
      </w:r>
      <w:r w:rsidR="00BA6274" w:rsidRPr="00AF1481">
        <w:rPr>
          <w:iCs/>
        </w:rPr>
        <w:t xml:space="preserve"> (24 weekly in PHOTON compared with up to </w:t>
      </w:r>
      <w:r w:rsidR="006B1012" w:rsidRPr="00AF1481">
        <w:rPr>
          <w:iCs/>
        </w:rPr>
        <w:t xml:space="preserve">16 </w:t>
      </w:r>
      <w:r w:rsidR="00BA6274" w:rsidRPr="00AF1481">
        <w:rPr>
          <w:iCs/>
        </w:rPr>
        <w:t xml:space="preserve">weekly in the </w:t>
      </w:r>
      <w:r w:rsidR="006B1012" w:rsidRPr="00AF1481">
        <w:rPr>
          <w:iCs/>
        </w:rPr>
        <w:t xml:space="preserve">proposed </w:t>
      </w:r>
      <w:r w:rsidR="00BA6274" w:rsidRPr="00AF1481">
        <w:rPr>
          <w:iCs/>
        </w:rPr>
        <w:t>PI</w:t>
      </w:r>
      <w:r w:rsidR="006B1012" w:rsidRPr="00AF1481">
        <w:rPr>
          <w:iCs/>
        </w:rPr>
        <w:t xml:space="preserve"> provided with the TGA Delegate’s Overview</w:t>
      </w:r>
      <w:r w:rsidR="00BA6274" w:rsidRPr="00AF1481">
        <w:rPr>
          <w:iCs/>
        </w:rPr>
        <w:t>)</w:t>
      </w:r>
      <w:r w:rsidR="00914B37" w:rsidRPr="00AF1481">
        <w:rPr>
          <w:iCs/>
        </w:rPr>
        <w:t>.</w:t>
      </w:r>
    </w:p>
    <w:p w14:paraId="71EF10DC" w14:textId="70494B68" w:rsidR="00A474F6" w:rsidRPr="00AF1481" w:rsidRDefault="00A474F6" w:rsidP="00FD014B">
      <w:pPr>
        <w:pStyle w:val="In-tableHeading"/>
        <w:keepLines/>
        <w:rPr>
          <w:rStyle w:val="CommentReference"/>
          <w:rFonts w:cs="Arial"/>
          <w:b/>
          <w:bCs/>
          <w:snapToGrid w:val="0"/>
          <w:lang w:val="en-AU"/>
        </w:rPr>
      </w:pPr>
      <w:bookmarkStart w:id="55" w:name="_Ref154064768"/>
      <w:r w:rsidRPr="00AF1481">
        <w:rPr>
          <w:rStyle w:val="CommentReference"/>
          <w:b/>
          <w:bCs/>
          <w:lang w:val="en-AU"/>
        </w:rPr>
        <w:t xml:space="preserve">Table </w:t>
      </w:r>
      <w:r w:rsidRPr="00AF1481">
        <w:rPr>
          <w:rStyle w:val="CommentReference"/>
          <w:b/>
          <w:bCs/>
          <w:lang w:val="en-AU"/>
        </w:rPr>
        <w:fldChar w:fldCharType="begin"/>
      </w:r>
      <w:r w:rsidRPr="00AF1481">
        <w:rPr>
          <w:rStyle w:val="CommentReference"/>
          <w:b/>
          <w:bCs/>
          <w:lang w:val="en-AU"/>
        </w:rPr>
        <w:instrText xml:space="preserve"> SEQ Table \* ARABIC </w:instrText>
      </w:r>
      <w:r w:rsidRPr="00AF1481">
        <w:rPr>
          <w:rStyle w:val="CommentReference"/>
          <w:b/>
          <w:bCs/>
          <w:lang w:val="en-AU"/>
        </w:rPr>
        <w:fldChar w:fldCharType="separate"/>
      </w:r>
      <w:r w:rsidR="009404AF">
        <w:rPr>
          <w:rStyle w:val="CommentReference"/>
          <w:b/>
          <w:bCs/>
          <w:noProof/>
          <w:lang w:val="en-AU"/>
        </w:rPr>
        <w:t>6</w:t>
      </w:r>
      <w:r w:rsidRPr="00AF1481">
        <w:rPr>
          <w:rStyle w:val="CommentReference"/>
          <w:b/>
          <w:bCs/>
          <w:lang w:val="en-AU"/>
        </w:rPr>
        <w:fldChar w:fldCharType="end"/>
      </w:r>
      <w:bookmarkEnd w:id="55"/>
      <w:r w:rsidRPr="00AF1481">
        <w:rPr>
          <w:rStyle w:val="CommentReference"/>
          <w:b/>
          <w:bCs/>
          <w:lang w:val="en-AU"/>
        </w:rPr>
        <w:t>:</w:t>
      </w:r>
      <w:r w:rsidR="007632C5" w:rsidRPr="00AF1481">
        <w:rPr>
          <w:lang w:val="en-AU"/>
        </w:rPr>
        <w:t xml:space="preserve"> Results of secondary outcome</w:t>
      </w:r>
      <w:r w:rsidR="00434B62" w:rsidRPr="00AF1481">
        <w:rPr>
          <w:lang w:val="en-AU"/>
        </w:rPr>
        <w:t>s in PHOTON</w:t>
      </w:r>
      <w:r w:rsidR="00A56C02" w:rsidRPr="00AF1481">
        <w:rPr>
          <w:lang w:val="en-AU"/>
        </w:rPr>
        <w:t xml:space="preserve"> </w:t>
      </w:r>
      <w:r w:rsidRPr="00AF1481">
        <w:rPr>
          <w:rStyle w:val="CommentReference"/>
          <w:b/>
          <w:bCs/>
          <w:lang w:val="en-AU"/>
        </w:rPr>
        <w:t>(FAS;MMRM</w:t>
      </w:r>
      <w:r w:rsidR="00E366E4" w:rsidRPr="00AF1481">
        <w:rPr>
          <w:rStyle w:val="CommentReference"/>
          <w:b/>
          <w:bCs/>
          <w:lang w:val="en-AU"/>
        </w:rPr>
        <w:t>, LOCF</w:t>
      </w:r>
      <w:r w:rsidRPr="00AF1481">
        <w:rPr>
          <w:rStyle w:val="CommentReference"/>
          <w:b/>
          <w:bCs/>
          <w:lang w:val="en-AU"/>
        </w:rPr>
        <w:t>)</w:t>
      </w:r>
    </w:p>
    <w:tbl>
      <w:tblPr>
        <w:tblStyle w:val="TableGrid"/>
        <w:tblW w:w="5000" w:type="pct"/>
        <w:tblLayout w:type="fixed"/>
        <w:tblLook w:val="04A0" w:firstRow="1" w:lastRow="0" w:firstColumn="1" w:lastColumn="0" w:noHBand="0" w:noVBand="1"/>
      </w:tblPr>
      <w:tblGrid>
        <w:gridCol w:w="2406"/>
        <w:gridCol w:w="994"/>
        <w:gridCol w:w="1134"/>
        <w:gridCol w:w="1134"/>
        <w:gridCol w:w="1702"/>
        <w:gridCol w:w="1647"/>
      </w:tblGrid>
      <w:tr w:rsidR="00A474F6" w:rsidRPr="00AF1481" w14:paraId="54083B15" w14:textId="77777777" w:rsidTr="00A574F8">
        <w:trPr>
          <w:trHeight w:val="20"/>
          <w:tblHeader/>
        </w:trPr>
        <w:tc>
          <w:tcPr>
            <w:tcW w:w="1334" w:type="pct"/>
            <w:vMerge w:val="restart"/>
            <w:shd w:val="clear" w:color="auto" w:fill="auto"/>
          </w:tcPr>
          <w:p w14:paraId="7B66C294" w14:textId="77777777" w:rsidR="00A474F6" w:rsidRPr="00AF1481" w:rsidRDefault="00A474F6" w:rsidP="00FD014B">
            <w:pPr>
              <w:pStyle w:val="TableText0"/>
              <w:keepLines/>
              <w:jc w:val="center"/>
              <w:rPr>
                <w:b/>
                <w:bCs w:val="0"/>
              </w:rPr>
            </w:pPr>
          </w:p>
        </w:tc>
        <w:tc>
          <w:tcPr>
            <w:tcW w:w="551" w:type="pct"/>
            <w:vMerge w:val="restart"/>
            <w:shd w:val="clear" w:color="auto" w:fill="auto"/>
          </w:tcPr>
          <w:p w14:paraId="30438EF1" w14:textId="77777777" w:rsidR="00A474F6" w:rsidRPr="00AF1481" w:rsidRDefault="00A474F6" w:rsidP="00FD014B">
            <w:pPr>
              <w:pStyle w:val="TableText0"/>
              <w:keepLines/>
              <w:jc w:val="center"/>
              <w:rPr>
                <w:b/>
                <w:bCs w:val="0"/>
              </w:rPr>
            </w:pPr>
            <w:r w:rsidRPr="00AF1481">
              <w:rPr>
                <w:b/>
                <w:bCs w:val="0"/>
              </w:rPr>
              <w:t>8q12</w:t>
            </w:r>
          </w:p>
          <w:p w14:paraId="2ACF9209" w14:textId="77777777" w:rsidR="00A474F6" w:rsidRPr="00AF1481" w:rsidRDefault="00A474F6" w:rsidP="00FD014B">
            <w:pPr>
              <w:pStyle w:val="TableText0"/>
              <w:keepLines/>
              <w:jc w:val="center"/>
              <w:rPr>
                <w:b/>
                <w:bCs w:val="0"/>
              </w:rPr>
            </w:pPr>
            <w:r w:rsidRPr="00AF1481">
              <w:rPr>
                <w:b/>
                <w:bCs w:val="0"/>
              </w:rPr>
              <w:t>(N=328)</w:t>
            </w:r>
          </w:p>
        </w:tc>
        <w:tc>
          <w:tcPr>
            <w:tcW w:w="629" w:type="pct"/>
            <w:vMerge w:val="restart"/>
            <w:shd w:val="clear" w:color="auto" w:fill="auto"/>
          </w:tcPr>
          <w:p w14:paraId="78223EFB" w14:textId="77777777" w:rsidR="00A474F6" w:rsidRPr="00AF1481" w:rsidRDefault="00A474F6" w:rsidP="00FD014B">
            <w:pPr>
              <w:pStyle w:val="TableText0"/>
              <w:keepLines/>
              <w:jc w:val="center"/>
              <w:rPr>
                <w:b/>
                <w:bCs w:val="0"/>
              </w:rPr>
            </w:pPr>
            <w:r w:rsidRPr="00AF1481">
              <w:rPr>
                <w:b/>
                <w:bCs w:val="0"/>
              </w:rPr>
              <w:t>8q16</w:t>
            </w:r>
          </w:p>
          <w:p w14:paraId="54D7099C" w14:textId="77777777" w:rsidR="00A474F6" w:rsidRPr="00AF1481" w:rsidRDefault="00A474F6" w:rsidP="00FD014B">
            <w:pPr>
              <w:pStyle w:val="TableText0"/>
              <w:keepLines/>
              <w:jc w:val="center"/>
              <w:rPr>
                <w:b/>
                <w:bCs w:val="0"/>
              </w:rPr>
            </w:pPr>
            <w:r w:rsidRPr="00AF1481">
              <w:rPr>
                <w:b/>
                <w:bCs w:val="0"/>
              </w:rPr>
              <w:t>(N=163)</w:t>
            </w:r>
          </w:p>
        </w:tc>
        <w:tc>
          <w:tcPr>
            <w:tcW w:w="629" w:type="pct"/>
            <w:vMerge w:val="restart"/>
            <w:shd w:val="clear" w:color="auto" w:fill="auto"/>
          </w:tcPr>
          <w:p w14:paraId="58988B33" w14:textId="77777777" w:rsidR="00A474F6" w:rsidRPr="00AF1481" w:rsidRDefault="00A474F6" w:rsidP="00FD014B">
            <w:pPr>
              <w:pStyle w:val="TableText0"/>
              <w:keepLines/>
              <w:jc w:val="center"/>
              <w:rPr>
                <w:b/>
                <w:bCs w:val="0"/>
              </w:rPr>
            </w:pPr>
            <w:r w:rsidRPr="00AF1481">
              <w:rPr>
                <w:b/>
                <w:bCs w:val="0"/>
              </w:rPr>
              <w:t>2q8</w:t>
            </w:r>
          </w:p>
          <w:p w14:paraId="6F210216" w14:textId="77777777" w:rsidR="00A474F6" w:rsidRPr="00AF1481" w:rsidRDefault="00A474F6" w:rsidP="00FD014B">
            <w:pPr>
              <w:pStyle w:val="TableText0"/>
              <w:keepLines/>
              <w:jc w:val="center"/>
              <w:rPr>
                <w:b/>
                <w:bCs w:val="0"/>
              </w:rPr>
            </w:pPr>
            <w:r w:rsidRPr="00AF1481">
              <w:rPr>
                <w:b/>
                <w:bCs w:val="0"/>
              </w:rPr>
              <w:t>(N=167)</w:t>
            </w:r>
          </w:p>
        </w:tc>
        <w:tc>
          <w:tcPr>
            <w:tcW w:w="944" w:type="pct"/>
            <w:shd w:val="clear" w:color="auto" w:fill="auto"/>
          </w:tcPr>
          <w:p w14:paraId="6059E8AC" w14:textId="77777777" w:rsidR="00A474F6" w:rsidRPr="00AF1481" w:rsidRDefault="00A474F6" w:rsidP="00FD014B">
            <w:pPr>
              <w:pStyle w:val="TableText0"/>
              <w:keepLines/>
              <w:jc w:val="center"/>
              <w:rPr>
                <w:b/>
                <w:bCs w:val="0"/>
              </w:rPr>
            </w:pPr>
            <w:r w:rsidRPr="00AF1481">
              <w:rPr>
                <w:b/>
                <w:bCs w:val="0"/>
              </w:rPr>
              <w:t xml:space="preserve">8q12 vs </w:t>
            </w:r>
            <w:r w:rsidRPr="00AF1481">
              <w:rPr>
                <w:b/>
                <w:bCs w:val="0"/>
              </w:rPr>
              <w:br/>
              <w:t>2q8</w:t>
            </w:r>
          </w:p>
        </w:tc>
        <w:tc>
          <w:tcPr>
            <w:tcW w:w="914" w:type="pct"/>
            <w:shd w:val="clear" w:color="auto" w:fill="auto"/>
          </w:tcPr>
          <w:p w14:paraId="743FF0DD" w14:textId="77777777" w:rsidR="00A474F6" w:rsidRPr="00AF1481" w:rsidRDefault="00A474F6" w:rsidP="00FD014B">
            <w:pPr>
              <w:pStyle w:val="TableText0"/>
              <w:keepLines/>
              <w:jc w:val="center"/>
              <w:rPr>
                <w:b/>
                <w:bCs w:val="0"/>
              </w:rPr>
            </w:pPr>
            <w:r w:rsidRPr="00AF1481">
              <w:rPr>
                <w:b/>
                <w:bCs w:val="0"/>
              </w:rPr>
              <w:t xml:space="preserve">8q16 vs </w:t>
            </w:r>
            <w:r w:rsidRPr="00AF1481">
              <w:rPr>
                <w:b/>
                <w:bCs w:val="0"/>
              </w:rPr>
              <w:br/>
              <w:t>2q8</w:t>
            </w:r>
          </w:p>
        </w:tc>
      </w:tr>
      <w:tr w:rsidR="00A474F6" w:rsidRPr="00AF1481" w14:paraId="217B3D94" w14:textId="77777777" w:rsidTr="00A574F8">
        <w:trPr>
          <w:trHeight w:val="20"/>
          <w:tblHeader/>
        </w:trPr>
        <w:tc>
          <w:tcPr>
            <w:tcW w:w="1334" w:type="pct"/>
            <w:vMerge/>
            <w:shd w:val="clear" w:color="auto" w:fill="auto"/>
          </w:tcPr>
          <w:p w14:paraId="5ACF6493" w14:textId="77777777" w:rsidR="00A474F6" w:rsidRPr="00AF1481" w:rsidRDefault="00A474F6" w:rsidP="00FD014B">
            <w:pPr>
              <w:pStyle w:val="TableText0"/>
              <w:keepLines/>
              <w:jc w:val="center"/>
              <w:rPr>
                <w:b/>
                <w:bCs w:val="0"/>
              </w:rPr>
            </w:pPr>
          </w:p>
        </w:tc>
        <w:tc>
          <w:tcPr>
            <w:tcW w:w="551" w:type="pct"/>
            <w:vMerge/>
            <w:shd w:val="clear" w:color="auto" w:fill="auto"/>
          </w:tcPr>
          <w:p w14:paraId="61525456" w14:textId="77777777" w:rsidR="00A474F6" w:rsidRPr="00AF1481" w:rsidRDefault="00A474F6" w:rsidP="00FD014B">
            <w:pPr>
              <w:pStyle w:val="TableText0"/>
              <w:keepLines/>
              <w:jc w:val="center"/>
              <w:rPr>
                <w:b/>
                <w:bCs w:val="0"/>
              </w:rPr>
            </w:pPr>
          </w:p>
        </w:tc>
        <w:tc>
          <w:tcPr>
            <w:tcW w:w="629" w:type="pct"/>
            <w:vMerge/>
            <w:shd w:val="clear" w:color="auto" w:fill="auto"/>
          </w:tcPr>
          <w:p w14:paraId="2E7A4787" w14:textId="77777777" w:rsidR="00A474F6" w:rsidRPr="00AF1481" w:rsidRDefault="00A474F6" w:rsidP="00FD014B">
            <w:pPr>
              <w:pStyle w:val="TableText0"/>
              <w:keepLines/>
              <w:jc w:val="center"/>
              <w:rPr>
                <w:b/>
                <w:bCs w:val="0"/>
              </w:rPr>
            </w:pPr>
          </w:p>
        </w:tc>
        <w:tc>
          <w:tcPr>
            <w:tcW w:w="629" w:type="pct"/>
            <w:vMerge/>
            <w:shd w:val="clear" w:color="auto" w:fill="auto"/>
          </w:tcPr>
          <w:p w14:paraId="2416C92E" w14:textId="77777777" w:rsidR="00A474F6" w:rsidRPr="00AF1481" w:rsidRDefault="00A474F6" w:rsidP="00FD014B">
            <w:pPr>
              <w:pStyle w:val="TableText0"/>
              <w:keepLines/>
              <w:jc w:val="center"/>
              <w:rPr>
                <w:b/>
                <w:bCs w:val="0"/>
              </w:rPr>
            </w:pPr>
          </w:p>
        </w:tc>
        <w:tc>
          <w:tcPr>
            <w:tcW w:w="1858" w:type="pct"/>
            <w:gridSpan w:val="2"/>
            <w:shd w:val="clear" w:color="auto" w:fill="auto"/>
          </w:tcPr>
          <w:p w14:paraId="1930B9F6" w14:textId="16C89F8A" w:rsidR="00A474F6" w:rsidRPr="00AF1481" w:rsidRDefault="00A474F6" w:rsidP="00FD014B">
            <w:pPr>
              <w:pStyle w:val="TableText0"/>
              <w:keepLines/>
              <w:jc w:val="center"/>
              <w:rPr>
                <w:b/>
                <w:bCs w:val="0"/>
                <w:vertAlign w:val="superscript"/>
              </w:rPr>
            </w:pPr>
            <w:r w:rsidRPr="00AF1481">
              <w:rPr>
                <w:b/>
                <w:bCs w:val="0"/>
              </w:rPr>
              <w:t>Treatment difference (95% CI)</w:t>
            </w:r>
          </w:p>
          <w:p w14:paraId="7D5ADA72" w14:textId="6CE1C4B3" w:rsidR="00A474F6" w:rsidRPr="00AF1481" w:rsidRDefault="00FC681B" w:rsidP="00FD014B">
            <w:pPr>
              <w:pStyle w:val="TableText0"/>
              <w:keepLines/>
              <w:jc w:val="center"/>
              <w:rPr>
                <w:b/>
                <w:bCs w:val="0"/>
                <w:vertAlign w:val="superscript"/>
              </w:rPr>
            </w:pPr>
            <w:r w:rsidRPr="00AF1481">
              <w:rPr>
                <w:b/>
                <w:bCs w:val="0"/>
              </w:rPr>
              <w:t xml:space="preserve">Superiority </w:t>
            </w:r>
            <w:r w:rsidR="00A474F6" w:rsidRPr="00AF1481">
              <w:rPr>
                <w:b/>
                <w:bCs w:val="0"/>
              </w:rPr>
              <w:t>p-values</w:t>
            </w:r>
            <w:r w:rsidR="0057160C" w:rsidRPr="00AF1481">
              <w:rPr>
                <w:b/>
                <w:bCs w:val="0"/>
                <w:vertAlign w:val="superscript"/>
              </w:rPr>
              <w:t>c</w:t>
            </w:r>
          </w:p>
        </w:tc>
      </w:tr>
      <w:tr w:rsidR="00E366E4" w:rsidRPr="00AF1481" w14:paraId="1B1C6331" w14:textId="77777777" w:rsidTr="00E366E4">
        <w:trPr>
          <w:trHeight w:val="20"/>
        </w:trPr>
        <w:tc>
          <w:tcPr>
            <w:tcW w:w="5000" w:type="pct"/>
            <w:gridSpan w:val="6"/>
            <w:shd w:val="clear" w:color="auto" w:fill="auto"/>
          </w:tcPr>
          <w:p w14:paraId="6F729DCB" w14:textId="4D105AB8" w:rsidR="00E366E4" w:rsidRPr="00AF1481" w:rsidRDefault="00E366E4" w:rsidP="00FD014B">
            <w:pPr>
              <w:pStyle w:val="TableText0"/>
              <w:keepLines/>
              <w:rPr>
                <w:b/>
                <w:bCs w:val="0"/>
              </w:rPr>
            </w:pPr>
            <w:r w:rsidRPr="00AF1481">
              <w:rPr>
                <w:b/>
                <w:bCs w:val="0"/>
              </w:rPr>
              <w:t>Proportion of patients gaining ≥ 15 letters in BCVA from baseline, n/N (%)</w:t>
            </w:r>
            <w:r w:rsidRPr="00AF1481">
              <w:rPr>
                <w:b/>
                <w:bCs w:val="0"/>
                <w:vertAlign w:val="superscript"/>
              </w:rPr>
              <w:t>a</w:t>
            </w:r>
          </w:p>
        </w:tc>
      </w:tr>
      <w:tr w:rsidR="00E366E4" w:rsidRPr="00AF1481" w14:paraId="713C2EE6" w14:textId="77777777" w:rsidTr="00A574F8">
        <w:trPr>
          <w:trHeight w:val="20"/>
        </w:trPr>
        <w:tc>
          <w:tcPr>
            <w:tcW w:w="1334" w:type="pct"/>
            <w:shd w:val="clear" w:color="auto" w:fill="auto"/>
          </w:tcPr>
          <w:p w14:paraId="75A183B2" w14:textId="5B7C3715" w:rsidR="00E366E4" w:rsidRPr="00AF1481" w:rsidRDefault="00E366E4" w:rsidP="00FD014B">
            <w:pPr>
              <w:pStyle w:val="TableText0"/>
              <w:keepLines/>
            </w:pPr>
          </w:p>
        </w:tc>
        <w:tc>
          <w:tcPr>
            <w:tcW w:w="551" w:type="pct"/>
            <w:shd w:val="clear" w:color="auto" w:fill="auto"/>
          </w:tcPr>
          <w:p w14:paraId="50463840" w14:textId="4F8FAFB3" w:rsidR="00E366E4" w:rsidRPr="00AF1481" w:rsidRDefault="00E366E4" w:rsidP="00FD014B">
            <w:pPr>
              <w:pStyle w:val="TableText0"/>
              <w:keepLines/>
              <w:jc w:val="center"/>
            </w:pPr>
          </w:p>
        </w:tc>
        <w:tc>
          <w:tcPr>
            <w:tcW w:w="629" w:type="pct"/>
            <w:shd w:val="clear" w:color="auto" w:fill="auto"/>
          </w:tcPr>
          <w:p w14:paraId="30E8E15E" w14:textId="781DEA54" w:rsidR="00E366E4" w:rsidRPr="00AF1481" w:rsidRDefault="00E366E4" w:rsidP="00FD014B">
            <w:pPr>
              <w:pStyle w:val="TableText0"/>
              <w:keepLines/>
              <w:jc w:val="center"/>
            </w:pPr>
          </w:p>
        </w:tc>
        <w:tc>
          <w:tcPr>
            <w:tcW w:w="629" w:type="pct"/>
            <w:shd w:val="clear" w:color="auto" w:fill="auto"/>
          </w:tcPr>
          <w:p w14:paraId="711A9F20" w14:textId="6702A50E" w:rsidR="00E366E4" w:rsidRPr="00AF1481" w:rsidRDefault="00E366E4" w:rsidP="00FD014B">
            <w:pPr>
              <w:pStyle w:val="TableText0"/>
              <w:keepLines/>
              <w:jc w:val="center"/>
            </w:pPr>
          </w:p>
        </w:tc>
        <w:tc>
          <w:tcPr>
            <w:tcW w:w="944" w:type="pct"/>
            <w:shd w:val="clear" w:color="auto" w:fill="auto"/>
          </w:tcPr>
          <w:p w14:paraId="25576F82" w14:textId="475A5DF4" w:rsidR="00E366E4" w:rsidRPr="00AF1481" w:rsidRDefault="00E366E4" w:rsidP="00FD014B">
            <w:pPr>
              <w:pStyle w:val="TableText0"/>
              <w:keepLines/>
              <w:jc w:val="center"/>
            </w:pPr>
          </w:p>
        </w:tc>
        <w:tc>
          <w:tcPr>
            <w:tcW w:w="914" w:type="pct"/>
            <w:shd w:val="clear" w:color="auto" w:fill="auto"/>
          </w:tcPr>
          <w:p w14:paraId="265DA2D3" w14:textId="53D42DB4" w:rsidR="00E366E4" w:rsidRPr="00AF1481" w:rsidRDefault="00E366E4" w:rsidP="00FD014B">
            <w:pPr>
              <w:pStyle w:val="TableText0"/>
              <w:keepLines/>
              <w:jc w:val="center"/>
            </w:pPr>
          </w:p>
        </w:tc>
      </w:tr>
      <w:tr w:rsidR="005F2056" w:rsidRPr="00AF1481" w14:paraId="2C3DD1E1" w14:textId="77777777" w:rsidTr="00A574F8">
        <w:trPr>
          <w:trHeight w:val="20"/>
        </w:trPr>
        <w:tc>
          <w:tcPr>
            <w:tcW w:w="1334" w:type="pct"/>
            <w:shd w:val="clear" w:color="auto" w:fill="auto"/>
          </w:tcPr>
          <w:p w14:paraId="6F5F2255" w14:textId="5EDBA137" w:rsidR="005F2056" w:rsidRPr="00AF1481" w:rsidRDefault="005F2056" w:rsidP="00FD014B">
            <w:pPr>
              <w:pStyle w:val="TableText0"/>
              <w:keepLines/>
            </w:pPr>
            <w:r w:rsidRPr="00AF1481">
              <w:t>Week 48</w:t>
            </w:r>
          </w:p>
        </w:tc>
        <w:tc>
          <w:tcPr>
            <w:tcW w:w="551" w:type="pct"/>
            <w:shd w:val="clear" w:color="auto" w:fill="auto"/>
          </w:tcPr>
          <w:p w14:paraId="2FB4FE35" w14:textId="48204A44" w:rsidR="005F2056" w:rsidRPr="00AF1481" w:rsidRDefault="005F2056" w:rsidP="00FD014B">
            <w:pPr>
              <w:pStyle w:val="TableText0"/>
              <w:keepLines/>
              <w:jc w:val="center"/>
            </w:pPr>
            <w:r w:rsidRPr="00AF1481">
              <w:t>61/326 (18.7%)</w:t>
            </w:r>
          </w:p>
        </w:tc>
        <w:tc>
          <w:tcPr>
            <w:tcW w:w="629" w:type="pct"/>
            <w:shd w:val="clear" w:color="auto" w:fill="auto"/>
          </w:tcPr>
          <w:p w14:paraId="4D88FD50" w14:textId="19CDF144" w:rsidR="005F2056" w:rsidRPr="00AF1481" w:rsidRDefault="005F2056" w:rsidP="00FD014B">
            <w:pPr>
              <w:pStyle w:val="TableText0"/>
              <w:keepLines/>
              <w:jc w:val="center"/>
            </w:pPr>
            <w:r w:rsidRPr="00AF1481">
              <w:t>27/163 (16.6%)</w:t>
            </w:r>
          </w:p>
        </w:tc>
        <w:tc>
          <w:tcPr>
            <w:tcW w:w="629" w:type="pct"/>
            <w:shd w:val="clear" w:color="auto" w:fill="auto"/>
          </w:tcPr>
          <w:p w14:paraId="1B6AB989" w14:textId="0CAD7A06" w:rsidR="005F2056" w:rsidRPr="00AF1481" w:rsidRDefault="005F2056" w:rsidP="00FD014B">
            <w:pPr>
              <w:pStyle w:val="TableText0"/>
              <w:keepLines/>
              <w:jc w:val="center"/>
            </w:pPr>
            <w:r w:rsidRPr="00AF1481">
              <w:t>38/165 (23.0%)</w:t>
            </w:r>
          </w:p>
        </w:tc>
        <w:tc>
          <w:tcPr>
            <w:tcW w:w="944" w:type="pct"/>
            <w:shd w:val="clear" w:color="auto" w:fill="auto"/>
          </w:tcPr>
          <w:p w14:paraId="26036053" w14:textId="77777777" w:rsidR="00A05AA6" w:rsidRDefault="005F2056" w:rsidP="00FD014B">
            <w:pPr>
              <w:pStyle w:val="TableText0"/>
              <w:keepLines/>
              <w:jc w:val="center"/>
            </w:pPr>
            <w:r w:rsidRPr="00AF1481">
              <w:t>–4.64</w:t>
            </w:r>
            <w:r w:rsidR="00F7248A" w:rsidRPr="00AF1481">
              <w:br/>
            </w:r>
            <w:r w:rsidRPr="00AF1481">
              <w:t>(–12.30, 3.02)</w:t>
            </w:r>
          </w:p>
          <w:p w14:paraId="685C7D95" w14:textId="6A003BCF" w:rsidR="005F2056" w:rsidRPr="00AF1481" w:rsidRDefault="005F2056" w:rsidP="00FD014B">
            <w:pPr>
              <w:pStyle w:val="TableText0"/>
              <w:keepLines/>
              <w:jc w:val="center"/>
            </w:pPr>
            <w:r w:rsidRPr="00AF1481">
              <w:t>0.2231</w:t>
            </w:r>
          </w:p>
        </w:tc>
        <w:tc>
          <w:tcPr>
            <w:tcW w:w="914" w:type="pct"/>
            <w:shd w:val="clear" w:color="auto" w:fill="auto"/>
          </w:tcPr>
          <w:p w14:paraId="259D220D" w14:textId="77777777" w:rsidR="00A05AA6" w:rsidRDefault="005F2056" w:rsidP="00FD014B">
            <w:pPr>
              <w:pStyle w:val="TableText0"/>
              <w:keepLines/>
              <w:jc w:val="center"/>
            </w:pPr>
            <w:r w:rsidRPr="00AF1481">
              <w:t>–7.14</w:t>
            </w:r>
            <w:r w:rsidR="00F7248A" w:rsidRPr="00AF1481">
              <w:br/>
            </w:r>
            <w:r w:rsidRPr="00AF1481">
              <w:t>(–15.45, 1.17)</w:t>
            </w:r>
          </w:p>
          <w:p w14:paraId="3F4A9B8A" w14:textId="6A9307BF" w:rsidR="005F2056" w:rsidRPr="00AF1481" w:rsidRDefault="005F2056" w:rsidP="00FD014B">
            <w:pPr>
              <w:pStyle w:val="TableText0"/>
              <w:keepLines/>
              <w:jc w:val="center"/>
              <w:rPr>
                <w:b/>
                <w:bCs w:val="0"/>
              </w:rPr>
            </w:pPr>
            <w:r w:rsidRPr="00AF1481">
              <w:t>0.0960</w:t>
            </w:r>
          </w:p>
        </w:tc>
      </w:tr>
      <w:tr w:rsidR="005F2056" w:rsidRPr="00AF1481" w14:paraId="2D0C3BD5" w14:textId="77777777" w:rsidTr="00A574F8">
        <w:trPr>
          <w:trHeight w:val="20"/>
        </w:trPr>
        <w:tc>
          <w:tcPr>
            <w:tcW w:w="1334" w:type="pct"/>
            <w:shd w:val="clear" w:color="auto" w:fill="auto"/>
          </w:tcPr>
          <w:p w14:paraId="2E6D9CC5" w14:textId="6DCE2895" w:rsidR="005F2056" w:rsidRPr="00AF1481" w:rsidRDefault="005F2056" w:rsidP="00FD014B">
            <w:pPr>
              <w:pStyle w:val="TableText0"/>
              <w:keepLines/>
            </w:pPr>
            <w:r w:rsidRPr="00AF1481">
              <w:t>Week 60</w:t>
            </w:r>
          </w:p>
        </w:tc>
        <w:tc>
          <w:tcPr>
            <w:tcW w:w="551" w:type="pct"/>
            <w:shd w:val="clear" w:color="auto" w:fill="auto"/>
          </w:tcPr>
          <w:p w14:paraId="3E2403C3" w14:textId="4FF4D41C" w:rsidR="005F2056" w:rsidRPr="00AF1481" w:rsidRDefault="005F2056" w:rsidP="00FD014B">
            <w:pPr>
              <w:pStyle w:val="TableText0"/>
              <w:keepLines/>
              <w:jc w:val="center"/>
            </w:pPr>
            <w:r w:rsidRPr="00AF1481">
              <w:t>70/326 (21.5%)</w:t>
            </w:r>
          </w:p>
        </w:tc>
        <w:tc>
          <w:tcPr>
            <w:tcW w:w="629" w:type="pct"/>
            <w:shd w:val="clear" w:color="auto" w:fill="auto"/>
          </w:tcPr>
          <w:p w14:paraId="06B133A6" w14:textId="7E7A1AF2" w:rsidR="005F2056" w:rsidRPr="00AF1481" w:rsidRDefault="005F2056" w:rsidP="00FD014B">
            <w:pPr>
              <w:pStyle w:val="TableText0"/>
              <w:keepLines/>
              <w:jc w:val="center"/>
            </w:pPr>
            <w:r w:rsidRPr="00AF1481">
              <w:t>26/163 (16.0%)</w:t>
            </w:r>
          </w:p>
        </w:tc>
        <w:tc>
          <w:tcPr>
            <w:tcW w:w="629" w:type="pct"/>
            <w:shd w:val="clear" w:color="auto" w:fill="auto"/>
          </w:tcPr>
          <w:p w14:paraId="571718AE" w14:textId="2D68C1E2" w:rsidR="005F2056" w:rsidRPr="00AF1481" w:rsidRDefault="005F2056" w:rsidP="00FD014B">
            <w:pPr>
              <w:pStyle w:val="TableText0"/>
              <w:keepLines/>
              <w:jc w:val="center"/>
            </w:pPr>
            <w:r w:rsidRPr="00AF1481">
              <w:t>43/165 (26.1%)</w:t>
            </w:r>
          </w:p>
        </w:tc>
        <w:tc>
          <w:tcPr>
            <w:tcW w:w="944" w:type="pct"/>
            <w:shd w:val="clear" w:color="auto" w:fill="auto"/>
          </w:tcPr>
          <w:p w14:paraId="04FA50E7" w14:textId="77777777" w:rsidR="00A05AA6" w:rsidRDefault="005F2056" w:rsidP="00FD014B">
            <w:pPr>
              <w:pStyle w:val="TableText0"/>
              <w:keepLines/>
              <w:jc w:val="center"/>
            </w:pPr>
            <w:r w:rsidRPr="00AF1481">
              <w:t>–5.01</w:t>
            </w:r>
            <w:r w:rsidR="00F7248A" w:rsidRPr="00AF1481">
              <w:br/>
            </w:r>
            <w:r w:rsidRPr="00AF1481">
              <w:t>(–13.04, 3.02)</w:t>
            </w:r>
          </w:p>
          <w:p w14:paraId="2C1ABFF3" w14:textId="18300346" w:rsidR="005F2056" w:rsidRPr="00AF1481" w:rsidRDefault="005F2056" w:rsidP="00FD014B">
            <w:pPr>
              <w:pStyle w:val="TableText0"/>
              <w:keepLines/>
              <w:jc w:val="center"/>
            </w:pPr>
            <w:r w:rsidRPr="00AF1481">
              <w:t>0.2112</w:t>
            </w:r>
          </w:p>
        </w:tc>
        <w:tc>
          <w:tcPr>
            <w:tcW w:w="914" w:type="pct"/>
            <w:shd w:val="clear" w:color="auto" w:fill="auto"/>
          </w:tcPr>
          <w:p w14:paraId="6486ECE8" w14:textId="77777777" w:rsidR="00A05AA6" w:rsidRDefault="005F2056" w:rsidP="00FD014B">
            <w:pPr>
              <w:pStyle w:val="TableText0"/>
              <w:keepLines/>
              <w:jc w:val="center"/>
              <w:rPr>
                <w:b/>
                <w:bCs w:val="0"/>
              </w:rPr>
            </w:pPr>
            <w:r w:rsidRPr="00AF1481">
              <w:rPr>
                <w:b/>
                <w:bCs w:val="0"/>
              </w:rPr>
              <w:t>–10.78</w:t>
            </w:r>
            <w:r w:rsidR="00F7248A" w:rsidRPr="00AF1481">
              <w:rPr>
                <w:b/>
                <w:bCs w:val="0"/>
              </w:rPr>
              <w:br/>
            </w:r>
            <w:r w:rsidRPr="00AF1481">
              <w:rPr>
                <w:b/>
                <w:bCs w:val="0"/>
              </w:rPr>
              <w:t>(–19.27, –2.29)</w:t>
            </w:r>
          </w:p>
          <w:p w14:paraId="1942A6F8" w14:textId="11FE5170" w:rsidR="005F2056" w:rsidRPr="00AF1481" w:rsidRDefault="005F2056" w:rsidP="00FD014B">
            <w:pPr>
              <w:pStyle w:val="TableText0"/>
              <w:keepLines/>
              <w:jc w:val="center"/>
              <w:rPr>
                <w:b/>
                <w:bCs w:val="0"/>
              </w:rPr>
            </w:pPr>
            <w:r w:rsidRPr="00AF1481">
              <w:rPr>
                <w:b/>
                <w:bCs w:val="0"/>
              </w:rPr>
              <w:t>0.0143</w:t>
            </w:r>
          </w:p>
        </w:tc>
      </w:tr>
      <w:tr w:rsidR="005F2056" w:rsidRPr="00AF1481" w14:paraId="7A6F92C2" w14:textId="77777777" w:rsidTr="00E366E4">
        <w:trPr>
          <w:trHeight w:val="20"/>
        </w:trPr>
        <w:tc>
          <w:tcPr>
            <w:tcW w:w="5000" w:type="pct"/>
            <w:gridSpan w:val="6"/>
            <w:shd w:val="clear" w:color="auto" w:fill="auto"/>
          </w:tcPr>
          <w:p w14:paraId="08F00153" w14:textId="106C1E6E" w:rsidR="005F2056" w:rsidRPr="00AF1481" w:rsidRDefault="005F2056" w:rsidP="00FD014B">
            <w:pPr>
              <w:pStyle w:val="TableText0"/>
              <w:keepLines/>
            </w:pPr>
            <w:r w:rsidRPr="00AF1481">
              <w:rPr>
                <w:b/>
                <w:bCs w:val="0"/>
              </w:rPr>
              <w:t xml:space="preserve">Mean change from baseline in CRT, </w:t>
            </w:r>
            <w:r w:rsidRPr="00AF1481">
              <w:rPr>
                <w:rFonts w:ascii="Calibri" w:hAnsi="Calibri" w:cs="Calibri"/>
                <w:b/>
                <w:bCs w:val="0"/>
              </w:rPr>
              <w:t>µ</w:t>
            </w:r>
            <w:r w:rsidRPr="00AF1481">
              <w:rPr>
                <w:b/>
                <w:bCs w:val="0"/>
              </w:rPr>
              <w:t>m</w:t>
            </w:r>
            <w:r w:rsidRPr="00AF1481">
              <w:rPr>
                <w:b/>
                <w:bCs w:val="0"/>
                <w:vertAlign w:val="superscript"/>
              </w:rPr>
              <w:t>b</w:t>
            </w:r>
          </w:p>
        </w:tc>
      </w:tr>
      <w:tr w:rsidR="005F2056" w:rsidRPr="00AF1481" w14:paraId="46F35219" w14:textId="77777777" w:rsidTr="00A574F8">
        <w:trPr>
          <w:trHeight w:val="20"/>
        </w:trPr>
        <w:tc>
          <w:tcPr>
            <w:tcW w:w="1334" w:type="pct"/>
            <w:shd w:val="clear" w:color="auto" w:fill="auto"/>
          </w:tcPr>
          <w:p w14:paraId="7BDF25DF" w14:textId="37A5B323" w:rsidR="005F2056" w:rsidRPr="00AF1481" w:rsidRDefault="005F2056" w:rsidP="00FD014B">
            <w:pPr>
              <w:pStyle w:val="TableText0"/>
              <w:keepLines/>
            </w:pPr>
            <w:r w:rsidRPr="00AF1481">
              <w:t>Mean baseline CRT (microns)</w:t>
            </w:r>
          </w:p>
        </w:tc>
        <w:tc>
          <w:tcPr>
            <w:tcW w:w="551" w:type="pct"/>
            <w:shd w:val="clear" w:color="auto" w:fill="auto"/>
          </w:tcPr>
          <w:p w14:paraId="3ABCDB77" w14:textId="6AD620C0" w:rsidR="005F2056" w:rsidRPr="00AF1481" w:rsidRDefault="005F2056" w:rsidP="00FD014B">
            <w:pPr>
              <w:pStyle w:val="TableText0"/>
              <w:keepLines/>
              <w:jc w:val="center"/>
            </w:pPr>
            <w:r w:rsidRPr="00AF1481">
              <w:t>449.15</w:t>
            </w:r>
          </w:p>
        </w:tc>
        <w:tc>
          <w:tcPr>
            <w:tcW w:w="629" w:type="pct"/>
            <w:shd w:val="clear" w:color="auto" w:fill="auto"/>
          </w:tcPr>
          <w:p w14:paraId="7A3C3D04" w14:textId="33B35A31" w:rsidR="005F2056" w:rsidRPr="00AF1481" w:rsidRDefault="005F2056" w:rsidP="00FD014B">
            <w:pPr>
              <w:pStyle w:val="TableText0"/>
              <w:keepLines/>
              <w:jc w:val="center"/>
            </w:pPr>
            <w:r w:rsidRPr="00AF1481">
              <w:t>460.32</w:t>
            </w:r>
          </w:p>
        </w:tc>
        <w:tc>
          <w:tcPr>
            <w:tcW w:w="629" w:type="pct"/>
            <w:shd w:val="clear" w:color="auto" w:fill="auto"/>
          </w:tcPr>
          <w:p w14:paraId="73FDCC05" w14:textId="0297C7C5" w:rsidR="005F2056" w:rsidRPr="00AF1481" w:rsidRDefault="005F2056" w:rsidP="00FD014B">
            <w:pPr>
              <w:pStyle w:val="TableText0"/>
              <w:keepLines/>
              <w:jc w:val="center"/>
            </w:pPr>
            <w:r w:rsidRPr="00AF1481">
              <w:t>457.25</w:t>
            </w:r>
          </w:p>
        </w:tc>
        <w:tc>
          <w:tcPr>
            <w:tcW w:w="944" w:type="pct"/>
            <w:shd w:val="clear" w:color="auto" w:fill="auto"/>
          </w:tcPr>
          <w:p w14:paraId="6A88C889" w14:textId="16EE2703" w:rsidR="005F2056" w:rsidRPr="00AF1481" w:rsidRDefault="005F2056" w:rsidP="00FD014B">
            <w:pPr>
              <w:pStyle w:val="TableText0"/>
              <w:keepLines/>
              <w:jc w:val="center"/>
            </w:pPr>
          </w:p>
        </w:tc>
        <w:tc>
          <w:tcPr>
            <w:tcW w:w="914" w:type="pct"/>
            <w:shd w:val="clear" w:color="auto" w:fill="auto"/>
          </w:tcPr>
          <w:p w14:paraId="1C821F31" w14:textId="11DC2D5D" w:rsidR="005F2056" w:rsidRPr="00AF1481" w:rsidRDefault="005F2056" w:rsidP="00FD014B">
            <w:pPr>
              <w:pStyle w:val="TableText0"/>
              <w:keepLines/>
              <w:jc w:val="center"/>
            </w:pPr>
          </w:p>
        </w:tc>
      </w:tr>
      <w:tr w:rsidR="004821C6" w:rsidRPr="00AF1481" w14:paraId="60C15E78" w14:textId="77777777" w:rsidTr="00A574F8">
        <w:trPr>
          <w:trHeight w:val="20"/>
        </w:trPr>
        <w:tc>
          <w:tcPr>
            <w:tcW w:w="1334" w:type="pct"/>
            <w:shd w:val="clear" w:color="auto" w:fill="auto"/>
          </w:tcPr>
          <w:p w14:paraId="02473C9A" w14:textId="0528B1DB" w:rsidR="004821C6" w:rsidRPr="00AF1481" w:rsidRDefault="004821C6" w:rsidP="00FD014B">
            <w:pPr>
              <w:pStyle w:val="TableText0"/>
              <w:keepLines/>
            </w:pPr>
            <w:r w:rsidRPr="00AF1481">
              <w:t>Mean (SD) Week 48</w:t>
            </w:r>
          </w:p>
        </w:tc>
        <w:tc>
          <w:tcPr>
            <w:tcW w:w="551" w:type="pct"/>
            <w:shd w:val="clear" w:color="auto" w:fill="auto"/>
          </w:tcPr>
          <w:p w14:paraId="01EC88EF" w14:textId="053BD33D" w:rsidR="004821C6" w:rsidRPr="00AF1481" w:rsidRDefault="004821C6" w:rsidP="00FD014B">
            <w:pPr>
              <w:pStyle w:val="TableText0"/>
              <w:keepLines/>
              <w:jc w:val="center"/>
            </w:pPr>
            <w:r w:rsidRPr="00AF1481">
              <w:t>–171.65 (141.52)</w:t>
            </w:r>
          </w:p>
        </w:tc>
        <w:tc>
          <w:tcPr>
            <w:tcW w:w="629" w:type="pct"/>
            <w:shd w:val="clear" w:color="auto" w:fill="auto"/>
          </w:tcPr>
          <w:p w14:paraId="6A4DFA03" w14:textId="632372DF" w:rsidR="004821C6" w:rsidRPr="00AF1481" w:rsidRDefault="004821C6" w:rsidP="00FD014B">
            <w:pPr>
              <w:pStyle w:val="TableText0"/>
              <w:keepLines/>
              <w:jc w:val="center"/>
            </w:pPr>
            <w:r w:rsidRPr="00AF1481">
              <w:t>–148.30 (133.20)</w:t>
            </w:r>
          </w:p>
        </w:tc>
        <w:tc>
          <w:tcPr>
            <w:tcW w:w="629" w:type="pct"/>
            <w:shd w:val="clear" w:color="auto" w:fill="auto"/>
          </w:tcPr>
          <w:p w14:paraId="4C7D36FA" w14:textId="61FAB930" w:rsidR="004821C6" w:rsidRPr="00AF1481" w:rsidRDefault="004821C6" w:rsidP="00FD014B">
            <w:pPr>
              <w:pStyle w:val="TableText0"/>
              <w:keepLines/>
              <w:jc w:val="center"/>
            </w:pPr>
            <w:r w:rsidRPr="00AF1481">
              <w:t>–165.31 (140.22)</w:t>
            </w:r>
          </w:p>
        </w:tc>
        <w:tc>
          <w:tcPr>
            <w:tcW w:w="944" w:type="pct"/>
            <w:vMerge w:val="restart"/>
            <w:shd w:val="clear" w:color="auto" w:fill="auto"/>
          </w:tcPr>
          <w:p w14:paraId="0A1D063E" w14:textId="77777777" w:rsidR="004821C6" w:rsidRPr="00AF1481" w:rsidRDefault="004821C6" w:rsidP="00FD014B">
            <w:pPr>
              <w:pStyle w:val="TableText0"/>
              <w:keepLines/>
              <w:jc w:val="center"/>
            </w:pPr>
            <w:r w:rsidRPr="00AF1481">
              <w:t>–11.92 (–30.30, 6.47)</w:t>
            </w:r>
          </w:p>
          <w:p w14:paraId="7AB2EA9C" w14:textId="16853B83" w:rsidR="004821C6" w:rsidRPr="00AF1481" w:rsidRDefault="004821C6" w:rsidP="00FD014B">
            <w:pPr>
              <w:pStyle w:val="TableText0"/>
              <w:keepLines/>
              <w:jc w:val="center"/>
            </w:pPr>
            <w:r w:rsidRPr="00AF1481">
              <w:t>0.2028</w:t>
            </w:r>
            <w:r w:rsidRPr="00AF1481">
              <w:rPr>
                <w:vertAlign w:val="superscript"/>
              </w:rPr>
              <w:t xml:space="preserve"> </w:t>
            </w:r>
          </w:p>
        </w:tc>
        <w:tc>
          <w:tcPr>
            <w:tcW w:w="914" w:type="pct"/>
            <w:vMerge w:val="restart"/>
            <w:shd w:val="clear" w:color="auto" w:fill="auto"/>
          </w:tcPr>
          <w:p w14:paraId="7192C921" w14:textId="77777777" w:rsidR="004821C6" w:rsidRPr="00AF1481" w:rsidRDefault="004821C6" w:rsidP="00FD014B">
            <w:pPr>
              <w:pStyle w:val="TableText0"/>
              <w:keepLines/>
              <w:jc w:val="center"/>
            </w:pPr>
            <w:r w:rsidRPr="00AF1481">
              <w:t>16.01 (–7.53, 39.54)</w:t>
            </w:r>
          </w:p>
          <w:p w14:paraId="3CDF620D" w14:textId="273AF997" w:rsidR="004821C6" w:rsidRPr="00AF1481" w:rsidRDefault="004821C6" w:rsidP="00FD014B">
            <w:pPr>
              <w:pStyle w:val="TableText0"/>
              <w:keepLines/>
              <w:jc w:val="center"/>
              <w:rPr>
                <w:b/>
                <w:bCs w:val="0"/>
              </w:rPr>
            </w:pPr>
            <w:r w:rsidRPr="00AF1481">
              <w:t xml:space="preserve"> 0.1817 </w:t>
            </w:r>
          </w:p>
        </w:tc>
      </w:tr>
      <w:tr w:rsidR="004821C6" w:rsidRPr="00AF1481" w14:paraId="3549BC53" w14:textId="77777777" w:rsidTr="00A574F8">
        <w:trPr>
          <w:trHeight w:val="20"/>
        </w:trPr>
        <w:tc>
          <w:tcPr>
            <w:tcW w:w="1334" w:type="pct"/>
            <w:shd w:val="clear" w:color="auto" w:fill="auto"/>
          </w:tcPr>
          <w:p w14:paraId="40FA87B4" w14:textId="6A9F6105" w:rsidR="004821C6" w:rsidRPr="00AF1481" w:rsidRDefault="004821C6" w:rsidP="00FD014B">
            <w:pPr>
              <w:pStyle w:val="TableText0"/>
              <w:keepLines/>
            </w:pPr>
            <w:r w:rsidRPr="00AF1481">
              <w:t>LS (SE) Week 48</w:t>
            </w:r>
          </w:p>
        </w:tc>
        <w:tc>
          <w:tcPr>
            <w:tcW w:w="551" w:type="pct"/>
            <w:shd w:val="clear" w:color="auto" w:fill="auto"/>
          </w:tcPr>
          <w:p w14:paraId="6634EE7D" w14:textId="7F59DCF2" w:rsidR="004821C6" w:rsidRPr="00AF1481" w:rsidRDefault="004821C6" w:rsidP="00FD014B">
            <w:pPr>
              <w:pStyle w:val="TableText0"/>
              <w:keepLines/>
              <w:jc w:val="center"/>
            </w:pPr>
            <w:r w:rsidRPr="00AF1481">
              <w:t>–176.77 (5.73)</w:t>
            </w:r>
          </w:p>
        </w:tc>
        <w:tc>
          <w:tcPr>
            <w:tcW w:w="629" w:type="pct"/>
            <w:shd w:val="clear" w:color="auto" w:fill="auto"/>
          </w:tcPr>
          <w:p w14:paraId="17AE130B" w14:textId="357E31D7" w:rsidR="004821C6" w:rsidRPr="00AF1481" w:rsidRDefault="004821C6" w:rsidP="00FD014B">
            <w:pPr>
              <w:pStyle w:val="TableText0"/>
              <w:keepLines/>
              <w:jc w:val="center"/>
            </w:pPr>
            <w:r w:rsidRPr="00AF1481">
              <w:t>–148.84 (9.45)</w:t>
            </w:r>
          </w:p>
        </w:tc>
        <w:tc>
          <w:tcPr>
            <w:tcW w:w="629" w:type="pct"/>
            <w:shd w:val="clear" w:color="auto" w:fill="auto"/>
          </w:tcPr>
          <w:p w14:paraId="0C1D5A7A" w14:textId="454ADDBF" w:rsidR="004821C6" w:rsidRPr="00AF1481" w:rsidRDefault="004821C6" w:rsidP="00FD014B">
            <w:pPr>
              <w:pStyle w:val="TableText0"/>
              <w:keepLines/>
              <w:jc w:val="center"/>
            </w:pPr>
            <w:r w:rsidRPr="00AF1481">
              <w:t>–164.85 (8.79)</w:t>
            </w:r>
          </w:p>
        </w:tc>
        <w:tc>
          <w:tcPr>
            <w:tcW w:w="944" w:type="pct"/>
            <w:vMerge/>
            <w:shd w:val="clear" w:color="auto" w:fill="auto"/>
          </w:tcPr>
          <w:p w14:paraId="5D24A6C0" w14:textId="03F9CDDC" w:rsidR="004821C6" w:rsidRPr="00AF1481" w:rsidRDefault="004821C6" w:rsidP="00FD014B">
            <w:pPr>
              <w:pStyle w:val="TableText0"/>
              <w:keepLines/>
              <w:jc w:val="center"/>
            </w:pPr>
          </w:p>
        </w:tc>
        <w:tc>
          <w:tcPr>
            <w:tcW w:w="914" w:type="pct"/>
            <w:vMerge/>
            <w:shd w:val="clear" w:color="auto" w:fill="auto"/>
          </w:tcPr>
          <w:p w14:paraId="621E08F0" w14:textId="77777777" w:rsidR="004821C6" w:rsidRPr="00AF1481" w:rsidRDefault="004821C6" w:rsidP="00FD014B">
            <w:pPr>
              <w:pStyle w:val="TableText0"/>
              <w:keepLines/>
              <w:jc w:val="center"/>
              <w:rPr>
                <w:b/>
                <w:bCs w:val="0"/>
              </w:rPr>
            </w:pPr>
          </w:p>
        </w:tc>
      </w:tr>
      <w:tr w:rsidR="004821C6" w:rsidRPr="00AF1481" w14:paraId="48679A48" w14:textId="77777777" w:rsidTr="00A574F8">
        <w:trPr>
          <w:trHeight w:val="20"/>
        </w:trPr>
        <w:tc>
          <w:tcPr>
            <w:tcW w:w="1334" w:type="pct"/>
            <w:shd w:val="clear" w:color="auto" w:fill="auto"/>
          </w:tcPr>
          <w:p w14:paraId="2B7EBDB7" w14:textId="26FB2A52" w:rsidR="004821C6" w:rsidRPr="00AF1481" w:rsidRDefault="004821C6" w:rsidP="00FD014B">
            <w:pPr>
              <w:pStyle w:val="TableText0"/>
              <w:keepLines/>
            </w:pPr>
            <w:r w:rsidRPr="00AF1481">
              <w:t>Mean (SD) Week 60</w:t>
            </w:r>
          </w:p>
        </w:tc>
        <w:tc>
          <w:tcPr>
            <w:tcW w:w="551" w:type="pct"/>
            <w:shd w:val="clear" w:color="auto" w:fill="auto"/>
          </w:tcPr>
          <w:p w14:paraId="3840CD74" w14:textId="0C935E37" w:rsidR="004821C6" w:rsidRPr="00AF1481" w:rsidRDefault="004821C6" w:rsidP="00FD014B">
            <w:pPr>
              <w:pStyle w:val="TableText0"/>
              <w:keepLines/>
              <w:jc w:val="center"/>
            </w:pPr>
            <w:r w:rsidRPr="00AF1481">
              <w:t>–176.24 (144.71)</w:t>
            </w:r>
          </w:p>
        </w:tc>
        <w:tc>
          <w:tcPr>
            <w:tcW w:w="629" w:type="pct"/>
            <w:shd w:val="clear" w:color="auto" w:fill="auto"/>
          </w:tcPr>
          <w:p w14:paraId="2916A8EB" w14:textId="0C920FF8" w:rsidR="004821C6" w:rsidRPr="00AF1481" w:rsidRDefault="004821C6" w:rsidP="00FD014B">
            <w:pPr>
              <w:pStyle w:val="TableText0"/>
              <w:keepLines/>
              <w:jc w:val="center"/>
            </w:pPr>
            <w:r w:rsidRPr="00AF1481">
              <w:t>–167.18 (127.18)</w:t>
            </w:r>
          </w:p>
        </w:tc>
        <w:tc>
          <w:tcPr>
            <w:tcW w:w="629" w:type="pct"/>
            <w:shd w:val="clear" w:color="auto" w:fill="auto"/>
          </w:tcPr>
          <w:p w14:paraId="655B07AD" w14:textId="5A7B421B" w:rsidR="004821C6" w:rsidRPr="00AF1481" w:rsidRDefault="004821C6" w:rsidP="00FD014B">
            <w:pPr>
              <w:pStyle w:val="TableText0"/>
              <w:keepLines/>
              <w:jc w:val="center"/>
            </w:pPr>
            <w:r w:rsidRPr="00AF1481">
              <w:t>–191.31 (142.00)</w:t>
            </w:r>
          </w:p>
        </w:tc>
        <w:tc>
          <w:tcPr>
            <w:tcW w:w="944" w:type="pct"/>
            <w:vMerge w:val="restart"/>
            <w:shd w:val="clear" w:color="auto" w:fill="auto"/>
          </w:tcPr>
          <w:p w14:paraId="2FFC4F63" w14:textId="77777777" w:rsidR="00A05AA6" w:rsidRDefault="004821C6" w:rsidP="00FD014B">
            <w:pPr>
              <w:pStyle w:val="TableText0"/>
              <w:keepLines/>
              <w:jc w:val="center"/>
            </w:pPr>
            <w:r w:rsidRPr="00AF1481">
              <w:t>12.21 (–3.74, 28.16)</w:t>
            </w:r>
          </w:p>
          <w:p w14:paraId="70425C8C" w14:textId="273B7B77" w:rsidR="004821C6" w:rsidRPr="00AF1481" w:rsidRDefault="004821C6" w:rsidP="00FD014B">
            <w:pPr>
              <w:pStyle w:val="TableText0"/>
              <w:keepLines/>
              <w:jc w:val="center"/>
            </w:pPr>
            <w:r w:rsidRPr="00AF1481">
              <w:t>0.1332</w:t>
            </w:r>
          </w:p>
        </w:tc>
        <w:tc>
          <w:tcPr>
            <w:tcW w:w="914" w:type="pct"/>
            <w:vMerge w:val="restart"/>
            <w:shd w:val="clear" w:color="auto" w:fill="auto"/>
          </w:tcPr>
          <w:p w14:paraId="6FF2A06F" w14:textId="77777777" w:rsidR="00A05AA6" w:rsidRDefault="004821C6" w:rsidP="00FD014B">
            <w:pPr>
              <w:pStyle w:val="TableText0"/>
              <w:keepLines/>
              <w:jc w:val="center"/>
              <w:rPr>
                <w:b/>
                <w:bCs w:val="0"/>
              </w:rPr>
            </w:pPr>
            <w:r w:rsidRPr="00AF1481">
              <w:rPr>
                <w:b/>
                <w:bCs w:val="0"/>
              </w:rPr>
              <w:t>27.90 (8.06, 47.74)</w:t>
            </w:r>
          </w:p>
          <w:p w14:paraId="3CE56BDC" w14:textId="7D7E438E" w:rsidR="004821C6" w:rsidRPr="00AF1481" w:rsidRDefault="004821C6" w:rsidP="00FD014B">
            <w:pPr>
              <w:pStyle w:val="TableText0"/>
              <w:keepLines/>
              <w:jc w:val="center"/>
            </w:pPr>
            <w:r w:rsidRPr="00AF1481">
              <w:rPr>
                <w:b/>
                <w:bCs w:val="0"/>
              </w:rPr>
              <w:t>0.0060</w:t>
            </w:r>
          </w:p>
        </w:tc>
      </w:tr>
      <w:tr w:rsidR="004821C6" w:rsidRPr="00AF1481" w14:paraId="78F851B0" w14:textId="77777777" w:rsidTr="00A574F8">
        <w:trPr>
          <w:trHeight w:val="20"/>
        </w:trPr>
        <w:tc>
          <w:tcPr>
            <w:tcW w:w="1334" w:type="pct"/>
            <w:shd w:val="clear" w:color="auto" w:fill="auto"/>
          </w:tcPr>
          <w:p w14:paraId="2A1A1A97" w14:textId="45A3FBAC" w:rsidR="004821C6" w:rsidRPr="00AF1481" w:rsidRDefault="004821C6" w:rsidP="00FD014B">
            <w:pPr>
              <w:pStyle w:val="TableText0"/>
              <w:keepLines/>
            </w:pPr>
            <w:r w:rsidRPr="00AF1481">
              <w:t>LS (SE) Week 60</w:t>
            </w:r>
          </w:p>
        </w:tc>
        <w:tc>
          <w:tcPr>
            <w:tcW w:w="551" w:type="pct"/>
            <w:shd w:val="clear" w:color="auto" w:fill="auto"/>
          </w:tcPr>
          <w:p w14:paraId="467AD0BF" w14:textId="3EFAC49C" w:rsidR="004821C6" w:rsidRPr="00AF1481" w:rsidRDefault="004821C6" w:rsidP="00FD014B">
            <w:pPr>
              <w:pStyle w:val="TableText0"/>
              <w:keepLines/>
              <w:jc w:val="center"/>
            </w:pPr>
            <w:r w:rsidRPr="00AF1481">
              <w:t>–181.95 (6.09)</w:t>
            </w:r>
          </w:p>
        </w:tc>
        <w:tc>
          <w:tcPr>
            <w:tcW w:w="629" w:type="pct"/>
            <w:shd w:val="clear" w:color="auto" w:fill="auto"/>
          </w:tcPr>
          <w:p w14:paraId="70A70A92" w14:textId="35556752" w:rsidR="004821C6" w:rsidRPr="00AF1481" w:rsidRDefault="004821C6" w:rsidP="00FD014B">
            <w:pPr>
              <w:pStyle w:val="TableText0"/>
              <w:keepLines/>
              <w:jc w:val="center"/>
            </w:pPr>
            <w:r w:rsidRPr="00AF1481">
              <w:t>–166.26 (8.56)</w:t>
            </w:r>
          </w:p>
        </w:tc>
        <w:tc>
          <w:tcPr>
            <w:tcW w:w="629" w:type="pct"/>
            <w:shd w:val="clear" w:color="auto" w:fill="auto"/>
          </w:tcPr>
          <w:p w14:paraId="534D856A" w14:textId="286975AE" w:rsidR="004821C6" w:rsidRPr="00AF1481" w:rsidRDefault="004821C6" w:rsidP="00FD014B">
            <w:pPr>
              <w:pStyle w:val="TableText0"/>
              <w:keepLines/>
              <w:jc w:val="center"/>
            </w:pPr>
            <w:r w:rsidRPr="00AF1481">
              <w:t>–194.16 (7.15)</w:t>
            </w:r>
          </w:p>
        </w:tc>
        <w:tc>
          <w:tcPr>
            <w:tcW w:w="944" w:type="pct"/>
            <w:vMerge/>
            <w:shd w:val="clear" w:color="auto" w:fill="auto"/>
          </w:tcPr>
          <w:p w14:paraId="60040F71" w14:textId="77777777" w:rsidR="004821C6" w:rsidRPr="00AF1481" w:rsidRDefault="004821C6" w:rsidP="00FD014B">
            <w:pPr>
              <w:pStyle w:val="TableText0"/>
              <w:keepLines/>
              <w:jc w:val="center"/>
            </w:pPr>
          </w:p>
        </w:tc>
        <w:tc>
          <w:tcPr>
            <w:tcW w:w="914" w:type="pct"/>
            <w:vMerge/>
            <w:shd w:val="clear" w:color="auto" w:fill="auto"/>
          </w:tcPr>
          <w:p w14:paraId="16D15D63" w14:textId="77777777" w:rsidR="004821C6" w:rsidRPr="00AF1481" w:rsidRDefault="004821C6" w:rsidP="00FD014B">
            <w:pPr>
              <w:pStyle w:val="TableText0"/>
              <w:keepLines/>
              <w:jc w:val="center"/>
            </w:pPr>
          </w:p>
        </w:tc>
      </w:tr>
    </w:tbl>
    <w:p w14:paraId="3F545504" w14:textId="77777777" w:rsidR="00A05AA6" w:rsidRDefault="00A474F6" w:rsidP="00FD014B">
      <w:pPr>
        <w:pStyle w:val="FooterTableFigure"/>
        <w:keepNext/>
        <w:keepLines/>
      </w:pPr>
      <w:r w:rsidRPr="00AF1481">
        <w:t>Source: Table 2-19 p62,</w:t>
      </w:r>
      <w:r w:rsidR="00E366E4" w:rsidRPr="00AF1481">
        <w:t xml:space="preserve"> Table 2-22 p65</w:t>
      </w:r>
      <w:r w:rsidRPr="00AF1481">
        <w:t xml:space="preserve"> of the submission</w:t>
      </w:r>
    </w:p>
    <w:p w14:paraId="547D128C" w14:textId="4A01BA49" w:rsidR="00232ABD" w:rsidRPr="00AF1481" w:rsidRDefault="00232ABD" w:rsidP="00FD014B">
      <w:pPr>
        <w:pStyle w:val="FooterTableFigure"/>
        <w:keepNext/>
        <w:keepLines/>
        <w:rPr>
          <w:sz w:val="20"/>
        </w:rPr>
      </w:pPr>
      <w:r w:rsidRPr="00AF1481">
        <w:t>Bolded values indicate statistical significance</w:t>
      </w:r>
    </w:p>
    <w:p w14:paraId="2C73DDD1" w14:textId="01D26656" w:rsidR="00A474F6" w:rsidRPr="00AF1481" w:rsidRDefault="00A474F6" w:rsidP="00FD014B">
      <w:pPr>
        <w:pStyle w:val="FooterTableFigure"/>
        <w:keepNext/>
        <w:keepLines/>
      </w:pPr>
      <w:r w:rsidRPr="00AF1481">
        <w:rPr>
          <w:rFonts w:eastAsia="Calibri"/>
        </w:rPr>
        <w:t xml:space="preserve">BCVA = best corrected visual acuity; CI = confidence interval; n = number of patients with event; </w:t>
      </w:r>
      <w:r w:rsidR="00AC3AC6" w:rsidRPr="00AF1481">
        <w:rPr>
          <w:rFonts w:eastAsia="Calibri"/>
        </w:rPr>
        <w:t xml:space="preserve">CRT = </w:t>
      </w:r>
      <w:r w:rsidR="00AC3AC6" w:rsidRPr="00AF1481">
        <w:t>central retinal thickness</w:t>
      </w:r>
      <w:r w:rsidR="00AC3AC6" w:rsidRPr="00AF1481">
        <w:rPr>
          <w:rFonts w:eastAsia="Calibri"/>
        </w:rPr>
        <w:t xml:space="preserve"> </w:t>
      </w:r>
      <w:r w:rsidRPr="00AF1481">
        <w:rPr>
          <w:rFonts w:eastAsia="Calibri"/>
        </w:rPr>
        <w:t xml:space="preserve">FAS = full analysis set; </w:t>
      </w:r>
      <w:r w:rsidR="005D7AAF" w:rsidRPr="00AF1481">
        <w:rPr>
          <w:rFonts w:eastAsia="Calibri"/>
        </w:rPr>
        <w:t xml:space="preserve">LOCF = </w:t>
      </w:r>
      <w:r w:rsidR="00151829" w:rsidRPr="00AF1481">
        <w:t>last observation carried forward;</w:t>
      </w:r>
      <w:r w:rsidR="00151829" w:rsidRPr="00AF1481">
        <w:rPr>
          <w:rFonts w:eastAsia="Calibri"/>
        </w:rPr>
        <w:t xml:space="preserve"> </w:t>
      </w:r>
      <w:r w:rsidRPr="00AF1481">
        <w:rPr>
          <w:rFonts w:eastAsia="Calibri"/>
        </w:rPr>
        <w:t xml:space="preserve">MMRM = </w:t>
      </w:r>
      <w:r w:rsidR="00402E52" w:rsidRPr="00AF1481">
        <w:rPr>
          <w:rFonts w:eastAsia="Calibri"/>
        </w:rPr>
        <w:t>m</w:t>
      </w:r>
      <w:r w:rsidRPr="00AF1481">
        <w:t>ixed model for repeated measurements;</w:t>
      </w:r>
      <w:r w:rsidRPr="00AF1481">
        <w:rPr>
          <w:rFonts w:eastAsia="Calibri"/>
        </w:rPr>
        <w:t xml:space="preserve"> N = total patients in group; </w:t>
      </w:r>
      <w:r w:rsidRPr="00AF1481">
        <w:t>aflibercept; SE = standard error; SD = standard deviation; 2q8 = 2 mg administered every 8 weeks; 8q12 = aflibercept 8 mg administered every 12 weeks; 8q16 = aflibercept 8 mg administered every 16 weeks;</w:t>
      </w:r>
    </w:p>
    <w:p w14:paraId="48775D56" w14:textId="77777777" w:rsidR="00C06EFA" w:rsidRPr="00AF1481" w:rsidRDefault="00C06EFA" w:rsidP="00FD014B">
      <w:pPr>
        <w:pStyle w:val="FooterTableFigure"/>
        <w:keepNext/>
        <w:keepLines/>
      </w:pPr>
      <w:r w:rsidRPr="00AF1481">
        <w:t>a. Difference with CI was calculated using Mantel-Haenszel weighting scheme adjusted for stratification factors (baseline CRT (from reading centre) [&lt;400 μm, ≥400 μm], prior DMO treatment [yes, no], geographical region [Rest of world, Japan]); Missing or ungradable baseline was not included in the denominator. The last observation prior to an ICE defined for the primary estimand was used to impute subsequent and/or missing or non-gradable data. Participants were considered as non-responders if all post-baseline measurements were missing or non-gradable; FAS LOCF</w:t>
      </w:r>
    </w:p>
    <w:p w14:paraId="26448CE7" w14:textId="77777777" w:rsidR="00C06EFA" w:rsidRPr="00AF1481" w:rsidRDefault="00C06EFA" w:rsidP="00C06EFA">
      <w:pPr>
        <w:pStyle w:val="FooterTableFigure"/>
      </w:pPr>
      <w:r w:rsidRPr="00AF1481">
        <w:t>b. Estimate for contrast was based on the MMRM model with baseline measurement as a covariate, treatment group and the stratification variables (geographic region [Japan vs Rest of World]; baseline CRT from reading centre [&lt;400μm vs ≥400μm], prior treatment for DMO per EDC; [yes vs no]) as fixed factors, and terms for the interaction between baseline and visit and the interaction between treatment and visit, computed for the differences of 8q12 minus 2q8 and 8q16 minus 2q8, respectively with 2-sided 95% CIs; FAS MMRM</w:t>
      </w:r>
    </w:p>
    <w:p w14:paraId="54F073D2" w14:textId="77777777" w:rsidR="00A05AA6" w:rsidRDefault="00C06EFA" w:rsidP="00C06EFA">
      <w:pPr>
        <w:pStyle w:val="FooterTableFigure"/>
        <w:rPr>
          <w:rFonts w:eastAsia="Calibri"/>
        </w:rPr>
      </w:pPr>
      <w:r w:rsidRPr="00AF1481">
        <w:rPr>
          <w:rFonts w:eastAsia="Calibri"/>
        </w:rPr>
        <w:t>c</w:t>
      </w:r>
      <w:r w:rsidR="00A474F6" w:rsidRPr="00AF1481">
        <w:rPr>
          <w:rFonts w:eastAsia="Calibri"/>
        </w:rPr>
        <w:t>. p-value for</w:t>
      </w:r>
      <w:r w:rsidR="0057160C" w:rsidRPr="00AF1481">
        <w:rPr>
          <w:rFonts w:eastAsia="Calibri"/>
        </w:rPr>
        <w:t xml:space="preserve"> </w:t>
      </w:r>
      <w:r w:rsidRPr="00AF1481">
        <w:rPr>
          <w:rFonts w:eastAsia="Calibri"/>
        </w:rPr>
        <w:t>superiority test</w:t>
      </w:r>
      <w:r w:rsidR="00A474F6" w:rsidRPr="00AF1481">
        <w:rPr>
          <w:rFonts w:eastAsia="Calibri"/>
        </w:rPr>
        <w:t>;</w:t>
      </w:r>
    </w:p>
    <w:p w14:paraId="2D4217C7" w14:textId="25B36E21" w:rsidR="00903D35" w:rsidRPr="00AF1481" w:rsidRDefault="00903D35" w:rsidP="001A5A0A">
      <w:pPr>
        <w:pStyle w:val="Caption"/>
      </w:pPr>
      <w:bookmarkStart w:id="56" w:name="_Ref154070413"/>
      <w:r w:rsidRPr="00AF1481">
        <w:lastRenderedPageBreak/>
        <w:t xml:space="preserve">Figure </w:t>
      </w:r>
      <w:r w:rsidR="00393E69">
        <w:fldChar w:fldCharType="begin"/>
      </w:r>
      <w:r w:rsidR="00393E69">
        <w:instrText xml:space="preserve"> SEQ Figure \* ARABIC </w:instrText>
      </w:r>
      <w:r w:rsidR="00393E69">
        <w:fldChar w:fldCharType="separate"/>
      </w:r>
      <w:r w:rsidR="009404AF">
        <w:rPr>
          <w:noProof/>
        </w:rPr>
        <w:t>2</w:t>
      </w:r>
      <w:r w:rsidR="00393E69">
        <w:fldChar w:fldCharType="end"/>
      </w:r>
      <w:bookmarkEnd w:id="56"/>
      <w:r w:rsidRPr="00AF1481">
        <w:t xml:space="preserve">: Least square mean change from baseline in CRT (microns) through to </w:t>
      </w:r>
      <w:r w:rsidR="00DB090A" w:rsidRPr="00AF1481">
        <w:t>W</w:t>
      </w:r>
      <w:r w:rsidRPr="00AF1481">
        <w:t>eek 60</w:t>
      </w:r>
      <w:r w:rsidR="00DB090A" w:rsidRPr="00AF1481">
        <w:t>, PHOTON</w:t>
      </w:r>
      <w:r w:rsidRPr="00AF1481">
        <w:t xml:space="preserve"> (FAS)</w:t>
      </w:r>
    </w:p>
    <w:p w14:paraId="3D11393B" w14:textId="50C836E8" w:rsidR="00903D35" w:rsidRPr="00AF1481" w:rsidRDefault="00903D35" w:rsidP="00FD014B">
      <w:pPr>
        <w:pStyle w:val="FooterTableFigure"/>
        <w:keepNext/>
        <w:keepLines/>
        <w:rPr>
          <w:rFonts w:eastAsia="Calibri"/>
        </w:rPr>
      </w:pPr>
      <w:r w:rsidRPr="00AF1481">
        <w:rPr>
          <w:noProof/>
        </w:rPr>
        <w:drawing>
          <wp:inline distT="0" distB="0" distL="0" distR="0" wp14:anchorId="2BEF38C0" wp14:editId="3EBCC695">
            <wp:extent cx="5731510" cy="1931035"/>
            <wp:effectExtent l="0" t="0" r="2540" b="0"/>
            <wp:docPr id="1514061062" name="Picture 1514061062" descr="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61062" name="Picture 1514061062" descr="A graph with numbers and lines&#10;&#10;Description automatically generated with medium confidence"/>
                    <pic:cNvPicPr/>
                  </pic:nvPicPr>
                  <pic:blipFill>
                    <a:blip r:embed="rId9"/>
                    <a:stretch>
                      <a:fillRect/>
                    </a:stretch>
                  </pic:blipFill>
                  <pic:spPr>
                    <a:xfrm>
                      <a:off x="0" y="0"/>
                      <a:ext cx="5731510" cy="1931035"/>
                    </a:xfrm>
                    <a:prstGeom prst="rect">
                      <a:avLst/>
                    </a:prstGeom>
                  </pic:spPr>
                </pic:pic>
              </a:graphicData>
            </a:graphic>
          </wp:inline>
        </w:drawing>
      </w:r>
    </w:p>
    <w:p w14:paraId="27EC71AA" w14:textId="22CB2FFA" w:rsidR="00903D35" w:rsidRPr="00AF1481" w:rsidRDefault="00903D35" w:rsidP="00FD014B">
      <w:pPr>
        <w:pStyle w:val="FooterTableFigure"/>
        <w:keepNext/>
        <w:keepLines/>
      </w:pPr>
      <w:r w:rsidRPr="00AF1481">
        <w:t>Source: Figure 2-</w:t>
      </w:r>
      <w:r w:rsidR="00A23723" w:rsidRPr="00AF1481">
        <w:t>12</w:t>
      </w:r>
      <w:r w:rsidRPr="00AF1481">
        <w:t xml:space="preserve"> p6</w:t>
      </w:r>
      <w:r w:rsidR="00A23723" w:rsidRPr="00AF1481">
        <w:t>7</w:t>
      </w:r>
      <w:r w:rsidRPr="00AF1481">
        <w:t xml:space="preserve"> of the submission</w:t>
      </w:r>
    </w:p>
    <w:p w14:paraId="57E04222" w14:textId="234FC86A" w:rsidR="00903D35" w:rsidRPr="00CB24DA" w:rsidRDefault="00903D35" w:rsidP="00C06EFA">
      <w:pPr>
        <w:pStyle w:val="FooterTableFigure"/>
      </w:pPr>
      <w:r w:rsidRPr="00AF1481">
        <w:t xml:space="preserve">CI = confidence intervals; </w:t>
      </w:r>
      <w:r w:rsidR="00A23723" w:rsidRPr="00AF1481">
        <w:t xml:space="preserve">CRT = central retinal thickness </w:t>
      </w:r>
      <w:r w:rsidRPr="00AF1481">
        <w:t xml:space="preserve">FAS = full analysis set; </w:t>
      </w:r>
      <w:r w:rsidR="00A23723" w:rsidRPr="00AF1481">
        <w:t>HDq12 = aflibercept 8 mg administered every 12 weeks; HDq16 = aflibercept 8 mg administered every 16 weeks;</w:t>
      </w:r>
      <w:r w:rsidR="00752918">
        <w:t xml:space="preserve"> </w:t>
      </w:r>
      <w:r w:rsidRPr="00AF1481">
        <w:t>2q8 = aflibercept 2 mg administered every 8 weeks</w:t>
      </w:r>
    </w:p>
    <w:p w14:paraId="3BFB075F" w14:textId="226C684A" w:rsidR="00A474F6" w:rsidRPr="00AF1481" w:rsidRDefault="00A474F6" w:rsidP="00A474F6">
      <w:pPr>
        <w:pStyle w:val="ExecSumBodyText"/>
        <w:numPr>
          <w:ilvl w:val="1"/>
          <w:numId w:val="1"/>
        </w:numPr>
        <w:ind w:left="709" w:hanging="709"/>
      </w:pPr>
      <w:r w:rsidRPr="00AF1481">
        <w:rPr>
          <w:snapToGrid/>
        </w:rPr>
        <w:t xml:space="preserve">Results of the improvement in quality of life as measured by the mean change </w:t>
      </w:r>
      <w:r w:rsidRPr="00AF1481">
        <w:t>from baseline in the</w:t>
      </w:r>
      <w:r w:rsidRPr="00AF1481">
        <w:rPr>
          <w:snapToGrid/>
        </w:rPr>
        <w:t xml:space="preserve"> </w:t>
      </w:r>
      <w:r w:rsidRPr="00AF1481">
        <w:rPr>
          <w:rFonts w:ascii="Calibri" w:eastAsia="Calibri" w:hAnsi="Calibri" w:cs="Calibri"/>
        </w:rPr>
        <w:t>National Eye Institute 25-item visual function questionnaire</w:t>
      </w:r>
      <w:r w:rsidRPr="00AF1481">
        <w:t xml:space="preserve"> (</w:t>
      </w:r>
      <w:r w:rsidRPr="00AF1481">
        <w:rPr>
          <w:snapToGrid/>
        </w:rPr>
        <w:t xml:space="preserve">NEI-VFQ-25) score from baseline are presented in </w:t>
      </w:r>
      <w:r w:rsidRPr="00AF1481">
        <w:rPr>
          <w:snapToGrid/>
        </w:rPr>
        <w:fldChar w:fldCharType="begin"/>
      </w:r>
      <w:r w:rsidRPr="00AF1481">
        <w:rPr>
          <w:snapToGrid/>
        </w:rPr>
        <w:instrText xml:space="preserve"> REF _Ref151388960 \h </w:instrText>
      </w:r>
      <w:r w:rsidRPr="00AF1481">
        <w:rPr>
          <w:snapToGrid/>
        </w:rPr>
      </w:r>
      <w:r w:rsidRPr="00AF1481">
        <w:rPr>
          <w:snapToGrid/>
        </w:rPr>
        <w:fldChar w:fldCharType="separate"/>
      </w:r>
      <w:r w:rsidR="009404AF" w:rsidRPr="00AF1481">
        <w:rPr>
          <w:rFonts w:ascii="Arial Narrow" w:hAnsi="Arial Narrow"/>
          <w:b/>
          <w:bCs/>
          <w:sz w:val="20"/>
          <w:szCs w:val="20"/>
        </w:rPr>
        <w:t xml:space="preserve">Table </w:t>
      </w:r>
      <w:r w:rsidR="009404AF">
        <w:rPr>
          <w:rFonts w:ascii="Arial Narrow" w:hAnsi="Arial Narrow"/>
          <w:b/>
          <w:bCs/>
          <w:noProof/>
          <w:sz w:val="20"/>
          <w:szCs w:val="20"/>
        </w:rPr>
        <w:t>7</w:t>
      </w:r>
      <w:r w:rsidRPr="00AF1481">
        <w:rPr>
          <w:snapToGrid/>
        </w:rPr>
        <w:fldChar w:fldCharType="end"/>
      </w:r>
      <w:r w:rsidRPr="00AF1481">
        <w:rPr>
          <w:snapToGrid/>
        </w:rPr>
        <w:t xml:space="preserve">. The improvement was comparable </w:t>
      </w:r>
      <w:r w:rsidRPr="00AF1481">
        <w:t xml:space="preserve">across </w:t>
      </w:r>
      <w:r w:rsidRPr="00AF1481">
        <w:rPr>
          <w:snapToGrid/>
        </w:rPr>
        <w:t xml:space="preserve">treatment arms. </w:t>
      </w:r>
      <w:r w:rsidRPr="00AF1481">
        <w:rPr>
          <w:iCs/>
        </w:rPr>
        <w:t>While the mean number of injections received at Week 60 was lower in the 8q12 arm (6.6 injections) and 8q16 arm (5.9 injections) compared to the 2q8 arm (9.5 injections), PHOTON did not include a direct assessment of treatment burden; the NEI-VFQ-25 questionnaire (a health related quality of life questionnaire) does not contain items which are specific to treatment administration, or that would be anticipated to be affected by differences in the frequency of treatment administration without a corresponding difference in clinical efficacy.</w:t>
      </w:r>
    </w:p>
    <w:p w14:paraId="2856A46D" w14:textId="72512298" w:rsidR="00A474F6" w:rsidRPr="00AF1481" w:rsidRDefault="00A474F6" w:rsidP="00C31EBB">
      <w:pPr>
        <w:keepNext/>
        <w:jc w:val="left"/>
        <w:rPr>
          <w:rFonts w:ascii="Arial Narrow" w:hAnsi="Arial Narrow"/>
          <w:b/>
          <w:bCs/>
          <w:sz w:val="20"/>
          <w:szCs w:val="20"/>
        </w:rPr>
      </w:pPr>
      <w:bookmarkStart w:id="57" w:name="_Ref151388960"/>
      <w:r w:rsidRPr="00AF1481">
        <w:rPr>
          <w:rFonts w:ascii="Arial Narrow" w:hAnsi="Arial Narrow"/>
          <w:b/>
          <w:bCs/>
          <w:sz w:val="20"/>
          <w:szCs w:val="20"/>
        </w:rPr>
        <w:t xml:space="preserve">Table </w:t>
      </w:r>
      <w:r w:rsidR="00006616" w:rsidRPr="00AF1481">
        <w:rPr>
          <w:rFonts w:ascii="Arial Narrow" w:hAnsi="Arial Narrow"/>
          <w:b/>
          <w:bCs/>
          <w:sz w:val="20"/>
          <w:szCs w:val="20"/>
        </w:rPr>
        <w:fldChar w:fldCharType="begin"/>
      </w:r>
      <w:r w:rsidR="00006616" w:rsidRPr="00AF1481">
        <w:rPr>
          <w:rFonts w:ascii="Arial Narrow" w:hAnsi="Arial Narrow"/>
          <w:b/>
          <w:bCs/>
          <w:sz w:val="20"/>
          <w:szCs w:val="20"/>
        </w:rPr>
        <w:instrText xml:space="preserve"> SEQ Table \* ARABIC </w:instrText>
      </w:r>
      <w:r w:rsidR="00006616" w:rsidRPr="00AF1481">
        <w:rPr>
          <w:rFonts w:ascii="Arial Narrow" w:hAnsi="Arial Narrow"/>
          <w:b/>
          <w:bCs/>
          <w:sz w:val="20"/>
          <w:szCs w:val="20"/>
        </w:rPr>
        <w:fldChar w:fldCharType="separate"/>
      </w:r>
      <w:r w:rsidR="009404AF">
        <w:rPr>
          <w:rFonts w:ascii="Arial Narrow" w:hAnsi="Arial Narrow"/>
          <w:b/>
          <w:bCs/>
          <w:noProof/>
          <w:sz w:val="20"/>
          <w:szCs w:val="20"/>
        </w:rPr>
        <w:t>7</w:t>
      </w:r>
      <w:r w:rsidR="00006616" w:rsidRPr="00AF1481">
        <w:rPr>
          <w:rFonts w:ascii="Arial Narrow" w:hAnsi="Arial Narrow"/>
          <w:b/>
          <w:bCs/>
          <w:sz w:val="20"/>
          <w:szCs w:val="20"/>
        </w:rPr>
        <w:fldChar w:fldCharType="end"/>
      </w:r>
      <w:bookmarkEnd w:id="57"/>
      <w:r w:rsidRPr="00AF1481">
        <w:rPr>
          <w:rFonts w:ascii="Arial Narrow" w:hAnsi="Arial Narrow"/>
          <w:b/>
          <w:bCs/>
          <w:sz w:val="20"/>
          <w:szCs w:val="20"/>
        </w:rPr>
        <w:t xml:space="preserve">: Change from baseline in NEI-VFQ-25 total score in the </w:t>
      </w:r>
      <w:r w:rsidR="00434B62" w:rsidRPr="00AF1481">
        <w:rPr>
          <w:rFonts w:ascii="Arial Narrow" w:hAnsi="Arial Narrow"/>
          <w:b/>
          <w:bCs/>
          <w:sz w:val="20"/>
          <w:szCs w:val="20"/>
        </w:rPr>
        <w:t>PHOTON</w:t>
      </w:r>
      <w:r w:rsidRPr="00AF1481">
        <w:rPr>
          <w:rFonts w:ascii="Arial Narrow" w:hAnsi="Arial Narrow"/>
          <w:b/>
          <w:bCs/>
          <w:sz w:val="20"/>
          <w:szCs w:val="20"/>
        </w:rPr>
        <w:t xml:space="preserve"> trial (FAS; MMRM)</w:t>
      </w:r>
    </w:p>
    <w:tbl>
      <w:tblPr>
        <w:tblStyle w:val="TableGrid"/>
        <w:tblW w:w="4978" w:type="pct"/>
        <w:tblLayout w:type="fixed"/>
        <w:tblLook w:val="04A0" w:firstRow="1" w:lastRow="0" w:firstColumn="1" w:lastColumn="0" w:noHBand="0" w:noVBand="1"/>
      </w:tblPr>
      <w:tblGrid>
        <w:gridCol w:w="2406"/>
        <w:gridCol w:w="1145"/>
        <w:gridCol w:w="1356"/>
        <w:gridCol w:w="1354"/>
        <w:gridCol w:w="1357"/>
        <w:gridCol w:w="1359"/>
      </w:tblGrid>
      <w:tr w:rsidR="00A474F6" w:rsidRPr="00AF1481" w14:paraId="1495D3E0" w14:textId="77777777" w:rsidTr="008C5949">
        <w:trPr>
          <w:trHeight w:val="15"/>
          <w:tblHeader/>
        </w:trPr>
        <w:tc>
          <w:tcPr>
            <w:tcW w:w="1340" w:type="pct"/>
            <w:vMerge w:val="restart"/>
            <w:shd w:val="clear" w:color="auto" w:fill="auto"/>
          </w:tcPr>
          <w:p w14:paraId="1EEEA611" w14:textId="77777777" w:rsidR="00A474F6" w:rsidRPr="00AF1481" w:rsidRDefault="00A474F6" w:rsidP="008C5949">
            <w:pPr>
              <w:pStyle w:val="TableText0"/>
              <w:jc w:val="center"/>
              <w:rPr>
                <w:b/>
                <w:bCs w:val="0"/>
              </w:rPr>
            </w:pPr>
          </w:p>
        </w:tc>
        <w:tc>
          <w:tcPr>
            <w:tcW w:w="638" w:type="pct"/>
            <w:vMerge w:val="restart"/>
            <w:shd w:val="clear" w:color="auto" w:fill="auto"/>
          </w:tcPr>
          <w:p w14:paraId="4465A40E" w14:textId="77777777" w:rsidR="00A474F6" w:rsidRPr="00AF1481" w:rsidRDefault="00A474F6" w:rsidP="008C5949">
            <w:pPr>
              <w:pStyle w:val="TableText0"/>
              <w:jc w:val="center"/>
              <w:rPr>
                <w:b/>
                <w:bCs w:val="0"/>
              </w:rPr>
            </w:pPr>
            <w:r w:rsidRPr="00AF1481">
              <w:rPr>
                <w:b/>
                <w:bCs w:val="0"/>
              </w:rPr>
              <w:t>8q12</w:t>
            </w:r>
          </w:p>
          <w:p w14:paraId="0A538AAD" w14:textId="77777777" w:rsidR="00A474F6" w:rsidRPr="00AF1481" w:rsidRDefault="00A474F6" w:rsidP="008C5949">
            <w:pPr>
              <w:pStyle w:val="TableText0"/>
              <w:jc w:val="center"/>
              <w:rPr>
                <w:b/>
                <w:bCs w:val="0"/>
              </w:rPr>
            </w:pPr>
            <w:r w:rsidRPr="00AF1481">
              <w:rPr>
                <w:b/>
                <w:bCs w:val="0"/>
              </w:rPr>
              <w:t>(N=328)</w:t>
            </w:r>
          </w:p>
        </w:tc>
        <w:tc>
          <w:tcPr>
            <w:tcW w:w="755" w:type="pct"/>
            <w:vMerge w:val="restart"/>
            <w:shd w:val="clear" w:color="auto" w:fill="auto"/>
          </w:tcPr>
          <w:p w14:paraId="41FBBD4E" w14:textId="77777777" w:rsidR="00A474F6" w:rsidRPr="00AF1481" w:rsidRDefault="00A474F6" w:rsidP="008C5949">
            <w:pPr>
              <w:pStyle w:val="TableText0"/>
              <w:jc w:val="center"/>
              <w:rPr>
                <w:b/>
                <w:bCs w:val="0"/>
              </w:rPr>
            </w:pPr>
            <w:r w:rsidRPr="00AF1481">
              <w:rPr>
                <w:b/>
                <w:bCs w:val="0"/>
              </w:rPr>
              <w:t>8q16</w:t>
            </w:r>
          </w:p>
          <w:p w14:paraId="719A247C" w14:textId="77777777" w:rsidR="00A474F6" w:rsidRPr="00AF1481" w:rsidRDefault="00A474F6" w:rsidP="008C5949">
            <w:pPr>
              <w:pStyle w:val="TableText0"/>
              <w:jc w:val="center"/>
              <w:rPr>
                <w:b/>
                <w:bCs w:val="0"/>
              </w:rPr>
            </w:pPr>
            <w:r w:rsidRPr="00AF1481">
              <w:rPr>
                <w:b/>
                <w:bCs w:val="0"/>
              </w:rPr>
              <w:t>(N=163)</w:t>
            </w:r>
          </w:p>
        </w:tc>
        <w:tc>
          <w:tcPr>
            <w:tcW w:w="754" w:type="pct"/>
            <w:vMerge w:val="restart"/>
            <w:shd w:val="clear" w:color="auto" w:fill="auto"/>
          </w:tcPr>
          <w:p w14:paraId="4176B05E" w14:textId="77777777" w:rsidR="00A474F6" w:rsidRPr="00AF1481" w:rsidRDefault="00A474F6" w:rsidP="008C5949">
            <w:pPr>
              <w:pStyle w:val="TableText0"/>
              <w:jc w:val="center"/>
              <w:rPr>
                <w:b/>
                <w:bCs w:val="0"/>
              </w:rPr>
            </w:pPr>
            <w:r w:rsidRPr="00AF1481">
              <w:rPr>
                <w:b/>
                <w:bCs w:val="0"/>
              </w:rPr>
              <w:t>2q8</w:t>
            </w:r>
          </w:p>
          <w:p w14:paraId="0158E1CA" w14:textId="77777777" w:rsidR="00A474F6" w:rsidRPr="00AF1481" w:rsidRDefault="00A474F6" w:rsidP="008C5949">
            <w:pPr>
              <w:pStyle w:val="TableText0"/>
              <w:jc w:val="center"/>
              <w:rPr>
                <w:b/>
                <w:bCs w:val="0"/>
              </w:rPr>
            </w:pPr>
            <w:r w:rsidRPr="00AF1481">
              <w:rPr>
                <w:b/>
                <w:bCs w:val="0"/>
              </w:rPr>
              <w:t>(N=167)</w:t>
            </w:r>
          </w:p>
        </w:tc>
        <w:tc>
          <w:tcPr>
            <w:tcW w:w="755" w:type="pct"/>
            <w:shd w:val="clear" w:color="auto" w:fill="auto"/>
          </w:tcPr>
          <w:p w14:paraId="49DABB7A" w14:textId="378A5BF8" w:rsidR="00A474F6" w:rsidRPr="00AF1481" w:rsidRDefault="00A474F6" w:rsidP="008C5949">
            <w:pPr>
              <w:pStyle w:val="TableText0"/>
              <w:jc w:val="center"/>
              <w:rPr>
                <w:b/>
                <w:bCs w:val="0"/>
                <w:vertAlign w:val="superscript"/>
              </w:rPr>
            </w:pPr>
            <w:r w:rsidRPr="00AF1481">
              <w:rPr>
                <w:b/>
                <w:bCs w:val="0"/>
              </w:rPr>
              <w:t xml:space="preserve">8q12 vs </w:t>
            </w:r>
            <w:r w:rsidRPr="00AF1481">
              <w:rPr>
                <w:b/>
                <w:bCs w:val="0"/>
              </w:rPr>
              <w:br/>
              <w:t>2q8</w:t>
            </w:r>
          </w:p>
        </w:tc>
        <w:tc>
          <w:tcPr>
            <w:tcW w:w="758" w:type="pct"/>
            <w:shd w:val="clear" w:color="auto" w:fill="auto"/>
          </w:tcPr>
          <w:p w14:paraId="675720E5" w14:textId="77777777" w:rsidR="00A474F6" w:rsidRPr="00AF1481" w:rsidRDefault="00A474F6" w:rsidP="008C5949">
            <w:pPr>
              <w:pStyle w:val="TableText0"/>
              <w:jc w:val="center"/>
              <w:rPr>
                <w:b/>
                <w:bCs w:val="0"/>
              </w:rPr>
            </w:pPr>
            <w:r w:rsidRPr="00AF1481">
              <w:rPr>
                <w:b/>
                <w:bCs w:val="0"/>
              </w:rPr>
              <w:t xml:space="preserve">8q16 vs </w:t>
            </w:r>
            <w:r w:rsidRPr="00AF1481">
              <w:rPr>
                <w:b/>
                <w:bCs w:val="0"/>
              </w:rPr>
              <w:br/>
              <w:t>2q8</w:t>
            </w:r>
          </w:p>
        </w:tc>
      </w:tr>
      <w:tr w:rsidR="00A474F6" w:rsidRPr="00AF1481" w14:paraId="2AD2CE34" w14:textId="77777777" w:rsidTr="008C5949">
        <w:trPr>
          <w:trHeight w:val="15"/>
          <w:tblHeader/>
        </w:trPr>
        <w:tc>
          <w:tcPr>
            <w:tcW w:w="1340" w:type="pct"/>
            <w:vMerge/>
            <w:shd w:val="clear" w:color="auto" w:fill="auto"/>
          </w:tcPr>
          <w:p w14:paraId="52EDF451" w14:textId="77777777" w:rsidR="00A474F6" w:rsidRPr="00AF1481" w:rsidRDefault="00A474F6" w:rsidP="008C5949">
            <w:pPr>
              <w:pStyle w:val="TableText0"/>
              <w:jc w:val="center"/>
              <w:rPr>
                <w:b/>
                <w:bCs w:val="0"/>
              </w:rPr>
            </w:pPr>
          </w:p>
        </w:tc>
        <w:tc>
          <w:tcPr>
            <w:tcW w:w="638" w:type="pct"/>
            <w:vMerge/>
            <w:shd w:val="clear" w:color="auto" w:fill="auto"/>
          </w:tcPr>
          <w:p w14:paraId="0DC2AD42" w14:textId="77777777" w:rsidR="00A474F6" w:rsidRPr="00AF1481" w:rsidRDefault="00A474F6" w:rsidP="008C5949">
            <w:pPr>
              <w:pStyle w:val="TableText0"/>
              <w:jc w:val="center"/>
              <w:rPr>
                <w:b/>
                <w:bCs w:val="0"/>
              </w:rPr>
            </w:pPr>
          </w:p>
        </w:tc>
        <w:tc>
          <w:tcPr>
            <w:tcW w:w="755" w:type="pct"/>
            <w:vMerge/>
            <w:shd w:val="clear" w:color="auto" w:fill="auto"/>
          </w:tcPr>
          <w:p w14:paraId="007D6AB0" w14:textId="77777777" w:rsidR="00A474F6" w:rsidRPr="00AF1481" w:rsidRDefault="00A474F6" w:rsidP="008C5949">
            <w:pPr>
              <w:pStyle w:val="TableText0"/>
              <w:jc w:val="center"/>
              <w:rPr>
                <w:b/>
                <w:bCs w:val="0"/>
              </w:rPr>
            </w:pPr>
          </w:p>
        </w:tc>
        <w:tc>
          <w:tcPr>
            <w:tcW w:w="754" w:type="pct"/>
            <w:vMerge/>
            <w:shd w:val="clear" w:color="auto" w:fill="auto"/>
          </w:tcPr>
          <w:p w14:paraId="66728DC5" w14:textId="77777777" w:rsidR="00A474F6" w:rsidRPr="00AF1481" w:rsidRDefault="00A474F6" w:rsidP="008C5949">
            <w:pPr>
              <w:pStyle w:val="TableText0"/>
              <w:jc w:val="center"/>
              <w:rPr>
                <w:b/>
                <w:bCs w:val="0"/>
              </w:rPr>
            </w:pPr>
          </w:p>
        </w:tc>
        <w:tc>
          <w:tcPr>
            <w:tcW w:w="1513" w:type="pct"/>
            <w:gridSpan w:val="2"/>
            <w:shd w:val="clear" w:color="auto" w:fill="auto"/>
          </w:tcPr>
          <w:p w14:paraId="53B5A25F" w14:textId="0DFA53DF" w:rsidR="00A474F6" w:rsidRPr="00AF1481" w:rsidRDefault="00A474F6" w:rsidP="008C5949">
            <w:pPr>
              <w:pStyle w:val="TableText0"/>
              <w:jc w:val="center"/>
              <w:rPr>
                <w:b/>
                <w:bCs w:val="0"/>
                <w:vertAlign w:val="superscript"/>
              </w:rPr>
            </w:pPr>
            <w:r w:rsidRPr="00AF1481">
              <w:rPr>
                <w:b/>
                <w:bCs w:val="0"/>
              </w:rPr>
              <w:t>Treatment difference (95% CI)</w:t>
            </w:r>
          </w:p>
          <w:p w14:paraId="7A22F9B7" w14:textId="3019E3CA" w:rsidR="00A474F6" w:rsidRPr="00AF1481" w:rsidRDefault="00EC742A" w:rsidP="008C5949">
            <w:pPr>
              <w:pStyle w:val="TableText0"/>
              <w:jc w:val="center"/>
              <w:rPr>
                <w:b/>
                <w:bCs w:val="0"/>
                <w:vertAlign w:val="superscript"/>
              </w:rPr>
            </w:pPr>
            <w:r w:rsidRPr="00AF1481">
              <w:rPr>
                <w:b/>
                <w:bCs w:val="0"/>
              </w:rPr>
              <w:t xml:space="preserve">Superiority </w:t>
            </w:r>
            <w:r w:rsidR="00A474F6" w:rsidRPr="00AF1481">
              <w:rPr>
                <w:b/>
                <w:bCs w:val="0"/>
              </w:rPr>
              <w:t>p-value</w:t>
            </w:r>
            <w:r w:rsidR="00842E05" w:rsidRPr="00AF1481">
              <w:rPr>
                <w:b/>
                <w:bCs w:val="0"/>
                <w:vertAlign w:val="superscript"/>
              </w:rPr>
              <w:t>b</w:t>
            </w:r>
          </w:p>
        </w:tc>
      </w:tr>
      <w:tr w:rsidR="00A474F6" w:rsidRPr="00AF1481" w14:paraId="73164692" w14:textId="77777777" w:rsidTr="008C5949">
        <w:trPr>
          <w:trHeight w:val="15"/>
        </w:trPr>
        <w:tc>
          <w:tcPr>
            <w:tcW w:w="5000" w:type="pct"/>
            <w:gridSpan w:val="6"/>
            <w:shd w:val="clear" w:color="auto" w:fill="auto"/>
          </w:tcPr>
          <w:p w14:paraId="743D69F1" w14:textId="51F70EA9" w:rsidR="00A474F6" w:rsidRPr="00AF1481" w:rsidRDefault="00A474F6" w:rsidP="008C5949">
            <w:pPr>
              <w:pStyle w:val="TableText0"/>
              <w:rPr>
                <w:vertAlign w:val="superscript"/>
              </w:rPr>
            </w:pPr>
            <w:r w:rsidRPr="00AF1481">
              <w:rPr>
                <w:b/>
                <w:bCs w:val="0"/>
              </w:rPr>
              <w:t>Change from baseline in NEI-VFQ-25 total score</w:t>
            </w:r>
            <w:r w:rsidR="00842E05" w:rsidRPr="00AF1481">
              <w:rPr>
                <w:b/>
                <w:bCs w:val="0"/>
                <w:vertAlign w:val="superscript"/>
              </w:rPr>
              <w:t>a</w:t>
            </w:r>
          </w:p>
        </w:tc>
      </w:tr>
      <w:tr w:rsidR="00A01F50" w:rsidRPr="00AF1481" w14:paraId="16110228" w14:textId="77777777" w:rsidTr="00A01F50">
        <w:trPr>
          <w:trHeight w:val="15"/>
        </w:trPr>
        <w:tc>
          <w:tcPr>
            <w:tcW w:w="1340" w:type="pct"/>
            <w:shd w:val="clear" w:color="auto" w:fill="auto"/>
          </w:tcPr>
          <w:p w14:paraId="389E5157" w14:textId="77777777" w:rsidR="00A01F50" w:rsidRPr="00AF1481" w:rsidRDefault="00A01F50" w:rsidP="008C5949">
            <w:pPr>
              <w:pStyle w:val="TableText0"/>
            </w:pPr>
            <w:r w:rsidRPr="00AF1481">
              <w:t xml:space="preserve">Mean NEI-VFQ-25 score at baseline </w:t>
            </w:r>
          </w:p>
        </w:tc>
        <w:tc>
          <w:tcPr>
            <w:tcW w:w="638" w:type="pct"/>
            <w:shd w:val="clear" w:color="auto" w:fill="auto"/>
          </w:tcPr>
          <w:p w14:paraId="2CA34BA7" w14:textId="77777777" w:rsidR="00A01F50" w:rsidRPr="00AF1481" w:rsidRDefault="00A01F50" w:rsidP="008C5949">
            <w:pPr>
              <w:pStyle w:val="TableText0"/>
              <w:jc w:val="center"/>
            </w:pPr>
            <w:r w:rsidRPr="00AF1481">
              <w:t>76.79</w:t>
            </w:r>
          </w:p>
        </w:tc>
        <w:tc>
          <w:tcPr>
            <w:tcW w:w="755" w:type="pct"/>
            <w:shd w:val="clear" w:color="auto" w:fill="auto"/>
          </w:tcPr>
          <w:p w14:paraId="0F99FF5E" w14:textId="77777777" w:rsidR="00A01F50" w:rsidRPr="00AF1481" w:rsidRDefault="00A01F50" w:rsidP="008C5949">
            <w:pPr>
              <w:pStyle w:val="TableText0"/>
              <w:jc w:val="center"/>
            </w:pPr>
            <w:r w:rsidRPr="00AF1481">
              <w:t>77.86</w:t>
            </w:r>
          </w:p>
        </w:tc>
        <w:tc>
          <w:tcPr>
            <w:tcW w:w="754" w:type="pct"/>
            <w:shd w:val="clear" w:color="auto" w:fill="auto"/>
          </w:tcPr>
          <w:p w14:paraId="21E66762" w14:textId="77777777" w:rsidR="00A01F50" w:rsidRPr="00AF1481" w:rsidRDefault="00A01F50" w:rsidP="008C5949">
            <w:pPr>
              <w:pStyle w:val="TableText0"/>
              <w:jc w:val="center"/>
            </w:pPr>
            <w:r w:rsidRPr="00AF1481">
              <w:t>76.65</w:t>
            </w:r>
          </w:p>
        </w:tc>
        <w:tc>
          <w:tcPr>
            <w:tcW w:w="756" w:type="pct"/>
            <w:shd w:val="clear" w:color="auto" w:fill="auto"/>
          </w:tcPr>
          <w:p w14:paraId="7F0D8BAF" w14:textId="77777777" w:rsidR="00A01F50" w:rsidRPr="00AF1481" w:rsidRDefault="00A01F50" w:rsidP="008C5949">
            <w:pPr>
              <w:pStyle w:val="TableText0"/>
              <w:jc w:val="center"/>
            </w:pPr>
          </w:p>
        </w:tc>
        <w:tc>
          <w:tcPr>
            <w:tcW w:w="757" w:type="pct"/>
            <w:shd w:val="clear" w:color="auto" w:fill="auto"/>
          </w:tcPr>
          <w:p w14:paraId="1F18D0DA" w14:textId="5437E308" w:rsidR="00A01F50" w:rsidRPr="00AF1481" w:rsidRDefault="00A01F50" w:rsidP="008C5949">
            <w:pPr>
              <w:pStyle w:val="TableText0"/>
              <w:jc w:val="center"/>
            </w:pPr>
          </w:p>
        </w:tc>
      </w:tr>
      <w:tr w:rsidR="00A474F6" w:rsidRPr="00AF1481" w14:paraId="02514AAD" w14:textId="77777777" w:rsidTr="008C5949">
        <w:trPr>
          <w:trHeight w:val="15"/>
        </w:trPr>
        <w:tc>
          <w:tcPr>
            <w:tcW w:w="1340" w:type="pct"/>
            <w:shd w:val="clear" w:color="auto" w:fill="auto"/>
          </w:tcPr>
          <w:p w14:paraId="258C6C89" w14:textId="77777777" w:rsidR="00A474F6" w:rsidRPr="00AF1481" w:rsidRDefault="00A474F6" w:rsidP="008C5949">
            <w:pPr>
              <w:pStyle w:val="TableText0"/>
            </w:pPr>
            <w:r w:rsidRPr="00AF1481">
              <w:t xml:space="preserve">LS mean (SE) </w:t>
            </w:r>
          </w:p>
        </w:tc>
        <w:tc>
          <w:tcPr>
            <w:tcW w:w="638" w:type="pct"/>
            <w:shd w:val="clear" w:color="auto" w:fill="auto"/>
          </w:tcPr>
          <w:p w14:paraId="172C797F" w14:textId="77777777" w:rsidR="00A474F6" w:rsidRPr="00AF1481" w:rsidRDefault="00A474F6" w:rsidP="008C5949">
            <w:pPr>
              <w:pStyle w:val="TableText0"/>
              <w:jc w:val="center"/>
            </w:pPr>
            <w:r w:rsidRPr="00AF1481">
              <w:t>4.06 (0.80)</w:t>
            </w:r>
          </w:p>
        </w:tc>
        <w:tc>
          <w:tcPr>
            <w:tcW w:w="755" w:type="pct"/>
            <w:shd w:val="clear" w:color="auto" w:fill="auto"/>
          </w:tcPr>
          <w:p w14:paraId="203DB9AE" w14:textId="77777777" w:rsidR="00A474F6" w:rsidRPr="00AF1481" w:rsidRDefault="00A474F6" w:rsidP="008C5949">
            <w:pPr>
              <w:pStyle w:val="TableText0"/>
              <w:jc w:val="center"/>
            </w:pPr>
            <w:r w:rsidRPr="00AF1481">
              <w:t>2.94 (0.93)</w:t>
            </w:r>
          </w:p>
        </w:tc>
        <w:tc>
          <w:tcPr>
            <w:tcW w:w="754" w:type="pct"/>
            <w:shd w:val="clear" w:color="auto" w:fill="auto"/>
          </w:tcPr>
          <w:p w14:paraId="7B09190E" w14:textId="77777777" w:rsidR="00A474F6" w:rsidRPr="00AF1481" w:rsidRDefault="00A474F6" w:rsidP="008C5949">
            <w:pPr>
              <w:pStyle w:val="TableText0"/>
              <w:jc w:val="center"/>
            </w:pPr>
            <w:r w:rsidRPr="00AF1481">
              <w:t>2.82 (1.10)</w:t>
            </w:r>
          </w:p>
        </w:tc>
        <w:tc>
          <w:tcPr>
            <w:tcW w:w="755" w:type="pct"/>
            <w:vMerge w:val="restart"/>
            <w:shd w:val="clear" w:color="auto" w:fill="auto"/>
          </w:tcPr>
          <w:p w14:paraId="27132DEA" w14:textId="77777777" w:rsidR="00A474F6" w:rsidRPr="00AF1481" w:rsidRDefault="00A474F6" w:rsidP="008C5949">
            <w:pPr>
              <w:pStyle w:val="TableText0"/>
              <w:jc w:val="center"/>
            </w:pPr>
            <w:r w:rsidRPr="00AF1481">
              <w:t>1.25 (–1.09, 3.58)</w:t>
            </w:r>
          </w:p>
          <w:p w14:paraId="25D53F5A" w14:textId="3513B720" w:rsidR="00A474F6" w:rsidRPr="00AF1481" w:rsidRDefault="00A474F6" w:rsidP="008C5949">
            <w:pPr>
              <w:pStyle w:val="TableText0"/>
              <w:jc w:val="center"/>
            </w:pPr>
            <w:r w:rsidRPr="00AF1481">
              <w:t>0.2941</w:t>
            </w:r>
          </w:p>
        </w:tc>
        <w:tc>
          <w:tcPr>
            <w:tcW w:w="758" w:type="pct"/>
            <w:vMerge w:val="restart"/>
            <w:shd w:val="clear" w:color="auto" w:fill="auto"/>
          </w:tcPr>
          <w:p w14:paraId="154A47A6" w14:textId="77777777" w:rsidR="00A05AA6" w:rsidRDefault="00A474F6" w:rsidP="008C5949">
            <w:pPr>
              <w:pStyle w:val="TableText0"/>
              <w:jc w:val="center"/>
            </w:pPr>
            <w:r w:rsidRPr="00AF1481">
              <w:t>0.13 (–2.37, 2.62)</w:t>
            </w:r>
          </w:p>
          <w:p w14:paraId="00C435D1" w14:textId="27983587" w:rsidR="00A474F6" w:rsidRPr="00AF1481" w:rsidRDefault="00A474F6" w:rsidP="008C5949">
            <w:pPr>
              <w:pStyle w:val="TableText0"/>
              <w:jc w:val="center"/>
            </w:pPr>
            <w:r w:rsidRPr="00AF1481">
              <w:t xml:space="preserve">0.9208 </w:t>
            </w:r>
          </w:p>
        </w:tc>
      </w:tr>
      <w:tr w:rsidR="00A474F6" w:rsidRPr="00AF1481" w14:paraId="1CEA9F58" w14:textId="77777777" w:rsidTr="008C5949">
        <w:trPr>
          <w:trHeight w:val="15"/>
        </w:trPr>
        <w:tc>
          <w:tcPr>
            <w:tcW w:w="1340" w:type="pct"/>
            <w:shd w:val="clear" w:color="auto" w:fill="auto"/>
          </w:tcPr>
          <w:p w14:paraId="03AA9339" w14:textId="77777777" w:rsidR="00A474F6" w:rsidRPr="00AF1481" w:rsidRDefault="00A474F6" w:rsidP="008C5949">
            <w:pPr>
              <w:pStyle w:val="TableText0"/>
            </w:pPr>
            <w:r w:rsidRPr="00AF1481">
              <w:t xml:space="preserve">Mean (SD) </w:t>
            </w:r>
          </w:p>
        </w:tc>
        <w:tc>
          <w:tcPr>
            <w:tcW w:w="638" w:type="pct"/>
            <w:shd w:val="clear" w:color="auto" w:fill="auto"/>
          </w:tcPr>
          <w:p w14:paraId="41DE97AB" w14:textId="77777777" w:rsidR="00A474F6" w:rsidRPr="00AF1481" w:rsidRDefault="00A474F6" w:rsidP="008C5949">
            <w:pPr>
              <w:pStyle w:val="TableText0"/>
              <w:jc w:val="center"/>
            </w:pPr>
            <w:r w:rsidRPr="00AF1481">
              <w:t>5.64 (12.56)</w:t>
            </w:r>
          </w:p>
        </w:tc>
        <w:tc>
          <w:tcPr>
            <w:tcW w:w="755" w:type="pct"/>
            <w:shd w:val="clear" w:color="auto" w:fill="auto"/>
          </w:tcPr>
          <w:p w14:paraId="136D5114" w14:textId="77777777" w:rsidR="00A474F6" w:rsidRPr="00AF1481" w:rsidRDefault="00A474F6" w:rsidP="008C5949">
            <w:pPr>
              <w:pStyle w:val="TableText0"/>
              <w:jc w:val="center"/>
            </w:pPr>
            <w:r w:rsidRPr="00AF1481">
              <w:t>4.16 (10.94)</w:t>
            </w:r>
          </w:p>
        </w:tc>
        <w:tc>
          <w:tcPr>
            <w:tcW w:w="754" w:type="pct"/>
            <w:shd w:val="clear" w:color="auto" w:fill="auto"/>
          </w:tcPr>
          <w:p w14:paraId="63CC15C6" w14:textId="77777777" w:rsidR="00A474F6" w:rsidRPr="00AF1481" w:rsidRDefault="00A474F6" w:rsidP="008C5949">
            <w:pPr>
              <w:pStyle w:val="TableText0"/>
              <w:jc w:val="center"/>
            </w:pPr>
            <w:r w:rsidRPr="00AF1481">
              <w:t>4.41 (13.84)</w:t>
            </w:r>
          </w:p>
        </w:tc>
        <w:tc>
          <w:tcPr>
            <w:tcW w:w="755" w:type="pct"/>
            <w:vMerge/>
            <w:shd w:val="clear" w:color="auto" w:fill="auto"/>
          </w:tcPr>
          <w:p w14:paraId="276C3EE6" w14:textId="77777777" w:rsidR="00A474F6" w:rsidRPr="00AF1481" w:rsidRDefault="00A474F6" w:rsidP="008C5949">
            <w:pPr>
              <w:pStyle w:val="TableText0"/>
              <w:jc w:val="center"/>
            </w:pPr>
          </w:p>
        </w:tc>
        <w:tc>
          <w:tcPr>
            <w:tcW w:w="758" w:type="pct"/>
            <w:vMerge/>
            <w:shd w:val="clear" w:color="auto" w:fill="auto"/>
          </w:tcPr>
          <w:p w14:paraId="7EB5BB98" w14:textId="77777777" w:rsidR="00A474F6" w:rsidRPr="00AF1481" w:rsidRDefault="00A474F6" w:rsidP="008C5949">
            <w:pPr>
              <w:pStyle w:val="TableText0"/>
              <w:jc w:val="center"/>
            </w:pPr>
          </w:p>
        </w:tc>
      </w:tr>
    </w:tbl>
    <w:p w14:paraId="13F53E19" w14:textId="77777777" w:rsidR="00A05AA6" w:rsidRDefault="00A474F6" w:rsidP="00A474F6">
      <w:pPr>
        <w:pStyle w:val="FooterTableFigure"/>
      </w:pPr>
      <w:r w:rsidRPr="00AF1481">
        <w:t>Source: Table 2-24 p68 of the submission</w:t>
      </w:r>
    </w:p>
    <w:p w14:paraId="5CAAFD37" w14:textId="5DAB6958" w:rsidR="00A474F6" w:rsidRPr="00AF1481" w:rsidRDefault="00A474F6" w:rsidP="00A474F6">
      <w:pPr>
        <w:pStyle w:val="FooterTableFigure"/>
      </w:pPr>
      <w:r w:rsidRPr="00AF1481">
        <w:t>CI = confidence intervals; CRT = central retinal thickness; DMO = diabetic macular oedema; EDC = electronic data capture; FAS = full analysis set; LS = least square; MMRM = mixed model for repeated measurements; NEI-VFQ-25 = National Eye Institute Visual Function Questionnaire 25; SD = standard deviation; SE = standard error; 2q8 = aflibercept 2 mg administered every 8 weeks; 8q12 = aflibercept 8 mg administered every 12 weeks; 8q16 = aflibercept 8 mg administered every 16 weeks;</w:t>
      </w:r>
    </w:p>
    <w:p w14:paraId="26C1174D" w14:textId="77777777" w:rsidR="00A474F6" w:rsidRPr="00AF1481" w:rsidRDefault="00A474F6" w:rsidP="00A474F6">
      <w:pPr>
        <w:pStyle w:val="FooterTableFigure"/>
      </w:pPr>
      <w:r w:rsidRPr="00AF1481">
        <w:t>a. Estimate for contrast was based on the MMRM model with baseline NEI-VFQ-25 total score measurement as a covariate, treatment group and the stratification variables (geographic region [Japan vs Rest of World]; baseline CRT from reading centre [&lt;400μm vs ≥400μm], prior treatment for DMO per EDC; [yes vs no]) as fixed factors, and terms for the interaction between baseline and visit and the interaction between treatment and visit, computed for the differences of 8q12 minus 2q8 and 8q16 minus 2q8, respectively with 2-sided 95% CIs</w:t>
      </w:r>
    </w:p>
    <w:p w14:paraId="5C728218" w14:textId="77777777" w:rsidR="00A05AA6" w:rsidRDefault="00A474F6" w:rsidP="00A474F6">
      <w:pPr>
        <w:pStyle w:val="FooterTableFigure"/>
      </w:pPr>
      <w:r w:rsidRPr="00AF1481">
        <w:t>b. Nominal p-value for superiority test</w:t>
      </w:r>
    </w:p>
    <w:p w14:paraId="322B52F5" w14:textId="425BF27D" w:rsidR="00A474F6" w:rsidRPr="00AF1481" w:rsidRDefault="00A474F6" w:rsidP="00A474F6">
      <w:pPr>
        <w:pStyle w:val="4-SubsectionHeading"/>
      </w:pPr>
      <w:bookmarkStart w:id="58" w:name="_Toc22897642"/>
      <w:bookmarkStart w:id="59" w:name="_Toc153957297"/>
      <w:bookmarkStart w:id="60" w:name="_Toc156896369"/>
      <w:r w:rsidRPr="00AF1481">
        <w:t>Comparative harms</w:t>
      </w:r>
      <w:bookmarkEnd w:id="58"/>
      <w:bookmarkEnd w:id="59"/>
      <w:bookmarkEnd w:id="60"/>
    </w:p>
    <w:p w14:paraId="32C6487B" w14:textId="17DD3864" w:rsidR="00A05AA6" w:rsidRDefault="00A474F6" w:rsidP="00A474F6">
      <w:pPr>
        <w:pStyle w:val="ExecSumBodyText"/>
        <w:numPr>
          <w:ilvl w:val="1"/>
          <w:numId w:val="1"/>
        </w:numPr>
        <w:ind w:left="709" w:hanging="709"/>
        <w:rPr>
          <w:color w:val="0066FF"/>
        </w:rPr>
      </w:pPr>
      <w:bookmarkStart w:id="61" w:name="_Hlk104801403"/>
      <w:r w:rsidRPr="00AF1481">
        <w:t xml:space="preserve">A summary of safety outcomes for PHOTON to Week 60 is presented in </w:t>
      </w:r>
      <w:r w:rsidRPr="00AF1481">
        <w:fldChar w:fldCharType="begin"/>
      </w:r>
      <w:r w:rsidRPr="00AF1481">
        <w:instrText xml:space="preserve"> REF _Ref151458563 \h </w:instrText>
      </w:r>
      <w:r w:rsidRPr="00AF1481">
        <w:fldChar w:fldCharType="separate"/>
      </w:r>
      <w:r w:rsidR="009404AF" w:rsidRPr="00AF1481">
        <w:t xml:space="preserve">Table </w:t>
      </w:r>
      <w:r w:rsidR="009404AF">
        <w:rPr>
          <w:noProof/>
        </w:rPr>
        <w:t>8</w:t>
      </w:r>
      <w:r w:rsidRPr="00AF1481">
        <w:fldChar w:fldCharType="end"/>
      </w:r>
      <w:r w:rsidRPr="00AF1481">
        <w:t>.</w:t>
      </w:r>
      <w:bookmarkEnd w:id="61"/>
    </w:p>
    <w:p w14:paraId="11DC83AD" w14:textId="700CFF9B" w:rsidR="00A05AA6" w:rsidRDefault="00A474F6" w:rsidP="00F33FA1">
      <w:pPr>
        <w:pStyle w:val="3-BodyText"/>
        <w:ind w:left="720"/>
        <w:rPr>
          <w:iCs/>
        </w:rPr>
      </w:pPr>
      <w:r w:rsidRPr="00AF1481">
        <w:lastRenderedPageBreak/>
        <w:t xml:space="preserve">The incidence of adverse events (AEs) and treatment-emergent adverse events (TEAEs) was comparable between treatment arms in PHOTON. No significant treatment differences for study </w:t>
      </w:r>
      <w:r w:rsidR="00402E52" w:rsidRPr="00AF1481">
        <w:t>drug related</w:t>
      </w:r>
      <w:r w:rsidRPr="00AF1481">
        <w:t xml:space="preserve"> TEAEs, IVT injection procedure related TEAEs, procedure related TEAEs, fellow eye treatment related TEAEs or serious TEAEs were observed among treatment arms in PHOTON (</w:t>
      </w:r>
      <w:r w:rsidRPr="00AF1481">
        <w:fldChar w:fldCharType="begin"/>
      </w:r>
      <w:r w:rsidRPr="00AF1481">
        <w:instrText xml:space="preserve"> REF _Ref151458563 \h </w:instrText>
      </w:r>
      <w:r w:rsidR="00BE6F01" w:rsidRPr="00AF1481">
        <w:instrText xml:space="preserve"> \* MERGEFORMAT </w:instrText>
      </w:r>
      <w:r w:rsidRPr="00AF1481">
        <w:fldChar w:fldCharType="separate"/>
      </w:r>
      <w:r w:rsidR="009404AF" w:rsidRPr="00AF1481">
        <w:t xml:space="preserve">Table </w:t>
      </w:r>
      <w:r w:rsidR="009404AF">
        <w:t>8</w:t>
      </w:r>
      <w:r w:rsidRPr="00AF1481">
        <w:fldChar w:fldCharType="end"/>
      </w:r>
      <w:r w:rsidRPr="00AF1481">
        <w:t xml:space="preserve">). </w:t>
      </w:r>
      <w:r w:rsidRPr="00AF1481">
        <w:rPr>
          <w:iCs/>
        </w:rPr>
        <w:t>However, PHOTON was not powered for direct comparisons of AEs between the study groups.</w:t>
      </w:r>
    </w:p>
    <w:p w14:paraId="3336575A" w14:textId="7BD768CD" w:rsidR="00A474F6" w:rsidRPr="00AF1481" w:rsidRDefault="00A474F6" w:rsidP="00B56ADE">
      <w:pPr>
        <w:pStyle w:val="3-BodyText"/>
        <w:ind w:left="720"/>
        <w:rPr>
          <w:color w:val="000000" w:themeColor="text1"/>
        </w:rPr>
      </w:pPr>
      <w:r w:rsidRPr="00AF1481">
        <w:rPr>
          <w:color w:val="000000" w:themeColor="text1"/>
        </w:rPr>
        <w:t>The most common ocular TEAEs in the study eye were eye disorders (32.9%, 33.1% and 25.7% in the 8q12, 8q16 and 2q8 arms), and mostly included cataract, conjunctival haemorrhage, diabetic retinal oedema, eye pain, punctate keratitis, retinal haemorrhage, vitreous detachment, and vitreous floaters, all of which occurred at similar frequencies (≤5%) in all treatment arms. Reported events were consistent with the known safety profile of IVT aflibercept.</w:t>
      </w:r>
    </w:p>
    <w:p w14:paraId="46C1EB17" w14:textId="506F35E3" w:rsidR="00A474F6" w:rsidRPr="00AF1481" w:rsidRDefault="00A474F6" w:rsidP="00FD014B">
      <w:pPr>
        <w:pStyle w:val="TableFigureHeading"/>
        <w:keepLines/>
        <w:pageBreakBefore/>
      </w:pPr>
      <w:bookmarkStart w:id="62" w:name="_Ref151458563"/>
      <w:bookmarkStart w:id="63" w:name="_Ref152776516"/>
      <w:r w:rsidRPr="00AF1481">
        <w:lastRenderedPageBreak/>
        <w:t xml:space="preserve">Table </w:t>
      </w:r>
      <w:r w:rsidR="00393E69">
        <w:fldChar w:fldCharType="begin"/>
      </w:r>
      <w:r w:rsidR="00393E69">
        <w:instrText xml:space="preserve"> SEQ Table \* ARABIC </w:instrText>
      </w:r>
      <w:r w:rsidR="00393E69">
        <w:fldChar w:fldCharType="separate"/>
      </w:r>
      <w:r w:rsidR="009404AF">
        <w:rPr>
          <w:noProof/>
        </w:rPr>
        <w:t>8</w:t>
      </w:r>
      <w:r w:rsidR="00393E69">
        <w:fldChar w:fldCharType="end"/>
      </w:r>
      <w:bookmarkEnd w:id="62"/>
      <w:r w:rsidRPr="00AF1481">
        <w:t xml:space="preserve">: </w:t>
      </w:r>
      <w:r w:rsidRPr="00AF1481">
        <w:rPr>
          <w:rStyle w:val="CommentReference"/>
          <w:b/>
          <w:szCs w:val="24"/>
        </w:rPr>
        <w:t>Summary of key adverse events in PHOTON, (SAF)</w:t>
      </w:r>
      <w:bookmarkEnd w:id="63"/>
    </w:p>
    <w:tbl>
      <w:tblPr>
        <w:tblStyle w:val="TableGrid"/>
        <w:tblpPr w:leftFromText="180" w:rightFromText="180" w:vertAnchor="text" w:horzAnchor="margin" w:tblpY="108"/>
        <w:tblW w:w="9047" w:type="dxa"/>
        <w:tblLook w:val="04A0" w:firstRow="1" w:lastRow="0" w:firstColumn="1" w:lastColumn="0" w:noHBand="0" w:noVBand="1"/>
      </w:tblPr>
      <w:tblGrid>
        <w:gridCol w:w="1696"/>
        <w:gridCol w:w="942"/>
        <w:gridCol w:w="890"/>
        <w:gridCol w:w="885"/>
        <w:gridCol w:w="1132"/>
        <w:gridCol w:w="1147"/>
        <w:gridCol w:w="1107"/>
        <w:gridCol w:w="1248"/>
      </w:tblGrid>
      <w:tr w:rsidR="00A474F6" w:rsidRPr="00AF1481" w14:paraId="5E9AF035" w14:textId="77777777" w:rsidTr="0080187E">
        <w:trPr>
          <w:trHeight w:val="284"/>
          <w:tblHeader/>
        </w:trPr>
        <w:tc>
          <w:tcPr>
            <w:tcW w:w="1696" w:type="dxa"/>
            <w:vMerge w:val="restart"/>
            <w:shd w:val="clear" w:color="auto" w:fill="auto"/>
            <w:vAlign w:val="center"/>
          </w:tcPr>
          <w:p w14:paraId="1864B191" w14:textId="77777777" w:rsidR="00A474F6" w:rsidRPr="00AF1481" w:rsidRDefault="00A474F6" w:rsidP="001A5A0A">
            <w:pPr>
              <w:pStyle w:val="TableText0"/>
              <w:keepLines/>
              <w:rPr>
                <w:b/>
                <w:bCs w:val="0"/>
              </w:rPr>
            </w:pPr>
            <w:r w:rsidRPr="00AF1481">
              <w:rPr>
                <w:b/>
                <w:bCs w:val="0"/>
              </w:rPr>
              <w:t>Outcome</w:t>
            </w:r>
          </w:p>
        </w:tc>
        <w:tc>
          <w:tcPr>
            <w:tcW w:w="942" w:type="dxa"/>
            <w:vMerge w:val="restart"/>
            <w:shd w:val="clear" w:color="auto" w:fill="auto"/>
            <w:vAlign w:val="center"/>
          </w:tcPr>
          <w:p w14:paraId="440BB934" w14:textId="77777777" w:rsidR="00A05AA6" w:rsidRDefault="00A474F6" w:rsidP="001A5A0A">
            <w:pPr>
              <w:pStyle w:val="TableText0"/>
              <w:keepLines/>
              <w:jc w:val="center"/>
              <w:rPr>
                <w:b/>
                <w:bCs w:val="0"/>
              </w:rPr>
            </w:pPr>
            <w:r w:rsidRPr="00AF1481">
              <w:rPr>
                <w:b/>
                <w:bCs w:val="0"/>
              </w:rPr>
              <w:t>8q12</w:t>
            </w:r>
          </w:p>
          <w:p w14:paraId="20F209D7" w14:textId="53B4396C" w:rsidR="00A474F6" w:rsidRPr="00AF1481" w:rsidRDefault="00A474F6" w:rsidP="001A5A0A">
            <w:pPr>
              <w:pStyle w:val="TableText0"/>
              <w:keepLines/>
              <w:jc w:val="center"/>
              <w:rPr>
                <w:b/>
                <w:bCs w:val="0"/>
              </w:rPr>
            </w:pPr>
            <w:r w:rsidRPr="00AF1481">
              <w:rPr>
                <w:b/>
                <w:bCs w:val="0"/>
              </w:rPr>
              <w:t>(N=328)</w:t>
            </w:r>
          </w:p>
          <w:p w14:paraId="007044D1" w14:textId="77777777" w:rsidR="00A474F6" w:rsidRPr="00AF1481" w:rsidRDefault="00A474F6" w:rsidP="001A5A0A">
            <w:pPr>
              <w:pStyle w:val="TableText0"/>
              <w:keepLines/>
              <w:jc w:val="center"/>
              <w:rPr>
                <w:b/>
                <w:bCs w:val="0"/>
              </w:rPr>
            </w:pPr>
            <w:r w:rsidRPr="00AF1481">
              <w:rPr>
                <w:b/>
                <w:bCs w:val="0"/>
              </w:rPr>
              <w:t>n (%)</w:t>
            </w:r>
          </w:p>
        </w:tc>
        <w:tc>
          <w:tcPr>
            <w:tcW w:w="890" w:type="dxa"/>
            <w:vMerge w:val="restart"/>
            <w:shd w:val="clear" w:color="auto" w:fill="auto"/>
            <w:vAlign w:val="center"/>
          </w:tcPr>
          <w:p w14:paraId="1DACEDE7" w14:textId="77777777" w:rsidR="00A05AA6" w:rsidRDefault="00A474F6" w:rsidP="001A5A0A">
            <w:pPr>
              <w:pStyle w:val="TableText0"/>
              <w:keepLines/>
              <w:jc w:val="center"/>
              <w:rPr>
                <w:b/>
                <w:bCs w:val="0"/>
              </w:rPr>
            </w:pPr>
            <w:r w:rsidRPr="00AF1481">
              <w:rPr>
                <w:b/>
                <w:bCs w:val="0"/>
              </w:rPr>
              <w:t>8q16</w:t>
            </w:r>
          </w:p>
          <w:p w14:paraId="78376157" w14:textId="10CCD8FC" w:rsidR="00A474F6" w:rsidRPr="00AF1481" w:rsidRDefault="00A474F6" w:rsidP="001A5A0A">
            <w:pPr>
              <w:pStyle w:val="TableText0"/>
              <w:keepLines/>
              <w:jc w:val="center"/>
              <w:rPr>
                <w:b/>
                <w:bCs w:val="0"/>
              </w:rPr>
            </w:pPr>
            <w:r w:rsidRPr="00AF1481">
              <w:rPr>
                <w:b/>
                <w:bCs w:val="0"/>
              </w:rPr>
              <w:t>(N=163)</w:t>
            </w:r>
          </w:p>
          <w:p w14:paraId="7F9E38DE" w14:textId="77777777" w:rsidR="00A474F6" w:rsidRPr="00AF1481" w:rsidRDefault="00A474F6" w:rsidP="001A5A0A">
            <w:pPr>
              <w:pStyle w:val="TableText0"/>
              <w:keepLines/>
              <w:jc w:val="center"/>
              <w:rPr>
                <w:b/>
                <w:bCs w:val="0"/>
              </w:rPr>
            </w:pPr>
            <w:r w:rsidRPr="00AF1481">
              <w:rPr>
                <w:b/>
                <w:bCs w:val="0"/>
              </w:rPr>
              <w:t>n (%)</w:t>
            </w:r>
          </w:p>
        </w:tc>
        <w:tc>
          <w:tcPr>
            <w:tcW w:w="885" w:type="dxa"/>
            <w:vMerge w:val="restart"/>
            <w:shd w:val="clear" w:color="auto" w:fill="auto"/>
            <w:vAlign w:val="center"/>
          </w:tcPr>
          <w:p w14:paraId="4C6D7239" w14:textId="77777777" w:rsidR="00A05AA6" w:rsidRDefault="00A474F6" w:rsidP="001A5A0A">
            <w:pPr>
              <w:pStyle w:val="TableText0"/>
              <w:keepLines/>
              <w:jc w:val="center"/>
              <w:rPr>
                <w:b/>
                <w:bCs w:val="0"/>
              </w:rPr>
            </w:pPr>
            <w:r w:rsidRPr="00AF1481">
              <w:rPr>
                <w:b/>
                <w:bCs w:val="0"/>
              </w:rPr>
              <w:t>2q8</w:t>
            </w:r>
          </w:p>
          <w:p w14:paraId="23ABE8AF" w14:textId="0E2F6CCB" w:rsidR="00A474F6" w:rsidRPr="00AF1481" w:rsidRDefault="00A474F6" w:rsidP="001A5A0A">
            <w:pPr>
              <w:pStyle w:val="TableText0"/>
              <w:keepLines/>
              <w:jc w:val="center"/>
              <w:rPr>
                <w:b/>
                <w:bCs w:val="0"/>
              </w:rPr>
            </w:pPr>
            <w:r w:rsidRPr="00AF1481">
              <w:rPr>
                <w:b/>
                <w:bCs w:val="0"/>
              </w:rPr>
              <w:t>(N=167)</w:t>
            </w:r>
          </w:p>
          <w:p w14:paraId="150A59C5" w14:textId="77777777" w:rsidR="00A474F6" w:rsidRPr="00AF1481" w:rsidRDefault="00A474F6" w:rsidP="001A5A0A">
            <w:pPr>
              <w:pStyle w:val="TableText0"/>
              <w:keepLines/>
              <w:jc w:val="center"/>
              <w:rPr>
                <w:b/>
                <w:bCs w:val="0"/>
              </w:rPr>
            </w:pPr>
            <w:r w:rsidRPr="00AF1481">
              <w:rPr>
                <w:b/>
                <w:bCs w:val="0"/>
              </w:rPr>
              <w:t>n (%)</w:t>
            </w:r>
          </w:p>
        </w:tc>
        <w:tc>
          <w:tcPr>
            <w:tcW w:w="2279" w:type="dxa"/>
            <w:gridSpan w:val="2"/>
            <w:shd w:val="clear" w:color="auto" w:fill="auto"/>
            <w:vAlign w:val="center"/>
          </w:tcPr>
          <w:p w14:paraId="49228606" w14:textId="77777777" w:rsidR="00A474F6" w:rsidRPr="00AF1481" w:rsidRDefault="00A474F6" w:rsidP="001A5A0A">
            <w:pPr>
              <w:pStyle w:val="TableText0"/>
              <w:keepLines/>
              <w:jc w:val="center"/>
              <w:rPr>
                <w:b/>
                <w:bCs w:val="0"/>
              </w:rPr>
            </w:pPr>
            <w:r w:rsidRPr="00AF1481">
              <w:rPr>
                <w:b/>
                <w:bCs w:val="0"/>
              </w:rPr>
              <w:t>8q12 vs 2q8</w:t>
            </w:r>
          </w:p>
        </w:tc>
        <w:tc>
          <w:tcPr>
            <w:tcW w:w="2355" w:type="dxa"/>
            <w:gridSpan w:val="2"/>
            <w:shd w:val="clear" w:color="auto" w:fill="auto"/>
            <w:vAlign w:val="center"/>
          </w:tcPr>
          <w:p w14:paraId="4C7C7B81" w14:textId="77777777" w:rsidR="00A474F6" w:rsidRPr="00AF1481" w:rsidRDefault="00A474F6" w:rsidP="001A5A0A">
            <w:pPr>
              <w:pStyle w:val="TableText0"/>
              <w:keepLines/>
              <w:jc w:val="center"/>
              <w:rPr>
                <w:b/>
                <w:bCs w:val="0"/>
              </w:rPr>
            </w:pPr>
            <w:r w:rsidRPr="00AF1481">
              <w:rPr>
                <w:b/>
                <w:bCs w:val="0"/>
              </w:rPr>
              <w:t>8q16 vs 2q8</w:t>
            </w:r>
          </w:p>
        </w:tc>
      </w:tr>
      <w:tr w:rsidR="0080187E" w:rsidRPr="00AF1481" w14:paraId="06991BE2" w14:textId="77777777" w:rsidTr="0080187E">
        <w:trPr>
          <w:trHeight w:val="284"/>
          <w:tblHeader/>
        </w:trPr>
        <w:tc>
          <w:tcPr>
            <w:tcW w:w="1696" w:type="dxa"/>
            <w:vMerge/>
            <w:shd w:val="clear" w:color="auto" w:fill="auto"/>
            <w:vAlign w:val="center"/>
          </w:tcPr>
          <w:p w14:paraId="78FE141E" w14:textId="77777777" w:rsidR="00A474F6" w:rsidRPr="00AF1481" w:rsidRDefault="00A474F6" w:rsidP="001A5A0A">
            <w:pPr>
              <w:pStyle w:val="TableText0"/>
              <w:keepLines/>
              <w:rPr>
                <w:b/>
                <w:bCs w:val="0"/>
              </w:rPr>
            </w:pPr>
          </w:p>
        </w:tc>
        <w:tc>
          <w:tcPr>
            <w:tcW w:w="942" w:type="dxa"/>
            <w:vMerge/>
            <w:shd w:val="clear" w:color="auto" w:fill="auto"/>
            <w:vAlign w:val="center"/>
          </w:tcPr>
          <w:p w14:paraId="4656AE32" w14:textId="77777777" w:rsidR="00A474F6" w:rsidRPr="00AF1481" w:rsidRDefault="00A474F6" w:rsidP="001A5A0A">
            <w:pPr>
              <w:pStyle w:val="TableText0"/>
              <w:keepLines/>
              <w:jc w:val="center"/>
              <w:rPr>
                <w:b/>
                <w:bCs w:val="0"/>
              </w:rPr>
            </w:pPr>
          </w:p>
        </w:tc>
        <w:tc>
          <w:tcPr>
            <w:tcW w:w="890" w:type="dxa"/>
            <w:vMerge/>
            <w:shd w:val="clear" w:color="auto" w:fill="auto"/>
            <w:vAlign w:val="center"/>
          </w:tcPr>
          <w:p w14:paraId="06659234" w14:textId="77777777" w:rsidR="00A474F6" w:rsidRPr="00AF1481" w:rsidRDefault="00A474F6" w:rsidP="001A5A0A">
            <w:pPr>
              <w:pStyle w:val="TableText0"/>
              <w:keepLines/>
              <w:jc w:val="center"/>
              <w:rPr>
                <w:b/>
                <w:bCs w:val="0"/>
              </w:rPr>
            </w:pPr>
          </w:p>
        </w:tc>
        <w:tc>
          <w:tcPr>
            <w:tcW w:w="885" w:type="dxa"/>
            <w:vMerge/>
            <w:shd w:val="clear" w:color="auto" w:fill="auto"/>
            <w:vAlign w:val="center"/>
          </w:tcPr>
          <w:p w14:paraId="01A686CC" w14:textId="77777777" w:rsidR="00A474F6" w:rsidRPr="00AF1481" w:rsidRDefault="00A474F6" w:rsidP="001A5A0A">
            <w:pPr>
              <w:pStyle w:val="TableText0"/>
              <w:keepLines/>
              <w:jc w:val="center"/>
              <w:rPr>
                <w:b/>
                <w:bCs w:val="0"/>
              </w:rPr>
            </w:pPr>
          </w:p>
        </w:tc>
        <w:tc>
          <w:tcPr>
            <w:tcW w:w="1132" w:type="dxa"/>
            <w:tcBorders>
              <w:bottom w:val="single" w:sz="4" w:space="0" w:color="auto"/>
            </w:tcBorders>
            <w:shd w:val="clear" w:color="auto" w:fill="auto"/>
            <w:vAlign w:val="center"/>
          </w:tcPr>
          <w:p w14:paraId="7F023E0F" w14:textId="77777777" w:rsidR="00A05AA6" w:rsidRDefault="00A474F6" w:rsidP="001A5A0A">
            <w:pPr>
              <w:pStyle w:val="TableText0"/>
              <w:keepLines/>
              <w:jc w:val="center"/>
              <w:rPr>
                <w:b/>
                <w:bCs w:val="0"/>
              </w:rPr>
            </w:pPr>
            <w:r w:rsidRPr="00AF1481">
              <w:rPr>
                <w:b/>
                <w:bCs w:val="0"/>
              </w:rPr>
              <w:t>OR</w:t>
            </w:r>
          </w:p>
          <w:p w14:paraId="1C9E54FA" w14:textId="1DC3E3AE" w:rsidR="00A474F6" w:rsidRPr="00AF1481" w:rsidRDefault="00A474F6" w:rsidP="001A5A0A">
            <w:pPr>
              <w:pStyle w:val="TableText0"/>
              <w:keepLines/>
              <w:jc w:val="center"/>
              <w:rPr>
                <w:b/>
                <w:bCs w:val="0"/>
              </w:rPr>
            </w:pPr>
            <w:r w:rsidRPr="00AF1481">
              <w:rPr>
                <w:b/>
                <w:bCs w:val="0"/>
              </w:rPr>
              <w:t>(95% CI)</w:t>
            </w:r>
          </w:p>
        </w:tc>
        <w:tc>
          <w:tcPr>
            <w:tcW w:w="1147" w:type="dxa"/>
            <w:tcBorders>
              <w:bottom w:val="single" w:sz="4" w:space="0" w:color="auto"/>
            </w:tcBorders>
            <w:shd w:val="clear" w:color="auto" w:fill="auto"/>
            <w:vAlign w:val="center"/>
          </w:tcPr>
          <w:p w14:paraId="53D1FD97" w14:textId="77777777" w:rsidR="00A05AA6" w:rsidRDefault="00A474F6" w:rsidP="001A5A0A">
            <w:pPr>
              <w:pStyle w:val="TableText0"/>
              <w:keepLines/>
              <w:jc w:val="center"/>
              <w:rPr>
                <w:b/>
                <w:bCs w:val="0"/>
              </w:rPr>
            </w:pPr>
            <w:r w:rsidRPr="00AF1481">
              <w:rPr>
                <w:b/>
                <w:bCs w:val="0"/>
              </w:rPr>
              <w:t>RD</w:t>
            </w:r>
          </w:p>
          <w:p w14:paraId="7B7076C6" w14:textId="1413B9F7" w:rsidR="00A474F6" w:rsidRPr="00AF1481" w:rsidRDefault="00A474F6" w:rsidP="001A5A0A">
            <w:pPr>
              <w:pStyle w:val="TableText0"/>
              <w:keepLines/>
              <w:jc w:val="center"/>
              <w:rPr>
                <w:b/>
                <w:bCs w:val="0"/>
              </w:rPr>
            </w:pPr>
            <w:r w:rsidRPr="00AF1481">
              <w:rPr>
                <w:b/>
                <w:bCs w:val="0"/>
              </w:rPr>
              <w:t>(95% CI)</w:t>
            </w:r>
          </w:p>
        </w:tc>
        <w:tc>
          <w:tcPr>
            <w:tcW w:w="1107" w:type="dxa"/>
            <w:tcBorders>
              <w:bottom w:val="single" w:sz="4" w:space="0" w:color="auto"/>
            </w:tcBorders>
            <w:shd w:val="clear" w:color="auto" w:fill="auto"/>
            <w:vAlign w:val="center"/>
          </w:tcPr>
          <w:p w14:paraId="55651A1F" w14:textId="77777777" w:rsidR="00A05AA6" w:rsidRDefault="00A474F6" w:rsidP="001A5A0A">
            <w:pPr>
              <w:pStyle w:val="TableText0"/>
              <w:keepLines/>
              <w:jc w:val="center"/>
              <w:rPr>
                <w:b/>
                <w:bCs w:val="0"/>
              </w:rPr>
            </w:pPr>
            <w:r w:rsidRPr="00AF1481">
              <w:rPr>
                <w:b/>
                <w:bCs w:val="0"/>
              </w:rPr>
              <w:t>OR</w:t>
            </w:r>
          </w:p>
          <w:p w14:paraId="47ED4105" w14:textId="39FA60EC" w:rsidR="00A474F6" w:rsidRPr="00AF1481" w:rsidRDefault="00A474F6" w:rsidP="001A5A0A">
            <w:pPr>
              <w:pStyle w:val="TableText0"/>
              <w:keepLines/>
              <w:jc w:val="center"/>
              <w:rPr>
                <w:b/>
                <w:bCs w:val="0"/>
              </w:rPr>
            </w:pPr>
            <w:r w:rsidRPr="00AF1481">
              <w:rPr>
                <w:b/>
                <w:bCs w:val="0"/>
              </w:rPr>
              <w:t>(95% CI)</w:t>
            </w:r>
          </w:p>
        </w:tc>
        <w:tc>
          <w:tcPr>
            <w:tcW w:w="1248" w:type="dxa"/>
            <w:tcBorders>
              <w:bottom w:val="single" w:sz="4" w:space="0" w:color="auto"/>
            </w:tcBorders>
            <w:shd w:val="clear" w:color="auto" w:fill="auto"/>
            <w:vAlign w:val="center"/>
          </w:tcPr>
          <w:p w14:paraId="1FA2A694" w14:textId="77777777" w:rsidR="00A05AA6" w:rsidRDefault="00A474F6" w:rsidP="001A5A0A">
            <w:pPr>
              <w:pStyle w:val="TableText0"/>
              <w:keepLines/>
              <w:jc w:val="center"/>
              <w:rPr>
                <w:b/>
                <w:bCs w:val="0"/>
              </w:rPr>
            </w:pPr>
            <w:r w:rsidRPr="00AF1481">
              <w:rPr>
                <w:b/>
                <w:bCs w:val="0"/>
              </w:rPr>
              <w:t>RD</w:t>
            </w:r>
          </w:p>
          <w:p w14:paraId="180B5A6F" w14:textId="22A7EFAE" w:rsidR="00A474F6" w:rsidRPr="00AF1481" w:rsidRDefault="00A474F6" w:rsidP="001A5A0A">
            <w:pPr>
              <w:pStyle w:val="TableText0"/>
              <w:keepLines/>
              <w:jc w:val="center"/>
              <w:rPr>
                <w:b/>
                <w:bCs w:val="0"/>
              </w:rPr>
            </w:pPr>
            <w:r w:rsidRPr="00AF1481">
              <w:rPr>
                <w:b/>
                <w:bCs w:val="0"/>
              </w:rPr>
              <w:t>(95% CI)</w:t>
            </w:r>
          </w:p>
        </w:tc>
      </w:tr>
      <w:tr w:rsidR="00A474F6" w:rsidRPr="00AF1481" w14:paraId="6A559BA9" w14:textId="77777777" w:rsidTr="0080187E">
        <w:trPr>
          <w:trHeight w:val="284"/>
          <w:tblHeader/>
        </w:trPr>
        <w:tc>
          <w:tcPr>
            <w:tcW w:w="1696" w:type="dxa"/>
            <w:vMerge/>
            <w:tcBorders>
              <w:bottom w:val="single" w:sz="4" w:space="0" w:color="auto"/>
            </w:tcBorders>
            <w:shd w:val="clear" w:color="auto" w:fill="auto"/>
            <w:vAlign w:val="center"/>
          </w:tcPr>
          <w:p w14:paraId="3ACF727C" w14:textId="77777777" w:rsidR="00A474F6" w:rsidRPr="00AF1481" w:rsidRDefault="00A474F6" w:rsidP="001A5A0A">
            <w:pPr>
              <w:pStyle w:val="TableText0"/>
              <w:keepLines/>
              <w:rPr>
                <w:b/>
                <w:bCs w:val="0"/>
              </w:rPr>
            </w:pPr>
          </w:p>
        </w:tc>
        <w:tc>
          <w:tcPr>
            <w:tcW w:w="942" w:type="dxa"/>
            <w:vMerge/>
            <w:tcBorders>
              <w:bottom w:val="single" w:sz="4" w:space="0" w:color="auto"/>
            </w:tcBorders>
            <w:shd w:val="clear" w:color="auto" w:fill="auto"/>
            <w:vAlign w:val="center"/>
          </w:tcPr>
          <w:p w14:paraId="4367E087" w14:textId="77777777" w:rsidR="00A474F6" w:rsidRPr="00AF1481" w:rsidRDefault="00A474F6" w:rsidP="001A5A0A">
            <w:pPr>
              <w:pStyle w:val="TableText0"/>
              <w:keepLines/>
              <w:jc w:val="center"/>
              <w:rPr>
                <w:b/>
                <w:bCs w:val="0"/>
              </w:rPr>
            </w:pPr>
          </w:p>
        </w:tc>
        <w:tc>
          <w:tcPr>
            <w:tcW w:w="890" w:type="dxa"/>
            <w:vMerge/>
            <w:tcBorders>
              <w:bottom w:val="single" w:sz="4" w:space="0" w:color="auto"/>
            </w:tcBorders>
            <w:shd w:val="clear" w:color="auto" w:fill="auto"/>
            <w:vAlign w:val="center"/>
          </w:tcPr>
          <w:p w14:paraId="031D80F3" w14:textId="77777777" w:rsidR="00A474F6" w:rsidRPr="00AF1481" w:rsidRDefault="00A474F6" w:rsidP="001A5A0A">
            <w:pPr>
              <w:pStyle w:val="TableText0"/>
              <w:keepLines/>
              <w:jc w:val="center"/>
              <w:rPr>
                <w:b/>
                <w:bCs w:val="0"/>
              </w:rPr>
            </w:pPr>
          </w:p>
        </w:tc>
        <w:tc>
          <w:tcPr>
            <w:tcW w:w="885" w:type="dxa"/>
            <w:vMerge/>
            <w:tcBorders>
              <w:bottom w:val="single" w:sz="4" w:space="0" w:color="auto"/>
            </w:tcBorders>
            <w:shd w:val="clear" w:color="auto" w:fill="auto"/>
            <w:vAlign w:val="center"/>
          </w:tcPr>
          <w:p w14:paraId="1DE89EF4" w14:textId="77777777" w:rsidR="00A474F6" w:rsidRPr="00AF1481" w:rsidRDefault="00A474F6" w:rsidP="001A5A0A">
            <w:pPr>
              <w:pStyle w:val="TableText0"/>
              <w:keepLines/>
              <w:jc w:val="center"/>
              <w:rPr>
                <w:b/>
                <w:bCs w:val="0"/>
              </w:rPr>
            </w:pPr>
          </w:p>
        </w:tc>
        <w:tc>
          <w:tcPr>
            <w:tcW w:w="4634" w:type="dxa"/>
            <w:gridSpan w:val="4"/>
            <w:tcBorders>
              <w:bottom w:val="single" w:sz="4" w:space="0" w:color="auto"/>
            </w:tcBorders>
            <w:shd w:val="clear" w:color="auto" w:fill="auto"/>
            <w:vAlign w:val="center"/>
          </w:tcPr>
          <w:p w14:paraId="0026C4B9" w14:textId="77777777" w:rsidR="00A474F6" w:rsidRPr="00AF1481" w:rsidRDefault="00A474F6" w:rsidP="001A5A0A">
            <w:pPr>
              <w:pStyle w:val="TableText0"/>
              <w:keepLines/>
              <w:jc w:val="center"/>
              <w:rPr>
                <w:b/>
                <w:bCs w:val="0"/>
              </w:rPr>
            </w:pPr>
            <w:r w:rsidRPr="00AF1481">
              <w:rPr>
                <w:b/>
                <w:bCs w:val="0"/>
              </w:rPr>
              <w:t>OR&lt;1 favours 8q12/8q16; RD&lt;0 favours 8q12/8q16</w:t>
            </w:r>
          </w:p>
        </w:tc>
      </w:tr>
      <w:tr w:rsidR="0080187E" w:rsidRPr="00AF1481" w14:paraId="52E95DA4" w14:textId="77777777" w:rsidTr="0080187E">
        <w:trPr>
          <w:trHeight w:val="284"/>
        </w:trPr>
        <w:tc>
          <w:tcPr>
            <w:tcW w:w="1696" w:type="dxa"/>
            <w:tcBorders>
              <w:bottom w:val="dotted" w:sz="4" w:space="0" w:color="auto"/>
              <w:right w:val="single" w:sz="4" w:space="0" w:color="auto"/>
            </w:tcBorders>
            <w:shd w:val="clear" w:color="auto" w:fill="auto"/>
            <w:vAlign w:val="center"/>
          </w:tcPr>
          <w:p w14:paraId="714193E9" w14:textId="77777777" w:rsidR="00A474F6" w:rsidRPr="00AF1481" w:rsidRDefault="00A474F6" w:rsidP="001A5A0A">
            <w:pPr>
              <w:pStyle w:val="TableText0"/>
              <w:keepLines/>
            </w:pPr>
            <w:r w:rsidRPr="00AF1481">
              <w:t>Any AE</w:t>
            </w:r>
          </w:p>
        </w:tc>
        <w:tc>
          <w:tcPr>
            <w:tcW w:w="942" w:type="dxa"/>
            <w:tcBorders>
              <w:left w:val="single" w:sz="4" w:space="0" w:color="auto"/>
              <w:bottom w:val="dotted" w:sz="4" w:space="0" w:color="auto"/>
              <w:right w:val="single" w:sz="4" w:space="0" w:color="auto"/>
            </w:tcBorders>
            <w:shd w:val="clear" w:color="auto" w:fill="auto"/>
            <w:vAlign w:val="center"/>
          </w:tcPr>
          <w:p w14:paraId="69954D41" w14:textId="77777777" w:rsidR="00A05AA6" w:rsidRDefault="00A474F6" w:rsidP="001A5A0A">
            <w:pPr>
              <w:pStyle w:val="TableText0"/>
              <w:keepLines/>
              <w:jc w:val="center"/>
            </w:pPr>
            <w:r w:rsidRPr="00AF1481">
              <w:t>247</w:t>
            </w:r>
          </w:p>
          <w:p w14:paraId="18CE00C1" w14:textId="3DDD305E" w:rsidR="00A474F6" w:rsidRPr="00AF1481" w:rsidRDefault="00A474F6" w:rsidP="001A5A0A">
            <w:pPr>
              <w:pStyle w:val="TableText0"/>
              <w:keepLines/>
              <w:jc w:val="center"/>
            </w:pPr>
            <w:r w:rsidRPr="00AF1481">
              <w:t>(75.30%)</w:t>
            </w:r>
          </w:p>
        </w:tc>
        <w:tc>
          <w:tcPr>
            <w:tcW w:w="890" w:type="dxa"/>
            <w:tcBorders>
              <w:left w:val="single" w:sz="4" w:space="0" w:color="auto"/>
              <w:bottom w:val="dotted" w:sz="4" w:space="0" w:color="auto"/>
              <w:right w:val="single" w:sz="4" w:space="0" w:color="auto"/>
            </w:tcBorders>
            <w:shd w:val="clear" w:color="auto" w:fill="auto"/>
            <w:vAlign w:val="center"/>
          </w:tcPr>
          <w:p w14:paraId="61FA4ADA" w14:textId="77777777" w:rsidR="00A05AA6" w:rsidRDefault="00A474F6" w:rsidP="001A5A0A">
            <w:pPr>
              <w:pStyle w:val="TableText0"/>
              <w:keepLines/>
              <w:jc w:val="center"/>
            </w:pPr>
            <w:r w:rsidRPr="00AF1481">
              <w:t>128</w:t>
            </w:r>
          </w:p>
          <w:p w14:paraId="399C92DE" w14:textId="1FC19EEA" w:rsidR="00A474F6" w:rsidRPr="00AF1481" w:rsidRDefault="00A474F6" w:rsidP="001A5A0A">
            <w:pPr>
              <w:pStyle w:val="TableText0"/>
              <w:keepLines/>
              <w:jc w:val="center"/>
            </w:pPr>
            <w:r w:rsidRPr="00AF1481">
              <w:t>(78.53%)</w:t>
            </w:r>
          </w:p>
        </w:tc>
        <w:tc>
          <w:tcPr>
            <w:tcW w:w="885" w:type="dxa"/>
            <w:tcBorders>
              <w:left w:val="single" w:sz="4" w:space="0" w:color="auto"/>
              <w:bottom w:val="dotted" w:sz="4" w:space="0" w:color="auto"/>
              <w:right w:val="single" w:sz="4" w:space="0" w:color="auto"/>
            </w:tcBorders>
            <w:shd w:val="clear" w:color="auto" w:fill="auto"/>
            <w:vAlign w:val="center"/>
          </w:tcPr>
          <w:p w14:paraId="29F42500" w14:textId="77777777" w:rsidR="00A05AA6" w:rsidRDefault="00A474F6" w:rsidP="001A5A0A">
            <w:pPr>
              <w:pStyle w:val="TableText0"/>
              <w:keepLines/>
              <w:jc w:val="center"/>
            </w:pPr>
            <w:r w:rsidRPr="00AF1481">
              <w:t>124</w:t>
            </w:r>
          </w:p>
          <w:p w14:paraId="163247E5" w14:textId="5A1670D9" w:rsidR="00A474F6" w:rsidRPr="00AF1481" w:rsidRDefault="00A474F6" w:rsidP="001A5A0A">
            <w:pPr>
              <w:pStyle w:val="TableText0"/>
              <w:keepLines/>
              <w:jc w:val="center"/>
            </w:pPr>
            <w:r w:rsidRPr="00AF1481">
              <w:t>(74.25%)</w:t>
            </w:r>
          </w:p>
        </w:tc>
        <w:tc>
          <w:tcPr>
            <w:tcW w:w="1132" w:type="dxa"/>
            <w:tcBorders>
              <w:left w:val="single" w:sz="4" w:space="0" w:color="auto"/>
              <w:bottom w:val="dotted" w:sz="4" w:space="0" w:color="auto"/>
              <w:right w:val="single" w:sz="4" w:space="0" w:color="auto"/>
            </w:tcBorders>
            <w:shd w:val="clear" w:color="auto" w:fill="auto"/>
            <w:vAlign w:val="center"/>
          </w:tcPr>
          <w:p w14:paraId="21FCD0DE" w14:textId="77777777" w:rsidR="00A474F6" w:rsidRPr="00AF1481" w:rsidRDefault="00A474F6" w:rsidP="001A5A0A">
            <w:pPr>
              <w:pStyle w:val="TableText0"/>
              <w:keepLines/>
              <w:jc w:val="center"/>
            </w:pPr>
            <w:r w:rsidRPr="00AF1481">
              <w:t>1.06</w:t>
            </w:r>
          </w:p>
          <w:p w14:paraId="7AE5A2B8" w14:textId="77777777" w:rsidR="00A474F6" w:rsidRPr="00AF1481" w:rsidRDefault="00A474F6" w:rsidP="001A5A0A">
            <w:pPr>
              <w:pStyle w:val="TableText0"/>
              <w:keepLines/>
              <w:jc w:val="center"/>
            </w:pPr>
            <w:r w:rsidRPr="00AF1481">
              <w:t>(0.69,1.62)</w:t>
            </w:r>
          </w:p>
        </w:tc>
        <w:tc>
          <w:tcPr>
            <w:tcW w:w="1147" w:type="dxa"/>
            <w:tcBorders>
              <w:left w:val="single" w:sz="4" w:space="0" w:color="auto"/>
              <w:bottom w:val="dotted" w:sz="4" w:space="0" w:color="auto"/>
              <w:right w:val="single" w:sz="4" w:space="0" w:color="auto"/>
            </w:tcBorders>
            <w:shd w:val="clear" w:color="auto" w:fill="auto"/>
            <w:vAlign w:val="center"/>
          </w:tcPr>
          <w:p w14:paraId="21945157" w14:textId="77777777" w:rsidR="00A05AA6" w:rsidRDefault="00A474F6" w:rsidP="001A5A0A">
            <w:pPr>
              <w:pStyle w:val="TableText0"/>
              <w:keepLines/>
              <w:jc w:val="center"/>
            </w:pPr>
            <w:r w:rsidRPr="00AF1481">
              <w:t>0.01</w:t>
            </w:r>
          </w:p>
          <w:p w14:paraId="6510E542" w14:textId="163C479F" w:rsidR="00A474F6" w:rsidRPr="00AF1481" w:rsidRDefault="00A474F6" w:rsidP="001A5A0A">
            <w:pPr>
              <w:pStyle w:val="TableText0"/>
              <w:keepLines/>
              <w:jc w:val="center"/>
            </w:pPr>
            <w:r w:rsidRPr="00AF1481">
              <w:t>(–0.07,0.09)</w:t>
            </w:r>
          </w:p>
        </w:tc>
        <w:tc>
          <w:tcPr>
            <w:tcW w:w="1107" w:type="dxa"/>
            <w:tcBorders>
              <w:left w:val="single" w:sz="4" w:space="0" w:color="auto"/>
              <w:bottom w:val="dotted" w:sz="4" w:space="0" w:color="auto"/>
              <w:right w:val="single" w:sz="4" w:space="0" w:color="auto"/>
            </w:tcBorders>
            <w:shd w:val="clear" w:color="auto" w:fill="auto"/>
            <w:vAlign w:val="center"/>
          </w:tcPr>
          <w:p w14:paraId="15363115" w14:textId="77777777" w:rsidR="00A05AA6" w:rsidRDefault="00A474F6" w:rsidP="001A5A0A">
            <w:pPr>
              <w:pStyle w:val="TableText0"/>
              <w:keepLines/>
              <w:jc w:val="center"/>
            </w:pPr>
            <w:r w:rsidRPr="00AF1481">
              <w:t>1.27</w:t>
            </w:r>
          </w:p>
          <w:p w14:paraId="02CE62B6" w14:textId="52014162" w:rsidR="00A474F6" w:rsidRPr="00AF1481" w:rsidRDefault="00A474F6" w:rsidP="001A5A0A">
            <w:pPr>
              <w:pStyle w:val="TableText0"/>
              <w:keepLines/>
              <w:jc w:val="center"/>
            </w:pPr>
            <w:r w:rsidRPr="00AF1481">
              <w:t>(0.76, 2.11)</w:t>
            </w:r>
          </w:p>
        </w:tc>
        <w:tc>
          <w:tcPr>
            <w:tcW w:w="1248" w:type="dxa"/>
            <w:tcBorders>
              <w:left w:val="single" w:sz="4" w:space="0" w:color="auto"/>
              <w:bottom w:val="dotted" w:sz="4" w:space="0" w:color="auto"/>
              <w:right w:val="single" w:sz="4" w:space="0" w:color="auto"/>
            </w:tcBorders>
            <w:shd w:val="clear" w:color="auto" w:fill="auto"/>
            <w:vAlign w:val="center"/>
          </w:tcPr>
          <w:p w14:paraId="0617E513" w14:textId="77777777" w:rsidR="00A05AA6" w:rsidRDefault="00A474F6" w:rsidP="001A5A0A">
            <w:pPr>
              <w:pStyle w:val="TableText0"/>
              <w:keepLines/>
              <w:jc w:val="center"/>
            </w:pPr>
            <w:r w:rsidRPr="00AF1481">
              <w:t>0.04</w:t>
            </w:r>
          </w:p>
          <w:p w14:paraId="17DEA194" w14:textId="5B05BC5B" w:rsidR="00A474F6" w:rsidRPr="00AF1481" w:rsidRDefault="00A474F6" w:rsidP="001A5A0A">
            <w:pPr>
              <w:pStyle w:val="TableText0"/>
              <w:keepLines/>
              <w:jc w:val="center"/>
            </w:pPr>
            <w:r w:rsidRPr="00AF1481">
              <w:t>(–0.05, 0.13)</w:t>
            </w:r>
          </w:p>
        </w:tc>
      </w:tr>
      <w:tr w:rsidR="0080187E" w:rsidRPr="00AF1481" w14:paraId="6850610D" w14:textId="77777777" w:rsidTr="0080187E">
        <w:trPr>
          <w:trHeight w:val="284"/>
        </w:trPr>
        <w:tc>
          <w:tcPr>
            <w:tcW w:w="1696" w:type="dxa"/>
            <w:tcBorders>
              <w:top w:val="dotted" w:sz="4" w:space="0" w:color="auto"/>
              <w:bottom w:val="dotted" w:sz="4" w:space="0" w:color="auto"/>
              <w:right w:val="single" w:sz="4" w:space="0" w:color="auto"/>
            </w:tcBorders>
            <w:shd w:val="clear" w:color="auto" w:fill="auto"/>
            <w:vAlign w:val="center"/>
          </w:tcPr>
          <w:p w14:paraId="5DBA433A" w14:textId="77777777" w:rsidR="00A474F6" w:rsidRPr="00AF1481" w:rsidRDefault="00A474F6" w:rsidP="001A5A0A">
            <w:pPr>
              <w:pStyle w:val="TableText0"/>
              <w:keepLines/>
            </w:pPr>
            <w:r w:rsidRPr="00AF1481">
              <w:t>Any TEAE</w:t>
            </w:r>
          </w:p>
        </w:tc>
        <w:tc>
          <w:tcPr>
            <w:tcW w:w="942" w:type="dxa"/>
            <w:tcBorders>
              <w:top w:val="dotted" w:sz="4" w:space="0" w:color="auto"/>
              <w:left w:val="single" w:sz="4" w:space="0" w:color="auto"/>
              <w:bottom w:val="dotted" w:sz="4" w:space="0" w:color="auto"/>
              <w:right w:val="single" w:sz="4" w:space="0" w:color="auto"/>
            </w:tcBorders>
            <w:shd w:val="clear" w:color="auto" w:fill="auto"/>
            <w:vAlign w:val="center"/>
          </w:tcPr>
          <w:p w14:paraId="06D89E5A" w14:textId="77777777" w:rsidR="00A05AA6" w:rsidRDefault="00A474F6" w:rsidP="001A5A0A">
            <w:pPr>
              <w:pStyle w:val="TableText0"/>
              <w:keepLines/>
              <w:jc w:val="center"/>
            </w:pPr>
            <w:r w:rsidRPr="00AF1481">
              <w:t>245</w:t>
            </w:r>
          </w:p>
          <w:p w14:paraId="41140130" w14:textId="5DBBC099" w:rsidR="00A474F6" w:rsidRPr="00AF1481" w:rsidRDefault="00A474F6" w:rsidP="001A5A0A">
            <w:pPr>
              <w:pStyle w:val="TableText0"/>
              <w:keepLines/>
              <w:jc w:val="center"/>
            </w:pPr>
            <w:r w:rsidRPr="00AF1481">
              <w:t>(74.70%)</w:t>
            </w:r>
          </w:p>
        </w:tc>
        <w:tc>
          <w:tcPr>
            <w:tcW w:w="890" w:type="dxa"/>
            <w:tcBorders>
              <w:top w:val="dotted" w:sz="4" w:space="0" w:color="auto"/>
              <w:left w:val="single" w:sz="4" w:space="0" w:color="auto"/>
              <w:bottom w:val="dotted" w:sz="4" w:space="0" w:color="auto"/>
              <w:right w:val="single" w:sz="4" w:space="0" w:color="auto"/>
            </w:tcBorders>
            <w:shd w:val="clear" w:color="auto" w:fill="auto"/>
            <w:vAlign w:val="center"/>
          </w:tcPr>
          <w:p w14:paraId="07902F38" w14:textId="77777777" w:rsidR="00A05AA6" w:rsidRDefault="00A474F6" w:rsidP="001A5A0A">
            <w:pPr>
              <w:pStyle w:val="TableText0"/>
              <w:keepLines/>
              <w:jc w:val="center"/>
            </w:pPr>
            <w:r w:rsidRPr="00AF1481">
              <w:t>126</w:t>
            </w:r>
          </w:p>
          <w:p w14:paraId="098FA528" w14:textId="3F3FA455" w:rsidR="00A474F6" w:rsidRPr="00AF1481" w:rsidRDefault="00A474F6" w:rsidP="001A5A0A">
            <w:pPr>
              <w:pStyle w:val="TableText0"/>
              <w:keepLines/>
              <w:jc w:val="center"/>
            </w:pPr>
            <w:r w:rsidRPr="00AF1481">
              <w:t>(77.30%)</w:t>
            </w: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14:paraId="0558C0C9" w14:textId="77777777" w:rsidR="00A05AA6" w:rsidRDefault="00A474F6" w:rsidP="001A5A0A">
            <w:pPr>
              <w:pStyle w:val="TableText0"/>
              <w:keepLines/>
              <w:jc w:val="center"/>
            </w:pPr>
            <w:r w:rsidRPr="00AF1481">
              <w:t>123</w:t>
            </w:r>
          </w:p>
          <w:p w14:paraId="5FACA31B" w14:textId="41701EC2" w:rsidR="00A474F6" w:rsidRPr="00AF1481" w:rsidRDefault="00A474F6" w:rsidP="001A5A0A">
            <w:pPr>
              <w:pStyle w:val="TableText0"/>
              <w:keepLines/>
              <w:jc w:val="center"/>
            </w:pPr>
            <w:r w:rsidRPr="00AF1481">
              <w:t>(73.65%)</w:t>
            </w:r>
          </w:p>
        </w:tc>
        <w:tc>
          <w:tcPr>
            <w:tcW w:w="1132" w:type="dxa"/>
            <w:tcBorders>
              <w:top w:val="dotted" w:sz="4" w:space="0" w:color="auto"/>
              <w:left w:val="single" w:sz="4" w:space="0" w:color="auto"/>
              <w:bottom w:val="dotted" w:sz="4" w:space="0" w:color="auto"/>
              <w:right w:val="single" w:sz="4" w:space="0" w:color="auto"/>
            </w:tcBorders>
            <w:shd w:val="clear" w:color="auto" w:fill="auto"/>
            <w:vAlign w:val="center"/>
          </w:tcPr>
          <w:p w14:paraId="4EE9B10E" w14:textId="77777777" w:rsidR="00A05AA6" w:rsidRDefault="00A474F6" w:rsidP="001A5A0A">
            <w:pPr>
              <w:pStyle w:val="TableText0"/>
              <w:keepLines/>
              <w:jc w:val="center"/>
            </w:pPr>
            <w:r w:rsidRPr="00AF1481">
              <w:t>1.06</w:t>
            </w:r>
          </w:p>
          <w:p w14:paraId="2451C526" w14:textId="38E89D5C" w:rsidR="00A474F6" w:rsidRPr="00AF1481" w:rsidRDefault="00A474F6" w:rsidP="001A5A0A">
            <w:pPr>
              <w:pStyle w:val="TableText0"/>
              <w:keepLines/>
              <w:jc w:val="center"/>
            </w:pPr>
            <w:r w:rsidRPr="00AF1481">
              <w:t>(0.69,1.61)</w:t>
            </w:r>
          </w:p>
        </w:tc>
        <w:tc>
          <w:tcPr>
            <w:tcW w:w="1147" w:type="dxa"/>
            <w:tcBorders>
              <w:top w:val="dotted" w:sz="4" w:space="0" w:color="auto"/>
              <w:left w:val="single" w:sz="4" w:space="0" w:color="auto"/>
              <w:bottom w:val="dotted" w:sz="4" w:space="0" w:color="auto"/>
              <w:right w:val="single" w:sz="4" w:space="0" w:color="auto"/>
            </w:tcBorders>
            <w:shd w:val="clear" w:color="auto" w:fill="auto"/>
            <w:vAlign w:val="center"/>
          </w:tcPr>
          <w:p w14:paraId="3611BD7C" w14:textId="77777777" w:rsidR="00A05AA6" w:rsidRDefault="00A474F6" w:rsidP="001A5A0A">
            <w:pPr>
              <w:pStyle w:val="TableText0"/>
              <w:keepLines/>
              <w:jc w:val="center"/>
            </w:pPr>
            <w:r w:rsidRPr="00AF1481">
              <w:t>0.01</w:t>
            </w:r>
          </w:p>
          <w:p w14:paraId="0B856185" w14:textId="763A4FBB" w:rsidR="00A474F6" w:rsidRPr="00AF1481" w:rsidRDefault="00A474F6" w:rsidP="001A5A0A">
            <w:pPr>
              <w:pStyle w:val="TableText0"/>
              <w:keepLines/>
              <w:jc w:val="center"/>
            </w:pPr>
            <w:r w:rsidRPr="00AF1481">
              <w:t>(–0.07, 0.09)</w:t>
            </w:r>
          </w:p>
        </w:tc>
        <w:tc>
          <w:tcPr>
            <w:tcW w:w="1107" w:type="dxa"/>
            <w:tcBorders>
              <w:top w:val="dotted" w:sz="4" w:space="0" w:color="auto"/>
              <w:left w:val="single" w:sz="4" w:space="0" w:color="auto"/>
              <w:bottom w:val="dotted" w:sz="4" w:space="0" w:color="auto"/>
              <w:right w:val="single" w:sz="4" w:space="0" w:color="auto"/>
            </w:tcBorders>
            <w:shd w:val="clear" w:color="auto" w:fill="auto"/>
            <w:vAlign w:val="center"/>
          </w:tcPr>
          <w:p w14:paraId="2B819DE3" w14:textId="77777777" w:rsidR="00A05AA6" w:rsidRDefault="00A474F6" w:rsidP="001A5A0A">
            <w:pPr>
              <w:pStyle w:val="TableText0"/>
              <w:keepLines/>
              <w:jc w:val="center"/>
            </w:pPr>
            <w:r w:rsidRPr="00AF1481">
              <w:t>1.22</w:t>
            </w:r>
          </w:p>
          <w:p w14:paraId="3016F0DE" w14:textId="619EFDF6" w:rsidR="00A474F6" w:rsidRPr="00AF1481" w:rsidRDefault="00A474F6" w:rsidP="001A5A0A">
            <w:pPr>
              <w:pStyle w:val="TableText0"/>
              <w:keepLines/>
              <w:jc w:val="center"/>
            </w:pPr>
            <w:r w:rsidRPr="00AF1481">
              <w:t>(0.74, 2.01)</w:t>
            </w: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67E6A4E0" w14:textId="77777777" w:rsidR="00A05AA6" w:rsidRDefault="00A474F6" w:rsidP="001A5A0A">
            <w:pPr>
              <w:pStyle w:val="TableText0"/>
              <w:keepLines/>
              <w:jc w:val="center"/>
            </w:pPr>
            <w:r w:rsidRPr="00AF1481">
              <w:t>0.04</w:t>
            </w:r>
          </w:p>
          <w:p w14:paraId="1572987B" w14:textId="2692C6F0" w:rsidR="00A474F6" w:rsidRPr="00AF1481" w:rsidRDefault="00A474F6" w:rsidP="001A5A0A">
            <w:pPr>
              <w:pStyle w:val="TableText0"/>
              <w:keepLines/>
              <w:jc w:val="center"/>
            </w:pPr>
            <w:r w:rsidRPr="00AF1481">
              <w:t>(–0.06, 0.13)</w:t>
            </w:r>
          </w:p>
        </w:tc>
      </w:tr>
      <w:tr w:rsidR="0080187E" w:rsidRPr="00AF1481" w14:paraId="5FC83792" w14:textId="77777777" w:rsidTr="0080187E">
        <w:trPr>
          <w:trHeight w:val="284"/>
        </w:trPr>
        <w:tc>
          <w:tcPr>
            <w:tcW w:w="1696" w:type="dxa"/>
            <w:tcBorders>
              <w:top w:val="dotted" w:sz="4" w:space="0" w:color="auto"/>
              <w:bottom w:val="dotted" w:sz="4" w:space="0" w:color="auto"/>
              <w:right w:val="single" w:sz="4" w:space="0" w:color="auto"/>
            </w:tcBorders>
            <w:shd w:val="clear" w:color="auto" w:fill="auto"/>
            <w:vAlign w:val="center"/>
          </w:tcPr>
          <w:p w14:paraId="6EA81CAA" w14:textId="77777777" w:rsidR="00A474F6" w:rsidRPr="00AF1481" w:rsidRDefault="00A474F6" w:rsidP="001A5A0A">
            <w:pPr>
              <w:pStyle w:val="TableText0"/>
              <w:keepLines/>
            </w:pPr>
            <w:r w:rsidRPr="00AF1481">
              <w:t>Ocular TEAE</w:t>
            </w:r>
          </w:p>
        </w:tc>
        <w:tc>
          <w:tcPr>
            <w:tcW w:w="942" w:type="dxa"/>
            <w:tcBorders>
              <w:top w:val="dotted" w:sz="4" w:space="0" w:color="auto"/>
              <w:left w:val="single" w:sz="4" w:space="0" w:color="auto"/>
              <w:bottom w:val="dotted" w:sz="4" w:space="0" w:color="auto"/>
              <w:right w:val="single" w:sz="4" w:space="0" w:color="auto"/>
            </w:tcBorders>
            <w:shd w:val="clear" w:color="auto" w:fill="auto"/>
            <w:vAlign w:val="center"/>
          </w:tcPr>
          <w:p w14:paraId="18435888" w14:textId="77777777" w:rsidR="00A05AA6" w:rsidRDefault="00A474F6" w:rsidP="001A5A0A">
            <w:pPr>
              <w:pStyle w:val="TableText0"/>
              <w:keepLines/>
              <w:jc w:val="center"/>
            </w:pPr>
            <w:r w:rsidRPr="00AF1481">
              <w:t>147</w:t>
            </w:r>
          </w:p>
          <w:p w14:paraId="1166D922" w14:textId="16500E5A" w:rsidR="00A474F6" w:rsidRPr="00AF1481" w:rsidRDefault="00A474F6" w:rsidP="001A5A0A">
            <w:pPr>
              <w:pStyle w:val="TableText0"/>
              <w:keepLines/>
              <w:jc w:val="center"/>
            </w:pPr>
            <w:r w:rsidRPr="00AF1481">
              <w:t>(44.82%)</w:t>
            </w:r>
          </w:p>
        </w:tc>
        <w:tc>
          <w:tcPr>
            <w:tcW w:w="890" w:type="dxa"/>
            <w:tcBorders>
              <w:top w:val="dotted" w:sz="4" w:space="0" w:color="auto"/>
              <w:left w:val="single" w:sz="4" w:space="0" w:color="auto"/>
              <w:bottom w:val="dotted" w:sz="4" w:space="0" w:color="auto"/>
              <w:right w:val="single" w:sz="4" w:space="0" w:color="auto"/>
            </w:tcBorders>
            <w:shd w:val="clear" w:color="auto" w:fill="auto"/>
            <w:vAlign w:val="center"/>
          </w:tcPr>
          <w:p w14:paraId="4DAC78A2" w14:textId="77777777" w:rsidR="00A05AA6" w:rsidRDefault="00A474F6" w:rsidP="001A5A0A">
            <w:pPr>
              <w:pStyle w:val="TableText0"/>
              <w:keepLines/>
              <w:jc w:val="center"/>
            </w:pPr>
            <w:r w:rsidRPr="00AF1481">
              <w:t>73</w:t>
            </w:r>
          </w:p>
          <w:p w14:paraId="15D9FE3F" w14:textId="6AA817F8" w:rsidR="00A474F6" w:rsidRPr="00AF1481" w:rsidRDefault="00A474F6" w:rsidP="001A5A0A">
            <w:pPr>
              <w:pStyle w:val="TableText0"/>
              <w:keepLines/>
              <w:jc w:val="center"/>
            </w:pPr>
            <w:r w:rsidRPr="00AF1481">
              <w:t>(44.79%)</w:t>
            </w: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14:paraId="53EA6A06" w14:textId="77777777" w:rsidR="00A05AA6" w:rsidRDefault="00A474F6" w:rsidP="001A5A0A">
            <w:pPr>
              <w:pStyle w:val="TableText0"/>
              <w:keepLines/>
              <w:jc w:val="center"/>
            </w:pPr>
            <w:r w:rsidRPr="00AF1481">
              <w:t>73</w:t>
            </w:r>
          </w:p>
          <w:p w14:paraId="5A1D3610" w14:textId="6C9CBC23" w:rsidR="00A474F6" w:rsidRPr="00AF1481" w:rsidRDefault="00A474F6" w:rsidP="001A5A0A">
            <w:pPr>
              <w:pStyle w:val="TableText0"/>
              <w:keepLines/>
              <w:jc w:val="center"/>
            </w:pPr>
            <w:r w:rsidRPr="00AF1481">
              <w:t>(43.71%)</w:t>
            </w:r>
          </w:p>
        </w:tc>
        <w:tc>
          <w:tcPr>
            <w:tcW w:w="1132" w:type="dxa"/>
            <w:tcBorders>
              <w:top w:val="dotted" w:sz="4" w:space="0" w:color="auto"/>
              <w:left w:val="single" w:sz="4" w:space="0" w:color="auto"/>
              <w:bottom w:val="dotted" w:sz="4" w:space="0" w:color="auto"/>
              <w:right w:val="single" w:sz="4" w:space="0" w:color="auto"/>
            </w:tcBorders>
            <w:shd w:val="clear" w:color="auto" w:fill="auto"/>
            <w:vAlign w:val="center"/>
          </w:tcPr>
          <w:p w14:paraId="03208863" w14:textId="77777777" w:rsidR="00A05AA6" w:rsidRDefault="00A474F6" w:rsidP="001A5A0A">
            <w:pPr>
              <w:pStyle w:val="TableText0"/>
              <w:keepLines/>
              <w:jc w:val="center"/>
            </w:pPr>
            <w:r w:rsidRPr="00AF1481">
              <w:t>1.05</w:t>
            </w:r>
          </w:p>
          <w:p w14:paraId="5077EE96" w14:textId="62F243D1" w:rsidR="00A474F6" w:rsidRPr="00AF1481" w:rsidRDefault="00A474F6" w:rsidP="001A5A0A">
            <w:pPr>
              <w:pStyle w:val="TableText0"/>
              <w:keepLines/>
              <w:jc w:val="center"/>
            </w:pPr>
            <w:r w:rsidRPr="00AF1481">
              <w:t>(0.72, 1.52)</w:t>
            </w:r>
          </w:p>
        </w:tc>
        <w:tc>
          <w:tcPr>
            <w:tcW w:w="1147" w:type="dxa"/>
            <w:tcBorders>
              <w:top w:val="dotted" w:sz="4" w:space="0" w:color="auto"/>
              <w:left w:val="single" w:sz="4" w:space="0" w:color="auto"/>
              <w:bottom w:val="dotted" w:sz="4" w:space="0" w:color="auto"/>
              <w:right w:val="single" w:sz="4" w:space="0" w:color="auto"/>
            </w:tcBorders>
            <w:shd w:val="clear" w:color="auto" w:fill="auto"/>
            <w:vAlign w:val="center"/>
          </w:tcPr>
          <w:p w14:paraId="7DC2F290" w14:textId="77777777" w:rsidR="00A05AA6" w:rsidRDefault="00A474F6" w:rsidP="001A5A0A">
            <w:pPr>
              <w:pStyle w:val="TableText0"/>
              <w:keepLines/>
              <w:jc w:val="center"/>
            </w:pPr>
            <w:r w:rsidRPr="00AF1481">
              <w:t>0.01</w:t>
            </w:r>
          </w:p>
          <w:p w14:paraId="02A57544" w14:textId="121D012E" w:rsidR="00A474F6" w:rsidRPr="00AF1481" w:rsidRDefault="00A474F6" w:rsidP="001A5A0A">
            <w:pPr>
              <w:pStyle w:val="TableText0"/>
              <w:keepLines/>
              <w:jc w:val="center"/>
            </w:pPr>
            <w:r w:rsidRPr="00AF1481">
              <w:t>(–0.08, 0.10)</w:t>
            </w:r>
          </w:p>
        </w:tc>
        <w:tc>
          <w:tcPr>
            <w:tcW w:w="1107" w:type="dxa"/>
            <w:tcBorders>
              <w:top w:val="dotted" w:sz="4" w:space="0" w:color="auto"/>
              <w:left w:val="single" w:sz="4" w:space="0" w:color="auto"/>
              <w:bottom w:val="dotted" w:sz="4" w:space="0" w:color="auto"/>
              <w:right w:val="single" w:sz="4" w:space="0" w:color="auto"/>
            </w:tcBorders>
            <w:shd w:val="clear" w:color="auto" w:fill="auto"/>
            <w:vAlign w:val="center"/>
          </w:tcPr>
          <w:p w14:paraId="518D7DD6" w14:textId="77777777" w:rsidR="00A05AA6" w:rsidRDefault="00A474F6" w:rsidP="001A5A0A">
            <w:pPr>
              <w:pStyle w:val="TableText0"/>
              <w:keepLines/>
              <w:jc w:val="center"/>
            </w:pPr>
            <w:r w:rsidRPr="00AF1481">
              <w:t>1.04</w:t>
            </w:r>
          </w:p>
          <w:p w14:paraId="6060B20B" w14:textId="3AE07FA4" w:rsidR="00A474F6" w:rsidRPr="00AF1481" w:rsidRDefault="00A474F6" w:rsidP="001A5A0A">
            <w:pPr>
              <w:pStyle w:val="TableText0"/>
              <w:keepLines/>
              <w:jc w:val="center"/>
            </w:pPr>
            <w:r w:rsidRPr="00AF1481">
              <w:t>(0.68, 1.61)</w:t>
            </w: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64385B00" w14:textId="77777777" w:rsidR="00A05AA6" w:rsidRDefault="00A474F6" w:rsidP="001A5A0A">
            <w:pPr>
              <w:pStyle w:val="TableText0"/>
              <w:keepLines/>
              <w:jc w:val="center"/>
            </w:pPr>
            <w:r w:rsidRPr="00AF1481">
              <w:t>0.01</w:t>
            </w:r>
          </w:p>
          <w:p w14:paraId="78974F40" w14:textId="3C214A9E" w:rsidR="00A474F6" w:rsidRPr="00AF1481" w:rsidRDefault="00A474F6" w:rsidP="001A5A0A">
            <w:pPr>
              <w:pStyle w:val="TableText0"/>
              <w:keepLines/>
              <w:jc w:val="center"/>
            </w:pPr>
            <w:r w:rsidRPr="00AF1481">
              <w:t>(–0.10, 0.12)</w:t>
            </w:r>
          </w:p>
        </w:tc>
      </w:tr>
      <w:tr w:rsidR="0080187E" w:rsidRPr="00AF1481" w14:paraId="3F2875DB" w14:textId="77777777" w:rsidTr="0080187E">
        <w:trPr>
          <w:trHeight w:val="284"/>
        </w:trPr>
        <w:tc>
          <w:tcPr>
            <w:tcW w:w="1696" w:type="dxa"/>
            <w:tcBorders>
              <w:top w:val="dotted" w:sz="4" w:space="0" w:color="auto"/>
              <w:bottom w:val="single" w:sz="4" w:space="0" w:color="auto"/>
              <w:right w:val="single" w:sz="4" w:space="0" w:color="auto"/>
            </w:tcBorders>
            <w:shd w:val="clear" w:color="auto" w:fill="auto"/>
            <w:vAlign w:val="center"/>
          </w:tcPr>
          <w:p w14:paraId="1F08B67B" w14:textId="77777777" w:rsidR="00A474F6" w:rsidRPr="00AF1481" w:rsidRDefault="00A474F6" w:rsidP="001A5A0A">
            <w:pPr>
              <w:pStyle w:val="TableText0"/>
              <w:keepLines/>
            </w:pPr>
            <w:r w:rsidRPr="00AF1481">
              <w:t>Non-ocular TEAE</w:t>
            </w:r>
          </w:p>
        </w:tc>
        <w:tc>
          <w:tcPr>
            <w:tcW w:w="942" w:type="dxa"/>
            <w:tcBorders>
              <w:top w:val="dotted" w:sz="4" w:space="0" w:color="auto"/>
              <w:left w:val="single" w:sz="4" w:space="0" w:color="auto"/>
              <w:bottom w:val="single" w:sz="4" w:space="0" w:color="auto"/>
              <w:right w:val="single" w:sz="4" w:space="0" w:color="auto"/>
            </w:tcBorders>
            <w:shd w:val="clear" w:color="auto" w:fill="auto"/>
            <w:vAlign w:val="center"/>
          </w:tcPr>
          <w:p w14:paraId="09119F8C" w14:textId="77777777" w:rsidR="00A05AA6" w:rsidRDefault="00A474F6" w:rsidP="001A5A0A">
            <w:pPr>
              <w:pStyle w:val="TableText0"/>
              <w:keepLines/>
              <w:jc w:val="center"/>
            </w:pPr>
            <w:r w:rsidRPr="00AF1481">
              <w:t>195</w:t>
            </w:r>
          </w:p>
          <w:p w14:paraId="2C04C6A9" w14:textId="6107F367" w:rsidR="00A474F6" w:rsidRPr="00AF1481" w:rsidRDefault="00A474F6" w:rsidP="001A5A0A">
            <w:pPr>
              <w:pStyle w:val="TableText0"/>
              <w:keepLines/>
              <w:jc w:val="center"/>
            </w:pPr>
            <w:r w:rsidRPr="00AF1481">
              <w:t>(59.45%)</w:t>
            </w:r>
          </w:p>
        </w:tc>
        <w:tc>
          <w:tcPr>
            <w:tcW w:w="890" w:type="dxa"/>
            <w:tcBorders>
              <w:top w:val="dotted" w:sz="4" w:space="0" w:color="auto"/>
              <w:left w:val="single" w:sz="4" w:space="0" w:color="auto"/>
              <w:bottom w:val="single" w:sz="4" w:space="0" w:color="auto"/>
              <w:right w:val="single" w:sz="4" w:space="0" w:color="auto"/>
            </w:tcBorders>
            <w:shd w:val="clear" w:color="auto" w:fill="auto"/>
            <w:vAlign w:val="center"/>
          </w:tcPr>
          <w:p w14:paraId="3779EC64" w14:textId="77777777" w:rsidR="00A05AA6" w:rsidRDefault="00A474F6" w:rsidP="001A5A0A">
            <w:pPr>
              <w:pStyle w:val="TableText0"/>
              <w:keepLines/>
              <w:jc w:val="center"/>
            </w:pPr>
            <w:r w:rsidRPr="00AF1481">
              <w:t>104</w:t>
            </w:r>
          </w:p>
          <w:p w14:paraId="71450D57" w14:textId="04226B45" w:rsidR="00A474F6" w:rsidRPr="00AF1481" w:rsidRDefault="00A474F6" w:rsidP="001A5A0A">
            <w:pPr>
              <w:pStyle w:val="TableText0"/>
              <w:keepLines/>
              <w:jc w:val="center"/>
            </w:pPr>
            <w:r w:rsidRPr="00AF1481">
              <w:t>(63.80%)</w:t>
            </w:r>
          </w:p>
        </w:tc>
        <w:tc>
          <w:tcPr>
            <w:tcW w:w="885" w:type="dxa"/>
            <w:tcBorders>
              <w:top w:val="dotted" w:sz="4" w:space="0" w:color="auto"/>
              <w:left w:val="single" w:sz="4" w:space="0" w:color="auto"/>
              <w:bottom w:val="single" w:sz="4" w:space="0" w:color="auto"/>
              <w:right w:val="single" w:sz="4" w:space="0" w:color="auto"/>
            </w:tcBorders>
            <w:shd w:val="clear" w:color="auto" w:fill="auto"/>
            <w:vAlign w:val="center"/>
          </w:tcPr>
          <w:p w14:paraId="3A2141DB" w14:textId="77777777" w:rsidR="00A05AA6" w:rsidRDefault="00A474F6" w:rsidP="001A5A0A">
            <w:pPr>
              <w:pStyle w:val="TableText0"/>
              <w:keepLines/>
              <w:jc w:val="center"/>
            </w:pPr>
            <w:r w:rsidRPr="00AF1481">
              <w:t>96</w:t>
            </w:r>
          </w:p>
          <w:p w14:paraId="69FE9C9A" w14:textId="5B6E8641" w:rsidR="00A474F6" w:rsidRPr="00AF1481" w:rsidRDefault="00A474F6" w:rsidP="001A5A0A">
            <w:pPr>
              <w:pStyle w:val="TableText0"/>
              <w:keepLines/>
              <w:jc w:val="center"/>
            </w:pPr>
            <w:r w:rsidRPr="00AF1481">
              <w:t>(57.49%)</w:t>
            </w:r>
          </w:p>
        </w:tc>
        <w:tc>
          <w:tcPr>
            <w:tcW w:w="1132" w:type="dxa"/>
            <w:tcBorders>
              <w:top w:val="dotted" w:sz="4" w:space="0" w:color="auto"/>
              <w:left w:val="single" w:sz="4" w:space="0" w:color="auto"/>
              <w:bottom w:val="single" w:sz="4" w:space="0" w:color="auto"/>
              <w:right w:val="single" w:sz="4" w:space="0" w:color="auto"/>
            </w:tcBorders>
            <w:shd w:val="clear" w:color="auto" w:fill="auto"/>
            <w:vAlign w:val="center"/>
          </w:tcPr>
          <w:p w14:paraId="7292DE33" w14:textId="77777777" w:rsidR="00A05AA6" w:rsidRDefault="00A474F6" w:rsidP="001A5A0A">
            <w:pPr>
              <w:pStyle w:val="TableText0"/>
              <w:keepLines/>
              <w:jc w:val="center"/>
            </w:pPr>
            <w:r w:rsidRPr="00AF1481">
              <w:t>1.08</w:t>
            </w:r>
          </w:p>
          <w:p w14:paraId="65A80C8E" w14:textId="28E84B06" w:rsidR="00A474F6" w:rsidRPr="00AF1481" w:rsidRDefault="00A474F6" w:rsidP="001A5A0A">
            <w:pPr>
              <w:pStyle w:val="TableText0"/>
              <w:keepLines/>
              <w:jc w:val="center"/>
            </w:pPr>
            <w:r w:rsidRPr="00AF1481">
              <w:t>(0.74, 1.58)</w:t>
            </w:r>
          </w:p>
        </w:tc>
        <w:tc>
          <w:tcPr>
            <w:tcW w:w="1147" w:type="dxa"/>
            <w:tcBorders>
              <w:top w:val="dotted" w:sz="4" w:space="0" w:color="auto"/>
              <w:left w:val="single" w:sz="4" w:space="0" w:color="auto"/>
              <w:bottom w:val="single" w:sz="4" w:space="0" w:color="auto"/>
              <w:right w:val="single" w:sz="4" w:space="0" w:color="auto"/>
            </w:tcBorders>
            <w:shd w:val="clear" w:color="auto" w:fill="auto"/>
            <w:vAlign w:val="center"/>
          </w:tcPr>
          <w:p w14:paraId="02C74CB1" w14:textId="77777777" w:rsidR="00A05AA6" w:rsidRDefault="00A474F6" w:rsidP="001A5A0A">
            <w:pPr>
              <w:pStyle w:val="TableText0"/>
              <w:keepLines/>
              <w:jc w:val="center"/>
            </w:pPr>
            <w:r w:rsidRPr="00AF1481">
              <w:t>0.02</w:t>
            </w:r>
          </w:p>
          <w:p w14:paraId="5F64372E" w14:textId="07632D23" w:rsidR="00A474F6" w:rsidRPr="00AF1481" w:rsidRDefault="00A474F6" w:rsidP="001A5A0A">
            <w:pPr>
              <w:pStyle w:val="TableText0"/>
              <w:keepLines/>
              <w:jc w:val="center"/>
            </w:pPr>
            <w:r w:rsidRPr="00AF1481">
              <w:t>(–0.07, 0.11)</w:t>
            </w:r>
          </w:p>
        </w:tc>
        <w:tc>
          <w:tcPr>
            <w:tcW w:w="1107" w:type="dxa"/>
            <w:tcBorders>
              <w:top w:val="dotted" w:sz="4" w:space="0" w:color="auto"/>
              <w:left w:val="single" w:sz="4" w:space="0" w:color="auto"/>
              <w:bottom w:val="single" w:sz="4" w:space="0" w:color="auto"/>
              <w:right w:val="single" w:sz="4" w:space="0" w:color="auto"/>
            </w:tcBorders>
            <w:shd w:val="clear" w:color="auto" w:fill="auto"/>
            <w:vAlign w:val="center"/>
          </w:tcPr>
          <w:p w14:paraId="52E10929" w14:textId="77777777" w:rsidR="00A05AA6" w:rsidRDefault="00A474F6" w:rsidP="001A5A0A">
            <w:pPr>
              <w:pStyle w:val="TableText0"/>
              <w:keepLines/>
              <w:jc w:val="center"/>
            </w:pPr>
            <w:r w:rsidRPr="00AF1481">
              <w:t>1.30</w:t>
            </w:r>
          </w:p>
          <w:p w14:paraId="4BA69E11" w14:textId="32D5E5E3" w:rsidR="00A474F6" w:rsidRPr="00AF1481" w:rsidRDefault="00A474F6" w:rsidP="001A5A0A">
            <w:pPr>
              <w:pStyle w:val="TableText0"/>
              <w:keepLines/>
              <w:jc w:val="center"/>
            </w:pPr>
            <w:r w:rsidRPr="00AF1481">
              <w:t>(0.84, 2.03)</w:t>
            </w:r>
          </w:p>
        </w:tc>
        <w:tc>
          <w:tcPr>
            <w:tcW w:w="1248" w:type="dxa"/>
            <w:tcBorders>
              <w:top w:val="dotted" w:sz="4" w:space="0" w:color="auto"/>
              <w:left w:val="single" w:sz="4" w:space="0" w:color="auto"/>
              <w:bottom w:val="single" w:sz="4" w:space="0" w:color="auto"/>
              <w:right w:val="single" w:sz="4" w:space="0" w:color="auto"/>
            </w:tcBorders>
            <w:shd w:val="clear" w:color="auto" w:fill="auto"/>
            <w:vAlign w:val="center"/>
          </w:tcPr>
          <w:p w14:paraId="32ECB461" w14:textId="77777777" w:rsidR="00A05AA6" w:rsidRDefault="00A474F6" w:rsidP="001A5A0A">
            <w:pPr>
              <w:pStyle w:val="TableText0"/>
              <w:keepLines/>
              <w:jc w:val="center"/>
            </w:pPr>
            <w:r w:rsidRPr="00AF1481">
              <w:t>0.06</w:t>
            </w:r>
          </w:p>
          <w:p w14:paraId="023ED2C5" w14:textId="1E29569E" w:rsidR="00A474F6" w:rsidRPr="00AF1481" w:rsidRDefault="00A474F6" w:rsidP="001A5A0A">
            <w:pPr>
              <w:pStyle w:val="TableText0"/>
              <w:keepLines/>
              <w:jc w:val="center"/>
            </w:pPr>
            <w:r w:rsidRPr="00AF1481">
              <w:t>(–0.04, 0.17)</w:t>
            </w:r>
          </w:p>
        </w:tc>
      </w:tr>
      <w:tr w:rsidR="0080187E" w:rsidRPr="00AF1481" w14:paraId="7B433258" w14:textId="77777777" w:rsidTr="0080187E">
        <w:trPr>
          <w:trHeight w:val="284"/>
        </w:trPr>
        <w:tc>
          <w:tcPr>
            <w:tcW w:w="1696" w:type="dxa"/>
            <w:tcBorders>
              <w:top w:val="single" w:sz="4" w:space="0" w:color="auto"/>
              <w:bottom w:val="dotted" w:sz="4" w:space="0" w:color="auto"/>
              <w:right w:val="single" w:sz="4" w:space="0" w:color="auto"/>
            </w:tcBorders>
            <w:shd w:val="clear" w:color="auto" w:fill="auto"/>
            <w:vAlign w:val="center"/>
          </w:tcPr>
          <w:p w14:paraId="0E3E256F" w14:textId="77777777" w:rsidR="00A474F6" w:rsidRPr="00AF1481" w:rsidRDefault="00A474F6" w:rsidP="001A5A0A">
            <w:pPr>
              <w:pStyle w:val="TableText0"/>
              <w:keepLines/>
            </w:pPr>
            <w:r w:rsidRPr="00AF1481">
              <w:t>Study drug-related TEAE</w:t>
            </w:r>
          </w:p>
        </w:tc>
        <w:tc>
          <w:tcPr>
            <w:tcW w:w="942" w:type="dxa"/>
            <w:tcBorders>
              <w:top w:val="single" w:sz="4" w:space="0" w:color="auto"/>
              <w:left w:val="single" w:sz="4" w:space="0" w:color="auto"/>
              <w:bottom w:val="dotted" w:sz="4" w:space="0" w:color="auto"/>
              <w:right w:val="single" w:sz="4" w:space="0" w:color="auto"/>
            </w:tcBorders>
            <w:shd w:val="clear" w:color="auto" w:fill="auto"/>
            <w:vAlign w:val="center"/>
          </w:tcPr>
          <w:p w14:paraId="0CF9615F" w14:textId="77777777" w:rsidR="00A05AA6" w:rsidRDefault="00A474F6" w:rsidP="001A5A0A">
            <w:pPr>
              <w:pStyle w:val="TableText0"/>
              <w:keepLines/>
              <w:jc w:val="center"/>
            </w:pPr>
            <w:r w:rsidRPr="00AF1481">
              <w:t>6</w:t>
            </w:r>
          </w:p>
          <w:p w14:paraId="7D64B76C" w14:textId="3DD0C3EE" w:rsidR="00A474F6" w:rsidRPr="00AF1481" w:rsidRDefault="00A474F6" w:rsidP="001A5A0A">
            <w:pPr>
              <w:pStyle w:val="TableText0"/>
              <w:keepLines/>
              <w:jc w:val="center"/>
            </w:pPr>
            <w:r w:rsidRPr="00AF1481">
              <w:t>(1.83%)</w:t>
            </w:r>
          </w:p>
        </w:tc>
        <w:tc>
          <w:tcPr>
            <w:tcW w:w="890" w:type="dxa"/>
            <w:tcBorders>
              <w:top w:val="single" w:sz="4" w:space="0" w:color="auto"/>
              <w:left w:val="single" w:sz="4" w:space="0" w:color="auto"/>
              <w:bottom w:val="dotted" w:sz="4" w:space="0" w:color="auto"/>
              <w:right w:val="single" w:sz="4" w:space="0" w:color="auto"/>
            </w:tcBorders>
            <w:shd w:val="clear" w:color="auto" w:fill="auto"/>
            <w:vAlign w:val="center"/>
          </w:tcPr>
          <w:p w14:paraId="21BF967A" w14:textId="77777777" w:rsidR="00A05AA6" w:rsidRDefault="00A474F6" w:rsidP="001A5A0A">
            <w:pPr>
              <w:pStyle w:val="TableText0"/>
              <w:keepLines/>
              <w:jc w:val="center"/>
            </w:pPr>
            <w:r w:rsidRPr="00AF1481">
              <w:t>1</w:t>
            </w:r>
          </w:p>
          <w:p w14:paraId="20C99472" w14:textId="5619402B" w:rsidR="00A474F6" w:rsidRPr="00AF1481" w:rsidRDefault="00A474F6" w:rsidP="001A5A0A">
            <w:pPr>
              <w:pStyle w:val="TableText0"/>
              <w:keepLines/>
              <w:jc w:val="center"/>
            </w:pPr>
            <w:r w:rsidRPr="00AF1481">
              <w:t>(0.61%)</w:t>
            </w:r>
          </w:p>
        </w:tc>
        <w:tc>
          <w:tcPr>
            <w:tcW w:w="885" w:type="dxa"/>
            <w:tcBorders>
              <w:top w:val="single" w:sz="4" w:space="0" w:color="auto"/>
              <w:left w:val="single" w:sz="4" w:space="0" w:color="auto"/>
              <w:bottom w:val="dotted" w:sz="4" w:space="0" w:color="auto"/>
              <w:right w:val="single" w:sz="4" w:space="0" w:color="auto"/>
            </w:tcBorders>
            <w:shd w:val="clear" w:color="auto" w:fill="auto"/>
            <w:vAlign w:val="center"/>
          </w:tcPr>
          <w:p w14:paraId="6CA7F873" w14:textId="77777777" w:rsidR="00A05AA6" w:rsidRDefault="00A474F6" w:rsidP="001A5A0A">
            <w:pPr>
              <w:pStyle w:val="TableText0"/>
              <w:keepLines/>
              <w:jc w:val="center"/>
            </w:pPr>
            <w:r w:rsidRPr="00AF1481">
              <w:t>3</w:t>
            </w:r>
          </w:p>
          <w:p w14:paraId="5F6A5F48" w14:textId="4DFC8C87" w:rsidR="00A474F6" w:rsidRPr="00AF1481" w:rsidRDefault="00A474F6" w:rsidP="001A5A0A">
            <w:pPr>
              <w:pStyle w:val="TableText0"/>
              <w:keepLines/>
              <w:jc w:val="center"/>
            </w:pPr>
            <w:r w:rsidRPr="00AF1481">
              <w:t>(1.80%)</w:t>
            </w:r>
          </w:p>
        </w:tc>
        <w:tc>
          <w:tcPr>
            <w:tcW w:w="1132" w:type="dxa"/>
            <w:tcBorders>
              <w:top w:val="single" w:sz="4" w:space="0" w:color="auto"/>
              <w:left w:val="single" w:sz="4" w:space="0" w:color="auto"/>
              <w:bottom w:val="dotted" w:sz="4" w:space="0" w:color="auto"/>
              <w:right w:val="single" w:sz="4" w:space="0" w:color="auto"/>
            </w:tcBorders>
            <w:shd w:val="clear" w:color="auto" w:fill="auto"/>
            <w:vAlign w:val="center"/>
          </w:tcPr>
          <w:p w14:paraId="46ED4F5A" w14:textId="77777777" w:rsidR="00A05AA6" w:rsidRDefault="00A474F6" w:rsidP="001A5A0A">
            <w:pPr>
              <w:pStyle w:val="TableText0"/>
              <w:keepLines/>
              <w:jc w:val="center"/>
            </w:pPr>
            <w:r w:rsidRPr="00AF1481">
              <w:t>1.02</w:t>
            </w:r>
          </w:p>
          <w:p w14:paraId="48E21377" w14:textId="02F332B7" w:rsidR="00A474F6" w:rsidRPr="00AF1481" w:rsidRDefault="00A474F6" w:rsidP="001A5A0A">
            <w:pPr>
              <w:pStyle w:val="TableText0"/>
              <w:keepLines/>
              <w:jc w:val="center"/>
            </w:pPr>
            <w:r w:rsidRPr="00AF1481">
              <w:t>(0.25, 4.12)</w:t>
            </w:r>
          </w:p>
        </w:tc>
        <w:tc>
          <w:tcPr>
            <w:tcW w:w="1147" w:type="dxa"/>
            <w:tcBorders>
              <w:top w:val="single" w:sz="4" w:space="0" w:color="auto"/>
              <w:left w:val="single" w:sz="4" w:space="0" w:color="auto"/>
              <w:bottom w:val="dotted" w:sz="4" w:space="0" w:color="auto"/>
              <w:right w:val="single" w:sz="4" w:space="0" w:color="auto"/>
            </w:tcBorders>
            <w:shd w:val="clear" w:color="auto" w:fill="auto"/>
            <w:vAlign w:val="center"/>
          </w:tcPr>
          <w:p w14:paraId="30565E5E" w14:textId="77777777" w:rsidR="00A05AA6" w:rsidRDefault="00A474F6" w:rsidP="001A5A0A">
            <w:pPr>
              <w:pStyle w:val="TableText0"/>
              <w:keepLines/>
              <w:jc w:val="center"/>
            </w:pPr>
            <w:r w:rsidRPr="00AF1481">
              <w:t>0.00</w:t>
            </w:r>
          </w:p>
          <w:p w14:paraId="4F8F1B0A" w14:textId="190A045F" w:rsidR="00A474F6" w:rsidRPr="00AF1481" w:rsidRDefault="00A474F6" w:rsidP="001A5A0A">
            <w:pPr>
              <w:pStyle w:val="TableText0"/>
              <w:keepLines/>
              <w:jc w:val="center"/>
            </w:pPr>
            <w:r w:rsidRPr="00AF1481">
              <w:t>(–0.02, 0.03)</w:t>
            </w:r>
          </w:p>
        </w:tc>
        <w:tc>
          <w:tcPr>
            <w:tcW w:w="1107" w:type="dxa"/>
            <w:tcBorders>
              <w:top w:val="single" w:sz="4" w:space="0" w:color="auto"/>
              <w:left w:val="single" w:sz="4" w:space="0" w:color="auto"/>
              <w:bottom w:val="dotted" w:sz="4" w:space="0" w:color="auto"/>
              <w:right w:val="single" w:sz="4" w:space="0" w:color="auto"/>
            </w:tcBorders>
            <w:shd w:val="clear" w:color="auto" w:fill="auto"/>
            <w:vAlign w:val="center"/>
          </w:tcPr>
          <w:p w14:paraId="4D9CD1B8" w14:textId="77777777" w:rsidR="00A05AA6" w:rsidRDefault="00A474F6" w:rsidP="001A5A0A">
            <w:pPr>
              <w:pStyle w:val="TableText0"/>
              <w:keepLines/>
              <w:jc w:val="center"/>
            </w:pPr>
            <w:r w:rsidRPr="00AF1481">
              <w:t>0.34</w:t>
            </w:r>
          </w:p>
          <w:p w14:paraId="575D1305" w14:textId="7C6F1C47" w:rsidR="00A474F6" w:rsidRPr="00AF1481" w:rsidRDefault="00A474F6" w:rsidP="001A5A0A">
            <w:pPr>
              <w:pStyle w:val="TableText0"/>
              <w:keepLines/>
              <w:jc w:val="center"/>
            </w:pPr>
            <w:r w:rsidRPr="00AF1481">
              <w:t>(0.03, 3.28)</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1E1D6251" w14:textId="77777777" w:rsidR="00A05AA6" w:rsidRDefault="00A474F6" w:rsidP="001A5A0A">
            <w:pPr>
              <w:pStyle w:val="TableText0"/>
              <w:keepLines/>
              <w:jc w:val="center"/>
            </w:pPr>
            <w:r w:rsidRPr="00AF1481">
              <w:t>–0.01</w:t>
            </w:r>
          </w:p>
          <w:p w14:paraId="7162EDA1" w14:textId="1426587D" w:rsidR="00A474F6" w:rsidRPr="00AF1481" w:rsidRDefault="00A474F6" w:rsidP="001A5A0A">
            <w:pPr>
              <w:pStyle w:val="TableText0"/>
              <w:keepLines/>
              <w:jc w:val="center"/>
            </w:pPr>
            <w:r w:rsidRPr="00AF1481">
              <w:t>(–0.04, 0.01)</w:t>
            </w:r>
          </w:p>
        </w:tc>
      </w:tr>
      <w:tr w:rsidR="0080187E" w:rsidRPr="00AF1481" w14:paraId="2A9FFD82" w14:textId="77777777" w:rsidTr="0080187E">
        <w:trPr>
          <w:trHeight w:val="284"/>
        </w:trPr>
        <w:tc>
          <w:tcPr>
            <w:tcW w:w="1696" w:type="dxa"/>
            <w:tcBorders>
              <w:top w:val="single" w:sz="4" w:space="0" w:color="auto"/>
              <w:bottom w:val="dotted" w:sz="4" w:space="0" w:color="auto"/>
              <w:right w:val="single" w:sz="4" w:space="0" w:color="auto"/>
            </w:tcBorders>
            <w:shd w:val="clear" w:color="auto" w:fill="auto"/>
            <w:vAlign w:val="center"/>
          </w:tcPr>
          <w:p w14:paraId="5BEF59B8" w14:textId="77777777" w:rsidR="00A474F6" w:rsidRPr="00AF1481" w:rsidRDefault="00A474F6" w:rsidP="001A5A0A">
            <w:pPr>
              <w:pStyle w:val="TableText0"/>
              <w:keepLines/>
            </w:pPr>
            <w:r w:rsidRPr="00AF1481">
              <w:t>Injection procedure related TEAE</w:t>
            </w:r>
          </w:p>
        </w:tc>
        <w:tc>
          <w:tcPr>
            <w:tcW w:w="942" w:type="dxa"/>
            <w:tcBorders>
              <w:top w:val="single" w:sz="4" w:space="0" w:color="auto"/>
              <w:left w:val="single" w:sz="4" w:space="0" w:color="auto"/>
              <w:bottom w:val="dotted" w:sz="4" w:space="0" w:color="auto"/>
              <w:right w:val="single" w:sz="4" w:space="0" w:color="auto"/>
            </w:tcBorders>
            <w:shd w:val="clear" w:color="auto" w:fill="auto"/>
            <w:vAlign w:val="center"/>
          </w:tcPr>
          <w:p w14:paraId="1B75B0C7" w14:textId="77777777" w:rsidR="00A05AA6" w:rsidRDefault="00A474F6" w:rsidP="001A5A0A">
            <w:pPr>
              <w:pStyle w:val="TableText0"/>
              <w:keepLines/>
              <w:jc w:val="center"/>
            </w:pPr>
            <w:r w:rsidRPr="00AF1481">
              <w:t>45</w:t>
            </w:r>
          </w:p>
          <w:p w14:paraId="478539F2" w14:textId="68518C06" w:rsidR="00A474F6" w:rsidRPr="00AF1481" w:rsidRDefault="00A474F6" w:rsidP="001A5A0A">
            <w:pPr>
              <w:pStyle w:val="TableText0"/>
              <w:keepLines/>
              <w:jc w:val="center"/>
            </w:pPr>
            <w:r w:rsidRPr="00AF1481">
              <w:t>(13.72%)</w:t>
            </w:r>
          </w:p>
        </w:tc>
        <w:tc>
          <w:tcPr>
            <w:tcW w:w="890" w:type="dxa"/>
            <w:tcBorders>
              <w:top w:val="single" w:sz="4" w:space="0" w:color="auto"/>
              <w:left w:val="single" w:sz="4" w:space="0" w:color="auto"/>
              <w:bottom w:val="dotted" w:sz="4" w:space="0" w:color="auto"/>
              <w:right w:val="single" w:sz="4" w:space="0" w:color="auto"/>
            </w:tcBorders>
            <w:shd w:val="clear" w:color="auto" w:fill="auto"/>
            <w:vAlign w:val="center"/>
          </w:tcPr>
          <w:p w14:paraId="0C475184" w14:textId="77777777" w:rsidR="00A05AA6" w:rsidRDefault="00A474F6" w:rsidP="001A5A0A">
            <w:pPr>
              <w:pStyle w:val="TableText0"/>
              <w:keepLines/>
              <w:jc w:val="center"/>
            </w:pPr>
            <w:r w:rsidRPr="00AF1481">
              <w:t>13</w:t>
            </w:r>
          </w:p>
          <w:p w14:paraId="530BE49C" w14:textId="0D0B79AB" w:rsidR="00A474F6" w:rsidRPr="00AF1481" w:rsidRDefault="00A474F6" w:rsidP="001A5A0A">
            <w:pPr>
              <w:pStyle w:val="TableText0"/>
              <w:keepLines/>
              <w:jc w:val="center"/>
            </w:pPr>
            <w:r w:rsidRPr="00AF1481">
              <w:t>(7.98%)</w:t>
            </w:r>
          </w:p>
        </w:tc>
        <w:tc>
          <w:tcPr>
            <w:tcW w:w="885" w:type="dxa"/>
            <w:tcBorders>
              <w:top w:val="single" w:sz="4" w:space="0" w:color="auto"/>
              <w:left w:val="single" w:sz="4" w:space="0" w:color="auto"/>
              <w:bottom w:val="dotted" w:sz="4" w:space="0" w:color="auto"/>
              <w:right w:val="single" w:sz="4" w:space="0" w:color="auto"/>
            </w:tcBorders>
            <w:shd w:val="clear" w:color="auto" w:fill="auto"/>
            <w:vAlign w:val="center"/>
          </w:tcPr>
          <w:p w14:paraId="0447BAFF" w14:textId="77777777" w:rsidR="00A05AA6" w:rsidRDefault="00A474F6" w:rsidP="001A5A0A">
            <w:pPr>
              <w:pStyle w:val="TableText0"/>
              <w:keepLines/>
              <w:jc w:val="center"/>
            </w:pPr>
            <w:r w:rsidRPr="00AF1481">
              <w:t>19</w:t>
            </w:r>
          </w:p>
          <w:p w14:paraId="6E3C5885" w14:textId="270EF7DE" w:rsidR="00A474F6" w:rsidRPr="00AF1481" w:rsidRDefault="00A474F6" w:rsidP="001A5A0A">
            <w:pPr>
              <w:pStyle w:val="TableText0"/>
              <w:keepLines/>
              <w:jc w:val="center"/>
            </w:pPr>
            <w:r w:rsidRPr="00AF1481">
              <w:t>(11.38%)</w:t>
            </w:r>
          </w:p>
        </w:tc>
        <w:tc>
          <w:tcPr>
            <w:tcW w:w="1132" w:type="dxa"/>
            <w:tcBorders>
              <w:top w:val="single" w:sz="4" w:space="0" w:color="auto"/>
              <w:left w:val="single" w:sz="4" w:space="0" w:color="auto"/>
              <w:bottom w:val="dotted" w:sz="4" w:space="0" w:color="auto"/>
              <w:right w:val="single" w:sz="4" w:space="0" w:color="auto"/>
            </w:tcBorders>
            <w:shd w:val="clear" w:color="auto" w:fill="auto"/>
            <w:vAlign w:val="center"/>
          </w:tcPr>
          <w:p w14:paraId="21203F85" w14:textId="77777777" w:rsidR="00A05AA6" w:rsidRDefault="00A474F6" w:rsidP="001A5A0A">
            <w:pPr>
              <w:pStyle w:val="TableText0"/>
              <w:keepLines/>
              <w:jc w:val="center"/>
            </w:pPr>
            <w:r w:rsidRPr="00AF1481">
              <w:t>1.24</w:t>
            </w:r>
          </w:p>
          <w:p w14:paraId="19D5E44F" w14:textId="4EDD76B8" w:rsidR="00A474F6" w:rsidRPr="00AF1481" w:rsidRDefault="00A474F6" w:rsidP="001A5A0A">
            <w:pPr>
              <w:pStyle w:val="TableText0"/>
              <w:keepLines/>
              <w:jc w:val="center"/>
            </w:pPr>
            <w:r w:rsidRPr="00AF1481">
              <w:t>(0.70, 2.19)</w:t>
            </w:r>
          </w:p>
        </w:tc>
        <w:tc>
          <w:tcPr>
            <w:tcW w:w="1147" w:type="dxa"/>
            <w:tcBorders>
              <w:top w:val="single" w:sz="4" w:space="0" w:color="auto"/>
              <w:left w:val="single" w:sz="4" w:space="0" w:color="auto"/>
              <w:bottom w:val="dotted" w:sz="4" w:space="0" w:color="auto"/>
              <w:right w:val="single" w:sz="4" w:space="0" w:color="auto"/>
            </w:tcBorders>
            <w:shd w:val="clear" w:color="auto" w:fill="auto"/>
            <w:vAlign w:val="center"/>
          </w:tcPr>
          <w:p w14:paraId="23E7C192" w14:textId="77777777" w:rsidR="00A05AA6" w:rsidRDefault="00A474F6" w:rsidP="001A5A0A">
            <w:pPr>
              <w:pStyle w:val="TableText0"/>
              <w:keepLines/>
              <w:jc w:val="center"/>
            </w:pPr>
            <w:r w:rsidRPr="00AF1481">
              <w:t>0.02</w:t>
            </w:r>
          </w:p>
          <w:p w14:paraId="69752B36" w14:textId="6D31A083" w:rsidR="00A474F6" w:rsidRPr="00AF1481" w:rsidRDefault="00A474F6" w:rsidP="001A5A0A">
            <w:pPr>
              <w:pStyle w:val="TableText0"/>
              <w:keepLines/>
              <w:jc w:val="center"/>
            </w:pPr>
            <w:r w:rsidRPr="00AF1481">
              <w:t>(–0.04, 0.08)</w:t>
            </w:r>
          </w:p>
        </w:tc>
        <w:tc>
          <w:tcPr>
            <w:tcW w:w="1107" w:type="dxa"/>
            <w:tcBorders>
              <w:top w:val="single" w:sz="4" w:space="0" w:color="auto"/>
              <w:left w:val="single" w:sz="4" w:space="0" w:color="auto"/>
              <w:bottom w:val="dotted" w:sz="4" w:space="0" w:color="auto"/>
              <w:right w:val="single" w:sz="4" w:space="0" w:color="auto"/>
            </w:tcBorders>
            <w:shd w:val="clear" w:color="auto" w:fill="auto"/>
            <w:vAlign w:val="center"/>
          </w:tcPr>
          <w:p w14:paraId="63805696" w14:textId="77777777" w:rsidR="00A05AA6" w:rsidRDefault="00A474F6" w:rsidP="001A5A0A">
            <w:pPr>
              <w:pStyle w:val="TableText0"/>
              <w:keepLines/>
              <w:jc w:val="center"/>
            </w:pPr>
            <w:r w:rsidRPr="00AF1481">
              <w:t>0.68</w:t>
            </w:r>
          </w:p>
          <w:p w14:paraId="72B8ED98" w14:textId="0CF9BACF" w:rsidR="00A474F6" w:rsidRPr="00AF1481" w:rsidRDefault="00A474F6" w:rsidP="001A5A0A">
            <w:pPr>
              <w:pStyle w:val="TableText0"/>
              <w:keepLines/>
              <w:jc w:val="center"/>
            </w:pPr>
            <w:r w:rsidRPr="00AF1481">
              <w:t>(0.32, 1.42)</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427FAC52" w14:textId="77777777" w:rsidR="00A05AA6" w:rsidRDefault="00A474F6" w:rsidP="001A5A0A">
            <w:pPr>
              <w:pStyle w:val="TableText0"/>
              <w:keepLines/>
              <w:jc w:val="center"/>
            </w:pPr>
            <w:r w:rsidRPr="00AF1481">
              <w:t>–0.03</w:t>
            </w:r>
          </w:p>
          <w:p w14:paraId="2F7EB2D9" w14:textId="4D86ABF5" w:rsidR="00A474F6" w:rsidRPr="00AF1481" w:rsidRDefault="00A474F6" w:rsidP="001A5A0A">
            <w:pPr>
              <w:pStyle w:val="TableText0"/>
              <w:keepLines/>
              <w:jc w:val="center"/>
            </w:pPr>
            <w:r w:rsidRPr="00AF1481">
              <w:t>(–0.10, 0.03)</w:t>
            </w:r>
          </w:p>
        </w:tc>
      </w:tr>
      <w:tr w:rsidR="0080187E" w:rsidRPr="00AF1481" w14:paraId="71F3A7A6" w14:textId="77777777" w:rsidTr="0080187E">
        <w:trPr>
          <w:trHeight w:val="284"/>
        </w:trPr>
        <w:tc>
          <w:tcPr>
            <w:tcW w:w="1696" w:type="dxa"/>
            <w:tcBorders>
              <w:top w:val="single" w:sz="4" w:space="0" w:color="auto"/>
              <w:bottom w:val="dotted" w:sz="4" w:space="0" w:color="auto"/>
              <w:right w:val="single" w:sz="4" w:space="0" w:color="auto"/>
            </w:tcBorders>
            <w:shd w:val="clear" w:color="auto" w:fill="auto"/>
            <w:vAlign w:val="center"/>
          </w:tcPr>
          <w:p w14:paraId="56CD336D" w14:textId="77777777" w:rsidR="00A474F6" w:rsidRPr="00AF1481" w:rsidRDefault="00A474F6" w:rsidP="001A5A0A">
            <w:pPr>
              <w:pStyle w:val="TableText0"/>
              <w:keepLines/>
            </w:pPr>
            <w:r w:rsidRPr="00AF1481">
              <w:t>Study-conduct related TEAE</w:t>
            </w:r>
          </w:p>
        </w:tc>
        <w:tc>
          <w:tcPr>
            <w:tcW w:w="942" w:type="dxa"/>
            <w:tcBorders>
              <w:top w:val="single" w:sz="4" w:space="0" w:color="auto"/>
              <w:left w:val="single" w:sz="4" w:space="0" w:color="auto"/>
              <w:bottom w:val="dotted" w:sz="4" w:space="0" w:color="auto"/>
              <w:right w:val="single" w:sz="4" w:space="0" w:color="auto"/>
            </w:tcBorders>
            <w:shd w:val="clear" w:color="auto" w:fill="auto"/>
            <w:vAlign w:val="center"/>
          </w:tcPr>
          <w:p w14:paraId="7C22A49A" w14:textId="77777777" w:rsidR="00A05AA6" w:rsidRDefault="00A474F6" w:rsidP="001A5A0A">
            <w:pPr>
              <w:pStyle w:val="TableText0"/>
              <w:keepLines/>
              <w:jc w:val="center"/>
            </w:pPr>
            <w:r w:rsidRPr="00AF1481">
              <w:t>6</w:t>
            </w:r>
          </w:p>
          <w:p w14:paraId="7C6D18BE" w14:textId="3702A938" w:rsidR="00A474F6" w:rsidRPr="00AF1481" w:rsidRDefault="00A474F6" w:rsidP="001A5A0A">
            <w:pPr>
              <w:pStyle w:val="TableText0"/>
              <w:keepLines/>
              <w:jc w:val="center"/>
            </w:pPr>
            <w:r w:rsidRPr="00AF1481">
              <w:t>(1.83%)</w:t>
            </w:r>
          </w:p>
        </w:tc>
        <w:tc>
          <w:tcPr>
            <w:tcW w:w="890" w:type="dxa"/>
            <w:tcBorders>
              <w:top w:val="single" w:sz="4" w:space="0" w:color="auto"/>
              <w:left w:val="single" w:sz="4" w:space="0" w:color="auto"/>
              <w:bottom w:val="dotted" w:sz="4" w:space="0" w:color="auto"/>
              <w:right w:val="single" w:sz="4" w:space="0" w:color="auto"/>
            </w:tcBorders>
            <w:shd w:val="clear" w:color="auto" w:fill="auto"/>
            <w:vAlign w:val="center"/>
          </w:tcPr>
          <w:p w14:paraId="39CB3BC6" w14:textId="77777777" w:rsidR="00A05AA6" w:rsidRDefault="00A474F6" w:rsidP="001A5A0A">
            <w:pPr>
              <w:pStyle w:val="TableText0"/>
              <w:keepLines/>
              <w:jc w:val="center"/>
            </w:pPr>
            <w:r w:rsidRPr="00AF1481">
              <w:t>0</w:t>
            </w:r>
          </w:p>
          <w:p w14:paraId="47455B54" w14:textId="5811B14A" w:rsidR="00A474F6" w:rsidRPr="00AF1481" w:rsidRDefault="00A474F6" w:rsidP="001A5A0A">
            <w:pPr>
              <w:pStyle w:val="TableText0"/>
              <w:keepLines/>
              <w:jc w:val="center"/>
            </w:pPr>
            <w:r w:rsidRPr="00AF1481">
              <w:t>(0.00%)</w:t>
            </w:r>
          </w:p>
        </w:tc>
        <w:tc>
          <w:tcPr>
            <w:tcW w:w="885" w:type="dxa"/>
            <w:tcBorders>
              <w:top w:val="single" w:sz="4" w:space="0" w:color="auto"/>
              <w:left w:val="single" w:sz="4" w:space="0" w:color="auto"/>
              <w:bottom w:val="dotted" w:sz="4" w:space="0" w:color="auto"/>
              <w:right w:val="single" w:sz="4" w:space="0" w:color="auto"/>
            </w:tcBorders>
            <w:shd w:val="clear" w:color="auto" w:fill="auto"/>
            <w:vAlign w:val="center"/>
          </w:tcPr>
          <w:p w14:paraId="39D9D6F9" w14:textId="77777777" w:rsidR="00A05AA6" w:rsidRDefault="00A474F6" w:rsidP="001A5A0A">
            <w:pPr>
              <w:pStyle w:val="TableText0"/>
              <w:keepLines/>
              <w:jc w:val="center"/>
            </w:pPr>
            <w:r w:rsidRPr="00AF1481">
              <w:t>3</w:t>
            </w:r>
          </w:p>
          <w:p w14:paraId="4A2B3424" w14:textId="44C0F73E" w:rsidR="00A474F6" w:rsidRPr="00AF1481" w:rsidRDefault="00A474F6" w:rsidP="001A5A0A">
            <w:pPr>
              <w:pStyle w:val="TableText0"/>
              <w:keepLines/>
              <w:jc w:val="center"/>
            </w:pPr>
            <w:r w:rsidRPr="00AF1481">
              <w:t>(1.80%)</w:t>
            </w:r>
          </w:p>
        </w:tc>
        <w:tc>
          <w:tcPr>
            <w:tcW w:w="1132" w:type="dxa"/>
            <w:tcBorders>
              <w:top w:val="single" w:sz="4" w:space="0" w:color="auto"/>
              <w:left w:val="single" w:sz="4" w:space="0" w:color="auto"/>
              <w:bottom w:val="dotted" w:sz="4" w:space="0" w:color="auto"/>
              <w:right w:val="single" w:sz="4" w:space="0" w:color="auto"/>
            </w:tcBorders>
            <w:shd w:val="clear" w:color="auto" w:fill="auto"/>
            <w:vAlign w:val="center"/>
          </w:tcPr>
          <w:p w14:paraId="54614223" w14:textId="77777777" w:rsidR="00A05AA6" w:rsidRDefault="00A474F6" w:rsidP="001A5A0A">
            <w:pPr>
              <w:pStyle w:val="TableText0"/>
              <w:keepLines/>
              <w:jc w:val="center"/>
            </w:pPr>
            <w:r w:rsidRPr="00AF1481">
              <w:t>1.02</w:t>
            </w:r>
          </w:p>
          <w:p w14:paraId="12EFC793" w14:textId="7518D2F0" w:rsidR="00A474F6" w:rsidRPr="00AF1481" w:rsidRDefault="00A474F6" w:rsidP="001A5A0A">
            <w:pPr>
              <w:pStyle w:val="TableText0"/>
              <w:keepLines/>
              <w:jc w:val="center"/>
            </w:pPr>
            <w:r w:rsidRPr="00AF1481">
              <w:t>(0.25, 4.12)</w:t>
            </w:r>
          </w:p>
        </w:tc>
        <w:tc>
          <w:tcPr>
            <w:tcW w:w="1147" w:type="dxa"/>
            <w:tcBorders>
              <w:top w:val="single" w:sz="4" w:space="0" w:color="auto"/>
              <w:left w:val="single" w:sz="4" w:space="0" w:color="auto"/>
              <w:bottom w:val="dotted" w:sz="4" w:space="0" w:color="auto"/>
              <w:right w:val="single" w:sz="4" w:space="0" w:color="auto"/>
            </w:tcBorders>
            <w:shd w:val="clear" w:color="auto" w:fill="auto"/>
            <w:vAlign w:val="center"/>
          </w:tcPr>
          <w:p w14:paraId="6FD6BB2A" w14:textId="77777777" w:rsidR="00A05AA6" w:rsidRDefault="00A474F6" w:rsidP="001A5A0A">
            <w:pPr>
              <w:pStyle w:val="TableText0"/>
              <w:keepLines/>
              <w:jc w:val="center"/>
            </w:pPr>
            <w:r w:rsidRPr="00AF1481">
              <w:t>0.00</w:t>
            </w:r>
          </w:p>
          <w:p w14:paraId="7A266AF6" w14:textId="323329C8" w:rsidR="00A474F6" w:rsidRPr="00AF1481" w:rsidRDefault="00A474F6" w:rsidP="001A5A0A">
            <w:pPr>
              <w:pStyle w:val="TableText0"/>
              <w:keepLines/>
              <w:jc w:val="center"/>
            </w:pPr>
            <w:r w:rsidRPr="00AF1481">
              <w:t>(–0.02, 0.03)</w:t>
            </w:r>
          </w:p>
        </w:tc>
        <w:tc>
          <w:tcPr>
            <w:tcW w:w="1107" w:type="dxa"/>
            <w:tcBorders>
              <w:top w:val="single" w:sz="4" w:space="0" w:color="auto"/>
              <w:left w:val="single" w:sz="4" w:space="0" w:color="auto"/>
              <w:bottom w:val="dotted" w:sz="4" w:space="0" w:color="auto"/>
              <w:right w:val="single" w:sz="4" w:space="0" w:color="auto"/>
            </w:tcBorders>
            <w:shd w:val="clear" w:color="auto" w:fill="auto"/>
            <w:vAlign w:val="center"/>
          </w:tcPr>
          <w:p w14:paraId="291EA74F" w14:textId="77777777" w:rsidR="00A05AA6" w:rsidRDefault="00A474F6" w:rsidP="001A5A0A">
            <w:pPr>
              <w:pStyle w:val="TableText0"/>
              <w:keepLines/>
              <w:jc w:val="center"/>
            </w:pPr>
            <w:r w:rsidRPr="00AF1481">
              <w:t>0.14</w:t>
            </w:r>
          </w:p>
          <w:p w14:paraId="3BF8071E" w14:textId="1BD72E79" w:rsidR="00A474F6" w:rsidRPr="00AF1481" w:rsidRDefault="00A474F6" w:rsidP="001A5A0A">
            <w:pPr>
              <w:pStyle w:val="TableText0"/>
              <w:keepLines/>
              <w:jc w:val="center"/>
            </w:pPr>
            <w:r w:rsidRPr="00AF1481">
              <w:t>(0.01, 2.80)</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1CE3D95B" w14:textId="77777777" w:rsidR="00A05AA6" w:rsidRDefault="00A474F6" w:rsidP="001A5A0A">
            <w:pPr>
              <w:pStyle w:val="TableText0"/>
              <w:keepLines/>
              <w:jc w:val="center"/>
            </w:pPr>
            <w:r w:rsidRPr="00AF1481">
              <w:t>–0.02</w:t>
            </w:r>
          </w:p>
          <w:p w14:paraId="6CED982B" w14:textId="180542E4" w:rsidR="00A474F6" w:rsidRPr="00AF1481" w:rsidRDefault="00A474F6" w:rsidP="001A5A0A">
            <w:pPr>
              <w:pStyle w:val="TableText0"/>
              <w:keepLines/>
              <w:jc w:val="center"/>
            </w:pPr>
            <w:r w:rsidRPr="00AF1481">
              <w:t>(–0.04, 0.01)</w:t>
            </w:r>
          </w:p>
        </w:tc>
      </w:tr>
      <w:tr w:rsidR="0080187E" w:rsidRPr="00AF1481" w14:paraId="08B3B682" w14:textId="77777777" w:rsidTr="0080187E">
        <w:trPr>
          <w:trHeight w:val="284"/>
        </w:trPr>
        <w:tc>
          <w:tcPr>
            <w:tcW w:w="1696" w:type="dxa"/>
            <w:tcBorders>
              <w:top w:val="single" w:sz="4" w:space="0" w:color="auto"/>
              <w:bottom w:val="dotted" w:sz="4" w:space="0" w:color="auto"/>
              <w:right w:val="single" w:sz="4" w:space="0" w:color="auto"/>
            </w:tcBorders>
            <w:shd w:val="clear" w:color="auto" w:fill="auto"/>
            <w:vAlign w:val="center"/>
          </w:tcPr>
          <w:p w14:paraId="2B73793A" w14:textId="77777777" w:rsidR="00A474F6" w:rsidRPr="00AF1481" w:rsidRDefault="00A474F6" w:rsidP="001A5A0A">
            <w:pPr>
              <w:pStyle w:val="TableText0"/>
              <w:keepLines/>
            </w:pPr>
            <w:r w:rsidRPr="00AF1481">
              <w:t>TEAE leading to discontinuation of study drug</w:t>
            </w:r>
          </w:p>
        </w:tc>
        <w:tc>
          <w:tcPr>
            <w:tcW w:w="942" w:type="dxa"/>
            <w:tcBorders>
              <w:top w:val="single" w:sz="4" w:space="0" w:color="auto"/>
              <w:left w:val="single" w:sz="4" w:space="0" w:color="auto"/>
              <w:bottom w:val="dotted" w:sz="4" w:space="0" w:color="auto"/>
              <w:right w:val="single" w:sz="4" w:space="0" w:color="auto"/>
            </w:tcBorders>
            <w:shd w:val="clear" w:color="auto" w:fill="auto"/>
            <w:vAlign w:val="center"/>
          </w:tcPr>
          <w:p w14:paraId="2B76C296" w14:textId="77777777" w:rsidR="00A05AA6" w:rsidRDefault="00A474F6" w:rsidP="001A5A0A">
            <w:pPr>
              <w:pStyle w:val="TableText0"/>
              <w:keepLines/>
              <w:jc w:val="center"/>
            </w:pPr>
            <w:r w:rsidRPr="00AF1481">
              <w:t>9</w:t>
            </w:r>
          </w:p>
          <w:p w14:paraId="4670027E" w14:textId="6C163832" w:rsidR="00A474F6" w:rsidRPr="00AF1481" w:rsidRDefault="00A474F6" w:rsidP="001A5A0A">
            <w:pPr>
              <w:pStyle w:val="TableText0"/>
              <w:keepLines/>
              <w:jc w:val="center"/>
            </w:pPr>
            <w:r w:rsidRPr="00AF1481">
              <w:t>(2.74%)</w:t>
            </w:r>
          </w:p>
        </w:tc>
        <w:tc>
          <w:tcPr>
            <w:tcW w:w="890" w:type="dxa"/>
            <w:tcBorders>
              <w:top w:val="single" w:sz="4" w:space="0" w:color="auto"/>
              <w:left w:val="single" w:sz="4" w:space="0" w:color="auto"/>
              <w:bottom w:val="dotted" w:sz="4" w:space="0" w:color="auto"/>
              <w:right w:val="single" w:sz="4" w:space="0" w:color="auto"/>
            </w:tcBorders>
            <w:shd w:val="clear" w:color="auto" w:fill="auto"/>
            <w:vAlign w:val="center"/>
          </w:tcPr>
          <w:p w14:paraId="3FEDEF6A" w14:textId="77777777" w:rsidR="00A05AA6" w:rsidRDefault="00A474F6" w:rsidP="001A5A0A">
            <w:pPr>
              <w:pStyle w:val="TableText0"/>
              <w:keepLines/>
              <w:jc w:val="center"/>
            </w:pPr>
            <w:r w:rsidRPr="00AF1481">
              <w:t>2</w:t>
            </w:r>
          </w:p>
          <w:p w14:paraId="2A098C00" w14:textId="0613C80B" w:rsidR="00A474F6" w:rsidRPr="00AF1481" w:rsidRDefault="00A474F6" w:rsidP="001A5A0A">
            <w:pPr>
              <w:pStyle w:val="TableText0"/>
              <w:keepLines/>
              <w:jc w:val="center"/>
            </w:pPr>
            <w:r w:rsidRPr="00AF1481">
              <w:t>(1.23%)</w:t>
            </w:r>
          </w:p>
        </w:tc>
        <w:tc>
          <w:tcPr>
            <w:tcW w:w="885" w:type="dxa"/>
            <w:tcBorders>
              <w:top w:val="single" w:sz="4" w:space="0" w:color="auto"/>
              <w:left w:val="single" w:sz="4" w:space="0" w:color="auto"/>
              <w:bottom w:val="dotted" w:sz="4" w:space="0" w:color="auto"/>
              <w:right w:val="single" w:sz="4" w:space="0" w:color="auto"/>
            </w:tcBorders>
            <w:shd w:val="clear" w:color="auto" w:fill="auto"/>
            <w:vAlign w:val="center"/>
          </w:tcPr>
          <w:p w14:paraId="64C75A3A" w14:textId="77777777" w:rsidR="00A05AA6" w:rsidRDefault="00A474F6" w:rsidP="001A5A0A">
            <w:pPr>
              <w:pStyle w:val="TableText0"/>
              <w:keepLines/>
              <w:jc w:val="center"/>
            </w:pPr>
            <w:r w:rsidRPr="00AF1481">
              <w:t>3</w:t>
            </w:r>
          </w:p>
          <w:p w14:paraId="569E6529" w14:textId="26068FCC" w:rsidR="00A474F6" w:rsidRPr="00AF1481" w:rsidRDefault="00A474F6" w:rsidP="001A5A0A">
            <w:pPr>
              <w:pStyle w:val="TableText0"/>
              <w:keepLines/>
              <w:jc w:val="center"/>
            </w:pPr>
            <w:r w:rsidRPr="00AF1481">
              <w:t>(1.80%)</w:t>
            </w:r>
          </w:p>
        </w:tc>
        <w:tc>
          <w:tcPr>
            <w:tcW w:w="1132" w:type="dxa"/>
            <w:tcBorders>
              <w:top w:val="single" w:sz="4" w:space="0" w:color="auto"/>
              <w:left w:val="single" w:sz="4" w:space="0" w:color="auto"/>
              <w:bottom w:val="dotted" w:sz="4" w:space="0" w:color="auto"/>
              <w:right w:val="single" w:sz="4" w:space="0" w:color="auto"/>
            </w:tcBorders>
            <w:shd w:val="clear" w:color="auto" w:fill="auto"/>
            <w:vAlign w:val="center"/>
          </w:tcPr>
          <w:p w14:paraId="1A70718F" w14:textId="77777777" w:rsidR="00A05AA6" w:rsidRDefault="00A474F6" w:rsidP="001A5A0A">
            <w:pPr>
              <w:pStyle w:val="TableText0"/>
              <w:keepLines/>
              <w:jc w:val="center"/>
            </w:pPr>
            <w:r w:rsidRPr="00AF1481">
              <w:t>1.54</w:t>
            </w:r>
          </w:p>
          <w:p w14:paraId="1021D770" w14:textId="4EDD4A19" w:rsidR="00A474F6" w:rsidRPr="00AF1481" w:rsidRDefault="00A474F6" w:rsidP="001A5A0A">
            <w:pPr>
              <w:pStyle w:val="TableText0"/>
              <w:keepLines/>
              <w:jc w:val="center"/>
            </w:pPr>
            <w:r w:rsidRPr="00AF1481">
              <w:t>(0.41, 5.77)</w:t>
            </w:r>
          </w:p>
        </w:tc>
        <w:tc>
          <w:tcPr>
            <w:tcW w:w="1147" w:type="dxa"/>
            <w:tcBorders>
              <w:top w:val="single" w:sz="4" w:space="0" w:color="auto"/>
              <w:left w:val="single" w:sz="4" w:space="0" w:color="auto"/>
              <w:bottom w:val="dotted" w:sz="4" w:space="0" w:color="auto"/>
              <w:right w:val="single" w:sz="4" w:space="0" w:color="auto"/>
            </w:tcBorders>
            <w:shd w:val="clear" w:color="auto" w:fill="auto"/>
            <w:vAlign w:val="center"/>
          </w:tcPr>
          <w:p w14:paraId="1C9797D7" w14:textId="77777777" w:rsidR="00A05AA6" w:rsidRDefault="00A474F6" w:rsidP="001A5A0A">
            <w:pPr>
              <w:pStyle w:val="TableText0"/>
              <w:keepLines/>
              <w:jc w:val="center"/>
            </w:pPr>
            <w:r w:rsidRPr="00AF1481">
              <w:t>0.01</w:t>
            </w:r>
          </w:p>
          <w:p w14:paraId="668EE022" w14:textId="66C13192" w:rsidR="00A474F6" w:rsidRPr="00AF1481" w:rsidRDefault="00A474F6" w:rsidP="001A5A0A">
            <w:pPr>
              <w:pStyle w:val="TableText0"/>
              <w:keepLines/>
              <w:jc w:val="center"/>
            </w:pPr>
            <w:r w:rsidRPr="00AF1481">
              <w:t>(–0.02, 0.04)</w:t>
            </w:r>
          </w:p>
        </w:tc>
        <w:tc>
          <w:tcPr>
            <w:tcW w:w="1107" w:type="dxa"/>
            <w:tcBorders>
              <w:top w:val="single" w:sz="4" w:space="0" w:color="auto"/>
              <w:left w:val="single" w:sz="4" w:space="0" w:color="auto"/>
              <w:bottom w:val="dotted" w:sz="4" w:space="0" w:color="auto"/>
              <w:right w:val="single" w:sz="4" w:space="0" w:color="auto"/>
            </w:tcBorders>
            <w:shd w:val="clear" w:color="auto" w:fill="auto"/>
            <w:vAlign w:val="center"/>
          </w:tcPr>
          <w:p w14:paraId="2E94743F" w14:textId="77777777" w:rsidR="00A05AA6" w:rsidRDefault="00A474F6" w:rsidP="001A5A0A">
            <w:pPr>
              <w:pStyle w:val="TableText0"/>
              <w:keepLines/>
              <w:jc w:val="center"/>
            </w:pPr>
            <w:r w:rsidRPr="00AF1481">
              <w:t>0.68</w:t>
            </w:r>
          </w:p>
          <w:p w14:paraId="3D606479" w14:textId="7EA8D8DC" w:rsidR="00A474F6" w:rsidRPr="00AF1481" w:rsidRDefault="00A474F6" w:rsidP="001A5A0A">
            <w:pPr>
              <w:pStyle w:val="TableText0"/>
              <w:keepLines/>
              <w:jc w:val="center"/>
            </w:pPr>
            <w:r w:rsidRPr="00AF1481">
              <w:t>(0.11, 4.12)</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782EB5B9" w14:textId="77777777" w:rsidR="00A05AA6" w:rsidRDefault="00A474F6" w:rsidP="001A5A0A">
            <w:pPr>
              <w:pStyle w:val="TableText0"/>
              <w:keepLines/>
              <w:jc w:val="center"/>
            </w:pPr>
            <w:r w:rsidRPr="00AF1481">
              <w:t>–0.01</w:t>
            </w:r>
          </w:p>
          <w:p w14:paraId="02797615" w14:textId="103C6656" w:rsidR="00A474F6" w:rsidRPr="00AF1481" w:rsidRDefault="00A474F6" w:rsidP="001A5A0A">
            <w:pPr>
              <w:pStyle w:val="TableText0"/>
              <w:keepLines/>
              <w:jc w:val="center"/>
            </w:pPr>
            <w:r w:rsidRPr="00AF1481">
              <w:t>(–0.03, 0.02)</w:t>
            </w:r>
          </w:p>
        </w:tc>
      </w:tr>
      <w:tr w:rsidR="0080187E" w:rsidRPr="00AF1481" w14:paraId="35F48E92" w14:textId="77777777" w:rsidTr="0080187E">
        <w:trPr>
          <w:trHeight w:val="284"/>
        </w:trPr>
        <w:tc>
          <w:tcPr>
            <w:tcW w:w="1696" w:type="dxa"/>
            <w:tcBorders>
              <w:top w:val="dotted" w:sz="4" w:space="0" w:color="auto"/>
              <w:bottom w:val="dotted" w:sz="4" w:space="0" w:color="auto"/>
              <w:right w:val="single" w:sz="4" w:space="0" w:color="auto"/>
            </w:tcBorders>
            <w:shd w:val="clear" w:color="auto" w:fill="auto"/>
            <w:vAlign w:val="center"/>
          </w:tcPr>
          <w:p w14:paraId="716D5984" w14:textId="77777777" w:rsidR="00A474F6" w:rsidRPr="00AF1481" w:rsidRDefault="00A474F6" w:rsidP="001A5A0A">
            <w:pPr>
              <w:pStyle w:val="TableText0"/>
              <w:keepLines/>
            </w:pPr>
            <w:r w:rsidRPr="00AF1481">
              <w:t>Any serious TEAE</w:t>
            </w:r>
          </w:p>
        </w:tc>
        <w:tc>
          <w:tcPr>
            <w:tcW w:w="942" w:type="dxa"/>
            <w:tcBorders>
              <w:top w:val="dotted" w:sz="4" w:space="0" w:color="auto"/>
              <w:left w:val="single" w:sz="4" w:space="0" w:color="auto"/>
              <w:bottom w:val="dotted" w:sz="4" w:space="0" w:color="auto"/>
              <w:right w:val="single" w:sz="4" w:space="0" w:color="auto"/>
            </w:tcBorders>
            <w:shd w:val="clear" w:color="auto" w:fill="auto"/>
            <w:vAlign w:val="center"/>
          </w:tcPr>
          <w:p w14:paraId="67C79E99" w14:textId="77777777" w:rsidR="00A05AA6" w:rsidRDefault="00A474F6" w:rsidP="001A5A0A">
            <w:pPr>
              <w:pStyle w:val="TableText0"/>
              <w:keepLines/>
              <w:jc w:val="center"/>
            </w:pPr>
            <w:r w:rsidRPr="00AF1481">
              <w:t>65</w:t>
            </w:r>
          </w:p>
          <w:p w14:paraId="010D81F2" w14:textId="32FE7B29" w:rsidR="00A474F6" w:rsidRPr="00AF1481" w:rsidRDefault="00A474F6" w:rsidP="001A5A0A">
            <w:pPr>
              <w:pStyle w:val="TableText0"/>
              <w:keepLines/>
              <w:jc w:val="center"/>
            </w:pPr>
            <w:r w:rsidRPr="00AF1481">
              <w:t>(19.82%)</w:t>
            </w:r>
          </w:p>
        </w:tc>
        <w:tc>
          <w:tcPr>
            <w:tcW w:w="890" w:type="dxa"/>
            <w:tcBorders>
              <w:top w:val="dotted" w:sz="4" w:space="0" w:color="auto"/>
              <w:left w:val="single" w:sz="4" w:space="0" w:color="auto"/>
              <w:bottom w:val="dotted" w:sz="4" w:space="0" w:color="auto"/>
              <w:right w:val="single" w:sz="4" w:space="0" w:color="auto"/>
            </w:tcBorders>
            <w:shd w:val="clear" w:color="auto" w:fill="auto"/>
            <w:vAlign w:val="center"/>
          </w:tcPr>
          <w:p w14:paraId="04943393" w14:textId="77777777" w:rsidR="00A05AA6" w:rsidRDefault="00A474F6" w:rsidP="001A5A0A">
            <w:pPr>
              <w:pStyle w:val="TableText0"/>
              <w:keepLines/>
              <w:jc w:val="center"/>
            </w:pPr>
            <w:r w:rsidRPr="00AF1481">
              <w:t>29</w:t>
            </w:r>
          </w:p>
          <w:p w14:paraId="49A9460C" w14:textId="701C3117" w:rsidR="00A474F6" w:rsidRPr="00AF1481" w:rsidRDefault="00A474F6" w:rsidP="001A5A0A">
            <w:pPr>
              <w:pStyle w:val="TableText0"/>
              <w:keepLines/>
              <w:jc w:val="center"/>
            </w:pPr>
            <w:r w:rsidRPr="00AF1481">
              <w:t>(17.79%)</w:t>
            </w: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14:paraId="2BD8B884" w14:textId="77777777" w:rsidR="00A05AA6" w:rsidRDefault="00A474F6" w:rsidP="001A5A0A">
            <w:pPr>
              <w:pStyle w:val="TableText0"/>
              <w:keepLines/>
              <w:jc w:val="center"/>
            </w:pPr>
            <w:r w:rsidRPr="00AF1481">
              <w:t>36</w:t>
            </w:r>
          </w:p>
          <w:p w14:paraId="244A7E15" w14:textId="448B3763" w:rsidR="00A474F6" w:rsidRPr="00AF1481" w:rsidRDefault="00A474F6" w:rsidP="001A5A0A">
            <w:pPr>
              <w:pStyle w:val="TableText0"/>
              <w:keepLines/>
              <w:jc w:val="center"/>
            </w:pPr>
            <w:r w:rsidRPr="00AF1481">
              <w:t>(21.56%)</w:t>
            </w:r>
          </w:p>
        </w:tc>
        <w:tc>
          <w:tcPr>
            <w:tcW w:w="1132" w:type="dxa"/>
            <w:tcBorders>
              <w:top w:val="dotted" w:sz="4" w:space="0" w:color="auto"/>
              <w:left w:val="single" w:sz="4" w:space="0" w:color="auto"/>
              <w:bottom w:val="dotted" w:sz="4" w:space="0" w:color="auto"/>
              <w:right w:val="single" w:sz="4" w:space="0" w:color="auto"/>
            </w:tcBorders>
            <w:shd w:val="clear" w:color="auto" w:fill="auto"/>
            <w:vAlign w:val="center"/>
          </w:tcPr>
          <w:p w14:paraId="0314709D" w14:textId="77777777" w:rsidR="00A05AA6" w:rsidRDefault="00A474F6" w:rsidP="001A5A0A">
            <w:pPr>
              <w:pStyle w:val="TableText0"/>
              <w:keepLines/>
              <w:jc w:val="center"/>
            </w:pPr>
            <w:r w:rsidRPr="00AF1481">
              <w:t>0.90</w:t>
            </w:r>
          </w:p>
          <w:p w14:paraId="4AC21283" w14:textId="342B7AD8" w:rsidR="00A474F6" w:rsidRPr="00AF1481" w:rsidRDefault="00A474F6" w:rsidP="001A5A0A">
            <w:pPr>
              <w:pStyle w:val="TableText0"/>
              <w:keepLines/>
              <w:jc w:val="center"/>
            </w:pPr>
            <w:r w:rsidRPr="00AF1481">
              <w:t>(0.57, 1.42)</w:t>
            </w:r>
          </w:p>
        </w:tc>
        <w:tc>
          <w:tcPr>
            <w:tcW w:w="1147" w:type="dxa"/>
            <w:tcBorders>
              <w:top w:val="dotted" w:sz="4" w:space="0" w:color="auto"/>
              <w:left w:val="single" w:sz="4" w:space="0" w:color="auto"/>
              <w:bottom w:val="dotted" w:sz="4" w:space="0" w:color="auto"/>
              <w:right w:val="single" w:sz="4" w:space="0" w:color="auto"/>
            </w:tcBorders>
            <w:shd w:val="clear" w:color="auto" w:fill="auto"/>
            <w:vAlign w:val="center"/>
          </w:tcPr>
          <w:p w14:paraId="66AA9767" w14:textId="77777777" w:rsidR="00A05AA6" w:rsidRDefault="00A474F6" w:rsidP="001A5A0A">
            <w:pPr>
              <w:pStyle w:val="TableText0"/>
              <w:keepLines/>
              <w:jc w:val="center"/>
            </w:pPr>
            <w:r w:rsidRPr="00AF1481">
              <w:t>–0.02</w:t>
            </w:r>
          </w:p>
          <w:p w14:paraId="320F4507" w14:textId="4230D6BB" w:rsidR="00A474F6" w:rsidRPr="00AF1481" w:rsidRDefault="00A474F6" w:rsidP="001A5A0A">
            <w:pPr>
              <w:pStyle w:val="TableText0"/>
              <w:keepLines/>
              <w:jc w:val="center"/>
            </w:pPr>
            <w:r w:rsidRPr="00AF1481">
              <w:t>(–0.09, 0.06)</w:t>
            </w:r>
          </w:p>
        </w:tc>
        <w:tc>
          <w:tcPr>
            <w:tcW w:w="1107" w:type="dxa"/>
            <w:tcBorders>
              <w:top w:val="dotted" w:sz="4" w:space="0" w:color="auto"/>
              <w:left w:val="single" w:sz="4" w:space="0" w:color="auto"/>
              <w:bottom w:val="dotted" w:sz="4" w:space="0" w:color="auto"/>
              <w:right w:val="single" w:sz="4" w:space="0" w:color="auto"/>
            </w:tcBorders>
            <w:shd w:val="clear" w:color="auto" w:fill="auto"/>
            <w:vAlign w:val="center"/>
          </w:tcPr>
          <w:p w14:paraId="6310EAEC" w14:textId="77777777" w:rsidR="00A05AA6" w:rsidRDefault="00A474F6" w:rsidP="001A5A0A">
            <w:pPr>
              <w:pStyle w:val="TableText0"/>
              <w:keepLines/>
              <w:jc w:val="center"/>
            </w:pPr>
            <w:r w:rsidRPr="00AF1481">
              <w:t>0.79</w:t>
            </w:r>
          </w:p>
          <w:p w14:paraId="0C9C4EE6" w14:textId="397F4899" w:rsidR="00A474F6" w:rsidRPr="00AF1481" w:rsidRDefault="00A474F6" w:rsidP="001A5A0A">
            <w:pPr>
              <w:pStyle w:val="TableText0"/>
              <w:keepLines/>
              <w:jc w:val="center"/>
            </w:pPr>
            <w:r w:rsidRPr="00AF1481">
              <w:t>(0.46, 1.36)</w:t>
            </w: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03F6733C" w14:textId="77777777" w:rsidR="00A05AA6" w:rsidRDefault="00A474F6" w:rsidP="001A5A0A">
            <w:pPr>
              <w:pStyle w:val="TableText0"/>
              <w:keepLines/>
              <w:jc w:val="center"/>
            </w:pPr>
            <w:r w:rsidRPr="00AF1481">
              <w:t>–0.04</w:t>
            </w:r>
          </w:p>
          <w:p w14:paraId="7C828350" w14:textId="1B115BAB" w:rsidR="00A474F6" w:rsidRPr="00AF1481" w:rsidRDefault="00A474F6" w:rsidP="001A5A0A">
            <w:pPr>
              <w:pStyle w:val="TableText0"/>
              <w:keepLines/>
              <w:jc w:val="center"/>
            </w:pPr>
            <w:r w:rsidRPr="00AF1481">
              <w:t>(–0.12, 0.05)</w:t>
            </w:r>
          </w:p>
        </w:tc>
      </w:tr>
      <w:tr w:rsidR="0080187E" w:rsidRPr="00AF1481" w14:paraId="70DE50FA" w14:textId="77777777" w:rsidTr="0080187E">
        <w:trPr>
          <w:trHeight w:val="284"/>
        </w:trPr>
        <w:tc>
          <w:tcPr>
            <w:tcW w:w="1696" w:type="dxa"/>
            <w:tcBorders>
              <w:top w:val="dotted" w:sz="4" w:space="0" w:color="auto"/>
              <w:bottom w:val="dotted" w:sz="4" w:space="0" w:color="auto"/>
              <w:right w:val="single" w:sz="4" w:space="0" w:color="auto"/>
            </w:tcBorders>
            <w:shd w:val="clear" w:color="auto" w:fill="auto"/>
            <w:vAlign w:val="center"/>
          </w:tcPr>
          <w:p w14:paraId="020E5048" w14:textId="77777777" w:rsidR="00A474F6" w:rsidRPr="00AF1481" w:rsidRDefault="00A474F6" w:rsidP="001A5A0A">
            <w:pPr>
              <w:pStyle w:val="TableText0"/>
              <w:keepLines/>
            </w:pPr>
            <w:r w:rsidRPr="00AF1481">
              <w:t>Ocular serious TEAE</w:t>
            </w:r>
          </w:p>
        </w:tc>
        <w:tc>
          <w:tcPr>
            <w:tcW w:w="942" w:type="dxa"/>
            <w:tcBorders>
              <w:top w:val="dotted" w:sz="4" w:space="0" w:color="auto"/>
              <w:left w:val="single" w:sz="4" w:space="0" w:color="auto"/>
              <w:bottom w:val="dotted" w:sz="4" w:space="0" w:color="auto"/>
              <w:right w:val="single" w:sz="4" w:space="0" w:color="auto"/>
            </w:tcBorders>
            <w:shd w:val="clear" w:color="auto" w:fill="auto"/>
            <w:vAlign w:val="center"/>
          </w:tcPr>
          <w:p w14:paraId="0749BFBC" w14:textId="77777777" w:rsidR="00A05AA6" w:rsidRDefault="00A474F6" w:rsidP="001A5A0A">
            <w:pPr>
              <w:pStyle w:val="TableText0"/>
              <w:keepLines/>
              <w:jc w:val="center"/>
            </w:pPr>
            <w:r w:rsidRPr="00AF1481">
              <w:t>6</w:t>
            </w:r>
          </w:p>
          <w:p w14:paraId="4F73DB69" w14:textId="20AF7C8C" w:rsidR="00A474F6" w:rsidRPr="00AF1481" w:rsidRDefault="00A474F6" w:rsidP="001A5A0A">
            <w:pPr>
              <w:pStyle w:val="TableText0"/>
              <w:keepLines/>
              <w:jc w:val="center"/>
            </w:pPr>
            <w:r w:rsidRPr="00AF1481">
              <w:t>(1.83%)</w:t>
            </w:r>
          </w:p>
        </w:tc>
        <w:tc>
          <w:tcPr>
            <w:tcW w:w="890" w:type="dxa"/>
            <w:tcBorders>
              <w:top w:val="dotted" w:sz="4" w:space="0" w:color="auto"/>
              <w:left w:val="single" w:sz="4" w:space="0" w:color="auto"/>
              <w:bottom w:val="dotted" w:sz="4" w:space="0" w:color="auto"/>
              <w:right w:val="single" w:sz="4" w:space="0" w:color="auto"/>
            </w:tcBorders>
            <w:shd w:val="clear" w:color="auto" w:fill="auto"/>
            <w:vAlign w:val="center"/>
          </w:tcPr>
          <w:p w14:paraId="35412087" w14:textId="77777777" w:rsidR="00A05AA6" w:rsidRDefault="00A474F6" w:rsidP="001A5A0A">
            <w:pPr>
              <w:pStyle w:val="TableText0"/>
              <w:keepLines/>
              <w:jc w:val="center"/>
            </w:pPr>
            <w:r w:rsidRPr="00AF1481">
              <w:t>2</w:t>
            </w:r>
          </w:p>
          <w:p w14:paraId="039A9ABD" w14:textId="334D3D9B" w:rsidR="00A474F6" w:rsidRPr="00AF1481" w:rsidRDefault="00A474F6" w:rsidP="001A5A0A">
            <w:pPr>
              <w:pStyle w:val="TableText0"/>
              <w:keepLines/>
              <w:jc w:val="center"/>
            </w:pPr>
            <w:r w:rsidRPr="00AF1481">
              <w:t>(1.23%)</w:t>
            </w: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14:paraId="207A9B7B" w14:textId="77777777" w:rsidR="00A05AA6" w:rsidRDefault="00A474F6" w:rsidP="001A5A0A">
            <w:pPr>
              <w:pStyle w:val="TableText0"/>
              <w:keepLines/>
              <w:jc w:val="center"/>
            </w:pPr>
            <w:r w:rsidRPr="00AF1481">
              <w:t>5</w:t>
            </w:r>
          </w:p>
          <w:p w14:paraId="6DB2EB3B" w14:textId="1E899DE2" w:rsidR="00A474F6" w:rsidRPr="00AF1481" w:rsidRDefault="00A474F6" w:rsidP="001A5A0A">
            <w:pPr>
              <w:pStyle w:val="TableText0"/>
              <w:keepLines/>
              <w:jc w:val="center"/>
            </w:pPr>
            <w:r w:rsidRPr="00AF1481">
              <w:t>(2.99%)</w:t>
            </w:r>
          </w:p>
        </w:tc>
        <w:tc>
          <w:tcPr>
            <w:tcW w:w="1132" w:type="dxa"/>
            <w:tcBorders>
              <w:top w:val="dotted" w:sz="4" w:space="0" w:color="auto"/>
              <w:left w:val="single" w:sz="4" w:space="0" w:color="auto"/>
              <w:bottom w:val="dotted" w:sz="4" w:space="0" w:color="auto"/>
              <w:right w:val="single" w:sz="4" w:space="0" w:color="auto"/>
            </w:tcBorders>
            <w:shd w:val="clear" w:color="auto" w:fill="auto"/>
            <w:vAlign w:val="center"/>
          </w:tcPr>
          <w:p w14:paraId="3DF025C4" w14:textId="77777777" w:rsidR="00A05AA6" w:rsidRDefault="00A474F6" w:rsidP="001A5A0A">
            <w:pPr>
              <w:pStyle w:val="TableText0"/>
              <w:keepLines/>
              <w:jc w:val="center"/>
            </w:pPr>
            <w:r w:rsidRPr="00AF1481">
              <w:t>0.60</w:t>
            </w:r>
          </w:p>
          <w:p w14:paraId="3A3D87E6" w14:textId="1AAB6FE3" w:rsidR="00A474F6" w:rsidRPr="00AF1481" w:rsidRDefault="00A474F6" w:rsidP="001A5A0A">
            <w:pPr>
              <w:pStyle w:val="TableText0"/>
              <w:keepLines/>
              <w:jc w:val="center"/>
            </w:pPr>
            <w:r w:rsidRPr="00AF1481">
              <w:t>(0.18, 2.01)</w:t>
            </w:r>
          </w:p>
        </w:tc>
        <w:tc>
          <w:tcPr>
            <w:tcW w:w="1147" w:type="dxa"/>
            <w:tcBorders>
              <w:top w:val="dotted" w:sz="4" w:space="0" w:color="auto"/>
              <w:left w:val="single" w:sz="4" w:space="0" w:color="auto"/>
              <w:bottom w:val="dotted" w:sz="4" w:space="0" w:color="auto"/>
              <w:right w:val="single" w:sz="4" w:space="0" w:color="auto"/>
            </w:tcBorders>
            <w:shd w:val="clear" w:color="auto" w:fill="auto"/>
            <w:vAlign w:val="center"/>
          </w:tcPr>
          <w:p w14:paraId="44A825F4" w14:textId="77777777" w:rsidR="00A05AA6" w:rsidRDefault="00A474F6" w:rsidP="001A5A0A">
            <w:pPr>
              <w:pStyle w:val="TableText0"/>
              <w:keepLines/>
              <w:jc w:val="center"/>
            </w:pPr>
            <w:r w:rsidRPr="00AF1481">
              <w:t>–0.01</w:t>
            </w:r>
          </w:p>
          <w:p w14:paraId="60580B5B" w14:textId="40E5A2ED" w:rsidR="00A474F6" w:rsidRPr="00AF1481" w:rsidRDefault="00A474F6" w:rsidP="001A5A0A">
            <w:pPr>
              <w:pStyle w:val="TableText0"/>
              <w:keepLines/>
              <w:jc w:val="center"/>
            </w:pPr>
            <w:r w:rsidRPr="00AF1481">
              <w:t>(–0.04, 0.02)</w:t>
            </w:r>
          </w:p>
        </w:tc>
        <w:tc>
          <w:tcPr>
            <w:tcW w:w="1107" w:type="dxa"/>
            <w:tcBorders>
              <w:top w:val="dotted" w:sz="4" w:space="0" w:color="auto"/>
              <w:left w:val="single" w:sz="4" w:space="0" w:color="auto"/>
              <w:bottom w:val="dotted" w:sz="4" w:space="0" w:color="auto"/>
              <w:right w:val="single" w:sz="4" w:space="0" w:color="auto"/>
            </w:tcBorders>
            <w:shd w:val="clear" w:color="auto" w:fill="auto"/>
            <w:vAlign w:val="center"/>
          </w:tcPr>
          <w:p w14:paraId="7941628D" w14:textId="77777777" w:rsidR="00A05AA6" w:rsidRDefault="00A474F6" w:rsidP="001A5A0A">
            <w:pPr>
              <w:pStyle w:val="TableText0"/>
              <w:keepLines/>
              <w:jc w:val="center"/>
            </w:pPr>
            <w:r w:rsidRPr="00AF1481">
              <w:t>0.40</w:t>
            </w:r>
          </w:p>
          <w:p w14:paraId="3D255057" w14:textId="01C4E2E7" w:rsidR="00A474F6" w:rsidRPr="00AF1481" w:rsidRDefault="00A474F6" w:rsidP="001A5A0A">
            <w:pPr>
              <w:pStyle w:val="TableText0"/>
              <w:keepLines/>
              <w:jc w:val="center"/>
            </w:pPr>
            <w:r w:rsidRPr="00AF1481">
              <w:t>(0.08, 2.10)</w:t>
            </w: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1B61B828" w14:textId="77777777" w:rsidR="00A05AA6" w:rsidRDefault="00A474F6" w:rsidP="001A5A0A">
            <w:pPr>
              <w:pStyle w:val="TableText0"/>
              <w:keepLines/>
              <w:jc w:val="center"/>
            </w:pPr>
            <w:r w:rsidRPr="00AF1481">
              <w:t>–0.02</w:t>
            </w:r>
          </w:p>
          <w:p w14:paraId="06547377" w14:textId="5C6EA2A0" w:rsidR="00A474F6" w:rsidRPr="00AF1481" w:rsidRDefault="00A474F6" w:rsidP="001A5A0A">
            <w:pPr>
              <w:pStyle w:val="TableText0"/>
              <w:keepLines/>
              <w:jc w:val="center"/>
            </w:pPr>
            <w:r w:rsidRPr="00AF1481">
              <w:t>(–0.05, 0.01)</w:t>
            </w:r>
          </w:p>
        </w:tc>
      </w:tr>
      <w:tr w:rsidR="0080187E" w:rsidRPr="00AF1481" w14:paraId="04F2687A" w14:textId="77777777" w:rsidTr="0080187E">
        <w:trPr>
          <w:trHeight w:val="284"/>
        </w:trPr>
        <w:tc>
          <w:tcPr>
            <w:tcW w:w="1696" w:type="dxa"/>
            <w:tcBorders>
              <w:top w:val="dotted" w:sz="4" w:space="0" w:color="auto"/>
              <w:bottom w:val="single" w:sz="4" w:space="0" w:color="auto"/>
              <w:right w:val="single" w:sz="4" w:space="0" w:color="auto"/>
            </w:tcBorders>
            <w:shd w:val="clear" w:color="auto" w:fill="auto"/>
            <w:vAlign w:val="center"/>
          </w:tcPr>
          <w:p w14:paraId="1BD5823B" w14:textId="77777777" w:rsidR="00A474F6" w:rsidRPr="00AF1481" w:rsidRDefault="00A474F6" w:rsidP="001A5A0A">
            <w:pPr>
              <w:pStyle w:val="TableText0"/>
              <w:keepLines/>
            </w:pPr>
            <w:r w:rsidRPr="00AF1481">
              <w:t>Non-ocular serious TEAE</w:t>
            </w:r>
          </w:p>
        </w:tc>
        <w:tc>
          <w:tcPr>
            <w:tcW w:w="942" w:type="dxa"/>
            <w:tcBorders>
              <w:top w:val="dotted" w:sz="4" w:space="0" w:color="auto"/>
              <w:left w:val="single" w:sz="4" w:space="0" w:color="auto"/>
              <w:bottom w:val="single" w:sz="4" w:space="0" w:color="auto"/>
              <w:right w:val="single" w:sz="4" w:space="0" w:color="auto"/>
            </w:tcBorders>
            <w:shd w:val="clear" w:color="auto" w:fill="auto"/>
            <w:vAlign w:val="center"/>
          </w:tcPr>
          <w:p w14:paraId="26A6BFF1" w14:textId="77777777" w:rsidR="00A05AA6" w:rsidRDefault="00A474F6" w:rsidP="001A5A0A">
            <w:pPr>
              <w:pStyle w:val="TableText0"/>
              <w:keepLines/>
              <w:jc w:val="center"/>
            </w:pPr>
            <w:r w:rsidRPr="00AF1481">
              <w:t>61</w:t>
            </w:r>
          </w:p>
          <w:p w14:paraId="1F0D6575" w14:textId="0EE29CD1" w:rsidR="00A474F6" w:rsidRPr="00AF1481" w:rsidRDefault="00A474F6" w:rsidP="001A5A0A">
            <w:pPr>
              <w:pStyle w:val="TableText0"/>
              <w:keepLines/>
              <w:jc w:val="center"/>
            </w:pPr>
            <w:r w:rsidRPr="00AF1481">
              <w:t>(18.60%)</w:t>
            </w:r>
          </w:p>
        </w:tc>
        <w:tc>
          <w:tcPr>
            <w:tcW w:w="890" w:type="dxa"/>
            <w:tcBorders>
              <w:top w:val="dotted" w:sz="4" w:space="0" w:color="auto"/>
              <w:left w:val="single" w:sz="4" w:space="0" w:color="auto"/>
              <w:bottom w:val="single" w:sz="4" w:space="0" w:color="auto"/>
              <w:right w:val="single" w:sz="4" w:space="0" w:color="auto"/>
            </w:tcBorders>
            <w:shd w:val="clear" w:color="auto" w:fill="auto"/>
            <w:vAlign w:val="center"/>
          </w:tcPr>
          <w:p w14:paraId="2FE42089" w14:textId="77777777" w:rsidR="00A05AA6" w:rsidRDefault="00A474F6" w:rsidP="001A5A0A">
            <w:pPr>
              <w:pStyle w:val="TableText0"/>
              <w:keepLines/>
              <w:jc w:val="center"/>
            </w:pPr>
            <w:r w:rsidRPr="00AF1481">
              <w:t>27</w:t>
            </w:r>
          </w:p>
          <w:p w14:paraId="11D16D30" w14:textId="661E3500" w:rsidR="00A474F6" w:rsidRPr="00AF1481" w:rsidRDefault="00A474F6" w:rsidP="001A5A0A">
            <w:pPr>
              <w:pStyle w:val="TableText0"/>
              <w:keepLines/>
              <w:jc w:val="center"/>
            </w:pPr>
            <w:r w:rsidRPr="00AF1481">
              <w:t>(16.56%)</w:t>
            </w:r>
          </w:p>
        </w:tc>
        <w:tc>
          <w:tcPr>
            <w:tcW w:w="885" w:type="dxa"/>
            <w:tcBorders>
              <w:top w:val="dotted" w:sz="4" w:space="0" w:color="auto"/>
              <w:left w:val="single" w:sz="4" w:space="0" w:color="auto"/>
              <w:bottom w:val="single" w:sz="4" w:space="0" w:color="auto"/>
              <w:right w:val="single" w:sz="4" w:space="0" w:color="auto"/>
            </w:tcBorders>
            <w:shd w:val="clear" w:color="auto" w:fill="auto"/>
            <w:vAlign w:val="center"/>
          </w:tcPr>
          <w:p w14:paraId="4E0ECA5F" w14:textId="77777777" w:rsidR="00A05AA6" w:rsidRDefault="00A474F6" w:rsidP="001A5A0A">
            <w:pPr>
              <w:pStyle w:val="TableText0"/>
              <w:keepLines/>
              <w:jc w:val="center"/>
            </w:pPr>
            <w:r w:rsidRPr="00AF1481">
              <w:t>32</w:t>
            </w:r>
          </w:p>
          <w:p w14:paraId="52B650DA" w14:textId="5DC0F1F2" w:rsidR="00A474F6" w:rsidRPr="00AF1481" w:rsidRDefault="00A474F6" w:rsidP="001A5A0A">
            <w:pPr>
              <w:pStyle w:val="TableText0"/>
              <w:keepLines/>
              <w:jc w:val="center"/>
            </w:pPr>
            <w:r w:rsidRPr="00AF1481">
              <w:t>(19.16%)</w:t>
            </w:r>
          </w:p>
        </w:tc>
        <w:tc>
          <w:tcPr>
            <w:tcW w:w="1132" w:type="dxa"/>
            <w:tcBorders>
              <w:top w:val="dotted" w:sz="4" w:space="0" w:color="auto"/>
              <w:left w:val="single" w:sz="4" w:space="0" w:color="auto"/>
              <w:bottom w:val="single" w:sz="4" w:space="0" w:color="auto"/>
              <w:right w:val="single" w:sz="4" w:space="0" w:color="auto"/>
            </w:tcBorders>
            <w:shd w:val="clear" w:color="auto" w:fill="auto"/>
            <w:vAlign w:val="center"/>
          </w:tcPr>
          <w:p w14:paraId="667AA944" w14:textId="77777777" w:rsidR="00A05AA6" w:rsidRDefault="00A474F6" w:rsidP="001A5A0A">
            <w:pPr>
              <w:pStyle w:val="TableText0"/>
              <w:keepLines/>
              <w:jc w:val="center"/>
            </w:pPr>
            <w:r w:rsidRPr="00AF1481">
              <w:t>0.96</w:t>
            </w:r>
          </w:p>
          <w:p w14:paraId="782DF90F" w14:textId="28768936" w:rsidR="00A474F6" w:rsidRPr="00AF1481" w:rsidRDefault="00A474F6" w:rsidP="001A5A0A">
            <w:pPr>
              <w:pStyle w:val="TableText0"/>
              <w:keepLines/>
              <w:jc w:val="center"/>
            </w:pPr>
            <w:r w:rsidRPr="00AF1481">
              <w:t>(0.60, 1.55)</w:t>
            </w:r>
          </w:p>
        </w:tc>
        <w:tc>
          <w:tcPr>
            <w:tcW w:w="1147" w:type="dxa"/>
            <w:tcBorders>
              <w:top w:val="dotted" w:sz="4" w:space="0" w:color="auto"/>
              <w:left w:val="single" w:sz="4" w:space="0" w:color="auto"/>
              <w:bottom w:val="single" w:sz="4" w:space="0" w:color="auto"/>
              <w:right w:val="single" w:sz="4" w:space="0" w:color="auto"/>
            </w:tcBorders>
            <w:shd w:val="clear" w:color="auto" w:fill="auto"/>
            <w:vAlign w:val="center"/>
          </w:tcPr>
          <w:p w14:paraId="7EC462FA" w14:textId="77777777" w:rsidR="00A05AA6" w:rsidRDefault="00A474F6" w:rsidP="001A5A0A">
            <w:pPr>
              <w:pStyle w:val="TableText0"/>
              <w:keepLines/>
              <w:jc w:val="center"/>
            </w:pPr>
            <w:r w:rsidRPr="00AF1481">
              <w:t>–0.01</w:t>
            </w:r>
          </w:p>
          <w:p w14:paraId="42F7EA74" w14:textId="0ABC8EF1" w:rsidR="00A474F6" w:rsidRPr="00AF1481" w:rsidRDefault="00A474F6" w:rsidP="001A5A0A">
            <w:pPr>
              <w:pStyle w:val="TableText0"/>
              <w:keepLines/>
              <w:jc w:val="center"/>
            </w:pPr>
            <w:r w:rsidRPr="00AF1481">
              <w:t>(–0.08, 0.07)</w:t>
            </w:r>
          </w:p>
        </w:tc>
        <w:tc>
          <w:tcPr>
            <w:tcW w:w="1107" w:type="dxa"/>
            <w:tcBorders>
              <w:top w:val="dotted" w:sz="4" w:space="0" w:color="auto"/>
              <w:left w:val="single" w:sz="4" w:space="0" w:color="auto"/>
              <w:bottom w:val="single" w:sz="4" w:space="0" w:color="auto"/>
              <w:right w:val="single" w:sz="4" w:space="0" w:color="auto"/>
            </w:tcBorders>
            <w:shd w:val="clear" w:color="auto" w:fill="auto"/>
            <w:vAlign w:val="center"/>
          </w:tcPr>
          <w:p w14:paraId="1C784647" w14:textId="77777777" w:rsidR="00A05AA6" w:rsidRDefault="00A474F6" w:rsidP="001A5A0A">
            <w:pPr>
              <w:pStyle w:val="TableText0"/>
              <w:keepLines/>
              <w:jc w:val="center"/>
            </w:pPr>
            <w:r w:rsidRPr="00AF1481">
              <w:t>0.84</w:t>
            </w:r>
          </w:p>
          <w:p w14:paraId="26B71C92" w14:textId="4F161033" w:rsidR="00A474F6" w:rsidRPr="00AF1481" w:rsidRDefault="00A474F6" w:rsidP="001A5A0A">
            <w:pPr>
              <w:pStyle w:val="TableText0"/>
              <w:keepLines/>
              <w:jc w:val="center"/>
            </w:pPr>
            <w:r w:rsidRPr="00AF1481">
              <w:t>(0.48, 1.47)</w:t>
            </w:r>
          </w:p>
        </w:tc>
        <w:tc>
          <w:tcPr>
            <w:tcW w:w="1248" w:type="dxa"/>
            <w:tcBorders>
              <w:top w:val="dotted" w:sz="4" w:space="0" w:color="auto"/>
              <w:left w:val="single" w:sz="4" w:space="0" w:color="auto"/>
              <w:bottom w:val="single" w:sz="4" w:space="0" w:color="auto"/>
              <w:right w:val="single" w:sz="4" w:space="0" w:color="auto"/>
            </w:tcBorders>
            <w:shd w:val="clear" w:color="auto" w:fill="auto"/>
            <w:vAlign w:val="center"/>
          </w:tcPr>
          <w:p w14:paraId="4A92CE7D" w14:textId="77777777" w:rsidR="00A05AA6" w:rsidRDefault="00A474F6" w:rsidP="001A5A0A">
            <w:pPr>
              <w:pStyle w:val="TableText0"/>
              <w:keepLines/>
              <w:jc w:val="center"/>
            </w:pPr>
            <w:r w:rsidRPr="00AF1481">
              <w:t>–0.03</w:t>
            </w:r>
          </w:p>
          <w:p w14:paraId="13F3A44A" w14:textId="4D2CCBC9" w:rsidR="00A474F6" w:rsidRPr="00AF1481" w:rsidRDefault="00A474F6" w:rsidP="001A5A0A">
            <w:pPr>
              <w:pStyle w:val="TableText0"/>
              <w:keepLines/>
              <w:jc w:val="center"/>
            </w:pPr>
            <w:r w:rsidRPr="00AF1481">
              <w:t>(–0.11, 0.06)</w:t>
            </w:r>
          </w:p>
        </w:tc>
      </w:tr>
      <w:tr w:rsidR="0080187E" w:rsidRPr="00AF1481" w14:paraId="03C88C42" w14:textId="77777777" w:rsidTr="0080187E">
        <w:trPr>
          <w:trHeight w:val="284"/>
        </w:trPr>
        <w:tc>
          <w:tcPr>
            <w:tcW w:w="1696" w:type="dxa"/>
            <w:tcBorders>
              <w:top w:val="single" w:sz="4" w:space="0" w:color="auto"/>
              <w:bottom w:val="dotted" w:sz="4" w:space="0" w:color="auto"/>
              <w:right w:val="single" w:sz="4" w:space="0" w:color="auto"/>
            </w:tcBorders>
            <w:shd w:val="clear" w:color="auto" w:fill="auto"/>
            <w:vAlign w:val="center"/>
          </w:tcPr>
          <w:p w14:paraId="629ECFA2" w14:textId="77777777" w:rsidR="00A474F6" w:rsidRPr="00AF1481" w:rsidRDefault="00A474F6" w:rsidP="001A5A0A">
            <w:pPr>
              <w:pStyle w:val="TableText0"/>
              <w:keepLines/>
            </w:pPr>
            <w:r w:rsidRPr="00AF1481">
              <w:t>Any death</w:t>
            </w:r>
          </w:p>
        </w:tc>
        <w:tc>
          <w:tcPr>
            <w:tcW w:w="942" w:type="dxa"/>
            <w:tcBorders>
              <w:top w:val="single" w:sz="4" w:space="0" w:color="auto"/>
              <w:left w:val="single" w:sz="4" w:space="0" w:color="auto"/>
              <w:bottom w:val="dotted" w:sz="4" w:space="0" w:color="auto"/>
              <w:right w:val="single" w:sz="4" w:space="0" w:color="auto"/>
            </w:tcBorders>
            <w:shd w:val="clear" w:color="auto" w:fill="auto"/>
            <w:vAlign w:val="center"/>
          </w:tcPr>
          <w:p w14:paraId="44F93F97" w14:textId="77777777" w:rsidR="00A05AA6" w:rsidRDefault="00A474F6" w:rsidP="001A5A0A">
            <w:pPr>
              <w:pStyle w:val="TableText0"/>
              <w:keepLines/>
              <w:jc w:val="center"/>
            </w:pPr>
            <w:r w:rsidRPr="00AF1481">
              <w:t>9</w:t>
            </w:r>
          </w:p>
          <w:p w14:paraId="1BB33EC6" w14:textId="7D085D89" w:rsidR="00A474F6" w:rsidRPr="00AF1481" w:rsidRDefault="00A474F6" w:rsidP="001A5A0A">
            <w:pPr>
              <w:pStyle w:val="TableText0"/>
              <w:keepLines/>
              <w:jc w:val="center"/>
            </w:pPr>
            <w:r w:rsidRPr="00AF1481">
              <w:t>(2.74%)</w:t>
            </w:r>
          </w:p>
        </w:tc>
        <w:tc>
          <w:tcPr>
            <w:tcW w:w="890" w:type="dxa"/>
            <w:tcBorders>
              <w:top w:val="single" w:sz="4" w:space="0" w:color="auto"/>
              <w:left w:val="single" w:sz="4" w:space="0" w:color="auto"/>
              <w:bottom w:val="dotted" w:sz="4" w:space="0" w:color="auto"/>
              <w:right w:val="single" w:sz="4" w:space="0" w:color="auto"/>
            </w:tcBorders>
            <w:shd w:val="clear" w:color="auto" w:fill="auto"/>
            <w:vAlign w:val="center"/>
          </w:tcPr>
          <w:p w14:paraId="6556DE9D" w14:textId="77777777" w:rsidR="00A05AA6" w:rsidRDefault="00A474F6" w:rsidP="001A5A0A">
            <w:pPr>
              <w:pStyle w:val="TableText0"/>
              <w:keepLines/>
              <w:jc w:val="center"/>
            </w:pPr>
            <w:r w:rsidRPr="00AF1481">
              <w:t>4</w:t>
            </w:r>
          </w:p>
          <w:p w14:paraId="1B7E340D" w14:textId="29095036" w:rsidR="00A474F6" w:rsidRPr="00AF1481" w:rsidRDefault="00A474F6" w:rsidP="001A5A0A">
            <w:pPr>
              <w:pStyle w:val="TableText0"/>
              <w:keepLines/>
              <w:jc w:val="center"/>
            </w:pPr>
            <w:r w:rsidRPr="00AF1481">
              <w:t>(2.45%)</w:t>
            </w:r>
          </w:p>
        </w:tc>
        <w:tc>
          <w:tcPr>
            <w:tcW w:w="885" w:type="dxa"/>
            <w:tcBorders>
              <w:top w:val="single" w:sz="4" w:space="0" w:color="auto"/>
              <w:left w:val="single" w:sz="4" w:space="0" w:color="auto"/>
              <w:bottom w:val="dotted" w:sz="4" w:space="0" w:color="auto"/>
              <w:right w:val="single" w:sz="4" w:space="0" w:color="auto"/>
            </w:tcBorders>
            <w:shd w:val="clear" w:color="auto" w:fill="auto"/>
            <w:vAlign w:val="center"/>
          </w:tcPr>
          <w:p w14:paraId="349CBB94" w14:textId="77777777" w:rsidR="00A05AA6" w:rsidRDefault="00A474F6" w:rsidP="001A5A0A">
            <w:pPr>
              <w:pStyle w:val="TableText0"/>
              <w:keepLines/>
              <w:jc w:val="center"/>
            </w:pPr>
            <w:r w:rsidRPr="00AF1481">
              <w:t>5</w:t>
            </w:r>
          </w:p>
          <w:p w14:paraId="2B6E6DBA" w14:textId="50A71350" w:rsidR="00A474F6" w:rsidRPr="00AF1481" w:rsidRDefault="00A474F6" w:rsidP="001A5A0A">
            <w:pPr>
              <w:pStyle w:val="TableText0"/>
              <w:keepLines/>
              <w:jc w:val="center"/>
            </w:pPr>
            <w:r w:rsidRPr="00AF1481">
              <w:t>(2.99%)</w:t>
            </w:r>
          </w:p>
        </w:tc>
        <w:tc>
          <w:tcPr>
            <w:tcW w:w="1132" w:type="dxa"/>
            <w:tcBorders>
              <w:top w:val="single" w:sz="4" w:space="0" w:color="auto"/>
              <w:left w:val="single" w:sz="4" w:space="0" w:color="auto"/>
              <w:bottom w:val="dotted" w:sz="4" w:space="0" w:color="auto"/>
              <w:right w:val="single" w:sz="4" w:space="0" w:color="auto"/>
            </w:tcBorders>
            <w:shd w:val="clear" w:color="auto" w:fill="auto"/>
            <w:vAlign w:val="center"/>
          </w:tcPr>
          <w:p w14:paraId="34EB5FA3" w14:textId="77777777" w:rsidR="00A05AA6" w:rsidRDefault="00A474F6" w:rsidP="001A5A0A">
            <w:pPr>
              <w:pStyle w:val="TableText0"/>
              <w:keepLines/>
              <w:jc w:val="center"/>
            </w:pPr>
            <w:r w:rsidRPr="00AF1481">
              <w:t>0.91</w:t>
            </w:r>
          </w:p>
          <w:p w14:paraId="73712704" w14:textId="7BD4FC98" w:rsidR="00A474F6" w:rsidRPr="00AF1481" w:rsidRDefault="00A474F6" w:rsidP="001A5A0A">
            <w:pPr>
              <w:pStyle w:val="TableText0"/>
              <w:keepLines/>
              <w:jc w:val="center"/>
            </w:pPr>
            <w:r w:rsidRPr="00AF1481">
              <w:t>(0.30, 2.77)</w:t>
            </w:r>
          </w:p>
        </w:tc>
        <w:tc>
          <w:tcPr>
            <w:tcW w:w="1147" w:type="dxa"/>
            <w:tcBorders>
              <w:top w:val="single" w:sz="4" w:space="0" w:color="auto"/>
              <w:left w:val="single" w:sz="4" w:space="0" w:color="auto"/>
              <w:bottom w:val="dotted" w:sz="4" w:space="0" w:color="auto"/>
              <w:right w:val="single" w:sz="4" w:space="0" w:color="auto"/>
            </w:tcBorders>
            <w:shd w:val="clear" w:color="auto" w:fill="auto"/>
            <w:vAlign w:val="center"/>
          </w:tcPr>
          <w:p w14:paraId="2F9EF497" w14:textId="77777777" w:rsidR="00A05AA6" w:rsidRDefault="00A474F6" w:rsidP="001A5A0A">
            <w:pPr>
              <w:pStyle w:val="TableText0"/>
              <w:keepLines/>
              <w:jc w:val="center"/>
            </w:pPr>
            <w:r w:rsidRPr="00AF1481">
              <w:t>–0.00</w:t>
            </w:r>
          </w:p>
          <w:p w14:paraId="3B9185A4" w14:textId="44C0B2FA" w:rsidR="00A474F6" w:rsidRPr="00AF1481" w:rsidRDefault="00A474F6" w:rsidP="001A5A0A">
            <w:pPr>
              <w:pStyle w:val="TableText0"/>
              <w:keepLines/>
              <w:jc w:val="center"/>
            </w:pPr>
            <w:r w:rsidRPr="00AF1481">
              <w:t>(–0.03, 0.03)</w:t>
            </w:r>
          </w:p>
        </w:tc>
        <w:tc>
          <w:tcPr>
            <w:tcW w:w="1107" w:type="dxa"/>
            <w:tcBorders>
              <w:top w:val="single" w:sz="4" w:space="0" w:color="auto"/>
              <w:left w:val="single" w:sz="4" w:space="0" w:color="auto"/>
              <w:bottom w:val="dotted" w:sz="4" w:space="0" w:color="auto"/>
              <w:right w:val="single" w:sz="4" w:space="0" w:color="auto"/>
            </w:tcBorders>
            <w:shd w:val="clear" w:color="auto" w:fill="auto"/>
            <w:vAlign w:val="center"/>
          </w:tcPr>
          <w:p w14:paraId="05859F6D" w14:textId="77777777" w:rsidR="00A05AA6" w:rsidRDefault="00A474F6" w:rsidP="001A5A0A">
            <w:pPr>
              <w:pStyle w:val="TableText0"/>
              <w:keepLines/>
              <w:jc w:val="center"/>
            </w:pPr>
            <w:r w:rsidRPr="00AF1481">
              <w:t>0.82</w:t>
            </w:r>
          </w:p>
          <w:p w14:paraId="7621F75C" w14:textId="001A218C" w:rsidR="00A474F6" w:rsidRPr="00AF1481" w:rsidRDefault="00A474F6" w:rsidP="001A5A0A">
            <w:pPr>
              <w:pStyle w:val="TableText0"/>
              <w:keepLines/>
              <w:jc w:val="center"/>
            </w:pPr>
            <w:r w:rsidRPr="00AF1481">
              <w:t>(0.21, 3.09)</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60B4DB27" w14:textId="77777777" w:rsidR="00A05AA6" w:rsidRDefault="00A474F6" w:rsidP="001A5A0A">
            <w:pPr>
              <w:pStyle w:val="TableText0"/>
              <w:keepLines/>
              <w:jc w:val="center"/>
            </w:pPr>
            <w:r w:rsidRPr="00AF1481">
              <w:t>–0.01</w:t>
            </w:r>
          </w:p>
          <w:p w14:paraId="070FCA17" w14:textId="7241C87A" w:rsidR="00A474F6" w:rsidRPr="00AF1481" w:rsidRDefault="00A474F6" w:rsidP="001A5A0A">
            <w:pPr>
              <w:pStyle w:val="TableText0"/>
              <w:keepLines/>
              <w:jc w:val="center"/>
            </w:pPr>
            <w:r w:rsidRPr="00AF1481">
              <w:t>(–0.04, 0.03)</w:t>
            </w:r>
          </w:p>
        </w:tc>
      </w:tr>
      <w:tr w:rsidR="0080187E" w:rsidRPr="00AF1481" w14:paraId="09978E3B" w14:textId="77777777" w:rsidTr="0080187E">
        <w:trPr>
          <w:trHeight w:val="284"/>
        </w:trPr>
        <w:tc>
          <w:tcPr>
            <w:tcW w:w="1696" w:type="dxa"/>
            <w:tcBorders>
              <w:top w:val="single" w:sz="4" w:space="0" w:color="auto"/>
              <w:bottom w:val="single" w:sz="4" w:space="0" w:color="auto"/>
              <w:right w:val="single" w:sz="4" w:space="0" w:color="auto"/>
            </w:tcBorders>
            <w:shd w:val="clear" w:color="auto" w:fill="auto"/>
            <w:vAlign w:val="center"/>
          </w:tcPr>
          <w:p w14:paraId="3FB9606C" w14:textId="77777777" w:rsidR="00A474F6" w:rsidRPr="00AF1481" w:rsidRDefault="00A474F6" w:rsidP="001A5A0A">
            <w:pPr>
              <w:pStyle w:val="TableText0"/>
              <w:keepLines/>
            </w:pPr>
            <w:r w:rsidRPr="00AF1481">
              <w:t>Adjudicated TE APTC events</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12655F35" w14:textId="77777777" w:rsidR="00A05AA6" w:rsidRDefault="00A474F6" w:rsidP="001A5A0A">
            <w:pPr>
              <w:pStyle w:val="TableText0"/>
              <w:keepLines/>
              <w:jc w:val="center"/>
            </w:pPr>
            <w:r w:rsidRPr="00AF1481">
              <w:t>13</w:t>
            </w:r>
          </w:p>
          <w:p w14:paraId="465BC6B9" w14:textId="15485158" w:rsidR="00A474F6" w:rsidRPr="00AF1481" w:rsidRDefault="00A474F6" w:rsidP="001A5A0A">
            <w:pPr>
              <w:pStyle w:val="TableText0"/>
              <w:keepLines/>
              <w:jc w:val="center"/>
            </w:pPr>
            <w:r w:rsidRPr="00AF1481">
              <w:t>(3.96%)</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2F025CD8" w14:textId="77777777" w:rsidR="00A05AA6" w:rsidRDefault="00A474F6" w:rsidP="001A5A0A">
            <w:pPr>
              <w:pStyle w:val="TableText0"/>
              <w:keepLines/>
              <w:jc w:val="center"/>
            </w:pPr>
            <w:r w:rsidRPr="00AF1481">
              <w:t>9</w:t>
            </w:r>
          </w:p>
          <w:p w14:paraId="39198CAD" w14:textId="56023D9C" w:rsidR="00A474F6" w:rsidRPr="00AF1481" w:rsidRDefault="00A474F6" w:rsidP="001A5A0A">
            <w:pPr>
              <w:pStyle w:val="TableText0"/>
              <w:keepLines/>
              <w:jc w:val="center"/>
            </w:pPr>
            <w:r w:rsidRPr="00AF1481">
              <w:t>(5.52%)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96E9575" w14:textId="77777777" w:rsidR="00A05AA6" w:rsidRDefault="00A474F6" w:rsidP="001A5A0A">
            <w:pPr>
              <w:pStyle w:val="TableText0"/>
              <w:keepLines/>
              <w:jc w:val="center"/>
            </w:pPr>
            <w:r w:rsidRPr="00AF1481">
              <w:t>6</w:t>
            </w:r>
          </w:p>
          <w:p w14:paraId="5F6AE757" w14:textId="08B095C6" w:rsidR="00A474F6" w:rsidRPr="00AF1481" w:rsidRDefault="00A474F6" w:rsidP="001A5A0A">
            <w:pPr>
              <w:pStyle w:val="TableText0"/>
              <w:keepLines/>
              <w:jc w:val="center"/>
            </w:pPr>
            <w:r w:rsidRPr="00AF1481">
              <w:t>(3.59%)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34661E2" w14:textId="77777777" w:rsidR="00A05AA6" w:rsidRDefault="00A474F6" w:rsidP="001A5A0A">
            <w:pPr>
              <w:pStyle w:val="TableText0"/>
              <w:keepLines/>
              <w:jc w:val="center"/>
            </w:pPr>
            <w:r w:rsidRPr="00AF1481">
              <w:t>1.11</w:t>
            </w:r>
          </w:p>
          <w:p w14:paraId="7E3E3FBA" w14:textId="2268A31D" w:rsidR="00A474F6" w:rsidRPr="00AF1481" w:rsidRDefault="00A474F6" w:rsidP="001A5A0A">
            <w:pPr>
              <w:pStyle w:val="TableText0"/>
              <w:keepLines/>
              <w:jc w:val="center"/>
            </w:pPr>
            <w:r w:rsidRPr="00AF1481">
              <w:t>(0.41, 2.97)</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F07CC2E" w14:textId="77777777" w:rsidR="00A05AA6" w:rsidRDefault="00A474F6" w:rsidP="001A5A0A">
            <w:pPr>
              <w:pStyle w:val="TableText0"/>
              <w:keepLines/>
              <w:jc w:val="center"/>
            </w:pPr>
            <w:r w:rsidRPr="00AF1481">
              <w:t>0.00</w:t>
            </w:r>
          </w:p>
          <w:p w14:paraId="1C3871DB" w14:textId="5E25E67A" w:rsidR="00A474F6" w:rsidRPr="00AF1481" w:rsidRDefault="00A474F6" w:rsidP="001A5A0A">
            <w:pPr>
              <w:pStyle w:val="TableText0"/>
              <w:keepLines/>
              <w:jc w:val="center"/>
            </w:pPr>
            <w:r w:rsidRPr="00AF1481">
              <w:t>(–0.03, 0.04)</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661D52D" w14:textId="77777777" w:rsidR="00A05AA6" w:rsidRDefault="00A474F6" w:rsidP="001A5A0A">
            <w:pPr>
              <w:pStyle w:val="TableText0"/>
              <w:keepLines/>
              <w:jc w:val="center"/>
            </w:pPr>
            <w:r w:rsidRPr="00AF1481">
              <w:t>1.57</w:t>
            </w:r>
          </w:p>
          <w:p w14:paraId="63A5204E" w14:textId="1930F634" w:rsidR="00A474F6" w:rsidRPr="00AF1481" w:rsidRDefault="00A474F6" w:rsidP="001A5A0A">
            <w:pPr>
              <w:pStyle w:val="TableText0"/>
              <w:keepLines/>
              <w:jc w:val="center"/>
            </w:pPr>
            <w:r w:rsidRPr="00AF1481">
              <w:t>(0.55, 4.51)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7E16432C" w14:textId="77777777" w:rsidR="00A05AA6" w:rsidRDefault="00A474F6" w:rsidP="001A5A0A">
            <w:pPr>
              <w:pStyle w:val="TableText0"/>
              <w:keepLines/>
              <w:jc w:val="center"/>
            </w:pPr>
            <w:r w:rsidRPr="00AF1481">
              <w:t>0.02</w:t>
            </w:r>
          </w:p>
          <w:p w14:paraId="1E49A04E" w14:textId="723BE03C" w:rsidR="00A474F6" w:rsidRPr="00AF1481" w:rsidRDefault="00A474F6" w:rsidP="001A5A0A">
            <w:pPr>
              <w:pStyle w:val="TableText0"/>
              <w:keepLines/>
              <w:jc w:val="center"/>
            </w:pPr>
            <w:r w:rsidRPr="00AF1481">
              <w:t>(–0.03, 0.06)</w:t>
            </w:r>
          </w:p>
        </w:tc>
      </w:tr>
      <w:tr w:rsidR="0080187E" w:rsidRPr="00AF1481" w14:paraId="1082DB25" w14:textId="77777777" w:rsidTr="0080187E">
        <w:trPr>
          <w:trHeight w:val="284"/>
        </w:trPr>
        <w:tc>
          <w:tcPr>
            <w:tcW w:w="1696" w:type="dxa"/>
            <w:tcBorders>
              <w:top w:val="single" w:sz="4" w:space="0" w:color="auto"/>
              <w:bottom w:val="single" w:sz="4" w:space="0" w:color="auto"/>
              <w:right w:val="single" w:sz="4" w:space="0" w:color="auto"/>
            </w:tcBorders>
            <w:shd w:val="clear" w:color="auto" w:fill="auto"/>
            <w:vAlign w:val="center"/>
          </w:tcPr>
          <w:p w14:paraId="16382243" w14:textId="77777777" w:rsidR="00A474F6" w:rsidRPr="00AF1481" w:rsidRDefault="00A474F6" w:rsidP="001A5A0A">
            <w:pPr>
              <w:pStyle w:val="TableText0"/>
              <w:keepLines/>
            </w:pPr>
            <w:r w:rsidRPr="00AF1481">
              <w:t>TEAE of intraocular inflammation</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45525F6" w14:textId="77777777" w:rsidR="00A05AA6" w:rsidRDefault="00A474F6" w:rsidP="001A5A0A">
            <w:pPr>
              <w:pStyle w:val="TableText0"/>
              <w:keepLines/>
              <w:jc w:val="center"/>
            </w:pPr>
            <w:r w:rsidRPr="00AF1481">
              <w:t>4</w:t>
            </w:r>
          </w:p>
          <w:p w14:paraId="13FCDADA" w14:textId="371BE60C" w:rsidR="00A474F6" w:rsidRPr="00AF1481" w:rsidRDefault="00A474F6" w:rsidP="001A5A0A">
            <w:pPr>
              <w:pStyle w:val="TableText0"/>
              <w:keepLines/>
              <w:jc w:val="center"/>
            </w:pPr>
            <w:r w:rsidRPr="00AF1481">
              <w:t>(1.22%)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7D0E98B0" w14:textId="77777777" w:rsidR="00A05AA6" w:rsidRDefault="00A474F6" w:rsidP="001A5A0A">
            <w:pPr>
              <w:pStyle w:val="TableText0"/>
              <w:keepLines/>
              <w:jc w:val="center"/>
            </w:pPr>
            <w:r w:rsidRPr="00AF1481">
              <w:t>1</w:t>
            </w:r>
          </w:p>
          <w:p w14:paraId="3A542791" w14:textId="119E32C6" w:rsidR="00A474F6" w:rsidRPr="00AF1481" w:rsidRDefault="00A474F6" w:rsidP="001A5A0A">
            <w:pPr>
              <w:pStyle w:val="TableText0"/>
              <w:keepLines/>
              <w:jc w:val="center"/>
            </w:pPr>
            <w:r w:rsidRPr="00AF1481">
              <w:t>(0.61%)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E649960" w14:textId="77777777" w:rsidR="00A05AA6" w:rsidRDefault="00A474F6" w:rsidP="001A5A0A">
            <w:pPr>
              <w:pStyle w:val="TableText0"/>
              <w:keepLines/>
              <w:jc w:val="center"/>
            </w:pPr>
            <w:r w:rsidRPr="00AF1481">
              <w:t>1</w:t>
            </w:r>
          </w:p>
          <w:p w14:paraId="1CFF0E37" w14:textId="34049212" w:rsidR="00A474F6" w:rsidRPr="00AF1481" w:rsidRDefault="00A474F6" w:rsidP="001A5A0A">
            <w:pPr>
              <w:pStyle w:val="TableText0"/>
              <w:keepLines/>
              <w:jc w:val="center"/>
            </w:pPr>
            <w:r w:rsidRPr="00AF1481">
              <w:t>(0.60%)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833C7A9" w14:textId="77777777" w:rsidR="00A05AA6" w:rsidRDefault="00A474F6" w:rsidP="001A5A0A">
            <w:pPr>
              <w:pStyle w:val="TableText0"/>
              <w:keepLines/>
              <w:jc w:val="center"/>
            </w:pPr>
            <w:r w:rsidRPr="00AF1481">
              <w:t>2.05</w:t>
            </w:r>
          </w:p>
          <w:p w14:paraId="14877D9B" w14:textId="645CD3BC" w:rsidR="00A474F6" w:rsidRPr="00AF1481" w:rsidRDefault="00A474F6" w:rsidP="001A5A0A">
            <w:pPr>
              <w:pStyle w:val="TableText0"/>
              <w:keepLines/>
              <w:jc w:val="center"/>
            </w:pPr>
            <w:r w:rsidRPr="00AF1481">
              <w:t>(0.23, 18.48)</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6B5C1A7" w14:textId="77777777" w:rsidR="00A05AA6" w:rsidRDefault="00A474F6" w:rsidP="001A5A0A">
            <w:pPr>
              <w:pStyle w:val="TableText0"/>
              <w:keepLines/>
              <w:jc w:val="center"/>
            </w:pPr>
            <w:r w:rsidRPr="00AF1481">
              <w:t>0.01</w:t>
            </w:r>
          </w:p>
          <w:p w14:paraId="35BCA6EF" w14:textId="557F7B9B" w:rsidR="00A474F6" w:rsidRPr="00AF1481" w:rsidRDefault="00A474F6" w:rsidP="001A5A0A">
            <w:pPr>
              <w:pStyle w:val="TableText0"/>
              <w:keepLines/>
              <w:jc w:val="center"/>
            </w:pPr>
            <w:r w:rsidRPr="00AF1481">
              <w:t>(–0.01, 0.02)</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5778DE6" w14:textId="77777777" w:rsidR="00A05AA6" w:rsidRDefault="00A474F6" w:rsidP="001A5A0A">
            <w:pPr>
              <w:pStyle w:val="TableText0"/>
              <w:keepLines/>
              <w:jc w:val="center"/>
            </w:pPr>
            <w:r w:rsidRPr="00AF1481">
              <w:t>1.02</w:t>
            </w:r>
          </w:p>
          <w:p w14:paraId="041BC1B2" w14:textId="55D2DD10" w:rsidR="00A474F6" w:rsidRPr="00AF1481" w:rsidRDefault="00A474F6" w:rsidP="001A5A0A">
            <w:pPr>
              <w:pStyle w:val="TableText0"/>
              <w:keepLines/>
              <w:jc w:val="center"/>
            </w:pPr>
            <w:r w:rsidRPr="00AF1481">
              <w:t>(0.06, 16.52)</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4F6C1757" w14:textId="77777777" w:rsidR="00A05AA6" w:rsidRDefault="00A474F6" w:rsidP="001A5A0A">
            <w:pPr>
              <w:pStyle w:val="TableText0"/>
              <w:keepLines/>
              <w:jc w:val="center"/>
            </w:pPr>
            <w:r w:rsidRPr="00AF1481">
              <w:t>0.00</w:t>
            </w:r>
          </w:p>
          <w:p w14:paraId="079F977A" w14:textId="268B774A" w:rsidR="00A474F6" w:rsidRPr="00AF1481" w:rsidRDefault="00A474F6" w:rsidP="001A5A0A">
            <w:pPr>
              <w:pStyle w:val="TableText0"/>
              <w:keepLines/>
              <w:jc w:val="center"/>
            </w:pPr>
            <w:r w:rsidRPr="00AF1481">
              <w:t>(–0.02, 0.02)</w:t>
            </w:r>
          </w:p>
        </w:tc>
      </w:tr>
      <w:tr w:rsidR="0080187E" w:rsidRPr="00AF1481" w14:paraId="1D0595BC" w14:textId="77777777" w:rsidTr="0080187E">
        <w:trPr>
          <w:trHeight w:val="284"/>
        </w:trPr>
        <w:tc>
          <w:tcPr>
            <w:tcW w:w="1696" w:type="dxa"/>
            <w:tcBorders>
              <w:top w:val="single" w:sz="4" w:space="0" w:color="auto"/>
              <w:bottom w:val="single" w:sz="4" w:space="0" w:color="auto"/>
              <w:right w:val="single" w:sz="4" w:space="0" w:color="auto"/>
            </w:tcBorders>
            <w:shd w:val="clear" w:color="auto" w:fill="auto"/>
            <w:vAlign w:val="center"/>
          </w:tcPr>
          <w:p w14:paraId="071DDA49" w14:textId="77777777" w:rsidR="00A474F6" w:rsidRPr="00AF1481" w:rsidRDefault="00A474F6" w:rsidP="001A5A0A">
            <w:pPr>
              <w:pStyle w:val="TableText0"/>
              <w:keepLines/>
            </w:pPr>
            <w:r w:rsidRPr="00AF1481">
              <w:t>TEAE of hypertension</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1F40F3DF" w14:textId="77777777" w:rsidR="00A05AA6" w:rsidRDefault="00A474F6" w:rsidP="001A5A0A">
            <w:pPr>
              <w:pStyle w:val="TableText0"/>
              <w:keepLines/>
              <w:jc w:val="center"/>
            </w:pPr>
            <w:r w:rsidRPr="00AF1481">
              <w:t>42</w:t>
            </w:r>
          </w:p>
          <w:p w14:paraId="39F8F958" w14:textId="00C84D0F" w:rsidR="00A474F6" w:rsidRPr="00AF1481" w:rsidRDefault="00A474F6" w:rsidP="001A5A0A">
            <w:pPr>
              <w:pStyle w:val="TableText0"/>
              <w:keepLines/>
              <w:jc w:val="center"/>
            </w:pPr>
            <w:r w:rsidRPr="00AF1481">
              <w:t>(12.80%)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1DF6A6DF" w14:textId="77777777" w:rsidR="00A05AA6" w:rsidRDefault="00A474F6" w:rsidP="001A5A0A">
            <w:pPr>
              <w:pStyle w:val="TableText0"/>
              <w:keepLines/>
              <w:jc w:val="center"/>
            </w:pPr>
            <w:r w:rsidRPr="00AF1481">
              <w:t>28</w:t>
            </w:r>
          </w:p>
          <w:p w14:paraId="6E0DC86F" w14:textId="19D86711" w:rsidR="00A474F6" w:rsidRPr="00AF1481" w:rsidRDefault="00A474F6" w:rsidP="001A5A0A">
            <w:pPr>
              <w:pStyle w:val="TableText0"/>
              <w:keepLines/>
              <w:jc w:val="center"/>
            </w:pPr>
            <w:r w:rsidRPr="00AF1481">
              <w:t>(17.18%)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D32F184" w14:textId="77777777" w:rsidR="00A05AA6" w:rsidRDefault="00A474F6" w:rsidP="001A5A0A">
            <w:pPr>
              <w:pStyle w:val="TableText0"/>
              <w:keepLines/>
              <w:jc w:val="center"/>
            </w:pPr>
            <w:r w:rsidRPr="00AF1481">
              <w:t>23</w:t>
            </w:r>
          </w:p>
          <w:p w14:paraId="2881EDC2" w14:textId="1A6C70E0" w:rsidR="00A474F6" w:rsidRPr="00AF1481" w:rsidRDefault="00A474F6" w:rsidP="001A5A0A">
            <w:pPr>
              <w:pStyle w:val="TableText0"/>
              <w:keepLines/>
              <w:jc w:val="center"/>
            </w:pPr>
            <w:r w:rsidRPr="00AF1481">
              <w:t>(13.77%)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70455DD" w14:textId="77777777" w:rsidR="00A05AA6" w:rsidRDefault="00A474F6" w:rsidP="001A5A0A">
            <w:pPr>
              <w:pStyle w:val="TableText0"/>
              <w:keepLines/>
              <w:jc w:val="center"/>
            </w:pPr>
            <w:r w:rsidRPr="00AF1481">
              <w:t>0.92</w:t>
            </w:r>
          </w:p>
          <w:p w14:paraId="3B6113C0" w14:textId="366836A0" w:rsidR="00A474F6" w:rsidRPr="00AF1481" w:rsidRDefault="00A474F6" w:rsidP="001A5A0A">
            <w:pPr>
              <w:pStyle w:val="TableText0"/>
              <w:keepLines/>
              <w:jc w:val="center"/>
            </w:pPr>
            <w:r w:rsidRPr="00AF1481">
              <w:t>(0.53, 1.59)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19945CF" w14:textId="77777777" w:rsidR="00A05AA6" w:rsidRDefault="00A474F6" w:rsidP="001A5A0A">
            <w:pPr>
              <w:pStyle w:val="TableText0"/>
              <w:keepLines/>
              <w:jc w:val="center"/>
            </w:pPr>
            <w:r w:rsidRPr="00AF1481">
              <w:t>–0.01</w:t>
            </w:r>
          </w:p>
          <w:p w14:paraId="1D94069C" w14:textId="5C5EF2E6" w:rsidR="00A474F6" w:rsidRPr="00AF1481" w:rsidRDefault="00A474F6" w:rsidP="001A5A0A">
            <w:pPr>
              <w:pStyle w:val="TableText0"/>
              <w:keepLines/>
              <w:jc w:val="center"/>
            </w:pPr>
            <w:r w:rsidRPr="00AF1481">
              <w:t>(–0.07, 0.05)</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1943EFB" w14:textId="77777777" w:rsidR="00A05AA6" w:rsidRDefault="00A474F6" w:rsidP="001A5A0A">
            <w:pPr>
              <w:pStyle w:val="TableText0"/>
              <w:keepLines/>
              <w:jc w:val="center"/>
            </w:pPr>
            <w:r w:rsidRPr="00AF1481">
              <w:t>1.30</w:t>
            </w:r>
          </w:p>
          <w:p w14:paraId="4E031B05" w14:textId="3017F163" w:rsidR="00A474F6" w:rsidRPr="00AF1481" w:rsidRDefault="00A474F6" w:rsidP="001A5A0A">
            <w:pPr>
              <w:pStyle w:val="TableText0"/>
              <w:keepLines/>
              <w:jc w:val="center"/>
            </w:pPr>
            <w:r w:rsidRPr="00AF1481">
              <w:t>(0.71, 2.36)</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05C85F73" w14:textId="77777777" w:rsidR="00A05AA6" w:rsidRDefault="00A474F6" w:rsidP="001A5A0A">
            <w:pPr>
              <w:pStyle w:val="TableText0"/>
              <w:keepLines/>
              <w:jc w:val="center"/>
            </w:pPr>
            <w:r w:rsidRPr="00AF1481">
              <w:t>0.03</w:t>
            </w:r>
          </w:p>
          <w:p w14:paraId="23DE2A32" w14:textId="4F40D8C2" w:rsidR="00A474F6" w:rsidRPr="00AF1481" w:rsidRDefault="00A474F6" w:rsidP="001A5A0A">
            <w:pPr>
              <w:pStyle w:val="TableText0"/>
              <w:keepLines/>
              <w:jc w:val="center"/>
            </w:pPr>
            <w:r w:rsidRPr="00AF1481">
              <w:t>(–0.04, 0.11)</w:t>
            </w:r>
          </w:p>
        </w:tc>
      </w:tr>
      <w:tr w:rsidR="0080187E" w:rsidRPr="00AF1481" w14:paraId="128CE5B6" w14:textId="77777777" w:rsidTr="0080187E">
        <w:trPr>
          <w:trHeight w:val="284"/>
        </w:trPr>
        <w:tc>
          <w:tcPr>
            <w:tcW w:w="1696" w:type="dxa"/>
            <w:tcBorders>
              <w:top w:val="single" w:sz="4" w:space="0" w:color="auto"/>
              <w:bottom w:val="single" w:sz="4" w:space="0" w:color="auto"/>
              <w:right w:val="single" w:sz="4" w:space="0" w:color="auto"/>
            </w:tcBorders>
            <w:shd w:val="clear" w:color="auto" w:fill="auto"/>
            <w:vAlign w:val="center"/>
          </w:tcPr>
          <w:p w14:paraId="7A4E1167" w14:textId="77777777" w:rsidR="00A474F6" w:rsidRPr="00AF1481" w:rsidRDefault="00A474F6" w:rsidP="001A5A0A">
            <w:pPr>
              <w:pStyle w:val="TableText0"/>
              <w:keepLines/>
            </w:pPr>
            <w:r w:rsidRPr="00AF1481">
              <w:t>TEAE of nasal mucosal finding</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3FC93A94" w14:textId="77777777" w:rsidR="00A05AA6" w:rsidRDefault="00A474F6" w:rsidP="001A5A0A">
            <w:pPr>
              <w:pStyle w:val="TableText0"/>
              <w:keepLines/>
              <w:jc w:val="center"/>
            </w:pPr>
            <w:r w:rsidRPr="00AF1481">
              <w:t>0</w:t>
            </w:r>
          </w:p>
          <w:p w14:paraId="066F2A11" w14:textId="73027180" w:rsidR="00A474F6" w:rsidRPr="00AF1481" w:rsidRDefault="00A474F6" w:rsidP="001A5A0A">
            <w:pPr>
              <w:pStyle w:val="TableText0"/>
              <w:keepLines/>
              <w:jc w:val="center"/>
            </w:pPr>
            <w:r w:rsidRPr="00AF1481">
              <w:t>(0.00%)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15141CD8" w14:textId="77777777" w:rsidR="00A05AA6" w:rsidRDefault="00A474F6" w:rsidP="001A5A0A">
            <w:pPr>
              <w:pStyle w:val="TableText0"/>
              <w:keepLines/>
              <w:jc w:val="center"/>
            </w:pPr>
            <w:r w:rsidRPr="00AF1481">
              <w:t>0</w:t>
            </w:r>
          </w:p>
          <w:p w14:paraId="278D5E44" w14:textId="25D91C01" w:rsidR="00A474F6" w:rsidRPr="00AF1481" w:rsidRDefault="00A474F6" w:rsidP="001A5A0A">
            <w:pPr>
              <w:pStyle w:val="TableText0"/>
              <w:keepLines/>
              <w:jc w:val="center"/>
            </w:pPr>
            <w:r w:rsidRPr="00AF1481">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7B6DA1D" w14:textId="77777777" w:rsidR="00A05AA6" w:rsidRDefault="00A474F6" w:rsidP="001A5A0A">
            <w:pPr>
              <w:pStyle w:val="TableText0"/>
              <w:keepLines/>
              <w:jc w:val="center"/>
            </w:pPr>
            <w:r w:rsidRPr="00AF1481">
              <w:t>0</w:t>
            </w:r>
          </w:p>
          <w:p w14:paraId="68F17DBD" w14:textId="3FA35313" w:rsidR="00A474F6" w:rsidRPr="00AF1481" w:rsidRDefault="00A474F6" w:rsidP="001A5A0A">
            <w:pPr>
              <w:pStyle w:val="TableText0"/>
              <w:keepLines/>
              <w:jc w:val="center"/>
            </w:pPr>
            <w:r w:rsidRPr="00AF1481">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371B678" w14:textId="77777777" w:rsidR="00A474F6" w:rsidRPr="00AF1481" w:rsidRDefault="00A474F6" w:rsidP="001A5A0A">
            <w:pPr>
              <w:pStyle w:val="TableText0"/>
              <w:keepLines/>
              <w:jc w:val="center"/>
            </w:pPr>
            <w:r w:rsidRPr="00AF1481">
              <w:t>Not estimable</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2548DA95" w14:textId="77777777" w:rsidR="00A05AA6" w:rsidRDefault="00A474F6" w:rsidP="001A5A0A">
            <w:pPr>
              <w:pStyle w:val="TableText0"/>
              <w:keepLines/>
              <w:jc w:val="center"/>
            </w:pPr>
            <w:r w:rsidRPr="00AF1481">
              <w:t>0.00</w:t>
            </w:r>
          </w:p>
          <w:p w14:paraId="08E86E45" w14:textId="3CDA7F0D" w:rsidR="00A474F6" w:rsidRPr="00AF1481" w:rsidRDefault="00A474F6" w:rsidP="001A5A0A">
            <w:pPr>
              <w:pStyle w:val="TableText0"/>
              <w:keepLines/>
              <w:jc w:val="center"/>
            </w:pPr>
            <w:r w:rsidRPr="00AF1481">
              <w:t>(–0.01, 0.01)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7DB0051" w14:textId="77777777" w:rsidR="00A474F6" w:rsidRPr="00AF1481" w:rsidRDefault="00A474F6" w:rsidP="001A5A0A">
            <w:pPr>
              <w:pStyle w:val="TableText0"/>
              <w:keepLines/>
              <w:jc w:val="center"/>
            </w:pPr>
            <w:r w:rsidRPr="00AF1481">
              <w:t>Not estimable</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6462238C" w14:textId="77777777" w:rsidR="00A05AA6" w:rsidRDefault="00A474F6" w:rsidP="001A5A0A">
            <w:pPr>
              <w:pStyle w:val="TableText0"/>
              <w:keepLines/>
              <w:jc w:val="center"/>
            </w:pPr>
            <w:r w:rsidRPr="00AF1481">
              <w:t>0.00</w:t>
            </w:r>
          </w:p>
          <w:p w14:paraId="54105B56" w14:textId="76F65D31" w:rsidR="00A474F6" w:rsidRPr="00AF1481" w:rsidRDefault="00A474F6" w:rsidP="001A5A0A">
            <w:pPr>
              <w:pStyle w:val="TableText0"/>
              <w:keepLines/>
              <w:jc w:val="center"/>
            </w:pPr>
            <w:r w:rsidRPr="00AF1481">
              <w:t>(–0.01, 0.01)</w:t>
            </w:r>
          </w:p>
        </w:tc>
      </w:tr>
    </w:tbl>
    <w:p w14:paraId="635A23CF" w14:textId="77777777" w:rsidR="00A05AA6" w:rsidRDefault="00A474F6" w:rsidP="00FD014B">
      <w:pPr>
        <w:pStyle w:val="FooterTableFigure"/>
        <w:keepNext/>
        <w:keepLines/>
      </w:pPr>
      <w:r w:rsidRPr="00AF1481">
        <w:t>Source: Table 2-25 p70-74 of the submission</w:t>
      </w:r>
    </w:p>
    <w:p w14:paraId="57C8C0F8" w14:textId="23FAB0B7" w:rsidR="00A474F6" w:rsidRPr="00AF1481" w:rsidRDefault="00A474F6" w:rsidP="00FD014B">
      <w:pPr>
        <w:pStyle w:val="FooterTableFigure"/>
        <w:keepNext/>
        <w:keepLines/>
      </w:pPr>
      <w:r w:rsidRPr="00AF1481">
        <w:t>AE = adverse events; APTC = Antiplatelet Trialists’ Collaboration; CI = confidence intervals; n = number of patients with event; N = total number of patients in treatment arm; OR =</w:t>
      </w:r>
      <w:r w:rsidR="002E3CE5">
        <w:t xml:space="preserve"> </w:t>
      </w:r>
      <w:r w:rsidRPr="00AF1481">
        <w:t>odds ratio; RD = risk difference; SAE = serious adverse events; SAF = safety analysis set; TEAE = treatment-emergent adverse events; 2q8 = aflibercept 2 mg administered every 8 weeks; 8q12 = aflibercept 8 mg administered every 12 weeks; 8q16 = aflibercept 8 mg administered every 16 weeks;</w:t>
      </w:r>
    </w:p>
    <w:p w14:paraId="4B9FC55B" w14:textId="77777777" w:rsidR="00A474F6" w:rsidRPr="00AF1481" w:rsidRDefault="00A474F6" w:rsidP="00FD014B">
      <w:pPr>
        <w:pStyle w:val="FooterTableFigure"/>
        <w:keepNext/>
        <w:keepLines/>
      </w:pPr>
      <w:r w:rsidRPr="00AF1481">
        <w:t>OR and RD (and associated 95%CI) calculated by the submission, post-hoc using Review Manager version 5.4</w:t>
      </w:r>
    </w:p>
    <w:p w14:paraId="4B63170A" w14:textId="2D2EEC52" w:rsidR="00A474F6" w:rsidRPr="00AF1481" w:rsidRDefault="00A474F6" w:rsidP="00A474F6">
      <w:pPr>
        <w:pStyle w:val="FooterTableFigure"/>
      </w:pPr>
      <w:r w:rsidRPr="00AF1481">
        <w:t xml:space="preserve">TEAE was an AE starting after the first dose of study drug to the last dose of study drug (active or sham) plus 30 days. Additionally, for patients who were still participating in the study (i.e., had not been </w:t>
      </w:r>
      <w:r w:rsidR="00F6569D" w:rsidRPr="00AF1481">
        <w:t>wit</w:t>
      </w:r>
      <w:r w:rsidR="00F6569D">
        <w:t>hd</w:t>
      </w:r>
      <w:r w:rsidR="00F6569D" w:rsidRPr="00AF1481">
        <w:t>rawn</w:t>
      </w:r>
      <w:r w:rsidRPr="00AF1481">
        <w:t>) as of the Week 60 visit all AEs up through the date of the last visit were to be considered treatment-emergent. A pre-treatment AE was an AE starting from signing the informed consent form to before the first dose of study drug. A post-treatment AE was an AE starting after the end of the on-treatment (TEAE) period</w:t>
      </w:r>
      <w:r w:rsidR="004E2810">
        <w:t>.</w:t>
      </w:r>
    </w:p>
    <w:p w14:paraId="3377B273" w14:textId="3F79B184" w:rsidR="00A474F6" w:rsidRPr="00AF1481" w:rsidRDefault="00A474F6" w:rsidP="00A474F6">
      <w:pPr>
        <w:pStyle w:val="ExecSumBodyText"/>
        <w:numPr>
          <w:ilvl w:val="1"/>
          <w:numId w:val="1"/>
        </w:numPr>
        <w:ind w:left="709" w:hanging="709"/>
        <w:rPr>
          <w:snapToGrid/>
        </w:rPr>
      </w:pPr>
      <w:r w:rsidRPr="00AF1481">
        <w:rPr>
          <w:snapToGrid/>
        </w:rPr>
        <w:t>Death occurred in 2.74% of patients in the 8</w:t>
      </w:r>
      <w:r w:rsidR="004E0897" w:rsidRPr="00AF1481">
        <w:rPr>
          <w:snapToGrid/>
        </w:rPr>
        <w:t>q1</w:t>
      </w:r>
      <w:r w:rsidRPr="00AF1481">
        <w:rPr>
          <w:snapToGrid/>
        </w:rPr>
        <w:t>2</w:t>
      </w:r>
      <w:r w:rsidR="004E0897" w:rsidRPr="00AF1481">
        <w:rPr>
          <w:snapToGrid/>
        </w:rPr>
        <w:t xml:space="preserve"> group</w:t>
      </w:r>
      <w:r w:rsidRPr="00AF1481">
        <w:rPr>
          <w:snapToGrid/>
        </w:rPr>
        <w:t>, 2.45% of patients in 8</w:t>
      </w:r>
      <w:r w:rsidR="004E0897" w:rsidRPr="00AF1481">
        <w:rPr>
          <w:snapToGrid/>
        </w:rPr>
        <w:t>q</w:t>
      </w:r>
      <w:r w:rsidRPr="00AF1481">
        <w:rPr>
          <w:snapToGrid/>
        </w:rPr>
        <w:t>16</w:t>
      </w:r>
      <w:r w:rsidR="004E0897" w:rsidRPr="00AF1481">
        <w:rPr>
          <w:snapToGrid/>
        </w:rPr>
        <w:t xml:space="preserve"> group</w:t>
      </w:r>
      <w:r w:rsidRPr="00AF1481">
        <w:rPr>
          <w:snapToGrid/>
        </w:rPr>
        <w:t>, and 2.99% of patients in the 2</w:t>
      </w:r>
      <w:r w:rsidR="004E0897" w:rsidRPr="00AF1481">
        <w:rPr>
          <w:snapToGrid/>
        </w:rPr>
        <w:t>q8 group</w:t>
      </w:r>
      <w:r w:rsidRPr="00AF1481">
        <w:rPr>
          <w:snapToGrid/>
        </w:rPr>
        <w:t>. None of the reported deaths were deemed to be related to study treatment.</w:t>
      </w:r>
    </w:p>
    <w:p w14:paraId="1205BB20" w14:textId="77777777" w:rsidR="00A474F6" w:rsidRPr="00AF1481" w:rsidRDefault="00A474F6" w:rsidP="00A474F6">
      <w:pPr>
        <w:pStyle w:val="4-SubsectionHeading"/>
      </w:pPr>
      <w:bookmarkStart w:id="64" w:name="_Toc22897643"/>
      <w:bookmarkStart w:id="65" w:name="_Toc153957298"/>
      <w:bookmarkStart w:id="66" w:name="_Toc156896370"/>
      <w:r w:rsidRPr="00AF1481">
        <w:lastRenderedPageBreak/>
        <w:t>Benefits/harms</w:t>
      </w:r>
      <w:bookmarkEnd w:id="64"/>
      <w:bookmarkEnd w:id="65"/>
      <w:bookmarkEnd w:id="66"/>
    </w:p>
    <w:p w14:paraId="2D019244" w14:textId="77777777" w:rsidR="00A05AA6" w:rsidRDefault="00A474F6" w:rsidP="00A474F6">
      <w:pPr>
        <w:pStyle w:val="ExecSumBodyText"/>
        <w:numPr>
          <w:ilvl w:val="1"/>
          <w:numId w:val="1"/>
        </w:numPr>
        <w:ind w:left="709" w:hanging="709"/>
      </w:pPr>
      <w:r w:rsidRPr="00AF1481">
        <w:rPr>
          <w:snapToGrid/>
        </w:rPr>
        <w:t xml:space="preserve">Given the </w:t>
      </w:r>
      <w:r w:rsidRPr="00AF1481">
        <w:t xml:space="preserve">claim of non-inferiority for </w:t>
      </w:r>
      <w:r w:rsidR="00954A5E" w:rsidRPr="00AF1481">
        <w:t xml:space="preserve">aflibercept 2 mg </w:t>
      </w:r>
      <w:r w:rsidRPr="00AF1481">
        <w:t>versus aflibercept</w:t>
      </w:r>
      <w:r w:rsidR="00954A5E" w:rsidRPr="00AF1481">
        <w:t xml:space="preserve"> 8 mg</w:t>
      </w:r>
      <w:r w:rsidRPr="00AF1481">
        <w:t xml:space="preserve">, a comparison of benefits and harms </w:t>
      </w:r>
      <w:r w:rsidR="0048020A" w:rsidRPr="00AF1481">
        <w:t xml:space="preserve">was </w:t>
      </w:r>
      <w:r w:rsidRPr="00AF1481">
        <w:t>not presented.</w:t>
      </w:r>
    </w:p>
    <w:p w14:paraId="6F30D47C" w14:textId="141CB968" w:rsidR="00A474F6" w:rsidRPr="00AF1481" w:rsidRDefault="00A474F6" w:rsidP="00A474F6">
      <w:pPr>
        <w:pStyle w:val="4-SubsectionHeading"/>
      </w:pPr>
      <w:bookmarkStart w:id="67" w:name="_Toc22897644"/>
      <w:bookmarkStart w:id="68" w:name="_Toc153957299"/>
      <w:bookmarkStart w:id="69" w:name="_Toc156896371"/>
      <w:r w:rsidRPr="00AF1481">
        <w:t>Clinical claim</w:t>
      </w:r>
      <w:bookmarkEnd w:id="67"/>
      <w:bookmarkEnd w:id="68"/>
      <w:bookmarkEnd w:id="69"/>
    </w:p>
    <w:p w14:paraId="570643A4" w14:textId="77777777" w:rsidR="00A05AA6" w:rsidRDefault="00A474F6" w:rsidP="00A474F6">
      <w:pPr>
        <w:pStyle w:val="ExecSumBodyText"/>
        <w:numPr>
          <w:ilvl w:val="1"/>
          <w:numId w:val="1"/>
        </w:numPr>
        <w:ind w:left="709" w:hanging="709"/>
        <w:rPr>
          <w:iCs/>
        </w:rPr>
      </w:pPr>
      <w:r w:rsidRPr="00AF1481">
        <w:t xml:space="preserve">The submission described aflibercept 8 mg (administered 12-weekly or 16-weekly) as non-inferior to aflibercept 2 mg (administered 8-weekly) in terms of effectiveness and safety in patients with visual impairment due to DMO. </w:t>
      </w:r>
      <w:r w:rsidRPr="00AF1481">
        <w:rPr>
          <w:iCs/>
        </w:rPr>
        <w:t xml:space="preserve">The therapeutic conclusion </w:t>
      </w:r>
      <w:r w:rsidR="004E0897" w:rsidRPr="00AF1481">
        <w:rPr>
          <w:iCs/>
        </w:rPr>
        <w:t xml:space="preserve">with respect to the primary outcome and the majority of the secondary outcomes </w:t>
      </w:r>
      <w:r w:rsidRPr="00AF1481">
        <w:rPr>
          <w:iCs/>
        </w:rPr>
        <w:t xml:space="preserve">was adequately supported by the evidence presented in the submission. </w:t>
      </w:r>
      <w:r w:rsidR="004E0897" w:rsidRPr="00AF1481">
        <w:t xml:space="preserve">The submission </w:t>
      </w:r>
      <w:r w:rsidR="00FC4DB9" w:rsidRPr="00AF1481">
        <w:t xml:space="preserve">considered </w:t>
      </w:r>
      <w:r w:rsidR="004E0897" w:rsidRPr="00AF1481">
        <w:t xml:space="preserve">that </w:t>
      </w:r>
      <w:r w:rsidR="00334BE4" w:rsidRPr="00AF1481">
        <w:t xml:space="preserve">the </w:t>
      </w:r>
      <w:r w:rsidR="004E0897" w:rsidRPr="00AF1481">
        <w:t xml:space="preserve">differences in two secondary outcomes (proportion of patients with </w:t>
      </w:r>
      <w:r w:rsidR="004E0897" w:rsidRPr="00AF1481">
        <w:sym w:font="Symbol" w:char="F0B3"/>
      </w:r>
      <w:r w:rsidR="004E0897" w:rsidRPr="00AF1481">
        <w:t xml:space="preserve"> 15 letters in BCVA and CRT thickness) between aflibercept 8 mg (</w:t>
      </w:r>
      <w:r w:rsidR="0057493C" w:rsidRPr="00AF1481">
        <w:t>q16</w:t>
      </w:r>
      <w:r w:rsidR="004E0897" w:rsidRPr="00AF1481">
        <w:t>) and aflibercept 2 mg at 60 weeks were not clinically meaningful</w:t>
      </w:r>
      <w:r w:rsidR="00F45AE1" w:rsidRPr="00AF1481">
        <w:t xml:space="preserve"> as </w:t>
      </w:r>
      <w:r w:rsidR="00286708" w:rsidRPr="00AF1481">
        <w:t xml:space="preserve">the pre-defined criteria for </w:t>
      </w:r>
      <w:r w:rsidR="00F45AE1" w:rsidRPr="00AF1481">
        <w:t xml:space="preserve">non-inferiority </w:t>
      </w:r>
      <w:r w:rsidR="00286708" w:rsidRPr="00AF1481">
        <w:t xml:space="preserve">based on </w:t>
      </w:r>
      <w:r w:rsidR="00F45AE1" w:rsidRPr="00AF1481">
        <w:t xml:space="preserve">BCVA </w:t>
      </w:r>
      <w:r w:rsidR="00286708" w:rsidRPr="00AF1481">
        <w:t>were met</w:t>
      </w:r>
      <w:r w:rsidR="004E0897" w:rsidRPr="00AF1481">
        <w:t>.</w:t>
      </w:r>
    </w:p>
    <w:p w14:paraId="77534262" w14:textId="77777777" w:rsidR="00A05AA6" w:rsidRDefault="00A474F6" w:rsidP="00A474F6">
      <w:pPr>
        <w:pStyle w:val="ExecSumBodyText"/>
        <w:numPr>
          <w:ilvl w:val="1"/>
          <w:numId w:val="1"/>
        </w:numPr>
        <w:ind w:left="709" w:hanging="709"/>
        <w:rPr>
          <w:iCs/>
        </w:rPr>
      </w:pPr>
      <w:r w:rsidRPr="00AF1481">
        <w:t>The submission also claimed that while maintaining similar efficacy outcomes, extended treatment intervals (up to 24 weeks) for aflibercept 8 mg provide a meaningful reduction in the frequency of treatment administration and therefore potentially reduced treatment burden in patients with DMO.</w:t>
      </w:r>
    </w:p>
    <w:p w14:paraId="69CC17BA" w14:textId="265DCB76" w:rsidR="00EB3C93" w:rsidRPr="00AF1481" w:rsidRDefault="00EB3C93" w:rsidP="00EB3C93">
      <w:pPr>
        <w:pStyle w:val="ExecSumBodyText"/>
        <w:numPr>
          <w:ilvl w:val="1"/>
          <w:numId w:val="1"/>
        </w:numPr>
        <w:ind w:left="709" w:hanging="709"/>
      </w:pPr>
      <w:bookmarkStart w:id="70" w:name="_Hlk76376200"/>
      <w:r w:rsidRPr="00AF1481">
        <w:rPr>
          <w:iCs/>
        </w:rPr>
        <w:t>The</w:t>
      </w:r>
      <w:r w:rsidRPr="00AF1481">
        <w:t xml:space="preserve"> PBAC considered that the claim of non-inferior comparative effectiveness was reasonable and was adequately supported by the data.</w:t>
      </w:r>
    </w:p>
    <w:p w14:paraId="30C13D1F" w14:textId="584A8CDA" w:rsidR="00CF2A8E" w:rsidRPr="00AF1481" w:rsidRDefault="00CF2A8E" w:rsidP="00CF2A8E">
      <w:pPr>
        <w:widowControl w:val="0"/>
        <w:numPr>
          <w:ilvl w:val="1"/>
          <w:numId w:val="1"/>
        </w:numPr>
        <w:spacing w:after="120"/>
        <w:ind w:left="720"/>
        <w:rPr>
          <w:rFonts w:asciiTheme="minorHAnsi" w:hAnsiTheme="minorHAnsi"/>
          <w:snapToGrid w:val="0"/>
          <w:szCs w:val="20"/>
        </w:rPr>
      </w:pPr>
      <w:r w:rsidRPr="00AF1481">
        <w:rPr>
          <w:rFonts w:asciiTheme="minorHAnsi" w:hAnsiTheme="minorHAnsi"/>
          <w:snapToGrid w:val="0"/>
          <w:szCs w:val="20"/>
        </w:rPr>
        <w:t>The PBAC considered that the claim of non-inferior comparative safety was reasonable.</w:t>
      </w:r>
    </w:p>
    <w:p w14:paraId="41D751A5" w14:textId="77777777" w:rsidR="00A05AA6" w:rsidRDefault="00D4450F" w:rsidP="00D4450F">
      <w:pPr>
        <w:pStyle w:val="4-SubsectionHeading"/>
      </w:pPr>
      <w:bookmarkStart w:id="71" w:name="_Toc22897645"/>
      <w:bookmarkStart w:id="72" w:name="_Toc107927631"/>
      <w:bookmarkStart w:id="73" w:name="_Toc153957300"/>
      <w:bookmarkStart w:id="74" w:name="_Toc156896372"/>
      <w:bookmarkEnd w:id="70"/>
      <w:r w:rsidRPr="00AF1481">
        <w:t>Economic analysis</w:t>
      </w:r>
      <w:bookmarkEnd w:id="71"/>
      <w:bookmarkEnd w:id="72"/>
      <w:bookmarkEnd w:id="73"/>
      <w:bookmarkEnd w:id="74"/>
    </w:p>
    <w:p w14:paraId="223CD8D1" w14:textId="77777777" w:rsidR="00A05AA6" w:rsidRDefault="00D4450F" w:rsidP="00D4450F">
      <w:pPr>
        <w:pStyle w:val="3-BodyText"/>
        <w:ind w:left="709" w:hanging="709"/>
      </w:pPr>
      <w:r w:rsidRPr="00AF1481">
        <w:t>The submission presented a CMA comparing aflibercept 8 mg to aflibercept 2 mg based on the PHOTON trial.</w:t>
      </w:r>
    </w:p>
    <w:p w14:paraId="78382889" w14:textId="77777777" w:rsidR="00A05AA6" w:rsidRDefault="00D4450F" w:rsidP="00D4450F">
      <w:pPr>
        <w:pStyle w:val="3-BodyText"/>
        <w:ind w:left="709" w:hanging="709"/>
        <w:rPr>
          <w:iCs/>
        </w:rPr>
      </w:pPr>
      <w:r w:rsidRPr="00AF1481">
        <w:t xml:space="preserve">The submission presented the CMA over a 2-year time horizon to account for induction dosing </w:t>
      </w:r>
      <w:r w:rsidR="004E0897" w:rsidRPr="00AF1481">
        <w:t xml:space="preserve">for newly diagnosed/treatment naive patients </w:t>
      </w:r>
      <w:r w:rsidRPr="00AF1481">
        <w:t xml:space="preserve">in the first year. </w:t>
      </w:r>
      <w:r w:rsidRPr="00AF1481">
        <w:rPr>
          <w:iCs/>
        </w:rPr>
        <w:t>This was reasonable given that a 2-year time horizon has previously been accepted by the PBAC for the same indication (para</w:t>
      </w:r>
      <w:r w:rsidR="0092755B">
        <w:rPr>
          <w:iCs/>
        </w:rPr>
        <w:t>graph</w:t>
      </w:r>
      <w:r w:rsidRPr="00AF1481">
        <w:rPr>
          <w:iCs/>
        </w:rPr>
        <w:t xml:space="preserve"> 7.2, faricimab DMO PSD, May 2022 PBAC meeting).</w:t>
      </w:r>
    </w:p>
    <w:p w14:paraId="5A0149CB" w14:textId="09D0A18F" w:rsidR="00D4450F" w:rsidRPr="00AF1481" w:rsidRDefault="00D4450F" w:rsidP="00D4450F">
      <w:pPr>
        <w:pStyle w:val="3-BodyText"/>
        <w:ind w:left="709" w:hanging="709"/>
        <w:rPr>
          <w:b/>
          <w:bCs/>
        </w:rPr>
      </w:pPr>
      <w:r w:rsidRPr="00AF1481">
        <w:t xml:space="preserve">The key components and assumptions of the CMA are presented in </w:t>
      </w:r>
      <w:r w:rsidRPr="00AF1481">
        <w:fldChar w:fldCharType="begin"/>
      </w:r>
      <w:r w:rsidRPr="00AF1481">
        <w:instrText xml:space="preserve"> REF _Ref152846533 \h </w:instrText>
      </w:r>
      <w:r w:rsidRPr="00AF1481">
        <w:fldChar w:fldCharType="separate"/>
      </w:r>
      <w:r w:rsidR="009404AF" w:rsidRPr="00AF1481">
        <w:t xml:space="preserve">Table </w:t>
      </w:r>
      <w:r w:rsidR="009404AF">
        <w:rPr>
          <w:noProof/>
        </w:rPr>
        <w:t>9</w:t>
      </w:r>
      <w:r w:rsidRPr="00AF1481">
        <w:fldChar w:fldCharType="end"/>
      </w:r>
      <w:r w:rsidRPr="00AF1481">
        <w:t>.</w:t>
      </w:r>
    </w:p>
    <w:p w14:paraId="7E78CA5B" w14:textId="4D803888" w:rsidR="00D4450F" w:rsidRPr="00AF1481" w:rsidRDefault="00D4450F" w:rsidP="00D4450F">
      <w:pPr>
        <w:pStyle w:val="Caption"/>
        <w:rPr>
          <w:rStyle w:val="CommentReference"/>
          <w:b/>
          <w:szCs w:val="24"/>
        </w:rPr>
      </w:pPr>
      <w:bookmarkStart w:id="75" w:name="_Ref152846533"/>
      <w:bookmarkStart w:id="76" w:name="_Hlk152321119"/>
      <w:bookmarkStart w:id="77" w:name="_Hlk151108242"/>
      <w:r w:rsidRPr="00AF1481">
        <w:lastRenderedPageBreak/>
        <w:t xml:space="preserve">Table </w:t>
      </w:r>
      <w:r w:rsidRPr="00AF1481">
        <w:fldChar w:fldCharType="begin"/>
      </w:r>
      <w:r w:rsidRPr="00AF1481">
        <w:instrText>SEQ Table \* ARABIC</w:instrText>
      </w:r>
      <w:r w:rsidRPr="00AF1481">
        <w:fldChar w:fldCharType="separate"/>
      </w:r>
      <w:r w:rsidR="009404AF">
        <w:rPr>
          <w:noProof/>
        </w:rPr>
        <w:t>9</w:t>
      </w:r>
      <w:r w:rsidRPr="00AF1481">
        <w:fldChar w:fldCharType="end"/>
      </w:r>
      <w:bookmarkEnd w:id="75"/>
      <w:r w:rsidRPr="00AF1481">
        <w:t xml:space="preserve">: </w:t>
      </w:r>
      <w:r w:rsidRPr="00AF1481">
        <w:rPr>
          <w:rStyle w:val="CommentReference"/>
          <w:b/>
          <w:szCs w:val="24"/>
        </w:rPr>
        <w:t xml:space="preserve">Summary </w:t>
      </w:r>
      <w:bookmarkEnd w:id="76"/>
      <w:r w:rsidRPr="00AF1481">
        <w:rPr>
          <w:rStyle w:val="CommentReference"/>
          <w:b/>
          <w:szCs w:val="24"/>
        </w:rPr>
        <w:t>of analysis structure, key inputs</w:t>
      </w:r>
      <w:r w:rsidR="007E5B97">
        <w:rPr>
          <w:rStyle w:val="CommentReference"/>
          <w:b/>
          <w:szCs w:val="24"/>
        </w:rPr>
        <w:t>,</w:t>
      </w:r>
      <w:r w:rsidRPr="00AF1481">
        <w:rPr>
          <w:rStyle w:val="CommentReference"/>
          <w:b/>
          <w:szCs w:val="24"/>
        </w:rPr>
        <w:t xml:space="preserve"> and rationale</w:t>
      </w:r>
      <w:r w:rsidR="00582479" w:rsidRPr="00AF1481">
        <w:rPr>
          <w:rStyle w:val="CommentReference"/>
          <w:b/>
          <w:szCs w:val="24"/>
        </w:rPr>
        <w:t xml:space="preserve"> (as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D4450F" w:rsidRPr="00AF1481" w14:paraId="248E4FDE" w14:textId="77777777" w:rsidTr="008C5949">
        <w:trPr>
          <w:tblHeader/>
        </w:trPr>
        <w:tc>
          <w:tcPr>
            <w:tcW w:w="1396" w:type="pct"/>
            <w:shd w:val="clear" w:color="auto" w:fill="auto"/>
            <w:vAlign w:val="center"/>
          </w:tcPr>
          <w:bookmarkEnd w:id="77"/>
          <w:p w14:paraId="7AF80E8C" w14:textId="77777777" w:rsidR="00D4450F" w:rsidRPr="00AF1481" w:rsidRDefault="00D4450F" w:rsidP="008C5949">
            <w:pPr>
              <w:pStyle w:val="In-tableHeading"/>
              <w:rPr>
                <w:lang w:val="en-AU"/>
              </w:rPr>
            </w:pPr>
            <w:r w:rsidRPr="00AF1481">
              <w:rPr>
                <w:lang w:val="en-AU"/>
              </w:rPr>
              <w:t>Component</w:t>
            </w:r>
          </w:p>
        </w:tc>
        <w:tc>
          <w:tcPr>
            <w:tcW w:w="3604" w:type="pct"/>
            <w:shd w:val="clear" w:color="auto" w:fill="auto"/>
            <w:vAlign w:val="center"/>
          </w:tcPr>
          <w:p w14:paraId="19531D0E" w14:textId="77777777" w:rsidR="00D4450F" w:rsidRPr="00AF1481" w:rsidRDefault="00D4450F" w:rsidP="008C5949">
            <w:pPr>
              <w:pStyle w:val="In-tableHeading"/>
              <w:rPr>
                <w:lang w:val="en-AU"/>
              </w:rPr>
            </w:pPr>
            <w:r w:rsidRPr="00AF1481">
              <w:rPr>
                <w:lang w:val="en-AU"/>
              </w:rPr>
              <w:t>Assumption</w:t>
            </w:r>
          </w:p>
        </w:tc>
      </w:tr>
      <w:tr w:rsidR="00D4450F" w:rsidRPr="00AF1481" w14:paraId="0AD59802" w14:textId="77777777" w:rsidTr="008C5949">
        <w:tc>
          <w:tcPr>
            <w:tcW w:w="1396" w:type="pct"/>
            <w:shd w:val="clear" w:color="auto" w:fill="auto"/>
            <w:vAlign w:val="center"/>
          </w:tcPr>
          <w:p w14:paraId="029AD0D1" w14:textId="77777777" w:rsidR="00D4450F" w:rsidRPr="00AF1481" w:rsidRDefault="00D4450F" w:rsidP="008C5949">
            <w:pPr>
              <w:pStyle w:val="TableText0"/>
            </w:pPr>
            <w:r w:rsidRPr="00AF1481">
              <w:t>Therapeutic claim: effectiveness</w:t>
            </w:r>
          </w:p>
        </w:tc>
        <w:tc>
          <w:tcPr>
            <w:tcW w:w="3604" w:type="pct"/>
            <w:shd w:val="clear" w:color="auto" w:fill="auto"/>
            <w:vAlign w:val="center"/>
          </w:tcPr>
          <w:p w14:paraId="08499B40" w14:textId="12A352F4" w:rsidR="00D4450F" w:rsidRPr="00AF1481" w:rsidRDefault="00D4450F" w:rsidP="008C5949">
            <w:pPr>
              <w:pStyle w:val="TableText0"/>
            </w:pPr>
            <w:r w:rsidRPr="00AF1481">
              <w:t xml:space="preserve">Based on </w:t>
            </w:r>
            <w:r w:rsidR="00BB0B5C" w:rsidRPr="00AF1481">
              <w:t xml:space="preserve">the clinical </w:t>
            </w:r>
            <w:r w:rsidRPr="00AF1481">
              <w:t>evidence presented, effectiveness of aflibercept 8 mg is assumed to be non-inferior to aflibercept 2 mg</w:t>
            </w:r>
          </w:p>
        </w:tc>
      </w:tr>
      <w:tr w:rsidR="00D4450F" w:rsidRPr="00AF1481" w14:paraId="3D8D86C7" w14:textId="77777777" w:rsidTr="008C5949">
        <w:tc>
          <w:tcPr>
            <w:tcW w:w="1396" w:type="pct"/>
            <w:shd w:val="clear" w:color="auto" w:fill="auto"/>
            <w:vAlign w:val="center"/>
          </w:tcPr>
          <w:p w14:paraId="3F354036" w14:textId="77777777" w:rsidR="00D4450F" w:rsidRPr="00AF1481" w:rsidRDefault="00D4450F" w:rsidP="008C5949">
            <w:pPr>
              <w:pStyle w:val="TableText0"/>
            </w:pPr>
            <w:r w:rsidRPr="00AF1481">
              <w:t>Therapeutic claim: safety</w:t>
            </w:r>
          </w:p>
        </w:tc>
        <w:tc>
          <w:tcPr>
            <w:tcW w:w="3604" w:type="pct"/>
            <w:shd w:val="clear" w:color="auto" w:fill="auto"/>
            <w:vAlign w:val="center"/>
          </w:tcPr>
          <w:p w14:paraId="78ED2ABD" w14:textId="1F40C7D6" w:rsidR="00D4450F" w:rsidRPr="00AF1481" w:rsidRDefault="00D4450F" w:rsidP="008C5949">
            <w:pPr>
              <w:pStyle w:val="TableText0"/>
            </w:pPr>
            <w:r w:rsidRPr="00AF1481">
              <w:t xml:space="preserve">Based on </w:t>
            </w:r>
            <w:r w:rsidR="00BB0B5C" w:rsidRPr="00AF1481">
              <w:t xml:space="preserve">the clinical </w:t>
            </w:r>
            <w:r w:rsidRPr="00AF1481">
              <w:t>evidence presented, safety of aflibercept 8 mg is assumed to be non-inferior to aflibercept 2 mg</w:t>
            </w:r>
          </w:p>
        </w:tc>
      </w:tr>
      <w:tr w:rsidR="00D4450F" w:rsidRPr="00AF1481" w14:paraId="36A04FD6" w14:textId="77777777" w:rsidTr="008C5949">
        <w:tc>
          <w:tcPr>
            <w:tcW w:w="1396" w:type="pct"/>
            <w:shd w:val="clear" w:color="auto" w:fill="auto"/>
            <w:vAlign w:val="center"/>
          </w:tcPr>
          <w:p w14:paraId="79784C58" w14:textId="77777777" w:rsidR="00D4450F" w:rsidRPr="00AF1481" w:rsidRDefault="00D4450F" w:rsidP="008C5949">
            <w:pPr>
              <w:pStyle w:val="TableText0"/>
            </w:pPr>
            <w:r w:rsidRPr="00AF1481">
              <w:t>Evidence base</w:t>
            </w:r>
          </w:p>
        </w:tc>
        <w:tc>
          <w:tcPr>
            <w:tcW w:w="3604" w:type="pct"/>
            <w:shd w:val="clear" w:color="auto" w:fill="auto"/>
            <w:vAlign w:val="center"/>
          </w:tcPr>
          <w:p w14:paraId="1715B3D2" w14:textId="36E92EBD" w:rsidR="00D4450F" w:rsidRPr="00AF1481" w:rsidRDefault="00D4450F" w:rsidP="008C5949">
            <w:pPr>
              <w:pStyle w:val="TableText0"/>
            </w:pPr>
            <w:r w:rsidRPr="00AF1481">
              <w:t xml:space="preserve">Efficacy was informed by a direct comparison of aflibercept 8 mg and aflibercept 2 mg from the PHOTON trial. Drug </w:t>
            </w:r>
            <w:r w:rsidR="00E0482E" w:rsidRPr="00AF1481">
              <w:t>utilisation</w:t>
            </w:r>
            <w:r w:rsidRPr="00AF1481">
              <w:t xml:space="preserve"> was informed by PHOTON for aflibercept 8 mg and in-market </w:t>
            </w:r>
            <w:r w:rsidR="0012342E" w:rsidRPr="00AF1481">
              <w:t xml:space="preserve">data </w:t>
            </w:r>
            <w:r w:rsidR="00801EF8" w:rsidRPr="00AF1481">
              <w:t>(</w:t>
            </w:r>
            <w:r w:rsidR="0012342E" w:rsidRPr="00AF1481">
              <w:t xml:space="preserve">from the </w:t>
            </w:r>
            <w:r w:rsidRPr="00AF1481">
              <w:t>DUSC</w:t>
            </w:r>
            <w:r w:rsidR="0012342E" w:rsidRPr="00AF1481">
              <w:t xml:space="preserve"> Secretariat</w:t>
            </w:r>
            <w:r w:rsidRPr="00AF1481">
              <w:t>) for aflibercept 2 mg.</w:t>
            </w:r>
          </w:p>
        </w:tc>
      </w:tr>
      <w:tr w:rsidR="00D4450F" w:rsidRPr="00AF1481" w14:paraId="53D107E2" w14:textId="77777777" w:rsidTr="008C5949">
        <w:tc>
          <w:tcPr>
            <w:tcW w:w="1396" w:type="pct"/>
            <w:shd w:val="clear" w:color="auto" w:fill="auto"/>
            <w:vAlign w:val="center"/>
          </w:tcPr>
          <w:p w14:paraId="3F23A8B2" w14:textId="77777777" w:rsidR="00D4450F" w:rsidRPr="00AF1481" w:rsidRDefault="00D4450F" w:rsidP="008C5949">
            <w:pPr>
              <w:pStyle w:val="TableText0"/>
            </w:pPr>
            <w:r w:rsidRPr="00AF1481">
              <w:t>Equi-effective doses</w:t>
            </w:r>
          </w:p>
        </w:tc>
        <w:tc>
          <w:tcPr>
            <w:tcW w:w="3604" w:type="pct"/>
            <w:shd w:val="clear" w:color="auto" w:fill="auto"/>
            <w:vAlign w:val="center"/>
          </w:tcPr>
          <w:p w14:paraId="204EE91F" w14:textId="77777777" w:rsidR="00A05AA6" w:rsidRDefault="00D4450F" w:rsidP="008C5949">
            <w:pPr>
              <w:pStyle w:val="TableText0"/>
            </w:pPr>
            <w:r w:rsidRPr="00AF1481">
              <w:t>Year 1: 6.20 doses of aflibercept 8 mg to 6.68 doses of aflibercept 2 mg</w:t>
            </w:r>
          </w:p>
          <w:p w14:paraId="162CE81B" w14:textId="1D78046F" w:rsidR="00D4450F" w:rsidRPr="00AF1481" w:rsidRDefault="00D4450F" w:rsidP="008C5949">
            <w:pPr>
              <w:pStyle w:val="TableText0"/>
            </w:pPr>
            <w:r w:rsidRPr="00AF1481">
              <w:t xml:space="preserve">Year 2: 3.67 doses of aflibercept 8 mg to 5.28 doses of aflibercept 2 mg </w:t>
            </w:r>
          </w:p>
        </w:tc>
      </w:tr>
      <w:tr w:rsidR="00D4450F" w:rsidRPr="00AF1481" w14:paraId="4E80E9A6" w14:textId="77777777" w:rsidTr="008C5949">
        <w:tc>
          <w:tcPr>
            <w:tcW w:w="1396" w:type="pct"/>
            <w:shd w:val="clear" w:color="auto" w:fill="auto"/>
            <w:vAlign w:val="center"/>
          </w:tcPr>
          <w:p w14:paraId="15284C29" w14:textId="77777777" w:rsidR="00D4450F" w:rsidRPr="00AF1481" w:rsidRDefault="00D4450F" w:rsidP="008C5949">
            <w:pPr>
              <w:pStyle w:val="TableText0"/>
            </w:pPr>
            <w:r w:rsidRPr="00AF1481">
              <w:t>Direct medicine costs</w:t>
            </w:r>
          </w:p>
        </w:tc>
        <w:tc>
          <w:tcPr>
            <w:tcW w:w="3604" w:type="pct"/>
            <w:shd w:val="clear" w:color="auto" w:fill="auto"/>
            <w:vAlign w:val="center"/>
          </w:tcPr>
          <w:p w14:paraId="45FE7951" w14:textId="77777777" w:rsidR="00D4450F" w:rsidRPr="00AF1481" w:rsidRDefault="00D4450F" w:rsidP="008C5949">
            <w:pPr>
              <w:pStyle w:val="TableText0"/>
            </w:pPr>
            <w:r w:rsidRPr="00AF1481">
              <w:t xml:space="preserve">Calculated from equi-effective doses accounting for drug (effective AEMP) and administration costs (MBS fees) </w:t>
            </w:r>
          </w:p>
        </w:tc>
      </w:tr>
      <w:tr w:rsidR="00D4450F" w:rsidRPr="00AF1481" w14:paraId="7EBB0F9B" w14:textId="77777777" w:rsidTr="008C5949">
        <w:tc>
          <w:tcPr>
            <w:tcW w:w="1396" w:type="pct"/>
            <w:shd w:val="clear" w:color="auto" w:fill="auto"/>
            <w:vAlign w:val="center"/>
          </w:tcPr>
          <w:p w14:paraId="42905B3F" w14:textId="77777777" w:rsidR="00D4450F" w:rsidRPr="00AF1481" w:rsidRDefault="00D4450F" w:rsidP="008C5949">
            <w:pPr>
              <w:pStyle w:val="TableText0"/>
            </w:pPr>
            <w:r w:rsidRPr="00AF1481">
              <w:t>Other costs or cost offsets</w:t>
            </w:r>
          </w:p>
        </w:tc>
        <w:tc>
          <w:tcPr>
            <w:tcW w:w="3604" w:type="pct"/>
            <w:shd w:val="clear" w:color="auto" w:fill="auto"/>
            <w:vAlign w:val="center"/>
          </w:tcPr>
          <w:p w14:paraId="370966D7" w14:textId="77777777" w:rsidR="00D4450F" w:rsidRPr="00AF1481" w:rsidRDefault="00D4450F" w:rsidP="008C5949">
            <w:pPr>
              <w:pStyle w:val="TableText0"/>
            </w:pPr>
            <w:r w:rsidRPr="00AF1481">
              <w:t>Administration costs: MBS item 42738 – Fee = $329.40*</w:t>
            </w:r>
          </w:p>
        </w:tc>
      </w:tr>
    </w:tbl>
    <w:p w14:paraId="6952B4C7" w14:textId="6B3B9B2D" w:rsidR="00D4450F" w:rsidRPr="00AF1481" w:rsidRDefault="00D4450F" w:rsidP="00D4450F">
      <w:pPr>
        <w:pStyle w:val="FooterTableFigure"/>
      </w:pPr>
      <w:r w:rsidRPr="00AF1481">
        <w:t>Source: Table 3-2 p101 of the submission.</w:t>
      </w:r>
    </w:p>
    <w:p w14:paraId="24EE1FB8" w14:textId="77777777" w:rsidR="00D4450F" w:rsidRPr="00AF1481" w:rsidRDefault="00D4450F" w:rsidP="00D4450F">
      <w:pPr>
        <w:pStyle w:val="FooterTableFigure"/>
      </w:pPr>
      <w:r w:rsidRPr="00AF1481">
        <w:t>AEMP = ex-manufacturer price; DUSC = Drug Utilisation Sub Committee; MBS = Medicare Benefits Schedule</w:t>
      </w:r>
    </w:p>
    <w:p w14:paraId="633C5AD3" w14:textId="0CD62903" w:rsidR="00D4450F" w:rsidRPr="00AF1481" w:rsidRDefault="00D4450F" w:rsidP="00D4450F">
      <w:pPr>
        <w:pStyle w:val="FooterTableFigure"/>
      </w:pPr>
      <w:r w:rsidRPr="00AF1481">
        <w:t>*Fee for MBS item 42738 at the time of commentary was $331.05.</w:t>
      </w:r>
    </w:p>
    <w:p w14:paraId="7E993E20" w14:textId="77777777" w:rsidR="00A05AA6" w:rsidRDefault="00D4450F" w:rsidP="00D4450F">
      <w:pPr>
        <w:pStyle w:val="3-BodyText"/>
        <w:ind w:left="709" w:hanging="709"/>
      </w:pPr>
      <w:r w:rsidRPr="00AF1481">
        <w:t>The equi-effective dose for aflibercept 8 mg was estimated from the combined</w:t>
      </w:r>
      <w:r w:rsidR="004E0897" w:rsidRPr="00AF1481">
        <w:t xml:space="preserve"> use in the</w:t>
      </w:r>
      <w:r w:rsidRPr="00AF1481">
        <w:t xml:space="preserve"> q12 and q16 arms of the PHOTON trial; and separately for the first and second year to account for the difference in dosing frequency as outlined in the draft PI.</w:t>
      </w:r>
    </w:p>
    <w:p w14:paraId="7BAB3104" w14:textId="77777777" w:rsidR="00A05AA6" w:rsidRDefault="00D4450F" w:rsidP="00D4450F">
      <w:pPr>
        <w:pStyle w:val="3-BodyText"/>
        <w:ind w:left="709" w:hanging="709"/>
      </w:pPr>
      <w:bookmarkStart w:id="78" w:name="_Ref167277118"/>
      <w:r w:rsidRPr="00AF1481">
        <w:t>The</w:t>
      </w:r>
      <w:r w:rsidRPr="00AF1481" w:rsidDel="000537D4">
        <w:t xml:space="preserve"> </w:t>
      </w:r>
      <w:r w:rsidRPr="00AF1481">
        <w:t xml:space="preserve">equi-effective number of doses of aflibercept 8 mg in Year 1 was estimated as 6.20 injections, calculated as the mean active injections at 48 weeks divided by the mean treatment duration at 48 weeks, apportioned to a 52-week estimate. </w:t>
      </w:r>
      <w:bookmarkStart w:id="79" w:name="_Hlk159913537"/>
      <w:r w:rsidRPr="00AF1481">
        <w:t>Th</w:t>
      </w:r>
      <w:r w:rsidR="00F9151F" w:rsidRPr="00AF1481">
        <w:t>e ESC considered th</w:t>
      </w:r>
      <w:r w:rsidRPr="00AF1481">
        <w:t xml:space="preserve">is assumption </w:t>
      </w:r>
      <w:r w:rsidR="00C10370" w:rsidRPr="00AF1481">
        <w:t xml:space="preserve">may be </w:t>
      </w:r>
      <w:r w:rsidRPr="00AF1481">
        <w:t>conservative against aflibercept 8 mg. That is, the data from PHOTON are likely to reflect more doses</w:t>
      </w:r>
      <w:r w:rsidR="008B0E90" w:rsidRPr="00AF1481">
        <w:t xml:space="preserve"> in Year 1</w:t>
      </w:r>
      <w:r w:rsidRPr="00AF1481">
        <w:t xml:space="preserve"> than would be observed in clinical practice given that the dosing regimen in PHOTON did not allow extensions in the treatment interval in Year 1</w:t>
      </w:r>
      <w:r w:rsidR="00582479" w:rsidRPr="00AF1481">
        <w:t>.</w:t>
      </w:r>
      <w:bookmarkEnd w:id="78"/>
      <w:bookmarkEnd w:id="79"/>
    </w:p>
    <w:p w14:paraId="7D0487FD" w14:textId="77777777" w:rsidR="00A05AA6" w:rsidRDefault="00D4450F" w:rsidP="00D4450F">
      <w:pPr>
        <w:pStyle w:val="3-BodyText"/>
        <w:ind w:left="709" w:hanging="709"/>
        <w:rPr>
          <w:rFonts w:eastAsia="Calibri"/>
        </w:rPr>
      </w:pPr>
      <w:r w:rsidRPr="00AF1481">
        <w:t>The</w:t>
      </w:r>
      <w:r w:rsidRPr="00AF1481" w:rsidDel="000537D4">
        <w:t xml:space="preserve"> </w:t>
      </w:r>
      <w:r w:rsidRPr="00AF1481">
        <w:t>equi-effective number of doses of aflibercept 8 mg in Year 2 was estimated as 3.67 injections and was estimated from the distribution of patients on each dosing interval at 96 weeks. Patients on a 24-week dosing interval were pooled with the 20-week dosing interval.</w:t>
      </w:r>
      <w:r w:rsidRPr="00AF1481">
        <w:rPr>
          <w:rFonts w:eastAsia="Calibri"/>
        </w:rPr>
        <w:t xml:space="preserve"> </w:t>
      </w:r>
      <w:r w:rsidR="00761354" w:rsidRPr="00AF1481">
        <w:rPr>
          <w:rFonts w:eastAsia="Calibri"/>
        </w:rPr>
        <w:t>The evaluation stated that p</w:t>
      </w:r>
      <w:r w:rsidR="009E20AB" w:rsidRPr="00AF1481">
        <w:rPr>
          <w:rFonts w:eastAsia="Calibri"/>
          <w:iCs/>
        </w:rPr>
        <w:t xml:space="preserve">ooling of patients </w:t>
      </w:r>
      <w:r w:rsidRPr="00AF1481">
        <w:rPr>
          <w:rFonts w:eastAsia="Calibri"/>
          <w:iCs/>
        </w:rPr>
        <w:t xml:space="preserve">was appropriate </w:t>
      </w:r>
      <w:r w:rsidRPr="00AF1481">
        <w:t xml:space="preserve">given the draft PI </w:t>
      </w:r>
      <w:r w:rsidR="00754CC8" w:rsidRPr="00AF1481">
        <w:t xml:space="preserve">provided with </w:t>
      </w:r>
      <w:r w:rsidR="00761354" w:rsidRPr="00AF1481">
        <w:t xml:space="preserve">the submission proposed </w:t>
      </w:r>
      <w:r w:rsidRPr="00AF1481">
        <w:t xml:space="preserve">that </w:t>
      </w:r>
      <w:r w:rsidR="00761354" w:rsidRPr="00AF1481">
        <w:t xml:space="preserve">the treatment interval for </w:t>
      </w:r>
      <w:r w:rsidRPr="00AF1481">
        <w:t xml:space="preserve">aflibercept 8 mg </w:t>
      </w:r>
      <w:r w:rsidR="00761354" w:rsidRPr="00AF1481">
        <w:t xml:space="preserve">could </w:t>
      </w:r>
      <w:r w:rsidRPr="00AF1481">
        <w:t>be extended up to a maximum of 20 weeks</w:t>
      </w:r>
      <w:r w:rsidRPr="00AF1481">
        <w:rPr>
          <w:rFonts w:eastAsia="Calibri"/>
        </w:rPr>
        <w:t>.</w:t>
      </w:r>
    </w:p>
    <w:p w14:paraId="428B420B" w14:textId="77777777" w:rsidR="00A05AA6" w:rsidRDefault="00D4450F" w:rsidP="00D4450F">
      <w:pPr>
        <w:pStyle w:val="3-BodyText"/>
        <w:ind w:left="709" w:hanging="709"/>
      </w:pPr>
      <w:r w:rsidRPr="00AF1481">
        <w:t>Based on in-market PBS data</w:t>
      </w:r>
      <w:r w:rsidR="002775CB" w:rsidRPr="00AF1481">
        <w:t xml:space="preserve"> provided by</w:t>
      </w:r>
      <w:r w:rsidRPr="00AF1481">
        <w:t xml:space="preserve"> </w:t>
      </w:r>
      <w:r w:rsidR="00FF7AD7" w:rsidRPr="00AF1481">
        <w:t xml:space="preserve">the </w:t>
      </w:r>
      <w:r w:rsidRPr="00AF1481">
        <w:t>DUSC</w:t>
      </w:r>
      <w:r w:rsidR="00686976" w:rsidRPr="00AF1481">
        <w:t xml:space="preserve"> Secretariat</w:t>
      </w:r>
      <w:r w:rsidRPr="00AF1481">
        <w:t xml:space="preserve">, the </w:t>
      </w:r>
      <w:r w:rsidR="00DF7AB4" w:rsidRPr="00AF1481">
        <w:t>average</w:t>
      </w:r>
      <w:r w:rsidRPr="00AF1481">
        <w:t xml:space="preserve"> number of doses of aflibercept 2 mg was 6.68 injections in Year 1 and 5.28 injections in Year 2 (11.96 doses for Years 1 and 2). </w:t>
      </w:r>
      <w:r w:rsidRPr="00AF1481">
        <w:rPr>
          <w:iCs/>
        </w:rPr>
        <w:t xml:space="preserve">Given the dosing regimen of aflibercept 2 mg in the PHOTON trial was not representative of T&amp;E regimens in Australian clinical practice, the </w:t>
      </w:r>
      <w:r w:rsidR="00D42C99" w:rsidRPr="00AF1481">
        <w:rPr>
          <w:iCs/>
        </w:rPr>
        <w:t xml:space="preserve">evaluation and the ESC considered </w:t>
      </w:r>
      <w:r w:rsidRPr="00AF1481">
        <w:rPr>
          <w:iCs/>
        </w:rPr>
        <w:t xml:space="preserve">use of in-market data was reasonable. </w:t>
      </w:r>
      <w:r w:rsidRPr="00AF1481">
        <w:t xml:space="preserve">The mean number of doses calculated for aflibercept 2 mg was similar to those accepted by the PBAC in its consideration of faricimab (Year 1; 6.38 </w:t>
      </w:r>
      <w:r w:rsidR="00686976" w:rsidRPr="00AF1481">
        <w:t>doses</w:t>
      </w:r>
      <w:r w:rsidRPr="00AF1481">
        <w:t xml:space="preserve">, Year 2; 5.27 </w:t>
      </w:r>
      <w:r w:rsidR="00686976" w:rsidRPr="00AF1481">
        <w:t>doses</w:t>
      </w:r>
      <w:r w:rsidRPr="00AF1481">
        <w:t>) (para</w:t>
      </w:r>
      <w:r w:rsidR="0092755B">
        <w:t>graph</w:t>
      </w:r>
      <w:r w:rsidRPr="00AF1481">
        <w:t xml:space="preserve"> </w:t>
      </w:r>
      <w:r w:rsidR="00686976" w:rsidRPr="00AF1481">
        <w:t>7.2</w:t>
      </w:r>
      <w:r w:rsidRPr="00AF1481">
        <w:t>, faricimab DMO PSD, May 2022 PBAC meeting).</w:t>
      </w:r>
    </w:p>
    <w:p w14:paraId="7EEC1B93" w14:textId="7C2CD6B5" w:rsidR="00A05AA6" w:rsidRDefault="00D4450F" w:rsidP="00D42C99">
      <w:pPr>
        <w:pStyle w:val="3-BodyText"/>
        <w:keepNext/>
        <w:widowControl w:val="0"/>
        <w:ind w:left="709" w:hanging="709"/>
      </w:pPr>
      <w:bookmarkStart w:id="80" w:name="_Ref167277151"/>
      <w:r w:rsidRPr="00AF1481">
        <w:t>The approach adopted by the submission included patients who discontinue</w:t>
      </w:r>
      <w:r w:rsidR="00B00C15" w:rsidRPr="00AF1481">
        <w:t>d</w:t>
      </w:r>
      <w:r w:rsidRPr="00AF1481">
        <w:t xml:space="preserve"> aflibercept 2 mg in the PBS dataset. </w:t>
      </w:r>
      <w:r w:rsidRPr="00AF1481">
        <w:rPr>
          <w:iCs/>
        </w:rPr>
        <w:t>This was inconsistent with the PBAC Guidelines</w:t>
      </w:r>
      <w:r w:rsidR="002775CB" w:rsidRPr="00AF1481">
        <w:rPr>
          <w:iCs/>
        </w:rPr>
        <w:t>;</w:t>
      </w:r>
      <w:r w:rsidRPr="00AF1481">
        <w:rPr>
          <w:iCs/>
        </w:rPr>
        <w:t xml:space="preserve"> however, the inclusion of these patients decreased the mean number of aflibercept</w:t>
      </w:r>
      <w:r w:rsidR="002E3CE5">
        <w:rPr>
          <w:iCs/>
        </w:rPr>
        <w:t xml:space="preserve"> </w:t>
      </w:r>
      <w:r w:rsidRPr="00AF1481">
        <w:rPr>
          <w:iCs/>
        </w:rPr>
        <w:t>2</w:t>
      </w:r>
      <w:r w:rsidR="000C41A8">
        <w:rPr>
          <w:iCs/>
        </w:rPr>
        <w:t> </w:t>
      </w:r>
      <w:r w:rsidRPr="00AF1481">
        <w:rPr>
          <w:iCs/>
        </w:rPr>
        <w:t>mg doses.</w:t>
      </w:r>
      <w:r w:rsidRPr="00AF1481">
        <w:t xml:space="preserve"> A secondary analysis presented by the sponsor estimated the mean doses </w:t>
      </w:r>
      <w:r w:rsidRPr="00AF1481">
        <w:lastRenderedPageBreak/>
        <w:t xml:space="preserve">in Year 1 and Year 2 by considering only those patients who stayed on treatment in Years 2 and 3. This resulted in a higher equi-effective dose for aflibercept 2 mg. </w:t>
      </w:r>
      <w:r w:rsidR="000D308F" w:rsidRPr="00AF1481">
        <w:rPr>
          <w:iCs/>
        </w:rPr>
        <w:t xml:space="preserve">The ESC considered </w:t>
      </w:r>
      <w:r w:rsidRPr="00AF1481">
        <w:rPr>
          <w:iCs/>
        </w:rPr>
        <w:t>the submission’s approach of including patients</w:t>
      </w:r>
      <w:r w:rsidR="00232ABD" w:rsidRPr="00AF1481">
        <w:rPr>
          <w:iCs/>
        </w:rPr>
        <w:t xml:space="preserve"> who</w:t>
      </w:r>
      <w:r w:rsidRPr="00AF1481">
        <w:rPr>
          <w:iCs/>
        </w:rPr>
        <w:t xml:space="preserve"> discontinue</w:t>
      </w:r>
      <w:r w:rsidR="00232ABD" w:rsidRPr="00AF1481">
        <w:rPr>
          <w:iCs/>
        </w:rPr>
        <w:t>d</w:t>
      </w:r>
      <w:r w:rsidRPr="00AF1481">
        <w:rPr>
          <w:iCs/>
        </w:rPr>
        <w:t xml:space="preserve"> </w:t>
      </w:r>
      <w:r w:rsidR="000D308F" w:rsidRPr="00AF1481">
        <w:rPr>
          <w:iCs/>
        </w:rPr>
        <w:t>to be</w:t>
      </w:r>
      <w:r w:rsidRPr="00AF1481">
        <w:rPr>
          <w:iCs/>
        </w:rPr>
        <w:t xml:space="preserve"> conservative against aflibercept 8 mg.</w:t>
      </w:r>
      <w:bookmarkEnd w:id="80"/>
    </w:p>
    <w:p w14:paraId="0AAC4FC2" w14:textId="726A9BE9" w:rsidR="00D4450F" w:rsidRPr="00AF1481" w:rsidRDefault="00D4450F" w:rsidP="00D4450F">
      <w:pPr>
        <w:pStyle w:val="3-BodyText"/>
        <w:ind w:left="709" w:hanging="709"/>
      </w:pPr>
      <w:r w:rsidRPr="00AF1481">
        <w:t>Based on the data and relativities presented above, the submission concluded that 6.20 doses of aflibercept 8 mg and 6.68 doses of aflibercept 2 mg are equi-effective for Year 1 and 3.67 doses of aflibercept 8 mg and 5.28 doses of aflibercept 2 mg are equi-effective for Year 2.</w:t>
      </w:r>
    </w:p>
    <w:p w14:paraId="42CDF15F" w14:textId="77777777" w:rsidR="00A05AA6" w:rsidRDefault="00D4450F" w:rsidP="00D4450F">
      <w:pPr>
        <w:pStyle w:val="3-BodyText"/>
        <w:ind w:left="709" w:hanging="709"/>
        <w:rPr>
          <w:iCs/>
        </w:rPr>
      </w:pPr>
      <w:bookmarkStart w:id="81" w:name="_Ref167277178"/>
      <w:r w:rsidRPr="00AF1481">
        <w:t xml:space="preserve">The submission included cost offsets associated with differences in the frequency of administering aflibercept 8 mg and </w:t>
      </w:r>
      <w:r w:rsidR="00686976" w:rsidRPr="00AF1481">
        <w:t xml:space="preserve">aflibercept </w:t>
      </w:r>
      <w:r w:rsidRPr="00AF1481">
        <w:t xml:space="preserve">2 mg in the CMA. </w:t>
      </w:r>
      <w:r w:rsidRPr="00AF1481">
        <w:rPr>
          <w:iCs/>
        </w:rPr>
        <w:t xml:space="preserve">The submission did not include the cost of monitoring for either treatment which may include assessment of visual acuity, measurement of intraocular pressure, check for perfusion of optic nerve or tonometry. </w:t>
      </w:r>
      <w:r w:rsidR="00AD2918" w:rsidRPr="00AF1481">
        <w:t>The ESC considered the e</w:t>
      </w:r>
      <w:r w:rsidRPr="00AF1481">
        <w:t xml:space="preserve">xclusion of monitoring costs </w:t>
      </w:r>
      <w:r w:rsidR="00C10370" w:rsidRPr="00AF1481">
        <w:t xml:space="preserve">may be </w:t>
      </w:r>
      <w:r w:rsidRPr="00AF1481">
        <w:t>conservative against aflibercept 8 mg</w:t>
      </w:r>
      <w:r w:rsidR="00AD2918" w:rsidRPr="00AF1481">
        <w:t>.</w:t>
      </w:r>
      <w:bookmarkEnd w:id="81"/>
    </w:p>
    <w:p w14:paraId="45D4B0E1" w14:textId="6CADF5B5" w:rsidR="00A05AA6" w:rsidRDefault="00D4450F" w:rsidP="00D4450F">
      <w:pPr>
        <w:pStyle w:val="3-BodyText"/>
        <w:ind w:left="709" w:hanging="709"/>
        <w:rPr>
          <w:iCs/>
        </w:rPr>
      </w:pPr>
      <w:bookmarkStart w:id="82" w:name="_Ref155086928"/>
      <w:r w:rsidRPr="00AF1481">
        <w:t xml:space="preserve">The results of the CMA are presented in </w:t>
      </w:r>
      <w:r w:rsidRPr="00AF1481">
        <w:fldChar w:fldCharType="begin"/>
      </w:r>
      <w:r w:rsidRPr="00AF1481">
        <w:instrText xml:space="preserve"> REF _Ref152847179 \h  \* MERGEFORMAT </w:instrText>
      </w:r>
      <w:r w:rsidRPr="00AF1481">
        <w:fldChar w:fldCharType="separate"/>
      </w:r>
      <w:r w:rsidR="009404AF" w:rsidRPr="00AF1481">
        <w:t xml:space="preserve">Table </w:t>
      </w:r>
      <w:r w:rsidR="009404AF">
        <w:t>10</w:t>
      </w:r>
      <w:r w:rsidRPr="00AF1481">
        <w:fldChar w:fldCharType="end"/>
      </w:r>
      <w:r w:rsidRPr="00AF1481">
        <w:t xml:space="preserve"> and are based on the proposed effective prices.</w:t>
      </w:r>
    </w:p>
    <w:p w14:paraId="57BDA041" w14:textId="3488728E" w:rsidR="00D4450F" w:rsidRPr="00AF1481" w:rsidRDefault="00D4450F" w:rsidP="00D4450F">
      <w:pPr>
        <w:pStyle w:val="Caption"/>
        <w:rPr>
          <w:rStyle w:val="CommentReference"/>
          <w:b/>
          <w:szCs w:val="24"/>
        </w:rPr>
      </w:pPr>
      <w:bookmarkStart w:id="83" w:name="_Ref152847179"/>
      <w:bookmarkEnd w:id="82"/>
      <w:r w:rsidRPr="00AF1481">
        <w:t xml:space="preserve">Table </w:t>
      </w:r>
      <w:r w:rsidR="00393E69">
        <w:fldChar w:fldCharType="begin"/>
      </w:r>
      <w:r w:rsidR="00393E69">
        <w:instrText xml:space="preserve"> SEQ Table \* ARABIC </w:instrText>
      </w:r>
      <w:r w:rsidR="00393E69">
        <w:fldChar w:fldCharType="separate"/>
      </w:r>
      <w:r w:rsidR="009404AF">
        <w:rPr>
          <w:noProof/>
        </w:rPr>
        <w:t>10</w:t>
      </w:r>
      <w:r w:rsidR="00393E69">
        <w:fldChar w:fldCharType="end"/>
      </w:r>
      <w:bookmarkEnd w:id="83"/>
      <w:r w:rsidRPr="00AF1481">
        <w:t>:</w:t>
      </w:r>
      <w:r w:rsidRPr="00AF1481">
        <w:rPr>
          <w:rStyle w:val="CommentReference"/>
          <w:b/>
          <w:szCs w:val="24"/>
        </w:rPr>
        <w:t xml:space="preserve"> Summary</w:t>
      </w:r>
      <w:r w:rsidRPr="00AF1481">
        <w:t>:</w:t>
      </w:r>
      <w:r w:rsidRPr="00AF1481">
        <w:rPr>
          <w:rStyle w:val="CommentReference"/>
          <w:b/>
          <w:szCs w:val="24"/>
        </w:rPr>
        <w:t xml:space="preserve"> Results of the cost-minimisation approach</w:t>
      </w:r>
      <w:r w:rsidR="00686976" w:rsidRPr="00AF1481">
        <w:rPr>
          <w:rStyle w:val="CommentReference"/>
          <w:b/>
          <w:szCs w:val="24"/>
        </w:rPr>
        <w:t xml:space="preserve"> (as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58"/>
        <w:gridCol w:w="2126"/>
        <w:gridCol w:w="1933"/>
      </w:tblGrid>
      <w:tr w:rsidR="00D4450F" w:rsidRPr="00AF1481" w14:paraId="3179776E" w14:textId="77777777" w:rsidTr="008C5949">
        <w:trPr>
          <w:tblHeader/>
        </w:trPr>
        <w:tc>
          <w:tcPr>
            <w:tcW w:w="2749" w:type="pct"/>
            <w:tcBorders>
              <w:bottom w:val="single" w:sz="4" w:space="0" w:color="auto"/>
            </w:tcBorders>
            <w:shd w:val="clear" w:color="auto" w:fill="auto"/>
            <w:vAlign w:val="center"/>
          </w:tcPr>
          <w:p w14:paraId="20B9D188" w14:textId="77777777" w:rsidR="00D4450F" w:rsidRPr="00AF1481" w:rsidRDefault="00D4450F" w:rsidP="008C5949">
            <w:pPr>
              <w:pStyle w:val="In-tableHeading"/>
              <w:rPr>
                <w:lang w:val="en-AU"/>
              </w:rPr>
            </w:pPr>
            <w:r w:rsidRPr="00AF1481">
              <w:rPr>
                <w:lang w:val="en-AU"/>
              </w:rPr>
              <w:t>Component</w:t>
            </w:r>
          </w:p>
        </w:tc>
        <w:tc>
          <w:tcPr>
            <w:tcW w:w="1179" w:type="pct"/>
            <w:tcBorders>
              <w:bottom w:val="single" w:sz="4" w:space="0" w:color="auto"/>
            </w:tcBorders>
            <w:shd w:val="clear" w:color="auto" w:fill="auto"/>
          </w:tcPr>
          <w:p w14:paraId="13A801CF" w14:textId="77777777" w:rsidR="00D4450F" w:rsidRPr="00AF1481" w:rsidRDefault="00D4450F" w:rsidP="00C91F79">
            <w:pPr>
              <w:pStyle w:val="In-tableHeading"/>
              <w:jc w:val="center"/>
              <w:rPr>
                <w:lang w:val="en-AU"/>
              </w:rPr>
            </w:pPr>
            <w:r w:rsidRPr="00AF1481">
              <w:rPr>
                <w:lang w:val="en-AU"/>
              </w:rPr>
              <w:t>Aflibercept 8 mg</w:t>
            </w:r>
          </w:p>
        </w:tc>
        <w:tc>
          <w:tcPr>
            <w:tcW w:w="1072" w:type="pct"/>
            <w:tcBorders>
              <w:bottom w:val="single" w:sz="4" w:space="0" w:color="auto"/>
            </w:tcBorders>
          </w:tcPr>
          <w:p w14:paraId="2F5A2CE7" w14:textId="77777777" w:rsidR="00D4450F" w:rsidRPr="00AF1481" w:rsidRDefault="00D4450F" w:rsidP="00C91F79">
            <w:pPr>
              <w:pStyle w:val="In-tableHeading"/>
              <w:jc w:val="center"/>
              <w:rPr>
                <w:lang w:val="en-AU"/>
              </w:rPr>
            </w:pPr>
            <w:r w:rsidRPr="00AF1481">
              <w:rPr>
                <w:lang w:val="en-AU"/>
              </w:rPr>
              <w:t>Aflibercept 2 mg</w:t>
            </w:r>
          </w:p>
        </w:tc>
      </w:tr>
      <w:tr w:rsidR="00D4450F" w:rsidRPr="00AF1481" w14:paraId="3018172A" w14:textId="77777777" w:rsidTr="008C5949">
        <w:tc>
          <w:tcPr>
            <w:tcW w:w="2749" w:type="pct"/>
            <w:tcBorders>
              <w:right w:val="nil"/>
            </w:tcBorders>
            <w:shd w:val="clear" w:color="auto" w:fill="auto"/>
          </w:tcPr>
          <w:p w14:paraId="1BE784D0" w14:textId="77777777" w:rsidR="00D4450F" w:rsidRPr="00AF1481" w:rsidRDefault="00D4450F" w:rsidP="008C5949">
            <w:pPr>
              <w:pStyle w:val="TableText0"/>
            </w:pPr>
            <w:r w:rsidRPr="00AF1481">
              <w:rPr>
                <w:b/>
              </w:rPr>
              <w:t>Treatment cost</w:t>
            </w:r>
          </w:p>
        </w:tc>
        <w:tc>
          <w:tcPr>
            <w:tcW w:w="1179" w:type="pct"/>
            <w:tcBorders>
              <w:left w:val="nil"/>
              <w:right w:val="nil"/>
            </w:tcBorders>
            <w:shd w:val="clear" w:color="auto" w:fill="auto"/>
          </w:tcPr>
          <w:p w14:paraId="1BDEEED7" w14:textId="77777777" w:rsidR="00D4450F" w:rsidRPr="00AF1481" w:rsidRDefault="00D4450F" w:rsidP="008C5949">
            <w:pPr>
              <w:pStyle w:val="TableText0"/>
            </w:pPr>
          </w:p>
        </w:tc>
        <w:tc>
          <w:tcPr>
            <w:tcW w:w="1072" w:type="pct"/>
            <w:tcBorders>
              <w:left w:val="nil"/>
            </w:tcBorders>
          </w:tcPr>
          <w:p w14:paraId="527D6853" w14:textId="77777777" w:rsidR="00D4450F" w:rsidRPr="00AF1481" w:rsidRDefault="00D4450F" w:rsidP="008C5949">
            <w:pPr>
              <w:pStyle w:val="TableText0"/>
            </w:pPr>
          </w:p>
        </w:tc>
      </w:tr>
      <w:tr w:rsidR="00D4450F" w:rsidRPr="00AF1481" w14:paraId="6B523D99" w14:textId="77777777" w:rsidTr="008C5949">
        <w:tc>
          <w:tcPr>
            <w:tcW w:w="2749" w:type="pct"/>
            <w:shd w:val="clear" w:color="auto" w:fill="auto"/>
          </w:tcPr>
          <w:p w14:paraId="273D6606" w14:textId="77777777" w:rsidR="00D4450F" w:rsidRPr="00AF1481" w:rsidRDefault="00D4450F" w:rsidP="008C5949">
            <w:pPr>
              <w:pStyle w:val="TableText0"/>
            </w:pPr>
            <w:r w:rsidRPr="00AF1481">
              <w:t>Aflibercept 8 mg cost per administration (AEMP)</w:t>
            </w:r>
          </w:p>
        </w:tc>
        <w:tc>
          <w:tcPr>
            <w:tcW w:w="1179" w:type="pct"/>
            <w:shd w:val="clear" w:color="auto" w:fill="auto"/>
            <w:vAlign w:val="center"/>
          </w:tcPr>
          <w:p w14:paraId="797FBDC2" w14:textId="247101EF" w:rsidR="00D4450F" w:rsidRPr="00AF1481" w:rsidRDefault="00D4450F" w:rsidP="008C5949">
            <w:pPr>
              <w:pStyle w:val="TableText0"/>
              <w:jc w:val="center"/>
              <w:rPr>
                <w:vertAlign w:val="superscript"/>
              </w:rPr>
            </w:pPr>
            <w:r w:rsidRPr="00AF1481">
              <w:t>$</w:t>
            </w:r>
            <w:r w:rsidR="00BD1B38" w:rsidRPr="00BD1B38">
              <w:rPr>
                <w:color w:val="000000"/>
                <w:shd w:val="solid" w:color="000000" w:fill="000000"/>
                <w14:textFill>
                  <w14:solidFill>
                    <w14:srgbClr w14:val="000000">
                      <w14:alpha w14:val="100000"/>
                    </w14:srgbClr>
                  </w14:solidFill>
                </w14:textFill>
              </w:rPr>
              <w:t>|</w:t>
            </w:r>
            <w:r w:rsidRPr="00AF1481">
              <w:rPr>
                <w:vertAlign w:val="superscript"/>
              </w:rPr>
              <w:t>b</w:t>
            </w:r>
          </w:p>
        </w:tc>
        <w:tc>
          <w:tcPr>
            <w:tcW w:w="1072" w:type="pct"/>
            <w:vAlign w:val="center"/>
          </w:tcPr>
          <w:p w14:paraId="349FA38E" w14:textId="77777777" w:rsidR="00D4450F" w:rsidRPr="00AF1481" w:rsidRDefault="00D4450F" w:rsidP="008C5949">
            <w:pPr>
              <w:pStyle w:val="TableText0"/>
              <w:jc w:val="center"/>
            </w:pPr>
          </w:p>
        </w:tc>
      </w:tr>
      <w:tr w:rsidR="00D4450F" w:rsidRPr="00AF1481" w14:paraId="17552C97" w14:textId="77777777" w:rsidTr="008C5949">
        <w:tc>
          <w:tcPr>
            <w:tcW w:w="2749" w:type="pct"/>
            <w:shd w:val="clear" w:color="auto" w:fill="auto"/>
          </w:tcPr>
          <w:p w14:paraId="4D120D91" w14:textId="2712481B" w:rsidR="00D4450F" w:rsidRPr="00AF1481" w:rsidRDefault="00D4450F" w:rsidP="008C5949">
            <w:pPr>
              <w:pStyle w:val="TableText0"/>
            </w:pPr>
            <w:r w:rsidRPr="00AF1481">
              <w:t xml:space="preserve">Aflibercept 8 mg frequency of administration over </w:t>
            </w:r>
            <w:r w:rsidR="00146364" w:rsidRPr="00AF1481">
              <w:t xml:space="preserve">2 </w:t>
            </w:r>
            <w:r w:rsidRPr="00AF1481">
              <w:t>years</w:t>
            </w:r>
          </w:p>
        </w:tc>
        <w:tc>
          <w:tcPr>
            <w:tcW w:w="1179" w:type="pct"/>
            <w:shd w:val="clear" w:color="auto" w:fill="auto"/>
            <w:vAlign w:val="center"/>
          </w:tcPr>
          <w:p w14:paraId="489F5E99" w14:textId="37F08E42" w:rsidR="00D4450F" w:rsidRPr="00AF1481" w:rsidRDefault="00D4450F" w:rsidP="008C5949">
            <w:pPr>
              <w:pStyle w:val="TableText0"/>
              <w:jc w:val="center"/>
            </w:pPr>
            <w:r w:rsidRPr="00AF1481">
              <w:t>9.87</w:t>
            </w:r>
          </w:p>
        </w:tc>
        <w:tc>
          <w:tcPr>
            <w:tcW w:w="1072" w:type="pct"/>
            <w:vAlign w:val="center"/>
          </w:tcPr>
          <w:p w14:paraId="24FCF524" w14:textId="77777777" w:rsidR="00D4450F" w:rsidRPr="00AF1481" w:rsidRDefault="00D4450F" w:rsidP="008C5949">
            <w:pPr>
              <w:pStyle w:val="TableText0"/>
              <w:jc w:val="center"/>
            </w:pPr>
          </w:p>
        </w:tc>
      </w:tr>
      <w:tr w:rsidR="00D4450F" w:rsidRPr="00AF1481" w14:paraId="466BFD5A" w14:textId="77777777" w:rsidTr="008C5949">
        <w:tc>
          <w:tcPr>
            <w:tcW w:w="2749" w:type="pct"/>
            <w:shd w:val="clear" w:color="auto" w:fill="auto"/>
          </w:tcPr>
          <w:p w14:paraId="399C4D69" w14:textId="77777777" w:rsidR="00D4450F" w:rsidRPr="00AF1481" w:rsidRDefault="00D4450F" w:rsidP="008C5949">
            <w:pPr>
              <w:pStyle w:val="TableText0"/>
            </w:pPr>
            <w:r w:rsidRPr="00AF1481">
              <w:t>Total cost of aflibercept 8 mg</w:t>
            </w:r>
          </w:p>
        </w:tc>
        <w:tc>
          <w:tcPr>
            <w:tcW w:w="1179" w:type="pct"/>
            <w:shd w:val="clear" w:color="auto" w:fill="auto"/>
            <w:vAlign w:val="center"/>
          </w:tcPr>
          <w:p w14:paraId="3C528398" w14:textId="75FC3EA7" w:rsidR="00D4450F" w:rsidRPr="00AF1481" w:rsidRDefault="00D4450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c>
          <w:tcPr>
            <w:tcW w:w="1072" w:type="pct"/>
            <w:vAlign w:val="center"/>
          </w:tcPr>
          <w:p w14:paraId="448F3EE0" w14:textId="77777777" w:rsidR="00D4450F" w:rsidRPr="00AF1481" w:rsidRDefault="00D4450F" w:rsidP="008C5949">
            <w:pPr>
              <w:pStyle w:val="TableText0"/>
              <w:jc w:val="center"/>
            </w:pPr>
          </w:p>
        </w:tc>
      </w:tr>
      <w:tr w:rsidR="00D4450F" w:rsidRPr="00AF1481" w14:paraId="28A9A761" w14:textId="77777777" w:rsidTr="008C5949">
        <w:tc>
          <w:tcPr>
            <w:tcW w:w="2749" w:type="pct"/>
            <w:shd w:val="clear" w:color="auto" w:fill="auto"/>
          </w:tcPr>
          <w:p w14:paraId="37E347B4" w14:textId="77777777" w:rsidR="00D4450F" w:rsidRPr="00AF1481" w:rsidRDefault="00D4450F" w:rsidP="008C5949">
            <w:pPr>
              <w:pStyle w:val="TableText0"/>
            </w:pPr>
            <w:r w:rsidRPr="00AF1481">
              <w:t>Aflibercept 2 mg cost per administration (AEMP)</w:t>
            </w:r>
          </w:p>
        </w:tc>
        <w:tc>
          <w:tcPr>
            <w:tcW w:w="1179" w:type="pct"/>
            <w:shd w:val="clear" w:color="auto" w:fill="auto"/>
            <w:vAlign w:val="center"/>
          </w:tcPr>
          <w:p w14:paraId="25428E59" w14:textId="77777777" w:rsidR="00D4450F" w:rsidRPr="00AF1481" w:rsidRDefault="00D4450F" w:rsidP="008C5949">
            <w:pPr>
              <w:pStyle w:val="TableText0"/>
              <w:jc w:val="center"/>
            </w:pPr>
          </w:p>
        </w:tc>
        <w:tc>
          <w:tcPr>
            <w:tcW w:w="1072" w:type="pct"/>
            <w:vAlign w:val="center"/>
          </w:tcPr>
          <w:p w14:paraId="055BAA87" w14:textId="50D39519" w:rsidR="00D4450F" w:rsidRPr="00AF1481" w:rsidRDefault="00D4450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r>
      <w:tr w:rsidR="00D4450F" w:rsidRPr="00AF1481" w14:paraId="3B5C4B43" w14:textId="77777777" w:rsidTr="008C5949">
        <w:tc>
          <w:tcPr>
            <w:tcW w:w="2749" w:type="pct"/>
            <w:shd w:val="clear" w:color="auto" w:fill="auto"/>
          </w:tcPr>
          <w:p w14:paraId="0F86FFC5" w14:textId="3A39F563" w:rsidR="00D4450F" w:rsidRPr="00AF1481" w:rsidRDefault="00D4450F" w:rsidP="008C5949">
            <w:pPr>
              <w:pStyle w:val="TableText0"/>
            </w:pPr>
            <w:r w:rsidRPr="00AF1481">
              <w:t xml:space="preserve">Aflibercept 2 mg frequency of administration over </w:t>
            </w:r>
            <w:r w:rsidR="00146364" w:rsidRPr="00AF1481">
              <w:t xml:space="preserve">2 </w:t>
            </w:r>
            <w:r w:rsidRPr="00AF1481">
              <w:t>years</w:t>
            </w:r>
          </w:p>
        </w:tc>
        <w:tc>
          <w:tcPr>
            <w:tcW w:w="1179" w:type="pct"/>
            <w:shd w:val="clear" w:color="auto" w:fill="auto"/>
            <w:vAlign w:val="center"/>
          </w:tcPr>
          <w:p w14:paraId="490EDFA3" w14:textId="77777777" w:rsidR="00D4450F" w:rsidRPr="00AF1481" w:rsidRDefault="00D4450F" w:rsidP="008C5949">
            <w:pPr>
              <w:pStyle w:val="TableText0"/>
              <w:jc w:val="center"/>
            </w:pPr>
          </w:p>
        </w:tc>
        <w:tc>
          <w:tcPr>
            <w:tcW w:w="1072" w:type="pct"/>
            <w:vAlign w:val="center"/>
          </w:tcPr>
          <w:p w14:paraId="5AA65D76" w14:textId="77777777" w:rsidR="00D4450F" w:rsidRPr="00AF1481" w:rsidRDefault="00D4450F" w:rsidP="008C5949">
            <w:pPr>
              <w:pStyle w:val="TableText0"/>
              <w:jc w:val="center"/>
            </w:pPr>
            <w:r w:rsidRPr="00AF1481">
              <w:t>11.96</w:t>
            </w:r>
          </w:p>
        </w:tc>
      </w:tr>
      <w:tr w:rsidR="00D4450F" w:rsidRPr="00AF1481" w14:paraId="0AAA7CBD" w14:textId="77777777" w:rsidTr="008C5949">
        <w:tc>
          <w:tcPr>
            <w:tcW w:w="2749" w:type="pct"/>
            <w:tcBorders>
              <w:bottom w:val="single" w:sz="4" w:space="0" w:color="auto"/>
            </w:tcBorders>
            <w:shd w:val="clear" w:color="auto" w:fill="auto"/>
          </w:tcPr>
          <w:p w14:paraId="5EC0298C" w14:textId="77777777" w:rsidR="00D4450F" w:rsidRPr="00AF1481" w:rsidRDefault="00D4450F" w:rsidP="008C5949">
            <w:pPr>
              <w:pStyle w:val="TableText0"/>
            </w:pPr>
            <w:r w:rsidRPr="00AF1481">
              <w:t>Total cost of aflibercept 2 mg</w:t>
            </w:r>
          </w:p>
        </w:tc>
        <w:tc>
          <w:tcPr>
            <w:tcW w:w="1179" w:type="pct"/>
            <w:tcBorders>
              <w:bottom w:val="single" w:sz="4" w:space="0" w:color="auto"/>
            </w:tcBorders>
            <w:shd w:val="clear" w:color="auto" w:fill="auto"/>
            <w:vAlign w:val="center"/>
          </w:tcPr>
          <w:p w14:paraId="0D06C265" w14:textId="77777777" w:rsidR="00D4450F" w:rsidRPr="00AF1481" w:rsidRDefault="00D4450F" w:rsidP="008C5949">
            <w:pPr>
              <w:pStyle w:val="TableText0"/>
              <w:jc w:val="center"/>
            </w:pPr>
          </w:p>
        </w:tc>
        <w:tc>
          <w:tcPr>
            <w:tcW w:w="1072" w:type="pct"/>
            <w:tcBorders>
              <w:bottom w:val="single" w:sz="4" w:space="0" w:color="auto"/>
            </w:tcBorders>
            <w:vAlign w:val="center"/>
          </w:tcPr>
          <w:p w14:paraId="575C4AB2" w14:textId="2D3C7F0E" w:rsidR="00D4450F" w:rsidRPr="00AF1481" w:rsidRDefault="00D4450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r>
      <w:tr w:rsidR="00D4450F" w:rsidRPr="00AF1481" w14:paraId="4BC2ACA5" w14:textId="77777777" w:rsidTr="008C5949">
        <w:tc>
          <w:tcPr>
            <w:tcW w:w="2749" w:type="pct"/>
            <w:tcBorders>
              <w:right w:val="nil"/>
            </w:tcBorders>
            <w:shd w:val="clear" w:color="auto" w:fill="auto"/>
          </w:tcPr>
          <w:p w14:paraId="49800B9E" w14:textId="77777777" w:rsidR="00D4450F" w:rsidRPr="00AF1481" w:rsidRDefault="00D4450F" w:rsidP="008C5949">
            <w:pPr>
              <w:pStyle w:val="TableText0"/>
            </w:pPr>
            <w:r w:rsidRPr="00AF1481">
              <w:rPr>
                <w:b/>
              </w:rPr>
              <w:t>Administration cost</w:t>
            </w:r>
          </w:p>
        </w:tc>
        <w:tc>
          <w:tcPr>
            <w:tcW w:w="1179" w:type="pct"/>
            <w:tcBorders>
              <w:left w:val="nil"/>
              <w:right w:val="nil"/>
            </w:tcBorders>
            <w:shd w:val="clear" w:color="auto" w:fill="auto"/>
            <w:vAlign w:val="center"/>
          </w:tcPr>
          <w:p w14:paraId="504A85A3" w14:textId="77777777" w:rsidR="00D4450F" w:rsidRPr="00AF1481" w:rsidRDefault="00D4450F" w:rsidP="008C5949">
            <w:pPr>
              <w:pStyle w:val="TableText0"/>
              <w:jc w:val="center"/>
            </w:pPr>
          </w:p>
        </w:tc>
        <w:tc>
          <w:tcPr>
            <w:tcW w:w="1072" w:type="pct"/>
            <w:tcBorders>
              <w:left w:val="nil"/>
            </w:tcBorders>
            <w:vAlign w:val="center"/>
          </w:tcPr>
          <w:p w14:paraId="55F5A4DE" w14:textId="77777777" w:rsidR="00D4450F" w:rsidRPr="00AF1481" w:rsidRDefault="00D4450F" w:rsidP="008C5949">
            <w:pPr>
              <w:pStyle w:val="TableText0"/>
              <w:jc w:val="center"/>
            </w:pPr>
          </w:p>
        </w:tc>
      </w:tr>
      <w:tr w:rsidR="00D4450F" w:rsidRPr="00AF1481" w14:paraId="1136B2F8" w14:textId="77777777" w:rsidTr="008C5949">
        <w:tc>
          <w:tcPr>
            <w:tcW w:w="2749" w:type="pct"/>
            <w:shd w:val="clear" w:color="auto" w:fill="auto"/>
          </w:tcPr>
          <w:p w14:paraId="0666012C" w14:textId="77777777" w:rsidR="00D4450F" w:rsidRPr="00AF1481" w:rsidRDefault="00D4450F" w:rsidP="008C5949">
            <w:pPr>
              <w:pStyle w:val="TableText0"/>
              <w:rPr>
                <w:b/>
              </w:rPr>
            </w:pPr>
            <w:r w:rsidRPr="00AF1481">
              <w:t>Unit cost per administration (MBS item: 42738)</w:t>
            </w:r>
          </w:p>
        </w:tc>
        <w:tc>
          <w:tcPr>
            <w:tcW w:w="1179" w:type="pct"/>
            <w:shd w:val="clear" w:color="auto" w:fill="auto"/>
            <w:vAlign w:val="center"/>
          </w:tcPr>
          <w:p w14:paraId="1247B68D" w14:textId="3FE09FC8" w:rsidR="00D4450F" w:rsidRPr="00AF1481" w:rsidRDefault="00D4450F" w:rsidP="008C5949">
            <w:pPr>
              <w:pStyle w:val="TableText0"/>
              <w:jc w:val="center"/>
            </w:pPr>
            <w:r w:rsidRPr="00AF1481">
              <w:t>$331.05</w:t>
            </w:r>
            <w:r w:rsidRPr="00AF1481">
              <w:rPr>
                <w:vertAlign w:val="superscript"/>
              </w:rPr>
              <w:t>a</w:t>
            </w:r>
          </w:p>
        </w:tc>
        <w:tc>
          <w:tcPr>
            <w:tcW w:w="1072" w:type="pct"/>
            <w:vAlign w:val="center"/>
          </w:tcPr>
          <w:p w14:paraId="6432F039" w14:textId="49A49B42" w:rsidR="00D4450F" w:rsidRPr="00AF1481" w:rsidRDefault="00974A7E" w:rsidP="008C5949">
            <w:pPr>
              <w:pStyle w:val="TableText0"/>
              <w:jc w:val="center"/>
            </w:pPr>
            <w:r w:rsidRPr="00AF1481">
              <w:t>$331.05</w:t>
            </w:r>
            <w:r w:rsidRPr="00AF1481">
              <w:rPr>
                <w:vertAlign w:val="superscript"/>
              </w:rPr>
              <w:t>a</w:t>
            </w:r>
          </w:p>
        </w:tc>
      </w:tr>
      <w:tr w:rsidR="00D4450F" w:rsidRPr="00AF1481" w14:paraId="1E4058AE" w14:textId="77777777" w:rsidTr="008C5949">
        <w:tc>
          <w:tcPr>
            <w:tcW w:w="2749" w:type="pct"/>
            <w:shd w:val="clear" w:color="auto" w:fill="auto"/>
          </w:tcPr>
          <w:p w14:paraId="7A7C9C06" w14:textId="77777777" w:rsidR="00D4450F" w:rsidRPr="00AF1481" w:rsidRDefault="00D4450F" w:rsidP="008C5949">
            <w:pPr>
              <w:pStyle w:val="TableText0"/>
            </w:pPr>
            <w:r w:rsidRPr="00AF1481">
              <w:t>Total administration cost</w:t>
            </w:r>
          </w:p>
        </w:tc>
        <w:tc>
          <w:tcPr>
            <w:tcW w:w="1179" w:type="pct"/>
            <w:shd w:val="clear" w:color="auto" w:fill="auto"/>
            <w:vAlign w:val="center"/>
          </w:tcPr>
          <w:p w14:paraId="197A7A68" w14:textId="16400ACB" w:rsidR="00D4450F" w:rsidRPr="00AF1481" w:rsidRDefault="00D4450F" w:rsidP="008C5949">
            <w:pPr>
              <w:pStyle w:val="TableText0"/>
              <w:jc w:val="center"/>
            </w:pPr>
            <w:r w:rsidRPr="00AF1481">
              <w:t>$3</w:t>
            </w:r>
            <w:r w:rsidR="005522E5" w:rsidRPr="00AF1481">
              <w:t>,</w:t>
            </w:r>
            <w:r w:rsidRPr="00AF1481">
              <w:t>266.31</w:t>
            </w:r>
            <w:r w:rsidRPr="00AF1481">
              <w:rPr>
                <w:vertAlign w:val="superscript"/>
              </w:rPr>
              <w:t>b</w:t>
            </w:r>
          </w:p>
        </w:tc>
        <w:tc>
          <w:tcPr>
            <w:tcW w:w="1072" w:type="pct"/>
            <w:vAlign w:val="center"/>
          </w:tcPr>
          <w:p w14:paraId="0AB6B4BC" w14:textId="4AA7E89A" w:rsidR="00D4450F" w:rsidRPr="00AF1481" w:rsidRDefault="00D4450F" w:rsidP="008C5949">
            <w:pPr>
              <w:pStyle w:val="TableText0"/>
              <w:jc w:val="center"/>
            </w:pPr>
            <w:r w:rsidRPr="00AF1481">
              <w:t>$3</w:t>
            </w:r>
            <w:r w:rsidR="005522E5" w:rsidRPr="00AF1481">
              <w:t>,</w:t>
            </w:r>
            <w:r w:rsidRPr="00AF1481">
              <w:t>959.36</w:t>
            </w:r>
            <w:r w:rsidRPr="00AF1481">
              <w:rPr>
                <w:vertAlign w:val="superscript"/>
              </w:rPr>
              <w:t>b</w:t>
            </w:r>
          </w:p>
        </w:tc>
      </w:tr>
      <w:tr w:rsidR="0014539B" w:rsidRPr="00AF1481" w14:paraId="531B054C" w14:textId="77777777" w:rsidTr="004D6EFF">
        <w:tc>
          <w:tcPr>
            <w:tcW w:w="2749" w:type="pct"/>
            <w:shd w:val="clear" w:color="auto" w:fill="auto"/>
          </w:tcPr>
          <w:p w14:paraId="2596D086" w14:textId="77777777" w:rsidR="0014539B" w:rsidRPr="00AF1481" w:rsidRDefault="0014539B" w:rsidP="0014539B">
            <w:pPr>
              <w:pStyle w:val="TableText0"/>
            </w:pPr>
            <w:r w:rsidRPr="00AF1481">
              <w:rPr>
                <w:b/>
              </w:rPr>
              <w:t>Total cost of drug over 2 years</w:t>
            </w:r>
          </w:p>
        </w:tc>
        <w:tc>
          <w:tcPr>
            <w:tcW w:w="1179" w:type="pct"/>
            <w:shd w:val="clear" w:color="auto" w:fill="auto"/>
          </w:tcPr>
          <w:p w14:paraId="25CA58D5" w14:textId="38F32775" w:rsidR="0014539B" w:rsidRPr="00AF1481" w:rsidRDefault="0014539B" w:rsidP="0014539B">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r w:rsidRPr="00AF1481">
              <w:rPr>
                <w:vertAlign w:val="superscript"/>
              </w:rPr>
              <w:t>b</w:t>
            </w:r>
          </w:p>
        </w:tc>
        <w:tc>
          <w:tcPr>
            <w:tcW w:w="1072" w:type="pct"/>
          </w:tcPr>
          <w:p w14:paraId="5EBEA70A" w14:textId="443ABB5E" w:rsidR="0014539B" w:rsidRPr="00AF1481" w:rsidRDefault="0014539B" w:rsidP="0014539B">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r w:rsidRPr="00AF1481">
              <w:rPr>
                <w:vertAlign w:val="superscript"/>
              </w:rPr>
              <w:t>b</w:t>
            </w:r>
          </w:p>
        </w:tc>
      </w:tr>
    </w:tbl>
    <w:p w14:paraId="4EA70635" w14:textId="59C0697B" w:rsidR="00D4450F" w:rsidRPr="00AF1481" w:rsidRDefault="00D4450F" w:rsidP="00D4450F">
      <w:pPr>
        <w:pStyle w:val="FooterTableFigure"/>
      </w:pPr>
      <w:r w:rsidRPr="00AF1481">
        <w:t>Source: Table 3-7, p108 of the submission.</w:t>
      </w:r>
    </w:p>
    <w:p w14:paraId="78A5F1AC" w14:textId="77777777" w:rsidR="00D4450F" w:rsidRPr="00AF1481" w:rsidRDefault="00D4450F" w:rsidP="00D4450F">
      <w:pPr>
        <w:pStyle w:val="FooterTableFigure"/>
      </w:pPr>
      <w:r w:rsidRPr="00AF1481">
        <w:t>AEMP = approved ex-manufacturer price; MBS = Medicare Benefits Schedule; mg = milligram</w:t>
      </w:r>
    </w:p>
    <w:p w14:paraId="11354C32" w14:textId="77777777" w:rsidR="00D4450F" w:rsidRPr="00AF1481" w:rsidRDefault="00D4450F" w:rsidP="00D4450F">
      <w:pPr>
        <w:pStyle w:val="FooterTableFigure"/>
      </w:pPr>
      <w:r w:rsidRPr="00AF1481">
        <w:t>The AEMP cost of aflibercept 8 mg was estimated as: (total cost of drug over 2 years – total administration cost)/administration frequency over 2 years.</w:t>
      </w:r>
    </w:p>
    <w:p w14:paraId="44B8E59E" w14:textId="51FB41A6" w:rsidR="00D4450F" w:rsidRPr="00AF1481" w:rsidRDefault="00D4450F" w:rsidP="00D4450F">
      <w:pPr>
        <w:pStyle w:val="FooterTableFigure"/>
      </w:pPr>
      <w:r w:rsidRPr="00AF1481">
        <w:rPr>
          <w:vertAlign w:val="superscript"/>
        </w:rPr>
        <w:t>a</w:t>
      </w:r>
      <w:r w:rsidRPr="00AF1481">
        <w:t xml:space="preserve"> </w:t>
      </w:r>
      <w:r w:rsidR="00F9507F" w:rsidRPr="00AF1481">
        <w:t>Corrected during the evaluation based on the u</w:t>
      </w:r>
      <w:r w:rsidRPr="00AF1481">
        <w:t xml:space="preserve">pdated unit cost </w:t>
      </w:r>
      <w:r w:rsidR="00F9507F" w:rsidRPr="00AF1481">
        <w:t xml:space="preserve">for </w:t>
      </w:r>
      <w:r w:rsidRPr="00AF1481">
        <w:t>MBS item:</w:t>
      </w:r>
      <w:r w:rsidR="00F9507F" w:rsidRPr="00AF1481">
        <w:t xml:space="preserve"> </w:t>
      </w:r>
      <w:r w:rsidRPr="00AF1481">
        <w:t xml:space="preserve">42738 as </w:t>
      </w:r>
      <w:r w:rsidR="00F9507F" w:rsidRPr="00AF1481">
        <w:t xml:space="preserve">at </w:t>
      </w:r>
      <w:r w:rsidRPr="00AF1481">
        <w:t>November 2023</w:t>
      </w:r>
    </w:p>
    <w:p w14:paraId="044DB4DF" w14:textId="4AE518F5" w:rsidR="00D4450F" w:rsidRPr="00AF1481" w:rsidRDefault="00D4450F" w:rsidP="00D4450F">
      <w:pPr>
        <w:pStyle w:val="FooterTableFigure"/>
      </w:pPr>
      <w:r w:rsidRPr="00AF1481">
        <w:rPr>
          <w:vertAlign w:val="superscript"/>
        </w:rPr>
        <w:t>b</w:t>
      </w:r>
      <w:r w:rsidRPr="00AF1481">
        <w:t xml:space="preserve"> Revised estimates </w:t>
      </w:r>
      <w:r w:rsidR="00F9507F" w:rsidRPr="00AF1481">
        <w:t xml:space="preserve">corrected during the evaluation </w:t>
      </w:r>
      <w:r w:rsidRPr="00AF1481">
        <w:t xml:space="preserve">using updated unit cost </w:t>
      </w:r>
      <w:r w:rsidR="00F9507F" w:rsidRPr="00AF1481">
        <w:t>for</w:t>
      </w:r>
      <w:r w:rsidRPr="00AF1481">
        <w:t xml:space="preserve"> MBS item:</w:t>
      </w:r>
      <w:r w:rsidR="00F9507F" w:rsidRPr="00AF1481">
        <w:t xml:space="preserve"> </w:t>
      </w:r>
      <w:r w:rsidRPr="00AF1481">
        <w:t>42738</w:t>
      </w:r>
    </w:p>
    <w:p w14:paraId="2593574A" w14:textId="77777777" w:rsidR="00A05AA6" w:rsidRDefault="00D4450F" w:rsidP="008C5949">
      <w:pPr>
        <w:pStyle w:val="3-BodyText"/>
        <w:ind w:left="709" w:hanging="709"/>
        <w:rPr>
          <w:iCs/>
        </w:rPr>
      </w:pPr>
      <w:bookmarkStart w:id="84" w:name="_Ref167277202"/>
      <w:bookmarkStart w:id="85" w:name="_Ref167458558"/>
      <w:r w:rsidRPr="00AF1481">
        <w:rPr>
          <w:iCs/>
        </w:rPr>
        <w:t>The evaluation estimated that based on data from PHOTON, the mean number of doses of aflibercept 2 mg for the 2-year time horizon was 14.97. This was estimated by applying the same approach utilised by the submission in calculating the mean dose of aflibercept 8 mg in Year 1; the mean active injections at 96 weeks (12.89) were adjusted for mean treatment duration at 96 weeks (89.51 weeks) and apportioned to 104 weeks. Applying th</w:t>
      </w:r>
      <w:r w:rsidR="00686976" w:rsidRPr="00AF1481">
        <w:rPr>
          <w:iCs/>
        </w:rPr>
        <w:t>e</w:t>
      </w:r>
      <w:r w:rsidRPr="00AF1481">
        <w:rPr>
          <w:iCs/>
        </w:rPr>
        <w:t xml:space="preserve"> trial based mean number of doses for aflibercept 2 mg</w:t>
      </w:r>
      <w:r w:rsidR="008B0E90" w:rsidRPr="00AF1481">
        <w:rPr>
          <w:iCs/>
        </w:rPr>
        <w:t>,</w:t>
      </w:r>
      <w:r w:rsidRPr="00AF1481">
        <w:rPr>
          <w:iCs/>
        </w:rPr>
        <w:t xml:space="preserve"> </w:t>
      </w:r>
      <w:r w:rsidR="00754CC8" w:rsidRPr="00AF1481">
        <w:rPr>
          <w:iCs/>
        </w:rPr>
        <w:t xml:space="preserve">increased the </w:t>
      </w:r>
      <w:r w:rsidRPr="00AF1481">
        <w:rPr>
          <w:iCs/>
        </w:rPr>
        <w:t>cost-minimised price (AEMP) for aflibercept 8 mg.</w:t>
      </w:r>
      <w:bookmarkEnd w:id="84"/>
      <w:r w:rsidR="002E3CE5">
        <w:rPr>
          <w:iCs/>
        </w:rPr>
        <w:t xml:space="preserve"> </w:t>
      </w:r>
      <w:r w:rsidR="00686976" w:rsidRPr="00AF1481">
        <w:rPr>
          <w:iCs/>
        </w:rPr>
        <w:t xml:space="preserve">Using data from PHOTON would overestimate the number of aflibercept 2 mg doses as the dosage interval was fixed and the study protocol did not allow </w:t>
      </w:r>
      <w:r w:rsidR="00AA759B" w:rsidRPr="00AF1481">
        <w:rPr>
          <w:iCs/>
        </w:rPr>
        <w:t xml:space="preserve">for a </w:t>
      </w:r>
      <w:r w:rsidR="00686976" w:rsidRPr="00AF1481">
        <w:rPr>
          <w:iCs/>
        </w:rPr>
        <w:t>T&amp;E</w:t>
      </w:r>
      <w:r w:rsidR="00AA759B" w:rsidRPr="00AF1481">
        <w:rPr>
          <w:iCs/>
        </w:rPr>
        <w:t xml:space="preserve"> approach</w:t>
      </w:r>
      <w:r w:rsidR="00686976" w:rsidRPr="00AF1481">
        <w:rPr>
          <w:iCs/>
        </w:rPr>
        <w:t>.</w:t>
      </w:r>
      <w:bookmarkEnd w:id="85"/>
    </w:p>
    <w:p w14:paraId="2C3505A1" w14:textId="7D0EA79C" w:rsidR="00A05AA6" w:rsidRDefault="00F27553" w:rsidP="00D4450F">
      <w:pPr>
        <w:pStyle w:val="3-BodyText"/>
        <w:ind w:left="709" w:hanging="709"/>
      </w:pPr>
      <w:r w:rsidRPr="00AF1481">
        <w:rPr>
          <w:iCs/>
        </w:rPr>
        <w:lastRenderedPageBreak/>
        <w:t xml:space="preserve">The cost-minimised price estimated for aflibercept 8 mg will depend on the realisation in clinical practice of the applied dose frequencies for aflibercept 8 mg, derived from PHOTON. </w:t>
      </w:r>
      <w:r w:rsidRPr="00AF1481">
        <w:t xml:space="preserve">The PSCR </w:t>
      </w:r>
      <w:r w:rsidR="00A96A19" w:rsidRPr="00AF1481">
        <w:t xml:space="preserve">and the </w:t>
      </w:r>
      <w:r w:rsidR="00333589" w:rsidRPr="00AF1481">
        <w:t>p</w:t>
      </w:r>
      <w:r w:rsidR="00A96A19" w:rsidRPr="00AF1481">
        <w:t xml:space="preserve">re-PBAC </w:t>
      </w:r>
      <w:r w:rsidR="00333589" w:rsidRPr="00AF1481">
        <w:t>r</w:t>
      </w:r>
      <w:r w:rsidR="00A96A19" w:rsidRPr="00AF1481">
        <w:t xml:space="preserve">esponse </w:t>
      </w:r>
      <w:r w:rsidRPr="00AF1481">
        <w:t>stated that the dosing frequency of aflibercept 8 mg in clinical practice is more likely to be lower, rather than higher than the dosing frequency observed in the PHOTON clinical trial and implemented in the cost-minimisation.</w:t>
      </w:r>
      <w:r w:rsidR="00541140" w:rsidRPr="00AF1481">
        <w:t xml:space="preserve"> The ESC noted the maximum time between doses of aflibercept 8 mg in PHOTON (24 weeks) is longer than that recommended in the </w:t>
      </w:r>
      <w:r w:rsidR="00126E21" w:rsidRPr="00AF1481">
        <w:t xml:space="preserve">proposed </w:t>
      </w:r>
      <w:r w:rsidR="00541140" w:rsidRPr="00AF1481">
        <w:t>Product Information (20 weeks</w:t>
      </w:r>
      <w:r w:rsidR="007E5B97" w:rsidRPr="00AF1481">
        <w:t>) and</w:t>
      </w:r>
      <w:r w:rsidR="00541140" w:rsidRPr="00AF1481">
        <w:t xml:space="preserve"> considered that this may lead to a higher number of injections in clinical practice than in the clinical trial. However, the ESC noted that the cost-minimisation had accounted for this in the equi-effective dose calculation by assuming all patients dosed at intervals of 20 or 24-weeks in PHOTON would be dosed at an interval of 20 weeks. </w:t>
      </w:r>
      <w:r w:rsidR="00126E21" w:rsidRPr="00AF1481">
        <w:t>The PBAC noted the maximum recommended time between doses had been reduced to 16 weeks in the TGA Delegate’s Overview</w:t>
      </w:r>
      <w:r w:rsidR="002E3CE5">
        <w:t xml:space="preserve"> </w:t>
      </w:r>
      <w:r w:rsidR="00126E21" w:rsidRPr="00AF1481">
        <w:t xml:space="preserve">and that the </w:t>
      </w:r>
      <w:r w:rsidR="00B97CF2" w:rsidRPr="00AF1481">
        <w:t>impact</w:t>
      </w:r>
      <w:r w:rsidR="00126E21" w:rsidRPr="00AF1481">
        <w:t xml:space="preserve"> of this on the cost-minimised price had been estimated in the sponsor’s </w:t>
      </w:r>
      <w:r w:rsidR="00333589" w:rsidRPr="00AF1481">
        <w:t>p</w:t>
      </w:r>
      <w:r w:rsidR="00126E21" w:rsidRPr="00AF1481">
        <w:t xml:space="preserve">re-PBAC </w:t>
      </w:r>
      <w:r w:rsidR="00333589" w:rsidRPr="00AF1481">
        <w:t>r</w:t>
      </w:r>
      <w:r w:rsidR="00126E21" w:rsidRPr="00AF1481">
        <w:t>esponse (see Table 11).</w:t>
      </w:r>
    </w:p>
    <w:p w14:paraId="77F7C802" w14:textId="36410249" w:rsidR="00F27553" w:rsidRPr="00AF1481" w:rsidRDefault="00F27553" w:rsidP="00D4450F">
      <w:pPr>
        <w:pStyle w:val="3-BodyText"/>
        <w:ind w:left="709" w:hanging="709"/>
        <w:rPr>
          <w:iCs/>
        </w:rPr>
      </w:pPr>
      <w:r w:rsidRPr="00AF1481">
        <w:t>The PSCR added that the cost-minimisation implicitly assumed the lower dosing frequency in the comparator arm of the analysis (i.e. aflibercept 2 mg) has the same health outcomes of the more frequent trial based regimens, and that taken together, this means the cost-minimisation uses a dosing frequency for aflibercept 8 mg which is based on proven clinical outcomes versus a lower dosing frequency for aflibercept 2 mg that is potentially – but admittedly unlikely – associated with inferior health outcomes.</w:t>
      </w:r>
    </w:p>
    <w:p w14:paraId="07C2C08A" w14:textId="0D992D9E" w:rsidR="00A05AA6" w:rsidRDefault="004915EC" w:rsidP="008C5949">
      <w:pPr>
        <w:pStyle w:val="3-BodyText"/>
        <w:ind w:left="709" w:hanging="709"/>
      </w:pPr>
      <w:r w:rsidRPr="00AF1481">
        <w:t>The PSCR added that “d</w:t>
      </w:r>
      <w:r w:rsidRPr="00AF1481">
        <w:rPr>
          <w:iCs/>
        </w:rPr>
        <w:t xml:space="preserve">eriving mean doses based on the trial data is likely to be biased against aflibercept 8 mg (overstating the number of injections in practice).” </w:t>
      </w:r>
      <w:r w:rsidR="003C0FE3" w:rsidRPr="00AF1481">
        <w:rPr>
          <w:iCs/>
        </w:rPr>
        <w:t xml:space="preserve">The PSCR and the </w:t>
      </w:r>
      <w:r w:rsidR="00333589" w:rsidRPr="00AF1481">
        <w:rPr>
          <w:iCs/>
        </w:rPr>
        <w:t>p</w:t>
      </w:r>
      <w:r w:rsidR="003C0FE3" w:rsidRPr="00AF1481">
        <w:rPr>
          <w:iCs/>
        </w:rPr>
        <w:t xml:space="preserve">re-PBAC </w:t>
      </w:r>
      <w:r w:rsidR="00333589" w:rsidRPr="00AF1481">
        <w:rPr>
          <w:iCs/>
        </w:rPr>
        <w:t>r</w:t>
      </w:r>
      <w:r w:rsidR="003C0FE3" w:rsidRPr="00AF1481">
        <w:rPr>
          <w:iCs/>
        </w:rPr>
        <w:t xml:space="preserve">esponse stated </w:t>
      </w:r>
      <w:r w:rsidRPr="00AF1481">
        <w:rPr>
          <w:iCs/>
        </w:rPr>
        <w:t>that t</w:t>
      </w:r>
      <w:r w:rsidRPr="00AF1481">
        <w:t xml:space="preserve">he approach used by the submission to calculate the equi-effective dose of aflibercept 8 mg in </w:t>
      </w:r>
      <w:r w:rsidRPr="00AF1481">
        <w:rPr>
          <w:iCs/>
        </w:rPr>
        <w:t>Years</w:t>
      </w:r>
      <w:r w:rsidRPr="00AF1481">
        <w:t xml:space="preserve"> 1 and 2 </w:t>
      </w:r>
      <w:r w:rsidRPr="00AF1481">
        <w:rPr>
          <w:iCs/>
        </w:rPr>
        <w:t xml:space="preserve">was </w:t>
      </w:r>
      <w:r w:rsidRPr="00AF1481">
        <w:t>consistent with the approach accepted by the PBAC for the listing of faricimab on the PBS and that this was appropriate given the clinical evidence available for aflibercept 8 mg</w:t>
      </w:r>
      <w:r w:rsidR="003912DB" w:rsidRPr="00AF1481">
        <w:t>”</w:t>
      </w:r>
      <w:r w:rsidRPr="00AF1481">
        <w:t>.</w:t>
      </w:r>
    </w:p>
    <w:p w14:paraId="443B2292" w14:textId="4877C710" w:rsidR="004B341C" w:rsidRPr="00AF1481" w:rsidRDefault="004915EC" w:rsidP="008C5949">
      <w:pPr>
        <w:pStyle w:val="3-BodyText"/>
        <w:ind w:left="709" w:hanging="709"/>
      </w:pPr>
      <w:r w:rsidRPr="00AF1481">
        <w:t xml:space="preserve">The PSCR additionally stated that the submission presented a secondary analysis to demonstrate the mean dose of aflibercept 2 mg when the PBAC guidelines for calculating equi-effective doses of medicines for ongoing treatment, the use of ‘steady state’ dose comparison (i.e., the average dose after dose titrations is complete and after excluding participants who discontinue the medicine) were applied, and that this </w:t>
      </w:r>
      <w:r w:rsidRPr="00AF1481">
        <w:rPr>
          <w:iCs/>
        </w:rPr>
        <w:t>demonstrated that the base case analysis was conservative</w:t>
      </w:r>
      <w:r w:rsidRPr="00AF1481">
        <w:t>.</w:t>
      </w:r>
    </w:p>
    <w:p w14:paraId="2C00684C" w14:textId="361C8149" w:rsidR="004B341C" w:rsidRPr="00AF1481" w:rsidRDefault="004B341C" w:rsidP="008C5949">
      <w:pPr>
        <w:pStyle w:val="3-BodyText"/>
        <w:ind w:left="709" w:hanging="709"/>
      </w:pPr>
      <w:bookmarkStart w:id="86" w:name="_Ref167276868"/>
      <w:r w:rsidRPr="00AF1481">
        <w:t>The ESC noted that the cost-minimised price estimated for aflibercept 8 mg will depend on compliance to the proposed longer dosing intervals compared to a shorter dosing interval for aflibercept 2 mg in clinical practice. Moreover, the ESC considered that, while the equi-effective doses proposed were appropriate for treatment naïve (incident) patients commencing aflibercept 8 mg or 2 mg accordingly, they were not appropriate for patients currently on VEGF-I treatment (prevalent) patients.</w:t>
      </w:r>
      <w:r w:rsidR="002E3CE5">
        <w:t xml:space="preserve"> </w:t>
      </w:r>
      <w:r w:rsidRPr="00AF1481">
        <w:t>These prevalent patients would be expected to continue their current regimen and not require the loading dose</w:t>
      </w:r>
      <w:r w:rsidR="001F6CB3" w:rsidRPr="00AF1481">
        <w:t>s</w:t>
      </w:r>
      <w:r w:rsidRPr="00AF1481">
        <w:t xml:space="preserve"> and so would be expected to have the same number of </w:t>
      </w:r>
      <w:r w:rsidR="003912DB" w:rsidRPr="00AF1481">
        <w:lastRenderedPageBreak/>
        <w:t xml:space="preserve">aflibercept 2 mg </w:t>
      </w:r>
      <w:r w:rsidRPr="00AF1481">
        <w:t>injections in year 1 as in year 2 (i.e., 5.28 injections/year in year 1 and 2).</w:t>
      </w:r>
      <w:r w:rsidR="002E3CE5">
        <w:t xml:space="preserve"> </w:t>
      </w:r>
      <w:r w:rsidR="0004665D" w:rsidRPr="00AF1481">
        <w:t>The ESC considered the cost-minimised price should be weighted to account for prevalent patients who switch to aflibercept 8 mg</w:t>
      </w:r>
      <w:r w:rsidR="00754CC8" w:rsidRPr="00AF1481">
        <w:t>.</w:t>
      </w:r>
      <w:r w:rsidR="002E3CE5">
        <w:t xml:space="preserve"> </w:t>
      </w:r>
      <w:r w:rsidR="00754CC8" w:rsidRPr="00AF1481">
        <w:t xml:space="preserve">The </w:t>
      </w:r>
      <w:r w:rsidR="00333589" w:rsidRPr="00AF1481">
        <w:t>p</w:t>
      </w:r>
      <w:r w:rsidR="00754CC8" w:rsidRPr="00AF1481">
        <w:t xml:space="preserve">re-PBAC </w:t>
      </w:r>
      <w:r w:rsidR="00333589" w:rsidRPr="00AF1481">
        <w:t>r</w:t>
      </w:r>
      <w:r w:rsidR="00754CC8" w:rsidRPr="00AF1481">
        <w:t>esponse stated that “the ESC methodology is</w:t>
      </w:r>
      <w:r w:rsidR="003912DB" w:rsidRPr="00AF1481">
        <w:t>….</w:t>
      </w:r>
      <w:r w:rsidR="00754CC8" w:rsidRPr="00AF1481">
        <w:t>inconsistent with what was accepted by the PBAC in the faricimab submission where the higher number of doses in switching patients would have been a similar concern but ultimately was not accounted for in the cost-minimisation analysis accepted by the PBAC”.</w:t>
      </w:r>
      <w:bookmarkEnd w:id="86"/>
    </w:p>
    <w:p w14:paraId="0A926C81" w14:textId="74B9A7EC" w:rsidR="00A05AA6" w:rsidRDefault="00A96A19" w:rsidP="008C5949">
      <w:pPr>
        <w:pStyle w:val="3-BodyText"/>
        <w:ind w:left="709" w:hanging="709"/>
      </w:pPr>
      <w:bookmarkStart w:id="87" w:name="_Hlk163820950"/>
      <w:r w:rsidRPr="00AF1481">
        <w:t>Following receipt of the TGA Delegate’s Overview, which stated</w:t>
      </w:r>
      <w:r w:rsidR="008656B1" w:rsidRPr="00AF1481">
        <w:t>:</w:t>
      </w:r>
      <w:r w:rsidRPr="00AF1481">
        <w:t xml:space="preserve"> “</w:t>
      </w:r>
      <w:r w:rsidR="008656B1" w:rsidRPr="00AF1481">
        <w:t>the sponsor has agreed to change the proposed PI dosing instructions, and a 16-week interval is now the maximum in line with the pivotal trial data”</w:t>
      </w:r>
      <w:r w:rsidR="003912DB" w:rsidRPr="00AF1481">
        <w:t xml:space="preserve"> [rather than </w:t>
      </w:r>
      <w:r w:rsidR="002775CB" w:rsidRPr="00AF1481">
        <w:t xml:space="preserve">a </w:t>
      </w:r>
      <w:r w:rsidR="003912DB" w:rsidRPr="00AF1481">
        <w:t>20-week interval]</w:t>
      </w:r>
      <w:r w:rsidR="008656B1" w:rsidRPr="00AF1481">
        <w:t xml:space="preserve">, the </w:t>
      </w:r>
      <w:r w:rsidR="003912DB" w:rsidRPr="00AF1481">
        <w:t xml:space="preserve">pre-PBAC </w:t>
      </w:r>
      <w:r w:rsidR="00333589" w:rsidRPr="00AF1481">
        <w:t>r</w:t>
      </w:r>
      <w:r w:rsidR="003912DB" w:rsidRPr="00AF1481">
        <w:t xml:space="preserve">esponse </w:t>
      </w:r>
      <w:r w:rsidRPr="00AF1481">
        <w:t xml:space="preserve">presented a revised </w:t>
      </w:r>
      <w:r w:rsidR="002775CB" w:rsidRPr="00AF1481">
        <w:t>CMA</w:t>
      </w:r>
      <w:r w:rsidR="003912DB" w:rsidRPr="00AF1481">
        <w:t xml:space="preserve"> </w:t>
      </w:r>
      <w:r w:rsidRPr="00AF1481">
        <w:t>based on a maximum treatment interval of 16 weeks (see Table</w:t>
      </w:r>
      <w:r w:rsidR="0045375F" w:rsidRPr="00AF1481">
        <w:t xml:space="preserve"> 11</w:t>
      </w:r>
      <w:r w:rsidRPr="00AF1481">
        <w:t xml:space="preserve"> below).</w:t>
      </w:r>
    </w:p>
    <w:p w14:paraId="5999F29B" w14:textId="09E6D4A3" w:rsidR="0045375F" w:rsidRPr="00AF1481" w:rsidRDefault="0045375F" w:rsidP="0045375F">
      <w:pPr>
        <w:pStyle w:val="Caption"/>
        <w:rPr>
          <w:rStyle w:val="CommentReference"/>
          <w:b/>
          <w:bCs w:val="0"/>
          <w:szCs w:val="20"/>
        </w:rPr>
      </w:pPr>
      <w:bookmarkStart w:id="88" w:name="_Ref167279351"/>
      <w:bookmarkEnd w:id="87"/>
      <w:r w:rsidRPr="00AF1481">
        <w:rPr>
          <w:szCs w:val="20"/>
        </w:rPr>
        <w:t xml:space="preserve">Table </w:t>
      </w:r>
      <w:r w:rsidRPr="00AF1481">
        <w:rPr>
          <w:szCs w:val="20"/>
        </w:rPr>
        <w:fldChar w:fldCharType="begin"/>
      </w:r>
      <w:r w:rsidRPr="00AF1481">
        <w:rPr>
          <w:szCs w:val="20"/>
        </w:rPr>
        <w:instrText xml:space="preserve"> SEQ Table \* ARABIC </w:instrText>
      </w:r>
      <w:r w:rsidRPr="00AF1481">
        <w:rPr>
          <w:szCs w:val="20"/>
        </w:rPr>
        <w:fldChar w:fldCharType="separate"/>
      </w:r>
      <w:r w:rsidR="009404AF">
        <w:rPr>
          <w:noProof/>
          <w:szCs w:val="20"/>
        </w:rPr>
        <w:t>11</w:t>
      </w:r>
      <w:r w:rsidRPr="00AF1481">
        <w:rPr>
          <w:szCs w:val="20"/>
        </w:rPr>
        <w:fldChar w:fldCharType="end"/>
      </w:r>
      <w:bookmarkEnd w:id="88"/>
      <w:r w:rsidRPr="00AF1481">
        <w:rPr>
          <w:szCs w:val="20"/>
        </w:rPr>
        <w:t>1:</w:t>
      </w:r>
      <w:r w:rsidRPr="00AF1481">
        <w:rPr>
          <w:rStyle w:val="CommentReference"/>
          <w:b/>
          <w:bCs w:val="0"/>
          <w:szCs w:val="20"/>
        </w:rPr>
        <w:t xml:space="preserve"> Summary</w:t>
      </w:r>
      <w:r w:rsidRPr="00AF1481">
        <w:rPr>
          <w:b w:val="0"/>
          <w:bCs w:val="0"/>
          <w:szCs w:val="20"/>
        </w:rPr>
        <w:t>:</w:t>
      </w:r>
      <w:r w:rsidRPr="00AF1481">
        <w:rPr>
          <w:rStyle w:val="CommentReference"/>
          <w:b/>
          <w:bCs w:val="0"/>
          <w:szCs w:val="20"/>
        </w:rPr>
        <w:t xml:space="preserve"> Results of the cost-minimisation approach – REVISED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2242"/>
        <w:gridCol w:w="2243"/>
      </w:tblGrid>
      <w:tr w:rsidR="0045375F" w:rsidRPr="00AF1481" w14:paraId="56E4A937" w14:textId="77777777" w:rsidTr="008C5949">
        <w:trPr>
          <w:tblHeader/>
        </w:trPr>
        <w:tc>
          <w:tcPr>
            <w:tcW w:w="2513" w:type="pct"/>
            <w:tcBorders>
              <w:bottom w:val="single" w:sz="4" w:space="0" w:color="auto"/>
            </w:tcBorders>
            <w:shd w:val="clear" w:color="auto" w:fill="auto"/>
            <w:vAlign w:val="center"/>
          </w:tcPr>
          <w:p w14:paraId="01FD15C1" w14:textId="77777777" w:rsidR="0045375F" w:rsidRPr="00AF1481" w:rsidRDefault="0045375F" w:rsidP="008C5949">
            <w:pPr>
              <w:pStyle w:val="In-tableHeading"/>
              <w:rPr>
                <w:lang w:val="en-AU"/>
              </w:rPr>
            </w:pPr>
            <w:r w:rsidRPr="00AF1481">
              <w:rPr>
                <w:lang w:val="en-AU"/>
              </w:rPr>
              <w:t>Component</w:t>
            </w:r>
          </w:p>
        </w:tc>
        <w:tc>
          <w:tcPr>
            <w:tcW w:w="1243" w:type="pct"/>
            <w:tcBorders>
              <w:bottom w:val="single" w:sz="4" w:space="0" w:color="auto"/>
            </w:tcBorders>
            <w:shd w:val="clear" w:color="auto" w:fill="auto"/>
          </w:tcPr>
          <w:p w14:paraId="653840BD" w14:textId="77777777" w:rsidR="0045375F" w:rsidRPr="00AF1481" w:rsidRDefault="0045375F" w:rsidP="008C5949">
            <w:pPr>
              <w:pStyle w:val="In-tableHeading"/>
              <w:jc w:val="center"/>
              <w:rPr>
                <w:lang w:val="en-AU"/>
              </w:rPr>
            </w:pPr>
            <w:r w:rsidRPr="00AF1481">
              <w:rPr>
                <w:lang w:val="en-AU"/>
              </w:rPr>
              <w:t>Aflibercept 8 mg</w:t>
            </w:r>
          </w:p>
        </w:tc>
        <w:tc>
          <w:tcPr>
            <w:tcW w:w="1244" w:type="pct"/>
            <w:tcBorders>
              <w:bottom w:val="single" w:sz="4" w:space="0" w:color="auto"/>
            </w:tcBorders>
          </w:tcPr>
          <w:p w14:paraId="3A187246" w14:textId="77777777" w:rsidR="0045375F" w:rsidRPr="00AF1481" w:rsidRDefault="0045375F" w:rsidP="008C5949">
            <w:pPr>
              <w:pStyle w:val="In-tableHeading"/>
              <w:jc w:val="center"/>
              <w:rPr>
                <w:lang w:val="en-AU"/>
              </w:rPr>
            </w:pPr>
            <w:r w:rsidRPr="00AF1481">
              <w:rPr>
                <w:lang w:val="en-AU"/>
              </w:rPr>
              <w:t>Aflibercept 2 mg</w:t>
            </w:r>
          </w:p>
        </w:tc>
      </w:tr>
      <w:tr w:rsidR="0045375F" w:rsidRPr="00AF1481" w14:paraId="0E4ACD96" w14:textId="77777777" w:rsidTr="008C5949">
        <w:tc>
          <w:tcPr>
            <w:tcW w:w="2513" w:type="pct"/>
            <w:tcBorders>
              <w:right w:val="nil"/>
            </w:tcBorders>
            <w:shd w:val="clear" w:color="auto" w:fill="auto"/>
          </w:tcPr>
          <w:p w14:paraId="1D3C8F41" w14:textId="77777777" w:rsidR="0045375F" w:rsidRPr="00AF1481" w:rsidRDefault="0045375F" w:rsidP="008C5949">
            <w:pPr>
              <w:pStyle w:val="TableText0"/>
            </w:pPr>
            <w:r w:rsidRPr="00AF1481">
              <w:rPr>
                <w:b/>
              </w:rPr>
              <w:t>Treatment cost</w:t>
            </w:r>
          </w:p>
        </w:tc>
        <w:tc>
          <w:tcPr>
            <w:tcW w:w="1243" w:type="pct"/>
            <w:tcBorders>
              <w:left w:val="nil"/>
              <w:right w:val="nil"/>
            </w:tcBorders>
            <w:shd w:val="clear" w:color="auto" w:fill="auto"/>
          </w:tcPr>
          <w:p w14:paraId="37507626" w14:textId="77777777" w:rsidR="0045375F" w:rsidRPr="00AF1481" w:rsidRDefault="0045375F" w:rsidP="008C5949">
            <w:pPr>
              <w:pStyle w:val="TableText0"/>
            </w:pPr>
          </w:p>
        </w:tc>
        <w:tc>
          <w:tcPr>
            <w:tcW w:w="1244" w:type="pct"/>
            <w:tcBorders>
              <w:left w:val="nil"/>
            </w:tcBorders>
          </w:tcPr>
          <w:p w14:paraId="24D158DD" w14:textId="77777777" w:rsidR="0045375F" w:rsidRPr="00AF1481" w:rsidRDefault="0045375F" w:rsidP="008C5949">
            <w:pPr>
              <w:pStyle w:val="TableText0"/>
            </w:pPr>
          </w:p>
        </w:tc>
      </w:tr>
      <w:tr w:rsidR="0045375F" w:rsidRPr="00AF1481" w14:paraId="167B63B8" w14:textId="77777777" w:rsidTr="008C5949">
        <w:tc>
          <w:tcPr>
            <w:tcW w:w="2513" w:type="pct"/>
            <w:shd w:val="clear" w:color="auto" w:fill="auto"/>
          </w:tcPr>
          <w:p w14:paraId="66BDA8EA" w14:textId="77777777" w:rsidR="0045375F" w:rsidRPr="00AF1481" w:rsidRDefault="0045375F" w:rsidP="008C5949">
            <w:pPr>
              <w:pStyle w:val="TableText0"/>
            </w:pPr>
            <w:r w:rsidRPr="00AF1481">
              <w:t>Aflibercept 8 mg cost per administration (AEMP)</w:t>
            </w:r>
          </w:p>
        </w:tc>
        <w:tc>
          <w:tcPr>
            <w:tcW w:w="1243" w:type="pct"/>
            <w:shd w:val="clear" w:color="auto" w:fill="auto"/>
          </w:tcPr>
          <w:p w14:paraId="15060668" w14:textId="4818F50B" w:rsidR="0045375F" w:rsidRPr="00AF1481" w:rsidRDefault="0045375F" w:rsidP="008C5949">
            <w:pPr>
              <w:pStyle w:val="TableText0"/>
              <w:jc w:val="center"/>
            </w:pPr>
            <w:r w:rsidRPr="00AF1481">
              <w:t>$</w:t>
            </w:r>
            <w:r w:rsidR="00BD1B38" w:rsidRPr="00BD1B38">
              <w:rPr>
                <w:color w:val="000000"/>
                <w:spacing w:val="41"/>
                <w:shd w:val="solid" w:color="000000" w:fill="000000"/>
                <w:fitText w:val="210" w:id="-931927294"/>
                <w14:textFill>
                  <w14:solidFill>
                    <w14:srgbClr w14:val="000000">
                      <w14:alpha w14:val="100000"/>
                    </w14:srgbClr>
                  </w14:solidFill>
                </w14:textFill>
              </w:rPr>
              <w:t>||</w:t>
            </w:r>
            <w:r w:rsidR="00BD1B38" w:rsidRPr="00BD1B38">
              <w:rPr>
                <w:color w:val="000000"/>
                <w:spacing w:val="1"/>
                <w:shd w:val="solid" w:color="000000" w:fill="000000"/>
                <w:fitText w:val="210" w:id="-931927294"/>
                <w14:textFill>
                  <w14:solidFill>
                    <w14:srgbClr w14:val="000000">
                      <w14:alpha w14:val="100000"/>
                    </w14:srgbClr>
                  </w14:solidFill>
                </w14:textFill>
              </w:rPr>
              <w:t>|</w:t>
            </w:r>
            <w:r w:rsidRPr="00AF1481">
              <w:t>(previously $</w:t>
            </w:r>
            <w:r w:rsidR="00BD1B38" w:rsidRPr="00BD1B38">
              <w:rPr>
                <w:rFonts w:hint="eastAsia"/>
                <w:color w:val="000000"/>
                <w:w w:val="22"/>
                <w:shd w:val="solid" w:color="000000" w:fill="000000"/>
                <w:fitText w:val="100" w:id="-931927293"/>
                <w14:textFill>
                  <w14:solidFill>
                    <w14:srgbClr w14:val="000000">
                      <w14:alpha w14:val="100000"/>
                    </w14:srgbClr>
                  </w14:solidFill>
                </w14:textFill>
              </w:rPr>
              <w:t xml:space="preserve">　</w:t>
            </w:r>
            <w:r w:rsidR="00BD1B38" w:rsidRPr="00BD1B38">
              <w:rPr>
                <w:color w:val="000000"/>
                <w:w w:val="22"/>
                <w:shd w:val="solid" w:color="000000" w:fill="000000"/>
                <w:fitText w:val="100" w:id="-931927293"/>
                <w14:textFill>
                  <w14:solidFill>
                    <w14:srgbClr w14:val="000000">
                      <w14:alpha w14:val="100000"/>
                    </w14:srgbClr>
                  </w14:solidFill>
                </w14:textFill>
              </w:rPr>
              <w:t>|</w:t>
            </w:r>
            <w:r w:rsidR="00BD1B38" w:rsidRPr="00BD1B38">
              <w:rPr>
                <w:rFonts w:hint="eastAsia"/>
                <w:color w:val="000000"/>
                <w:spacing w:val="3"/>
                <w:w w:val="22"/>
                <w:shd w:val="solid" w:color="000000" w:fill="000000"/>
                <w:fitText w:val="100" w:id="-931927293"/>
                <w14:textFill>
                  <w14:solidFill>
                    <w14:srgbClr w14:val="000000">
                      <w14:alpha w14:val="100000"/>
                    </w14:srgbClr>
                  </w14:solidFill>
                </w14:textFill>
              </w:rPr>
              <w:t xml:space="preserve">　</w:t>
            </w:r>
            <w:r w:rsidRPr="00AF1481">
              <w:t>)</w:t>
            </w:r>
          </w:p>
        </w:tc>
        <w:tc>
          <w:tcPr>
            <w:tcW w:w="1244" w:type="pct"/>
          </w:tcPr>
          <w:p w14:paraId="23307EC0" w14:textId="77777777" w:rsidR="0045375F" w:rsidRPr="00AF1481" w:rsidRDefault="0045375F" w:rsidP="008C5949">
            <w:pPr>
              <w:pStyle w:val="TableText0"/>
            </w:pPr>
          </w:p>
        </w:tc>
      </w:tr>
      <w:tr w:rsidR="0045375F" w:rsidRPr="00AF1481" w14:paraId="219CF7C1" w14:textId="77777777" w:rsidTr="008C5949">
        <w:tc>
          <w:tcPr>
            <w:tcW w:w="2513" w:type="pct"/>
            <w:shd w:val="clear" w:color="auto" w:fill="auto"/>
          </w:tcPr>
          <w:p w14:paraId="16AD46C3" w14:textId="35D17BB2" w:rsidR="0045375F" w:rsidRPr="00AF1481" w:rsidRDefault="0045375F" w:rsidP="008C5949">
            <w:pPr>
              <w:pStyle w:val="TableText0"/>
            </w:pPr>
            <w:r w:rsidRPr="00AF1481">
              <w:t>Aflibercept 8 mg frequency of administration over</w:t>
            </w:r>
            <w:r w:rsidR="00873BB0" w:rsidRPr="00AF1481">
              <w:t xml:space="preserve"> 2 </w:t>
            </w:r>
            <w:r w:rsidRPr="00AF1481">
              <w:t>years</w:t>
            </w:r>
          </w:p>
        </w:tc>
        <w:tc>
          <w:tcPr>
            <w:tcW w:w="1243" w:type="pct"/>
            <w:shd w:val="clear" w:color="auto" w:fill="auto"/>
          </w:tcPr>
          <w:p w14:paraId="1080742B" w14:textId="09A72B88" w:rsidR="0045375F" w:rsidRPr="00AF1481" w:rsidRDefault="0045375F" w:rsidP="008C5949">
            <w:pPr>
              <w:pStyle w:val="TableText0"/>
              <w:jc w:val="center"/>
            </w:pPr>
            <w:r w:rsidRPr="00AF1481">
              <w:t>10.15</w:t>
            </w:r>
            <w:r w:rsidR="003912DB" w:rsidRPr="00AF1481">
              <w:rPr>
                <w:vertAlign w:val="superscript"/>
              </w:rPr>
              <w:t>1</w:t>
            </w:r>
            <w:r w:rsidRPr="00AF1481">
              <w:t>(previously 9.87)</w:t>
            </w:r>
          </w:p>
        </w:tc>
        <w:tc>
          <w:tcPr>
            <w:tcW w:w="1244" w:type="pct"/>
          </w:tcPr>
          <w:p w14:paraId="2AF55A7B" w14:textId="77777777" w:rsidR="0045375F" w:rsidRPr="00AF1481" w:rsidRDefault="0045375F" w:rsidP="008C5949">
            <w:pPr>
              <w:pStyle w:val="TableText0"/>
            </w:pPr>
          </w:p>
        </w:tc>
      </w:tr>
      <w:tr w:rsidR="0045375F" w:rsidRPr="00AF1481" w14:paraId="68C99F71" w14:textId="77777777" w:rsidTr="008C5949">
        <w:tc>
          <w:tcPr>
            <w:tcW w:w="2513" w:type="pct"/>
            <w:shd w:val="clear" w:color="auto" w:fill="auto"/>
          </w:tcPr>
          <w:p w14:paraId="1DD95D24" w14:textId="77777777" w:rsidR="0045375F" w:rsidRPr="00AF1481" w:rsidRDefault="0045375F" w:rsidP="008C5949">
            <w:pPr>
              <w:pStyle w:val="TableText0"/>
            </w:pPr>
            <w:r w:rsidRPr="00AF1481">
              <w:t>Total cost of aflibercept 8 mg</w:t>
            </w:r>
          </w:p>
        </w:tc>
        <w:tc>
          <w:tcPr>
            <w:tcW w:w="1243" w:type="pct"/>
            <w:shd w:val="clear" w:color="auto" w:fill="auto"/>
          </w:tcPr>
          <w:p w14:paraId="36D6E022" w14:textId="6E33F88B" w:rsidR="0045375F" w:rsidRPr="00321863" w:rsidRDefault="0045375F" w:rsidP="008C5949">
            <w:pPr>
              <w:pStyle w:val="TableText0"/>
              <w:jc w:val="center"/>
              <w:rPr>
                <w:highlight w:val="yellow"/>
              </w:rPr>
            </w:pPr>
            <w:r w:rsidRPr="00321863">
              <w:t>$</w:t>
            </w:r>
            <w:r w:rsidR="00BD1B38" w:rsidRPr="00BD1B38">
              <w:rPr>
                <w:color w:val="000000"/>
                <w:shd w:val="solid" w:color="000000" w:fill="000000"/>
                <w14:textFill>
                  <w14:solidFill>
                    <w14:srgbClr w14:val="000000">
                      <w14:alpha w14:val="100000"/>
                    </w14:srgbClr>
                  </w14:solidFill>
                </w14:textFill>
              </w:rPr>
              <w:t>|</w:t>
            </w:r>
          </w:p>
        </w:tc>
        <w:tc>
          <w:tcPr>
            <w:tcW w:w="1244" w:type="pct"/>
          </w:tcPr>
          <w:p w14:paraId="6C6138B6" w14:textId="77777777" w:rsidR="0045375F" w:rsidRPr="00AF1481" w:rsidRDefault="0045375F" w:rsidP="008C5949">
            <w:pPr>
              <w:pStyle w:val="TableText0"/>
            </w:pPr>
          </w:p>
        </w:tc>
      </w:tr>
      <w:tr w:rsidR="0045375F" w:rsidRPr="00AF1481" w14:paraId="58E6CC95" w14:textId="77777777" w:rsidTr="008C5949">
        <w:tc>
          <w:tcPr>
            <w:tcW w:w="2513" w:type="pct"/>
            <w:shd w:val="clear" w:color="auto" w:fill="auto"/>
          </w:tcPr>
          <w:p w14:paraId="19F69FAC" w14:textId="77777777" w:rsidR="0045375F" w:rsidRPr="00AF1481" w:rsidRDefault="0045375F" w:rsidP="008C5949">
            <w:pPr>
              <w:pStyle w:val="TableText0"/>
            </w:pPr>
            <w:r w:rsidRPr="00AF1481">
              <w:t>Aflibercept 2 mg cost per administration (AEMP)</w:t>
            </w:r>
          </w:p>
        </w:tc>
        <w:tc>
          <w:tcPr>
            <w:tcW w:w="1243" w:type="pct"/>
            <w:shd w:val="clear" w:color="auto" w:fill="auto"/>
          </w:tcPr>
          <w:p w14:paraId="2558595C" w14:textId="77777777" w:rsidR="0045375F" w:rsidRPr="00AF1481" w:rsidRDefault="0045375F" w:rsidP="008C5949">
            <w:pPr>
              <w:pStyle w:val="TableText0"/>
              <w:jc w:val="center"/>
            </w:pPr>
          </w:p>
        </w:tc>
        <w:tc>
          <w:tcPr>
            <w:tcW w:w="1244" w:type="pct"/>
          </w:tcPr>
          <w:p w14:paraId="4968EA06" w14:textId="128A2BCD" w:rsidR="0045375F" w:rsidRPr="00AF1481" w:rsidRDefault="0045375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r>
      <w:tr w:rsidR="0045375F" w:rsidRPr="00AF1481" w14:paraId="6E7F56CE" w14:textId="77777777" w:rsidTr="008C5949">
        <w:tc>
          <w:tcPr>
            <w:tcW w:w="2513" w:type="pct"/>
            <w:shd w:val="clear" w:color="auto" w:fill="auto"/>
          </w:tcPr>
          <w:p w14:paraId="29435941" w14:textId="679C2322" w:rsidR="0045375F" w:rsidRPr="00AF1481" w:rsidRDefault="0045375F" w:rsidP="008C5949">
            <w:pPr>
              <w:pStyle w:val="TableText0"/>
            </w:pPr>
            <w:r w:rsidRPr="00AF1481">
              <w:t xml:space="preserve">Aflibercept 2 mg frequency of administration over </w:t>
            </w:r>
            <w:r w:rsidR="00873BB0" w:rsidRPr="00AF1481">
              <w:t>2 y</w:t>
            </w:r>
            <w:r w:rsidRPr="00AF1481">
              <w:t>ears</w:t>
            </w:r>
          </w:p>
        </w:tc>
        <w:tc>
          <w:tcPr>
            <w:tcW w:w="1243" w:type="pct"/>
            <w:shd w:val="clear" w:color="auto" w:fill="auto"/>
          </w:tcPr>
          <w:p w14:paraId="17C3E663" w14:textId="77777777" w:rsidR="0045375F" w:rsidRPr="00AF1481" w:rsidRDefault="0045375F" w:rsidP="008C5949">
            <w:pPr>
              <w:pStyle w:val="TableText0"/>
              <w:jc w:val="center"/>
            </w:pPr>
          </w:p>
        </w:tc>
        <w:tc>
          <w:tcPr>
            <w:tcW w:w="1244" w:type="pct"/>
          </w:tcPr>
          <w:p w14:paraId="516A1A4A" w14:textId="77777777" w:rsidR="0045375F" w:rsidRPr="00AF1481" w:rsidRDefault="0045375F" w:rsidP="008C5949">
            <w:pPr>
              <w:pStyle w:val="TableText0"/>
              <w:jc w:val="center"/>
            </w:pPr>
            <w:r w:rsidRPr="00AF1481">
              <w:t>11.96</w:t>
            </w:r>
          </w:p>
        </w:tc>
      </w:tr>
      <w:tr w:rsidR="0045375F" w:rsidRPr="00AF1481" w14:paraId="730CFD1A" w14:textId="77777777" w:rsidTr="008C5949">
        <w:tc>
          <w:tcPr>
            <w:tcW w:w="2513" w:type="pct"/>
            <w:tcBorders>
              <w:bottom w:val="single" w:sz="4" w:space="0" w:color="auto"/>
            </w:tcBorders>
            <w:shd w:val="clear" w:color="auto" w:fill="auto"/>
          </w:tcPr>
          <w:p w14:paraId="26321972" w14:textId="77777777" w:rsidR="0045375F" w:rsidRPr="00AF1481" w:rsidRDefault="0045375F" w:rsidP="008C5949">
            <w:pPr>
              <w:pStyle w:val="TableText0"/>
            </w:pPr>
            <w:r w:rsidRPr="00AF1481">
              <w:t>Total cost of aflibercept 2 mg</w:t>
            </w:r>
          </w:p>
        </w:tc>
        <w:tc>
          <w:tcPr>
            <w:tcW w:w="1243" w:type="pct"/>
            <w:tcBorders>
              <w:bottom w:val="single" w:sz="4" w:space="0" w:color="auto"/>
            </w:tcBorders>
            <w:shd w:val="clear" w:color="auto" w:fill="auto"/>
          </w:tcPr>
          <w:p w14:paraId="6B06E096" w14:textId="77777777" w:rsidR="0045375F" w:rsidRPr="00AF1481" w:rsidRDefault="0045375F" w:rsidP="008C5949">
            <w:pPr>
              <w:pStyle w:val="TableText0"/>
              <w:jc w:val="center"/>
            </w:pPr>
          </w:p>
        </w:tc>
        <w:tc>
          <w:tcPr>
            <w:tcW w:w="1244" w:type="pct"/>
            <w:tcBorders>
              <w:bottom w:val="single" w:sz="4" w:space="0" w:color="auto"/>
            </w:tcBorders>
          </w:tcPr>
          <w:p w14:paraId="01E2C0D9" w14:textId="5AF11A18" w:rsidR="0045375F" w:rsidRPr="00AF1481" w:rsidRDefault="0045375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r>
      <w:tr w:rsidR="0045375F" w:rsidRPr="00AF1481" w14:paraId="34200E23" w14:textId="77777777" w:rsidTr="008C5949">
        <w:tc>
          <w:tcPr>
            <w:tcW w:w="2513" w:type="pct"/>
            <w:tcBorders>
              <w:right w:val="nil"/>
            </w:tcBorders>
            <w:shd w:val="clear" w:color="auto" w:fill="auto"/>
          </w:tcPr>
          <w:p w14:paraId="5456B818" w14:textId="77777777" w:rsidR="0045375F" w:rsidRPr="00AF1481" w:rsidRDefault="0045375F" w:rsidP="008C5949">
            <w:pPr>
              <w:pStyle w:val="TableText0"/>
            </w:pPr>
            <w:r w:rsidRPr="00AF1481">
              <w:rPr>
                <w:b/>
              </w:rPr>
              <w:t>Administration cost</w:t>
            </w:r>
          </w:p>
        </w:tc>
        <w:tc>
          <w:tcPr>
            <w:tcW w:w="1243" w:type="pct"/>
            <w:tcBorders>
              <w:left w:val="nil"/>
              <w:right w:val="nil"/>
            </w:tcBorders>
            <w:shd w:val="clear" w:color="auto" w:fill="auto"/>
          </w:tcPr>
          <w:p w14:paraId="1DE165FC" w14:textId="77777777" w:rsidR="0045375F" w:rsidRPr="00AF1481" w:rsidRDefault="0045375F" w:rsidP="008C5949">
            <w:pPr>
              <w:pStyle w:val="TableText0"/>
            </w:pPr>
          </w:p>
        </w:tc>
        <w:tc>
          <w:tcPr>
            <w:tcW w:w="1244" w:type="pct"/>
            <w:tcBorders>
              <w:left w:val="nil"/>
            </w:tcBorders>
          </w:tcPr>
          <w:p w14:paraId="6B123249" w14:textId="77777777" w:rsidR="0045375F" w:rsidRPr="00AF1481" w:rsidRDefault="0045375F" w:rsidP="008C5949">
            <w:pPr>
              <w:pStyle w:val="TableText0"/>
            </w:pPr>
          </w:p>
        </w:tc>
      </w:tr>
      <w:tr w:rsidR="0045375F" w:rsidRPr="00AF1481" w14:paraId="4EA988F2" w14:textId="77777777" w:rsidTr="008C5949">
        <w:tc>
          <w:tcPr>
            <w:tcW w:w="2513" w:type="pct"/>
            <w:shd w:val="clear" w:color="auto" w:fill="auto"/>
          </w:tcPr>
          <w:p w14:paraId="4CCB12AE" w14:textId="77777777" w:rsidR="0045375F" w:rsidRPr="00AF1481" w:rsidRDefault="0045375F" w:rsidP="008C5949">
            <w:pPr>
              <w:pStyle w:val="TableText0"/>
              <w:rPr>
                <w:b/>
              </w:rPr>
            </w:pPr>
            <w:r w:rsidRPr="00AF1481">
              <w:t>Unit cost per administration (MBS item: 42738)</w:t>
            </w:r>
          </w:p>
        </w:tc>
        <w:tc>
          <w:tcPr>
            <w:tcW w:w="1243" w:type="pct"/>
            <w:shd w:val="clear" w:color="auto" w:fill="auto"/>
          </w:tcPr>
          <w:p w14:paraId="25987F5E" w14:textId="77777777" w:rsidR="0045375F" w:rsidRPr="00AF1481" w:rsidRDefault="0045375F" w:rsidP="008C5949">
            <w:pPr>
              <w:pStyle w:val="TableText0"/>
              <w:jc w:val="center"/>
            </w:pPr>
            <w:r w:rsidRPr="00AF1481">
              <w:t>$331.05</w:t>
            </w:r>
          </w:p>
        </w:tc>
        <w:tc>
          <w:tcPr>
            <w:tcW w:w="1244" w:type="pct"/>
          </w:tcPr>
          <w:p w14:paraId="665B110A" w14:textId="77777777" w:rsidR="0045375F" w:rsidRPr="00AF1481" w:rsidRDefault="0045375F" w:rsidP="008C5949">
            <w:pPr>
              <w:pStyle w:val="TableText0"/>
              <w:jc w:val="center"/>
            </w:pPr>
            <w:r w:rsidRPr="00AF1481">
              <w:t>$331.05</w:t>
            </w:r>
          </w:p>
        </w:tc>
      </w:tr>
      <w:tr w:rsidR="0045375F" w:rsidRPr="00AF1481" w14:paraId="4C3189A9" w14:textId="77777777" w:rsidTr="008C5949">
        <w:tc>
          <w:tcPr>
            <w:tcW w:w="2513" w:type="pct"/>
            <w:shd w:val="clear" w:color="auto" w:fill="auto"/>
          </w:tcPr>
          <w:p w14:paraId="58F77D5C" w14:textId="77777777" w:rsidR="0045375F" w:rsidRPr="00AF1481" w:rsidRDefault="0045375F" w:rsidP="008C5949">
            <w:pPr>
              <w:pStyle w:val="TableText0"/>
            </w:pPr>
            <w:r w:rsidRPr="00AF1481">
              <w:t>Total administration cost</w:t>
            </w:r>
          </w:p>
        </w:tc>
        <w:tc>
          <w:tcPr>
            <w:tcW w:w="1243" w:type="pct"/>
            <w:shd w:val="clear" w:color="auto" w:fill="auto"/>
          </w:tcPr>
          <w:p w14:paraId="29911D45" w14:textId="77777777" w:rsidR="0045375F" w:rsidRPr="00AF1481" w:rsidRDefault="0045375F" w:rsidP="008C5949">
            <w:pPr>
              <w:pStyle w:val="TableText0"/>
              <w:jc w:val="center"/>
            </w:pPr>
            <w:r w:rsidRPr="00AF1481">
              <w:t>$3,359.46</w:t>
            </w:r>
          </w:p>
        </w:tc>
        <w:tc>
          <w:tcPr>
            <w:tcW w:w="1244" w:type="pct"/>
          </w:tcPr>
          <w:p w14:paraId="3F1CBAA8" w14:textId="68A1871A" w:rsidR="0045375F" w:rsidRPr="00AF1481" w:rsidRDefault="0045375F" w:rsidP="008C5949">
            <w:pPr>
              <w:pStyle w:val="TableText0"/>
              <w:jc w:val="center"/>
            </w:pPr>
            <w:r w:rsidRPr="00AF1481">
              <w:t>$3</w:t>
            </w:r>
            <w:r w:rsidR="003912DB" w:rsidRPr="00AF1481">
              <w:t>,</w:t>
            </w:r>
            <w:r w:rsidRPr="00AF1481">
              <w:t>959.36</w:t>
            </w:r>
          </w:p>
        </w:tc>
      </w:tr>
      <w:tr w:rsidR="0045375F" w:rsidRPr="00AF1481" w14:paraId="7B290DD9" w14:textId="77777777" w:rsidTr="008C5949">
        <w:tc>
          <w:tcPr>
            <w:tcW w:w="2513" w:type="pct"/>
            <w:shd w:val="clear" w:color="auto" w:fill="auto"/>
          </w:tcPr>
          <w:p w14:paraId="237AEEF0" w14:textId="77777777" w:rsidR="0045375F" w:rsidRPr="00AF1481" w:rsidRDefault="0045375F" w:rsidP="008C5949">
            <w:pPr>
              <w:pStyle w:val="TableText0"/>
            </w:pPr>
            <w:r w:rsidRPr="00AF1481">
              <w:rPr>
                <w:b/>
              </w:rPr>
              <w:t>Total cost of drug over 2 years</w:t>
            </w:r>
          </w:p>
        </w:tc>
        <w:tc>
          <w:tcPr>
            <w:tcW w:w="1243" w:type="pct"/>
            <w:shd w:val="clear" w:color="auto" w:fill="auto"/>
          </w:tcPr>
          <w:p w14:paraId="3E2D3F29" w14:textId="47F1FA1D" w:rsidR="0045375F" w:rsidRPr="00AF1481" w:rsidRDefault="0045375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c>
          <w:tcPr>
            <w:tcW w:w="1244" w:type="pct"/>
          </w:tcPr>
          <w:p w14:paraId="68DCD6CB" w14:textId="1EF880FB" w:rsidR="0045375F" w:rsidRPr="00AF1481" w:rsidRDefault="0045375F" w:rsidP="008C5949">
            <w:pPr>
              <w:pStyle w:val="TableText0"/>
              <w:jc w:val="center"/>
            </w:pPr>
            <w:r w:rsidRPr="00AF1481">
              <w:t>$</w:t>
            </w:r>
            <w:r w:rsidR="00BD1B38" w:rsidRPr="00BD1B38">
              <w:rPr>
                <w:color w:val="000000"/>
                <w:shd w:val="solid" w:color="000000" w:fill="000000"/>
                <w14:textFill>
                  <w14:solidFill>
                    <w14:srgbClr w14:val="000000">
                      <w14:alpha w14:val="100000"/>
                    </w14:srgbClr>
                  </w14:solidFill>
                </w14:textFill>
              </w:rPr>
              <w:t>|</w:t>
            </w:r>
          </w:p>
        </w:tc>
      </w:tr>
    </w:tbl>
    <w:p w14:paraId="7F1783B1" w14:textId="77777777" w:rsidR="00A05AA6" w:rsidRDefault="009C56FB" w:rsidP="00752918">
      <w:pPr>
        <w:pStyle w:val="TableFigureFooter"/>
      </w:pPr>
      <w:r w:rsidRPr="00AF1481">
        <w:t xml:space="preserve">Source: pre-PBAC </w:t>
      </w:r>
      <w:r w:rsidR="00333589" w:rsidRPr="00AF1481">
        <w:t>r</w:t>
      </w:r>
      <w:r w:rsidRPr="00AF1481">
        <w:t>esponse</w:t>
      </w:r>
    </w:p>
    <w:p w14:paraId="71053172" w14:textId="701F62A0" w:rsidR="0045375F" w:rsidRPr="00AF1481" w:rsidRDefault="003912DB" w:rsidP="00752918">
      <w:pPr>
        <w:pStyle w:val="TableFigureFooter"/>
      </w:pPr>
      <w:r w:rsidRPr="00AF1481">
        <w:t xml:space="preserve">1. </w:t>
      </w:r>
      <w:r w:rsidR="0045375F" w:rsidRPr="00AF1481">
        <w:t>6.20 injections in the 1</w:t>
      </w:r>
      <w:r w:rsidR="0045375F" w:rsidRPr="00AF1481">
        <w:rPr>
          <w:vertAlign w:val="superscript"/>
        </w:rPr>
        <w:t>st</w:t>
      </w:r>
      <w:r w:rsidR="0045375F" w:rsidRPr="00AF1481">
        <w:t xml:space="preserve"> year PLUS 3.95 injections in the 2</w:t>
      </w:r>
      <w:r w:rsidR="0045375F" w:rsidRPr="00AF1481">
        <w:rPr>
          <w:vertAlign w:val="superscript"/>
        </w:rPr>
        <w:t>nd</w:t>
      </w:r>
      <w:r w:rsidR="0045375F" w:rsidRPr="00AF1481">
        <w:t xml:space="preserve"> year.</w:t>
      </w:r>
    </w:p>
    <w:p w14:paraId="05302F5B" w14:textId="783B1B18" w:rsidR="003C0FE3" w:rsidRPr="00AF1481" w:rsidRDefault="003C0FE3" w:rsidP="00D4450F">
      <w:pPr>
        <w:pStyle w:val="3-BodyText"/>
        <w:ind w:left="709" w:hanging="709"/>
        <w:rPr>
          <w:iCs/>
        </w:rPr>
      </w:pPr>
      <w:r w:rsidRPr="00AF1481">
        <w:rPr>
          <w:iCs/>
        </w:rPr>
        <w:t xml:space="preserve">In their </w:t>
      </w:r>
      <w:r w:rsidR="00333589" w:rsidRPr="00AF1481">
        <w:rPr>
          <w:iCs/>
        </w:rPr>
        <w:t>p</w:t>
      </w:r>
      <w:r w:rsidRPr="00AF1481">
        <w:rPr>
          <w:iCs/>
        </w:rPr>
        <w:t xml:space="preserve">re-PBAC </w:t>
      </w:r>
      <w:r w:rsidR="00333589" w:rsidRPr="00AF1481">
        <w:rPr>
          <w:iCs/>
        </w:rPr>
        <w:t>r</w:t>
      </w:r>
      <w:r w:rsidRPr="00AF1481">
        <w:rPr>
          <w:iCs/>
        </w:rPr>
        <w:t>esponse the sponsor stated the</w:t>
      </w:r>
      <w:r w:rsidR="002C2F57" w:rsidRPr="00AF1481">
        <w:rPr>
          <w:iCs/>
        </w:rPr>
        <w:t xml:space="preserve">y intend </w:t>
      </w:r>
      <w:r w:rsidRPr="00AF1481">
        <w:rPr>
          <w:iCs/>
        </w:rPr>
        <w:t>to submit</w:t>
      </w:r>
      <w:r w:rsidR="00F572CC" w:rsidRPr="00AF1481">
        <w:rPr>
          <w:iCs/>
        </w:rPr>
        <w:t xml:space="preserve"> to the TGA</w:t>
      </w:r>
      <w:r w:rsidRPr="00AF1481">
        <w:rPr>
          <w:iCs/>
        </w:rPr>
        <w:t xml:space="preserve"> </w:t>
      </w:r>
      <w:r w:rsidR="002C2F57" w:rsidRPr="00AF1481">
        <w:rPr>
          <w:iCs/>
        </w:rPr>
        <w:t>to</w:t>
      </w:r>
      <w:r w:rsidRPr="00AF1481">
        <w:rPr>
          <w:iCs/>
        </w:rPr>
        <w:t xml:space="preserve"> change the maximum dosing interval in the PI out to 20 weeks, based on the 96-week data from the Clinical Study Report from PHOTON.</w:t>
      </w:r>
    </w:p>
    <w:p w14:paraId="3579130C" w14:textId="77777777" w:rsidR="00A05AA6" w:rsidRDefault="00D4450F" w:rsidP="00D4450F">
      <w:pPr>
        <w:pStyle w:val="3-BodyText"/>
        <w:ind w:left="709" w:hanging="709"/>
        <w:rPr>
          <w:iCs/>
        </w:rPr>
      </w:pPr>
      <w:r w:rsidRPr="00AF1481">
        <w:rPr>
          <w:iCs/>
        </w:rPr>
        <w:t>Should the PBAC accept the clinical claim of overall non-inferior effectiveness and safety, the cost-minimisation approach must establish that the cost per patient for treatment with aflibercept 8 mg would be no more than the cost per patient of aflibercept 2 mg. Where these cost per patient calculations are uncertain, the guiding principle is that the Australian Government should not bear the financial risk of this uncertainty because the Australian population already has access to therapy that is at least as effective and safe. In this case, the PBAC should consider the following parameters: frequency of administering aflibercept 8 mg</w:t>
      </w:r>
      <w:r w:rsidR="003912DB" w:rsidRPr="00AF1481">
        <w:rPr>
          <w:iCs/>
        </w:rPr>
        <w:t xml:space="preserve"> and aflibercept 2 mg</w:t>
      </w:r>
      <w:r w:rsidRPr="00AF1481">
        <w:rPr>
          <w:iCs/>
        </w:rPr>
        <w:t xml:space="preserve"> in clinical practice</w:t>
      </w:r>
      <w:r w:rsidR="00D907CA" w:rsidRPr="00AF1481">
        <w:t>, and the impact of additional loading doses being required for patients switching from aflibercept 2 mg to aflibercept 8 mg</w:t>
      </w:r>
      <w:r w:rsidRPr="00AF1481">
        <w:t>.</w:t>
      </w:r>
    </w:p>
    <w:p w14:paraId="1CC267E5" w14:textId="442408F9" w:rsidR="00D4450F" w:rsidRPr="00AF1481" w:rsidRDefault="00D4450F" w:rsidP="00D4450F">
      <w:pPr>
        <w:pStyle w:val="4-SubsectionHeading"/>
      </w:pPr>
      <w:bookmarkStart w:id="89" w:name="_Toc22897646"/>
      <w:bookmarkStart w:id="90" w:name="_Toc152757954"/>
      <w:bookmarkStart w:id="91" w:name="_Toc153957301"/>
      <w:bookmarkStart w:id="92" w:name="_Toc156896373"/>
      <w:r w:rsidRPr="00AF1481">
        <w:lastRenderedPageBreak/>
        <w:t>Drug cost/patient/year</w:t>
      </w:r>
      <w:bookmarkEnd w:id="89"/>
      <w:bookmarkEnd w:id="90"/>
      <w:bookmarkEnd w:id="91"/>
      <w:bookmarkEnd w:id="92"/>
    </w:p>
    <w:p w14:paraId="4AC70087" w14:textId="4FAFF532" w:rsidR="00A05AA6" w:rsidRDefault="00D4450F" w:rsidP="008C5949">
      <w:pPr>
        <w:pStyle w:val="3-BodyText"/>
        <w:ind w:left="709" w:hanging="709"/>
        <w:rPr>
          <w:iCs/>
        </w:rPr>
      </w:pPr>
      <w:bookmarkStart w:id="93" w:name="_Hlk167722851"/>
      <w:r w:rsidRPr="00AF1481">
        <w:rPr>
          <w:iCs/>
        </w:rPr>
        <w:t xml:space="preserve">The drug cost per patient per year is presented in </w:t>
      </w:r>
      <w:r w:rsidRPr="00AF1481">
        <w:rPr>
          <w:iCs/>
        </w:rPr>
        <w:fldChar w:fldCharType="begin"/>
      </w:r>
      <w:r w:rsidRPr="00AF1481">
        <w:rPr>
          <w:iCs/>
        </w:rPr>
        <w:instrText xml:space="preserve"> REF _Ref133931549 \h  \* MERGEFORMAT </w:instrText>
      </w:r>
      <w:r w:rsidRPr="00AF1481">
        <w:rPr>
          <w:iCs/>
        </w:rPr>
      </w:r>
      <w:r w:rsidRPr="00AF1481">
        <w:rPr>
          <w:iCs/>
        </w:rPr>
        <w:fldChar w:fldCharType="separate"/>
      </w:r>
      <w:r w:rsidR="009404AF" w:rsidRPr="009404AF">
        <w:rPr>
          <w:iCs/>
        </w:rPr>
        <w:t>Table 12</w:t>
      </w:r>
      <w:r w:rsidRPr="00AF1481">
        <w:rPr>
          <w:iCs/>
        </w:rPr>
        <w:fldChar w:fldCharType="end"/>
      </w:r>
      <w:bookmarkStart w:id="94" w:name="_Hlk107307804"/>
      <w:r w:rsidRPr="00AF1481">
        <w:rPr>
          <w:iCs/>
        </w:rPr>
        <w:t xml:space="preserve"> using the effective prices of aflibercept 8 mg and aflibercept 2 mg. </w:t>
      </w:r>
      <w:r w:rsidR="001A2476" w:rsidRPr="00AF1481">
        <w:rPr>
          <w:iCs/>
        </w:rPr>
        <w:t>The c</w:t>
      </w:r>
      <w:r w:rsidRPr="00AF1481">
        <w:rPr>
          <w:iCs/>
        </w:rPr>
        <w:t xml:space="preserve">ost per patient per year for aflibercept 2 mg was higher based on </w:t>
      </w:r>
      <w:r w:rsidR="009525F3" w:rsidRPr="00AF1481">
        <w:rPr>
          <w:iCs/>
        </w:rPr>
        <w:t xml:space="preserve">use of </w:t>
      </w:r>
      <w:r w:rsidRPr="00AF1481">
        <w:rPr>
          <w:iCs/>
        </w:rPr>
        <w:t xml:space="preserve">the </w:t>
      </w:r>
      <w:r w:rsidR="00A8047C" w:rsidRPr="00AF1481">
        <w:rPr>
          <w:iCs/>
        </w:rPr>
        <w:t xml:space="preserve">mean </w:t>
      </w:r>
      <w:r w:rsidR="00292B32" w:rsidRPr="00AF1481">
        <w:rPr>
          <w:iCs/>
        </w:rPr>
        <w:t xml:space="preserve">number of </w:t>
      </w:r>
      <w:r w:rsidRPr="00AF1481">
        <w:rPr>
          <w:iCs/>
        </w:rPr>
        <w:t>dose</w:t>
      </w:r>
      <w:r w:rsidR="00292B32" w:rsidRPr="00AF1481">
        <w:rPr>
          <w:iCs/>
        </w:rPr>
        <w:t>s in the PHOTON trial</w:t>
      </w:r>
      <w:r w:rsidRPr="00AF1481">
        <w:rPr>
          <w:iCs/>
        </w:rPr>
        <w:t>.</w:t>
      </w:r>
    </w:p>
    <w:p w14:paraId="474A9E77" w14:textId="58E44DDA" w:rsidR="00252C6B" w:rsidRPr="00AF1481" w:rsidRDefault="00252C6B" w:rsidP="008C5949">
      <w:pPr>
        <w:pStyle w:val="3-BodyText"/>
        <w:ind w:left="709" w:hanging="709"/>
        <w:rPr>
          <w:iCs/>
        </w:rPr>
      </w:pPr>
      <w:bookmarkStart w:id="95" w:name="_Hlk167722904"/>
      <w:bookmarkEnd w:id="93"/>
      <w:r w:rsidRPr="00AF1481">
        <w:rPr>
          <w:iCs/>
        </w:rPr>
        <w:t xml:space="preserve">The reduced administration cost </w:t>
      </w:r>
      <w:r w:rsidR="002775CB" w:rsidRPr="00AF1481">
        <w:rPr>
          <w:iCs/>
        </w:rPr>
        <w:t xml:space="preserve">for </w:t>
      </w:r>
      <w:r w:rsidRPr="00AF1481">
        <w:rPr>
          <w:iCs/>
        </w:rPr>
        <w:t>aflibercept 8</w:t>
      </w:r>
      <w:r w:rsidR="002775CB" w:rsidRPr="00AF1481">
        <w:rPr>
          <w:iCs/>
        </w:rPr>
        <w:t xml:space="preserve"> </w:t>
      </w:r>
      <w:r w:rsidRPr="00AF1481">
        <w:rPr>
          <w:iCs/>
        </w:rPr>
        <w:t xml:space="preserve">mg due to the reduced administration frequency results in an additional annual drug cost of </w:t>
      </w:r>
      <w:r w:rsidRPr="00365BFD">
        <w:rPr>
          <w:iCs/>
        </w:rPr>
        <w:t>$</w:t>
      </w:r>
      <w:r w:rsidR="00BD1B38" w:rsidRPr="009404AF">
        <w:rPr>
          <w:iCs/>
          <w:color w:val="000000"/>
          <w:w w:val="15"/>
          <w:shd w:val="solid" w:color="000000" w:fill="000000"/>
          <w:fitText w:val="-20" w:id="-931927292"/>
          <w14:textFill>
            <w14:solidFill>
              <w14:srgbClr w14:val="000000">
                <w14:alpha w14:val="100000"/>
              </w14:srgbClr>
            </w14:solidFill>
          </w14:textFill>
        </w:rPr>
        <w:t xml:space="preserve">|  </w:t>
      </w:r>
      <w:r w:rsidR="00BD1B38" w:rsidRPr="009404AF">
        <w:rPr>
          <w:iCs/>
          <w:color w:val="000000"/>
          <w:spacing w:val="-69"/>
          <w:w w:val="15"/>
          <w:shd w:val="solid" w:color="000000" w:fill="000000"/>
          <w:fitText w:val="-20" w:id="-931927292"/>
          <w14:textFill>
            <w14:solidFill>
              <w14:srgbClr w14:val="000000">
                <w14:alpha w14:val="100000"/>
              </w14:srgbClr>
            </w14:solidFill>
          </w14:textFill>
        </w:rPr>
        <w:t>|</w:t>
      </w:r>
      <w:r w:rsidRPr="00AF1481">
        <w:rPr>
          <w:iCs/>
        </w:rPr>
        <w:t>per patient averaged over the first 2 years.</w:t>
      </w:r>
    </w:p>
    <w:p w14:paraId="6E26CF40" w14:textId="50530063" w:rsidR="00D4450F" w:rsidRPr="00AF1481" w:rsidRDefault="00D4450F" w:rsidP="00D4450F">
      <w:pPr>
        <w:pStyle w:val="TableFigureHeading"/>
        <w:rPr>
          <w:rStyle w:val="CommentReference"/>
          <w:b/>
          <w:szCs w:val="24"/>
        </w:rPr>
      </w:pPr>
      <w:bookmarkStart w:id="96" w:name="_Ref133931549"/>
      <w:bookmarkEnd w:id="95"/>
      <w:r w:rsidRPr="00AF1481">
        <w:t xml:space="preserve">Table </w:t>
      </w:r>
      <w:r w:rsidRPr="00AF1481">
        <w:fldChar w:fldCharType="begin"/>
      </w:r>
      <w:r w:rsidRPr="00AF1481">
        <w:instrText>SEQ Table \* ARABIC</w:instrText>
      </w:r>
      <w:r w:rsidRPr="00AF1481">
        <w:fldChar w:fldCharType="separate"/>
      </w:r>
      <w:r w:rsidR="009404AF">
        <w:rPr>
          <w:noProof/>
        </w:rPr>
        <w:t>12</w:t>
      </w:r>
      <w:r w:rsidRPr="00AF1481">
        <w:fldChar w:fldCharType="end"/>
      </w:r>
      <w:bookmarkEnd w:id="96"/>
      <w:r w:rsidRPr="00AF1481">
        <w:t>:</w:t>
      </w:r>
      <w:r w:rsidRPr="00AF1481">
        <w:rPr>
          <w:rStyle w:val="CommentReference"/>
          <w:b/>
          <w:szCs w:val="24"/>
        </w:rPr>
        <w:t xml:space="preserve"> Drug cost per patient per year for proposed and comparator drugs</w:t>
      </w:r>
      <w:r w:rsidR="006E2985" w:rsidRPr="00AF1481">
        <w:rPr>
          <w:rStyle w:val="CommentReference"/>
          <w:b/>
          <w:szCs w:val="24"/>
        </w:rPr>
        <w:t xml:space="preserve"> (using prices updated in pre-PBAC response)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D4450F" w:rsidRPr="00AF1481" w14:paraId="485EC23C" w14:textId="77777777" w:rsidTr="008C5949">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61E9B7DE" w14:textId="77777777" w:rsidR="00D4450F" w:rsidRPr="00AF1481" w:rsidRDefault="00D4450F" w:rsidP="008C5949">
            <w:pPr>
              <w:pStyle w:val="In-tableHeading"/>
              <w:jc w:val="center"/>
              <w:rPr>
                <w:lang w:val="en-AU"/>
              </w:rPr>
            </w:pPr>
          </w:p>
        </w:tc>
        <w:tc>
          <w:tcPr>
            <w:tcW w:w="697" w:type="pct"/>
            <w:tcBorders>
              <w:top w:val="single" w:sz="4" w:space="0" w:color="auto"/>
              <w:left w:val="single" w:sz="4" w:space="0" w:color="auto"/>
              <w:bottom w:val="single" w:sz="4" w:space="0" w:color="auto"/>
              <w:right w:val="single" w:sz="4" w:space="0" w:color="auto"/>
            </w:tcBorders>
            <w:vAlign w:val="center"/>
            <w:hideMark/>
          </w:tcPr>
          <w:p w14:paraId="5E3FB5F5" w14:textId="77777777" w:rsidR="00D4450F" w:rsidRPr="00AF1481" w:rsidRDefault="00D4450F" w:rsidP="008C5949">
            <w:pPr>
              <w:pStyle w:val="In-tableHeading"/>
              <w:jc w:val="center"/>
              <w:rPr>
                <w:lang w:val="en-AU"/>
              </w:rPr>
            </w:pPr>
            <w:r w:rsidRPr="00AF1481">
              <w:rPr>
                <w:lang w:val="en-AU"/>
              </w:rPr>
              <w:t>Aflibercept 8 mg</w:t>
            </w:r>
          </w:p>
          <w:p w14:paraId="4D3470F0" w14:textId="77777777" w:rsidR="00D4450F" w:rsidRPr="00AF1481" w:rsidRDefault="00D4450F" w:rsidP="008C5949">
            <w:pPr>
              <w:pStyle w:val="In-tableHeading"/>
              <w:jc w:val="center"/>
              <w:rPr>
                <w:lang w:val="en-AU"/>
              </w:rPr>
            </w:pPr>
            <w:r w:rsidRPr="00AF1481">
              <w:rPr>
                <w:lang w:val="en-AU"/>
              </w:rPr>
              <w:t>trial dose and duration</w:t>
            </w:r>
          </w:p>
        </w:tc>
        <w:tc>
          <w:tcPr>
            <w:tcW w:w="696" w:type="pct"/>
            <w:tcBorders>
              <w:top w:val="single" w:sz="4" w:space="0" w:color="auto"/>
              <w:left w:val="single" w:sz="4" w:space="0" w:color="auto"/>
              <w:bottom w:val="single" w:sz="4" w:space="0" w:color="auto"/>
              <w:right w:val="single" w:sz="4" w:space="0" w:color="auto"/>
            </w:tcBorders>
            <w:vAlign w:val="center"/>
            <w:hideMark/>
          </w:tcPr>
          <w:p w14:paraId="6FDD8778" w14:textId="77777777" w:rsidR="00D4450F" w:rsidRPr="00AF1481" w:rsidRDefault="00D4450F" w:rsidP="008C5949">
            <w:pPr>
              <w:pStyle w:val="In-tableHeading"/>
              <w:jc w:val="center"/>
              <w:rPr>
                <w:lang w:val="en-AU"/>
              </w:rPr>
            </w:pPr>
            <w:r w:rsidRPr="00AF1481">
              <w:rPr>
                <w:lang w:val="en-AU"/>
              </w:rPr>
              <w:t>Aflibercept 8 mg</w:t>
            </w:r>
          </w:p>
          <w:p w14:paraId="20A2F018" w14:textId="77777777" w:rsidR="00D4450F" w:rsidRPr="00AF1481" w:rsidRDefault="00D4450F" w:rsidP="008C5949">
            <w:pPr>
              <w:pStyle w:val="In-tableHeading"/>
              <w:jc w:val="center"/>
              <w:rPr>
                <w:lang w:val="en-AU"/>
              </w:rPr>
            </w:pPr>
            <w:r w:rsidRPr="00AF1481">
              <w:rPr>
                <w:lang w:val="en-AU"/>
              </w:rPr>
              <w:t>CMA</w:t>
            </w:r>
          </w:p>
        </w:tc>
        <w:tc>
          <w:tcPr>
            <w:tcW w:w="698" w:type="pct"/>
            <w:tcBorders>
              <w:top w:val="single" w:sz="4" w:space="0" w:color="auto"/>
              <w:left w:val="single" w:sz="4" w:space="0" w:color="auto"/>
              <w:bottom w:val="single" w:sz="4" w:space="0" w:color="auto"/>
              <w:right w:val="single" w:sz="4" w:space="0" w:color="auto"/>
            </w:tcBorders>
            <w:vAlign w:val="center"/>
            <w:hideMark/>
          </w:tcPr>
          <w:p w14:paraId="25E198F8" w14:textId="77777777" w:rsidR="00D4450F" w:rsidRPr="00AF1481" w:rsidRDefault="00D4450F" w:rsidP="008C5949">
            <w:pPr>
              <w:pStyle w:val="In-tableHeading"/>
              <w:jc w:val="center"/>
              <w:rPr>
                <w:lang w:val="en-AU"/>
              </w:rPr>
            </w:pPr>
            <w:r w:rsidRPr="00AF1481">
              <w:rPr>
                <w:lang w:val="en-AU"/>
              </w:rPr>
              <w:t>Aflibercept 8 mg</w:t>
            </w:r>
          </w:p>
          <w:p w14:paraId="5AB62A2C" w14:textId="77777777" w:rsidR="00D4450F" w:rsidRPr="00AF1481" w:rsidRDefault="00D4450F" w:rsidP="008C5949">
            <w:pPr>
              <w:pStyle w:val="In-tableHeading"/>
              <w:jc w:val="center"/>
              <w:rPr>
                <w:lang w:val="en-AU"/>
              </w:rPr>
            </w:pPr>
            <w:r w:rsidRPr="00AF1481">
              <w:rPr>
                <w:lang w:val="en-AU"/>
              </w:rPr>
              <w:t>financial estimates</w:t>
            </w:r>
          </w:p>
        </w:tc>
        <w:tc>
          <w:tcPr>
            <w:tcW w:w="696" w:type="pct"/>
            <w:tcBorders>
              <w:top w:val="single" w:sz="4" w:space="0" w:color="auto"/>
              <w:left w:val="single" w:sz="4" w:space="0" w:color="auto"/>
              <w:bottom w:val="single" w:sz="4" w:space="0" w:color="auto"/>
              <w:right w:val="single" w:sz="4" w:space="0" w:color="auto"/>
            </w:tcBorders>
            <w:vAlign w:val="center"/>
            <w:hideMark/>
          </w:tcPr>
          <w:p w14:paraId="197CD026" w14:textId="77777777" w:rsidR="00D4450F" w:rsidRPr="00AF1481" w:rsidRDefault="00D4450F" w:rsidP="008C5949">
            <w:pPr>
              <w:pStyle w:val="In-tableHeading"/>
              <w:jc w:val="center"/>
              <w:rPr>
                <w:lang w:val="en-AU"/>
              </w:rPr>
            </w:pPr>
            <w:r w:rsidRPr="00AF1481">
              <w:rPr>
                <w:lang w:val="en-AU"/>
              </w:rPr>
              <w:t>Aflibercept 2 mg</w:t>
            </w:r>
          </w:p>
          <w:p w14:paraId="644A0670" w14:textId="77777777" w:rsidR="00D4450F" w:rsidRPr="00AF1481" w:rsidRDefault="00D4450F" w:rsidP="008C5949">
            <w:pPr>
              <w:pStyle w:val="In-tableHeading"/>
              <w:jc w:val="center"/>
              <w:rPr>
                <w:lang w:val="en-AU"/>
              </w:rPr>
            </w:pPr>
            <w:r w:rsidRPr="00AF1481">
              <w:rPr>
                <w:lang w:val="en-AU"/>
              </w:rPr>
              <w:t>trial dose and duration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06E5DF37" w14:textId="77777777" w:rsidR="00D4450F" w:rsidRPr="00AF1481" w:rsidRDefault="00D4450F" w:rsidP="008C5949">
            <w:pPr>
              <w:pStyle w:val="In-tableHeading"/>
              <w:jc w:val="center"/>
              <w:rPr>
                <w:lang w:val="en-AU"/>
              </w:rPr>
            </w:pPr>
            <w:r w:rsidRPr="00AF1481">
              <w:rPr>
                <w:lang w:val="en-AU"/>
              </w:rPr>
              <w:t>Aflibercept 2 mg</w:t>
            </w:r>
          </w:p>
          <w:p w14:paraId="3BB1035E" w14:textId="77777777" w:rsidR="00D4450F" w:rsidRPr="00AF1481" w:rsidRDefault="00D4450F" w:rsidP="008C5949">
            <w:pPr>
              <w:pStyle w:val="In-tableHeading"/>
              <w:jc w:val="center"/>
              <w:rPr>
                <w:lang w:val="en-AU"/>
              </w:rPr>
            </w:pPr>
            <w:r w:rsidRPr="00AF1481">
              <w:rPr>
                <w:lang w:val="en-AU"/>
              </w:rPr>
              <w:t>CMA</w:t>
            </w:r>
          </w:p>
        </w:tc>
        <w:tc>
          <w:tcPr>
            <w:tcW w:w="699" w:type="pct"/>
            <w:tcBorders>
              <w:top w:val="single" w:sz="4" w:space="0" w:color="auto"/>
              <w:left w:val="single" w:sz="4" w:space="0" w:color="auto"/>
              <w:bottom w:val="single" w:sz="4" w:space="0" w:color="auto"/>
              <w:right w:val="single" w:sz="4" w:space="0" w:color="auto"/>
            </w:tcBorders>
            <w:hideMark/>
          </w:tcPr>
          <w:p w14:paraId="10DB0471" w14:textId="77777777" w:rsidR="00D4450F" w:rsidRPr="00AF1481" w:rsidRDefault="00D4450F" w:rsidP="008C5949">
            <w:pPr>
              <w:pStyle w:val="In-tableHeading"/>
              <w:jc w:val="center"/>
              <w:rPr>
                <w:lang w:val="en-AU"/>
              </w:rPr>
            </w:pPr>
            <w:r w:rsidRPr="00AF1481">
              <w:rPr>
                <w:lang w:val="en-AU"/>
              </w:rPr>
              <w:t>Aflibercept 2 mg</w:t>
            </w:r>
          </w:p>
          <w:p w14:paraId="3D462DFB" w14:textId="77777777" w:rsidR="00D4450F" w:rsidRPr="00AF1481" w:rsidRDefault="00D4450F" w:rsidP="008C5949">
            <w:pPr>
              <w:pStyle w:val="In-tableHeading"/>
              <w:jc w:val="center"/>
              <w:rPr>
                <w:lang w:val="en-AU"/>
              </w:rPr>
            </w:pPr>
            <w:r w:rsidRPr="00AF1481">
              <w:rPr>
                <w:lang w:val="en-AU"/>
              </w:rPr>
              <w:t>financial estimates</w:t>
            </w:r>
          </w:p>
        </w:tc>
      </w:tr>
      <w:tr w:rsidR="000A2A36" w:rsidRPr="00AF1481" w14:paraId="42E7C04E" w14:textId="77777777" w:rsidTr="008C5949">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764E5FA5" w14:textId="0E3D608C" w:rsidR="000A2A36" w:rsidRPr="00AF1481" w:rsidRDefault="000A2A36" w:rsidP="000A2A36">
            <w:pPr>
              <w:pStyle w:val="In-tableHeading"/>
              <w:rPr>
                <w:b w:val="0"/>
                <w:bCs/>
                <w:lang w:val="en-AU"/>
              </w:rPr>
            </w:pPr>
            <w:r w:rsidRPr="00AF1481">
              <w:rPr>
                <w:b w:val="0"/>
                <w:bCs/>
                <w:lang w:val="en-AU"/>
              </w:rPr>
              <w:t>Mean dose/scripts</w:t>
            </w:r>
          </w:p>
        </w:tc>
        <w:tc>
          <w:tcPr>
            <w:tcW w:w="697" w:type="pct"/>
            <w:tcBorders>
              <w:top w:val="single" w:sz="4" w:space="0" w:color="auto"/>
              <w:left w:val="single" w:sz="4" w:space="0" w:color="auto"/>
              <w:bottom w:val="single" w:sz="4" w:space="0" w:color="auto"/>
              <w:right w:val="single" w:sz="4" w:space="0" w:color="auto"/>
            </w:tcBorders>
            <w:vAlign w:val="center"/>
          </w:tcPr>
          <w:p w14:paraId="37B833B4" w14:textId="63AD8950" w:rsidR="000A2A36" w:rsidRPr="00AF1481" w:rsidRDefault="000A2A36" w:rsidP="000A2A36">
            <w:pPr>
              <w:pStyle w:val="In-tableHeading"/>
              <w:jc w:val="center"/>
              <w:rPr>
                <w:vertAlign w:val="superscript"/>
                <w:lang w:val="en-AU"/>
              </w:rPr>
            </w:pPr>
            <w:r w:rsidRPr="00AF1481">
              <w:rPr>
                <w:rFonts w:cs="Calibri"/>
                <w:b w:val="0"/>
                <w:bCs/>
                <w:color w:val="000000"/>
                <w:szCs w:val="20"/>
                <w:lang w:val="en-AU"/>
              </w:rPr>
              <w:t>4.875</w:t>
            </w:r>
            <w:r w:rsidRPr="00AF1481">
              <w:rPr>
                <w:rFonts w:cs="Calibri"/>
                <w:b w:val="0"/>
                <w:bCs/>
                <w:color w:val="000000"/>
                <w:szCs w:val="20"/>
                <w:vertAlign w:val="superscript"/>
                <w:lang w:val="en-AU"/>
              </w:rPr>
              <w:t>a</w:t>
            </w:r>
          </w:p>
        </w:tc>
        <w:tc>
          <w:tcPr>
            <w:tcW w:w="696" w:type="pct"/>
            <w:tcBorders>
              <w:top w:val="single" w:sz="4" w:space="0" w:color="auto"/>
              <w:left w:val="single" w:sz="4" w:space="0" w:color="auto"/>
              <w:bottom w:val="single" w:sz="4" w:space="0" w:color="auto"/>
              <w:right w:val="single" w:sz="4" w:space="0" w:color="auto"/>
            </w:tcBorders>
            <w:vAlign w:val="center"/>
          </w:tcPr>
          <w:p w14:paraId="30A4567C" w14:textId="10843F6D" w:rsidR="000A2A36" w:rsidRPr="00AF1481" w:rsidRDefault="00546E22" w:rsidP="000A2A36">
            <w:pPr>
              <w:pStyle w:val="In-tableHeading"/>
              <w:jc w:val="center"/>
              <w:rPr>
                <w:vertAlign w:val="superscript"/>
                <w:lang w:val="en-AU"/>
              </w:rPr>
            </w:pPr>
            <w:r w:rsidRPr="00AF1481">
              <w:rPr>
                <w:rFonts w:cs="Calibri"/>
                <w:b w:val="0"/>
                <w:bCs/>
                <w:color w:val="000000"/>
                <w:szCs w:val="20"/>
                <w:lang w:val="en-AU"/>
              </w:rPr>
              <w:t>5.075</w:t>
            </w:r>
            <w:r w:rsidR="000A2A36" w:rsidRPr="00AF1481">
              <w:rPr>
                <w:rFonts w:cs="Calibri"/>
                <w:b w:val="0"/>
                <w:bCs/>
                <w:color w:val="000000"/>
                <w:szCs w:val="20"/>
                <w:vertAlign w:val="superscript"/>
                <w:lang w:val="en-AU"/>
              </w:rPr>
              <w:t>b</w:t>
            </w:r>
          </w:p>
        </w:tc>
        <w:tc>
          <w:tcPr>
            <w:tcW w:w="698" w:type="pct"/>
            <w:tcBorders>
              <w:top w:val="single" w:sz="4" w:space="0" w:color="auto"/>
              <w:left w:val="single" w:sz="4" w:space="0" w:color="auto"/>
              <w:bottom w:val="single" w:sz="4" w:space="0" w:color="auto"/>
              <w:right w:val="single" w:sz="4" w:space="0" w:color="auto"/>
            </w:tcBorders>
            <w:vAlign w:val="center"/>
          </w:tcPr>
          <w:p w14:paraId="2B96A193" w14:textId="15AD3B76" w:rsidR="000A2A36" w:rsidRPr="00AF1481" w:rsidRDefault="00546E22" w:rsidP="000A2A36">
            <w:pPr>
              <w:pStyle w:val="In-tableHeading"/>
              <w:jc w:val="center"/>
              <w:rPr>
                <w:vertAlign w:val="superscript"/>
                <w:lang w:val="en-AU"/>
              </w:rPr>
            </w:pPr>
            <w:r w:rsidRPr="00AF1481">
              <w:rPr>
                <w:rFonts w:cs="Calibri"/>
                <w:b w:val="0"/>
                <w:bCs/>
                <w:color w:val="000000"/>
                <w:szCs w:val="20"/>
                <w:lang w:val="en-AU"/>
              </w:rPr>
              <w:t>5.075</w:t>
            </w:r>
            <w:r w:rsidR="000A2A36" w:rsidRPr="00AF1481">
              <w:rPr>
                <w:rFonts w:cs="Calibri"/>
                <w:b w:val="0"/>
                <w:bCs/>
                <w:color w:val="000000"/>
                <w:szCs w:val="20"/>
                <w:vertAlign w:val="superscript"/>
                <w:lang w:val="en-AU"/>
              </w:rPr>
              <w:t>b</w:t>
            </w:r>
          </w:p>
        </w:tc>
        <w:tc>
          <w:tcPr>
            <w:tcW w:w="696" w:type="pct"/>
            <w:tcBorders>
              <w:top w:val="single" w:sz="4" w:space="0" w:color="auto"/>
              <w:left w:val="single" w:sz="4" w:space="0" w:color="auto"/>
              <w:bottom w:val="single" w:sz="4" w:space="0" w:color="auto"/>
              <w:right w:val="single" w:sz="4" w:space="0" w:color="auto"/>
            </w:tcBorders>
            <w:vAlign w:val="center"/>
          </w:tcPr>
          <w:p w14:paraId="4CC145AA" w14:textId="2FAB844C" w:rsidR="000A2A36" w:rsidRPr="00AF1481" w:rsidRDefault="000A2A36" w:rsidP="000A2A36">
            <w:pPr>
              <w:pStyle w:val="In-tableHeading"/>
              <w:jc w:val="center"/>
              <w:rPr>
                <w:vertAlign w:val="superscript"/>
                <w:lang w:val="en-AU"/>
              </w:rPr>
            </w:pPr>
            <w:r w:rsidRPr="00AF1481">
              <w:rPr>
                <w:rFonts w:cs="Calibri"/>
                <w:b w:val="0"/>
                <w:bCs/>
                <w:color w:val="000000"/>
                <w:szCs w:val="20"/>
                <w:lang w:val="en-AU"/>
              </w:rPr>
              <w:t>7.485</w:t>
            </w:r>
            <w:r w:rsidRPr="00AF1481">
              <w:rPr>
                <w:rFonts w:cs="Calibri"/>
                <w:b w:val="0"/>
                <w:bCs/>
                <w:color w:val="000000"/>
                <w:szCs w:val="20"/>
                <w:vertAlign w:val="superscript"/>
                <w:lang w:val="en-AU"/>
              </w:rPr>
              <w:t>c</w:t>
            </w:r>
          </w:p>
        </w:tc>
        <w:tc>
          <w:tcPr>
            <w:tcW w:w="699" w:type="pct"/>
            <w:tcBorders>
              <w:top w:val="single" w:sz="4" w:space="0" w:color="auto"/>
              <w:left w:val="single" w:sz="4" w:space="0" w:color="auto"/>
              <w:bottom w:val="single" w:sz="4" w:space="0" w:color="auto"/>
              <w:right w:val="single" w:sz="4" w:space="0" w:color="auto"/>
            </w:tcBorders>
            <w:vAlign w:val="center"/>
          </w:tcPr>
          <w:p w14:paraId="2D9A6C9E" w14:textId="13DFB40F" w:rsidR="000A2A36" w:rsidRPr="00AF1481" w:rsidRDefault="000A2A36" w:rsidP="000A2A36">
            <w:pPr>
              <w:pStyle w:val="In-tableHeading"/>
              <w:jc w:val="center"/>
              <w:rPr>
                <w:vertAlign w:val="superscript"/>
                <w:lang w:val="en-AU"/>
              </w:rPr>
            </w:pPr>
            <w:r w:rsidRPr="00AF1481">
              <w:rPr>
                <w:rFonts w:cs="Calibri"/>
                <w:b w:val="0"/>
                <w:bCs/>
                <w:color w:val="000000"/>
                <w:szCs w:val="20"/>
                <w:lang w:val="en-AU"/>
              </w:rPr>
              <w:t>5.98</w:t>
            </w:r>
            <w:r w:rsidRPr="00AF1481">
              <w:rPr>
                <w:rFonts w:cs="Calibri"/>
                <w:b w:val="0"/>
                <w:bCs/>
                <w:color w:val="000000"/>
                <w:szCs w:val="20"/>
                <w:vertAlign w:val="superscript"/>
                <w:lang w:val="en-AU"/>
              </w:rPr>
              <w:t>d</w:t>
            </w:r>
          </w:p>
        </w:tc>
        <w:tc>
          <w:tcPr>
            <w:tcW w:w="699" w:type="pct"/>
            <w:tcBorders>
              <w:top w:val="single" w:sz="4" w:space="0" w:color="auto"/>
              <w:left w:val="single" w:sz="4" w:space="0" w:color="auto"/>
              <w:bottom w:val="single" w:sz="4" w:space="0" w:color="auto"/>
              <w:right w:val="single" w:sz="4" w:space="0" w:color="auto"/>
            </w:tcBorders>
            <w:vAlign w:val="center"/>
          </w:tcPr>
          <w:p w14:paraId="1845A56B" w14:textId="378E02B3" w:rsidR="000A2A36" w:rsidRPr="00AF1481" w:rsidRDefault="000A2A36" w:rsidP="000A2A36">
            <w:pPr>
              <w:pStyle w:val="In-tableHeading"/>
              <w:jc w:val="center"/>
              <w:rPr>
                <w:vertAlign w:val="superscript"/>
                <w:lang w:val="en-AU"/>
              </w:rPr>
            </w:pPr>
            <w:r w:rsidRPr="00AF1481">
              <w:rPr>
                <w:rFonts w:cs="Calibri"/>
                <w:b w:val="0"/>
                <w:bCs/>
                <w:color w:val="000000"/>
                <w:szCs w:val="20"/>
                <w:lang w:val="en-AU"/>
              </w:rPr>
              <w:t>5.98</w:t>
            </w:r>
            <w:r w:rsidRPr="00AF1481">
              <w:rPr>
                <w:rFonts w:cs="Calibri"/>
                <w:b w:val="0"/>
                <w:bCs/>
                <w:color w:val="000000"/>
                <w:szCs w:val="20"/>
                <w:vertAlign w:val="superscript"/>
                <w:lang w:val="en-AU"/>
              </w:rPr>
              <w:t>d</w:t>
            </w:r>
          </w:p>
        </w:tc>
      </w:tr>
      <w:tr w:rsidR="000A2A36" w:rsidRPr="00AF1481" w14:paraId="32CC7BCA" w14:textId="77777777" w:rsidTr="008C5949">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4FC94049" w14:textId="4EFF70FE" w:rsidR="000A2A36" w:rsidRPr="00AF1481" w:rsidRDefault="000A2A36" w:rsidP="000A2A36">
            <w:pPr>
              <w:pStyle w:val="TableText0"/>
              <w:spacing w:line="256" w:lineRule="auto"/>
            </w:pPr>
            <w:r w:rsidRPr="00AF1481">
              <w:t>DPMQ per script</w:t>
            </w:r>
          </w:p>
        </w:tc>
        <w:tc>
          <w:tcPr>
            <w:tcW w:w="2091" w:type="pct"/>
            <w:gridSpan w:val="3"/>
            <w:tcBorders>
              <w:top w:val="single" w:sz="4" w:space="0" w:color="auto"/>
              <w:left w:val="single" w:sz="4" w:space="0" w:color="auto"/>
              <w:bottom w:val="single" w:sz="4" w:space="0" w:color="auto"/>
              <w:right w:val="single" w:sz="4" w:space="0" w:color="auto"/>
            </w:tcBorders>
            <w:vAlign w:val="center"/>
            <w:hideMark/>
          </w:tcPr>
          <w:p w14:paraId="76B40316" w14:textId="30D32852" w:rsidR="000A2A36" w:rsidRPr="00AF1481" w:rsidRDefault="0039102F" w:rsidP="000A2A36">
            <w:pPr>
              <w:pStyle w:val="TableText0"/>
              <w:jc w:val="center"/>
              <w:rPr>
                <w:strike/>
              </w:rP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c>
          <w:tcPr>
            <w:tcW w:w="2094" w:type="pct"/>
            <w:gridSpan w:val="3"/>
            <w:tcBorders>
              <w:top w:val="single" w:sz="4" w:space="0" w:color="auto"/>
              <w:left w:val="single" w:sz="4" w:space="0" w:color="auto"/>
              <w:bottom w:val="single" w:sz="4" w:space="0" w:color="auto"/>
              <w:right w:val="single" w:sz="4" w:space="0" w:color="auto"/>
            </w:tcBorders>
            <w:vAlign w:val="center"/>
            <w:hideMark/>
          </w:tcPr>
          <w:p w14:paraId="72E769A3" w14:textId="39164403" w:rsidR="000A2A36" w:rsidRPr="00AF1481" w:rsidRDefault="000A2A36" w:rsidP="000A2A36">
            <w:pPr>
              <w:pStyle w:val="TableText0"/>
              <w:spacing w:line="256" w:lineRule="auto"/>
              <w:jc w:val="cente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r>
      <w:tr w:rsidR="000A2A36" w:rsidRPr="00AF1481" w14:paraId="6C8C6EEF" w14:textId="77777777" w:rsidTr="008C5949">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69B5CBAC" w14:textId="0788ED28" w:rsidR="000A2A36" w:rsidRPr="00AF1481" w:rsidRDefault="000A2A36" w:rsidP="000A2A36">
            <w:pPr>
              <w:pStyle w:val="TableText0"/>
            </w:pPr>
            <w:r w:rsidRPr="00AF1481">
              <w:t>Cost/patient/year</w:t>
            </w:r>
          </w:p>
        </w:tc>
        <w:tc>
          <w:tcPr>
            <w:tcW w:w="697" w:type="pct"/>
            <w:tcBorders>
              <w:top w:val="single" w:sz="4" w:space="0" w:color="auto"/>
              <w:left w:val="single" w:sz="4" w:space="0" w:color="auto"/>
              <w:bottom w:val="single" w:sz="4" w:space="0" w:color="auto"/>
              <w:right w:val="single" w:sz="4" w:space="0" w:color="auto"/>
            </w:tcBorders>
            <w:vAlign w:val="center"/>
            <w:hideMark/>
          </w:tcPr>
          <w:p w14:paraId="7E5376C6" w14:textId="5A4FA2D1" w:rsidR="000A2A36" w:rsidRPr="00AF1481" w:rsidRDefault="000A2A36" w:rsidP="000A2A36">
            <w:pPr>
              <w:pStyle w:val="TableText0"/>
              <w:jc w:val="cente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63007C58" w14:textId="0AB61AF7" w:rsidR="000A2A36" w:rsidRPr="00AF1481" w:rsidRDefault="000A2A36" w:rsidP="000A2A36">
            <w:pPr>
              <w:pStyle w:val="TableText0"/>
              <w:jc w:val="cente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c>
          <w:tcPr>
            <w:tcW w:w="698" w:type="pct"/>
            <w:tcBorders>
              <w:top w:val="single" w:sz="4" w:space="0" w:color="auto"/>
              <w:left w:val="single" w:sz="4" w:space="0" w:color="auto"/>
              <w:bottom w:val="single" w:sz="4" w:space="0" w:color="auto"/>
              <w:right w:val="single" w:sz="4" w:space="0" w:color="auto"/>
            </w:tcBorders>
            <w:vAlign w:val="center"/>
            <w:hideMark/>
          </w:tcPr>
          <w:p w14:paraId="24AF23E5" w14:textId="132C1B03" w:rsidR="000A2A36" w:rsidRPr="00AF1481" w:rsidRDefault="000A2A36" w:rsidP="000A2A36">
            <w:pPr>
              <w:pStyle w:val="TableText0"/>
              <w:jc w:val="cente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6E00DF8E" w14:textId="55D7CB17" w:rsidR="000A2A36" w:rsidRPr="00AF1481" w:rsidRDefault="000A2A36" w:rsidP="000A2A36">
            <w:pPr>
              <w:pStyle w:val="TableText0"/>
              <w:jc w:val="center"/>
              <w:rPr>
                <w:bCs w:val="0"/>
              </w:rP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28D42D9" w14:textId="741D129A" w:rsidR="000A2A36" w:rsidRPr="00AF1481" w:rsidRDefault="000A2A36" w:rsidP="000A2A36">
            <w:pPr>
              <w:pStyle w:val="TableText0"/>
              <w:jc w:val="cente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04A46D6" w14:textId="6A58D520" w:rsidR="000A2A36" w:rsidRPr="00AF1481" w:rsidRDefault="000A2A36" w:rsidP="000A2A36">
            <w:pPr>
              <w:pStyle w:val="TableText0"/>
              <w:jc w:val="center"/>
            </w:pPr>
            <w:r w:rsidRPr="00AF1481">
              <w:rPr>
                <w:rFonts w:cs="Calibri"/>
                <w:color w:val="000000"/>
                <w:szCs w:val="20"/>
              </w:rPr>
              <w:t>$</w:t>
            </w:r>
            <w:r w:rsidR="00BD1B38" w:rsidRPr="00BD1B38">
              <w:rPr>
                <w:rFonts w:cs="Calibri"/>
                <w:color w:val="000000"/>
                <w:szCs w:val="20"/>
                <w:shd w:val="solid" w:color="000000" w:fill="000000"/>
                <w14:textFill>
                  <w14:solidFill>
                    <w14:srgbClr w14:val="000000">
                      <w14:alpha w14:val="100000"/>
                    </w14:srgbClr>
                  </w14:solidFill>
                </w14:textFill>
              </w:rPr>
              <w:t>|</w:t>
            </w:r>
          </w:p>
        </w:tc>
      </w:tr>
    </w:tbl>
    <w:p w14:paraId="016128A8" w14:textId="77777777" w:rsidR="00A05AA6" w:rsidRDefault="00D4450F" w:rsidP="00D4450F">
      <w:pPr>
        <w:pStyle w:val="FooterTableFigure"/>
      </w:pPr>
      <w:r w:rsidRPr="00AF1481">
        <w:t>Source: constructed during the evaluation based on Section 3 and Section 4 of the Submission.</w:t>
      </w:r>
    </w:p>
    <w:p w14:paraId="31B8C6C7" w14:textId="4F6C1B53" w:rsidR="00D4450F" w:rsidRPr="00AF1481" w:rsidRDefault="00D4450F" w:rsidP="00D4450F">
      <w:pPr>
        <w:pStyle w:val="FooterTableFigure"/>
      </w:pPr>
      <w:r w:rsidRPr="00AF1481">
        <w:t>CMA= cost-minimisation approach; mg = milligrams.</w:t>
      </w:r>
    </w:p>
    <w:p w14:paraId="5836C343" w14:textId="25A19AA9" w:rsidR="00590CE3" w:rsidRPr="00AF1481" w:rsidRDefault="00590CE3" w:rsidP="00D4450F">
      <w:pPr>
        <w:pStyle w:val="FooterTableFigure"/>
      </w:pPr>
      <w:r w:rsidRPr="00AF1481">
        <w:rPr>
          <w:vertAlign w:val="superscript"/>
        </w:rPr>
        <w:t xml:space="preserve">a </w:t>
      </w:r>
      <w:r w:rsidRPr="00AF1481">
        <w:t>Averaged over 2-years treatment including 24-week interval doses (6.20 doses in Year 1 and 4.94 doses in Year 2).</w:t>
      </w:r>
    </w:p>
    <w:p w14:paraId="18AE8D2C" w14:textId="4BEAE44D" w:rsidR="00D4450F" w:rsidRPr="00AF1481" w:rsidRDefault="00590CE3" w:rsidP="00D4450F">
      <w:pPr>
        <w:pStyle w:val="FooterTableFigure"/>
      </w:pPr>
      <w:r w:rsidRPr="00AF1481">
        <w:rPr>
          <w:vertAlign w:val="superscript"/>
        </w:rPr>
        <w:t>b</w:t>
      </w:r>
      <w:r w:rsidR="00D4450F" w:rsidRPr="00AF1481">
        <w:rPr>
          <w:vertAlign w:val="superscript"/>
        </w:rPr>
        <w:t xml:space="preserve"> </w:t>
      </w:r>
      <w:r w:rsidR="00D4450F" w:rsidRPr="00AF1481">
        <w:t>Averaged over 2-years treatment</w:t>
      </w:r>
      <w:r w:rsidR="001F6CB3" w:rsidRPr="00AF1481">
        <w:t xml:space="preserve">, assuming a maximum treatment interval of </w:t>
      </w:r>
      <w:r w:rsidR="00546E22" w:rsidRPr="00AF1481">
        <w:t>16</w:t>
      </w:r>
      <w:r w:rsidR="001F6CB3" w:rsidRPr="00AF1481">
        <w:t xml:space="preserve"> weeks</w:t>
      </w:r>
      <w:r w:rsidR="009525F3" w:rsidRPr="00AF1481">
        <w:t xml:space="preserve"> as </w:t>
      </w:r>
      <w:r w:rsidR="004D28FF" w:rsidRPr="00AF1481">
        <w:t>proposed in the TGA Delegate’s Overview</w:t>
      </w:r>
      <w:r w:rsidR="00D4450F" w:rsidRPr="00AF1481">
        <w:t xml:space="preserve"> (6.20 doses in Year 1 and 3.</w:t>
      </w:r>
      <w:r w:rsidR="00546E22" w:rsidRPr="00AF1481">
        <w:t xml:space="preserve">95 </w:t>
      </w:r>
      <w:r w:rsidR="00D4450F" w:rsidRPr="00AF1481">
        <w:t>doses in Year 2).</w:t>
      </w:r>
    </w:p>
    <w:p w14:paraId="7B6A9265" w14:textId="7E935909" w:rsidR="00D4450F" w:rsidRPr="00AF1481" w:rsidRDefault="00590CE3" w:rsidP="00D4450F">
      <w:pPr>
        <w:pStyle w:val="FooterTableFigure"/>
      </w:pPr>
      <w:r w:rsidRPr="00AF1481">
        <w:rPr>
          <w:vertAlign w:val="superscript"/>
        </w:rPr>
        <w:t>c</w:t>
      </w:r>
      <w:r w:rsidR="00D4450F" w:rsidRPr="00AF1481">
        <w:t xml:space="preserve"> Average of the total number of doses (14.97 doses) estimated per patient at the week 96 data cut, adjusted for treatment duration and apportioned to two years (104 weeks).</w:t>
      </w:r>
    </w:p>
    <w:p w14:paraId="3D832574" w14:textId="77777777" w:rsidR="00A05AA6" w:rsidRDefault="00590CE3" w:rsidP="00D4450F">
      <w:pPr>
        <w:pStyle w:val="FooterTableFigure"/>
      </w:pPr>
      <w:r w:rsidRPr="00AF1481">
        <w:rPr>
          <w:vertAlign w:val="superscript"/>
        </w:rPr>
        <w:t>d</w:t>
      </w:r>
      <w:r w:rsidR="00D4450F" w:rsidRPr="00AF1481">
        <w:t xml:space="preserve"> Averaged over 2-years treatment (6.68 doses in Year 1 and 5.28 doses in Year 2).</w:t>
      </w:r>
    </w:p>
    <w:p w14:paraId="21749B30" w14:textId="07615EEC" w:rsidR="00D4450F" w:rsidRPr="00AF1481" w:rsidRDefault="00D4450F" w:rsidP="00D4450F">
      <w:pPr>
        <w:pStyle w:val="4-SubsectionHeading"/>
      </w:pPr>
      <w:bookmarkStart w:id="97" w:name="_Toc22897647"/>
      <w:bookmarkStart w:id="98" w:name="_Toc152757955"/>
      <w:bookmarkStart w:id="99" w:name="_Toc153957302"/>
      <w:bookmarkStart w:id="100" w:name="_Toc156896374"/>
      <w:bookmarkEnd w:id="94"/>
      <w:r w:rsidRPr="00AF1481">
        <w:t>Estimated PBS usage &amp; financial implications</w:t>
      </w:r>
      <w:bookmarkEnd w:id="97"/>
      <w:bookmarkEnd w:id="98"/>
      <w:bookmarkEnd w:id="99"/>
      <w:bookmarkEnd w:id="100"/>
    </w:p>
    <w:p w14:paraId="1172479F" w14:textId="2326EB84" w:rsidR="00D4450F" w:rsidRPr="00AF1481" w:rsidRDefault="00D4450F" w:rsidP="00D4450F">
      <w:pPr>
        <w:pStyle w:val="3-BodyText"/>
        <w:ind w:left="709" w:hanging="709"/>
      </w:pPr>
      <w:r w:rsidRPr="00AF1481">
        <w:t xml:space="preserve">This submission </w:t>
      </w:r>
      <w:r w:rsidR="000E0C4C" w:rsidRPr="00AF1481">
        <w:t>was not</w:t>
      </w:r>
      <w:r w:rsidRPr="00AF1481">
        <w:t xml:space="preserve"> considered by DUSC. The submission used a market share approach to estimate the extent of use and financial impact of listing aflibercept 8 mg on the PBS. The market size of anti-VEGF therapies for DMO was estimated from the historical use of aflibercept 2 mg and ranibizumab for DMO. The sources of data utilised are shown in </w:t>
      </w:r>
      <w:r w:rsidRPr="00AF1481">
        <w:rPr>
          <w:highlight w:val="yellow"/>
        </w:rPr>
        <w:fldChar w:fldCharType="begin"/>
      </w:r>
      <w:r w:rsidRPr="00AF1481">
        <w:instrText xml:space="preserve"> REF _Ref152847957 \h </w:instrText>
      </w:r>
      <w:r w:rsidRPr="00AF1481">
        <w:rPr>
          <w:highlight w:val="yellow"/>
        </w:rPr>
      </w:r>
      <w:r w:rsidRPr="00AF1481">
        <w:rPr>
          <w:highlight w:val="yellow"/>
        </w:rPr>
        <w:fldChar w:fldCharType="separate"/>
      </w:r>
      <w:r w:rsidR="009404AF" w:rsidRPr="00AF1481">
        <w:t xml:space="preserve">Table </w:t>
      </w:r>
      <w:r w:rsidR="009404AF">
        <w:rPr>
          <w:noProof/>
        </w:rPr>
        <w:t>13</w:t>
      </w:r>
      <w:r w:rsidRPr="00AF1481">
        <w:rPr>
          <w:highlight w:val="yellow"/>
        </w:rPr>
        <w:fldChar w:fldCharType="end"/>
      </w:r>
      <w:r w:rsidRPr="00AF1481">
        <w:t>.</w:t>
      </w:r>
    </w:p>
    <w:p w14:paraId="683267AA" w14:textId="749067CB" w:rsidR="00D4450F" w:rsidRPr="00AF1481" w:rsidRDefault="00D4450F" w:rsidP="00D4450F">
      <w:pPr>
        <w:pStyle w:val="Caption"/>
        <w:rPr>
          <w:rStyle w:val="CommentReference"/>
          <w:b/>
          <w:szCs w:val="24"/>
        </w:rPr>
      </w:pPr>
      <w:bookmarkStart w:id="101" w:name="_Ref104805262"/>
      <w:bookmarkStart w:id="102" w:name="_Ref152847957"/>
      <w:r w:rsidRPr="00AF1481">
        <w:t xml:space="preserve">Table </w:t>
      </w:r>
      <w:bookmarkEnd w:id="101"/>
      <w:r w:rsidRPr="00AF1481">
        <w:fldChar w:fldCharType="begin"/>
      </w:r>
      <w:r w:rsidRPr="00AF1481">
        <w:instrText xml:space="preserve"> SEQ Table \* ARABIC </w:instrText>
      </w:r>
      <w:r w:rsidRPr="00AF1481">
        <w:fldChar w:fldCharType="separate"/>
      </w:r>
      <w:r w:rsidR="009404AF">
        <w:rPr>
          <w:noProof/>
        </w:rPr>
        <w:t>13</w:t>
      </w:r>
      <w:r w:rsidRPr="00AF1481">
        <w:fldChar w:fldCharType="end"/>
      </w:r>
      <w:bookmarkEnd w:id="102"/>
      <w:r w:rsidRPr="00AF1481">
        <w:t>:</w:t>
      </w:r>
      <w:r w:rsidRPr="00AF1481">
        <w:rPr>
          <w:rStyle w:val="CommentReference"/>
          <w:b/>
          <w:szCs w:val="24"/>
        </w:rPr>
        <w:t xml:space="preserve"> Key inputs for financial estimates</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53"/>
        <w:gridCol w:w="2904"/>
      </w:tblGrid>
      <w:tr w:rsidR="00D4450F" w:rsidRPr="00AF1481" w14:paraId="765378E6" w14:textId="77777777" w:rsidTr="00661641">
        <w:trPr>
          <w:tblHeader/>
        </w:trPr>
        <w:tc>
          <w:tcPr>
            <w:tcW w:w="1838" w:type="dxa"/>
            <w:vAlign w:val="center"/>
          </w:tcPr>
          <w:p w14:paraId="70BFDAD8" w14:textId="77777777" w:rsidR="00D4450F" w:rsidRPr="00AF1481" w:rsidRDefault="00D4450F" w:rsidP="008C5949">
            <w:pPr>
              <w:pStyle w:val="In-tableHeading"/>
              <w:jc w:val="center"/>
              <w:rPr>
                <w:lang w:val="en-AU"/>
              </w:rPr>
            </w:pPr>
            <w:r w:rsidRPr="00AF1481">
              <w:rPr>
                <w:lang w:val="en-AU"/>
              </w:rPr>
              <w:t>Data</w:t>
            </w:r>
          </w:p>
        </w:tc>
        <w:tc>
          <w:tcPr>
            <w:tcW w:w="4253" w:type="dxa"/>
            <w:vAlign w:val="center"/>
          </w:tcPr>
          <w:p w14:paraId="0B3B7480" w14:textId="77777777" w:rsidR="00D4450F" w:rsidRPr="00AF1481" w:rsidRDefault="00D4450F" w:rsidP="008C5949">
            <w:pPr>
              <w:pStyle w:val="In-tableHeading"/>
              <w:jc w:val="center"/>
              <w:rPr>
                <w:lang w:val="en-AU"/>
              </w:rPr>
            </w:pPr>
            <w:r w:rsidRPr="00AF1481">
              <w:rPr>
                <w:lang w:val="en-AU"/>
              </w:rPr>
              <w:t>Value applied and source</w:t>
            </w:r>
          </w:p>
        </w:tc>
        <w:tc>
          <w:tcPr>
            <w:tcW w:w="2904" w:type="dxa"/>
            <w:vAlign w:val="center"/>
          </w:tcPr>
          <w:p w14:paraId="02F118DD" w14:textId="77777777" w:rsidR="00D4450F" w:rsidRPr="00AF1481" w:rsidRDefault="00D4450F" w:rsidP="008C5949">
            <w:pPr>
              <w:pStyle w:val="In-tableHeading"/>
              <w:jc w:val="center"/>
              <w:rPr>
                <w:lang w:val="en-AU"/>
              </w:rPr>
            </w:pPr>
            <w:r w:rsidRPr="00AF1481">
              <w:rPr>
                <w:lang w:val="en-AU"/>
              </w:rPr>
              <w:t>Comment</w:t>
            </w:r>
          </w:p>
        </w:tc>
      </w:tr>
      <w:tr w:rsidR="00D4450F" w:rsidRPr="00AF1481" w14:paraId="15BAB396" w14:textId="77777777" w:rsidTr="00A618DC">
        <w:tc>
          <w:tcPr>
            <w:tcW w:w="8995" w:type="dxa"/>
            <w:gridSpan w:val="3"/>
            <w:vAlign w:val="center"/>
          </w:tcPr>
          <w:p w14:paraId="7B520C9C" w14:textId="77777777" w:rsidR="00D4450F" w:rsidRPr="00AF1481" w:rsidRDefault="00D4450F" w:rsidP="008C5949">
            <w:pPr>
              <w:pStyle w:val="In-tableHeading"/>
              <w:rPr>
                <w:lang w:val="en-AU"/>
              </w:rPr>
            </w:pPr>
            <w:r w:rsidRPr="00AF1481">
              <w:rPr>
                <w:lang w:val="en-AU"/>
              </w:rPr>
              <w:t>Treatment utilisation</w:t>
            </w:r>
          </w:p>
        </w:tc>
      </w:tr>
      <w:tr w:rsidR="00D4450F" w:rsidRPr="00AF1481" w14:paraId="23EBCE2E" w14:textId="77777777" w:rsidTr="00A618DC">
        <w:tc>
          <w:tcPr>
            <w:tcW w:w="8995" w:type="dxa"/>
            <w:gridSpan w:val="3"/>
            <w:vAlign w:val="center"/>
          </w:tcPr>
          <w:p w14:paraId="36883F29" w14:textId="77777777" w:rsidR="00D4450F" w:rsidRPr="00AF1481" w:rsidRDefault="00D4450F" w:rsidP="008C5949">
            <w:pPr>
              <w:pStyle w:val="TableText0"/>
              <w:rPr>
                <w:b/>
                <w:iCs/>
              </w:rPr>
            </w:pPr>
            <w:r w:rsidRPr="00AF1481">
              <w:rPr>
                <w:b/>
                <w:iCs/>
              </w:rPr>
              <w:t>Anti-VEGF market without listing of aflibercept 8 mg</w:t>
            </w:r>
          </w:p>
        </w:tc>
      </w:tr>
      <w:tr w:rsidR="00D4450F" w:rsidRPr="00AF1481" w14:paraId="3207C979" w14:textId="77777777" w:rsidTr="00661641">
        <w:tc>
          <w:tcPr>
            <w:tcW w:w="1838" w:type="dxa"/>
            <w:vAlign w:val="center"/>
          </w:tcPr>
          <w:p w14:paraId="28517CB9" w14:textId="77777777" w:rsidR="00D4450F" w:rsidRPr="00AF1481" w:rsidRDefault="00D4450F" w:rsidP="008C5949">
            <w:pPr>
              <w:pStyle w:val="TableText0"/>
            </w:pPr>
            <w:r w:rsidRPr="00AF1481">
              <w:t>Estimated anti-VEGF market for 2022 (scripts)</w:t>
            </w:r>
          </w:p>
        </w:tc>
        <w:tc>
          <w:tcPr>
            <w:tcW w:w="4253" w:type="dxa"/>
            <w:vAlign w:val="center"/>
          </w:tcPr>
          <w:p w14:paraId="283033CC" w14:textId="77777777" w:rsidR="00A05AA6" w:rsidRDefault="00D4450F" w:rsidP="008C5949">
            <w:pPr>
              <w:pStyle w:val="TableText0"/>
            </w:pPr>
            <w:r w:rsidRPr="00AF1481">
              <w:t>103,426</w:t>
            </w:r>
          </w:p>
          <w:p w14:paraId="5349BF59" w14:textId="23A9124F" w:rsidR="00D4450F" w:rsidRPr="00AF1481" w:rsidRDefault="00D4450F" w:rsidP="008C5949">
            <w:pPr>
              <w:pStyle w:val="TableText0"/>
            </w:pPr>
            <w:r w:rsidRPr="00AF1481">
              <w:t>Medicare statistics. Estimated as the number of scripts for aflibercept 2 mg and ranibizumab for DMO</w:t>
            </w:r>
          </w:p>
        </w:tc>
        <w:tc>
          <w:tcPr>
            <w:tcW w:w="2904" w:type="dxa"/>
            <w:vAlign w:val="center"/>
          </w:tcPr>
          <w:p w14:paraId="4F3EA9E0" w14:textId="7C7B42FD" w:rsidR="00D4450F" w:rsidRPr="00AF1481" w:rsidRDefault="00D4450F" w:rsidP="008C5949">
            <w:pPr>
              <w:pStyle w:val="TableText0"/>
            </w:pPr>
          </w:p>
        </w:tc>
      </w:tr>
      <w:tr w:rsidR="00D4450F" w:rsidRPr="00AF1481" w14:paraId="62350062" w14:textId="77777777" w:rsidTr="00661641">
        <w:tc>
          <w:tcPr>
            <w:tcW w:w="1838" w:type="dxa"/>
            <w:vAlign w:val="center"/>
          </w:tcPr>
          <w:p w14:paraId="6FC8EB4A" w14:textId="77777777" w:rsidR="00D4450F" w:rsidRPr="00AF1481" w:rsidRDefault="00D4450F" w:rsidP="008C5949">
            <w:pPr>
              <w:pStyle w:val="TableText0"/>
            </w:pPr>
            <w:r w:rsidRPr="00AF1481">
              <w:t>Annual market growth (in scripts)</w:t>
            </w:r>
          </w:p>
        </w:tc>
        <w:tc>
          <w:tcPr>
            <w:tcW w:w="4253" w:type="dxa"/>
            <w:vAlign w:val="center"/>
          </w:tcPr>
          <w:p w14:paraId="09F768E7" w14:textId="77777777" w:rsidR="00D4450F" w:rsidRPr="00AF1481" w:rsidRDefault="00D4450F" w:rsidP="008C5949">
            <w:pPr>
              <w:pStyle w:val="TableText0"/>
            </w:pPr>
            <w:r w:rsidRPr="00AF1481">
              <w:t>9,500 in Year 1 to 8,500 in Year 6</w:t>
            </w:r>
          </w:p>
          <w:p w14:paraId="7380127F" w14:textId="77777777" w:rsidR="00D4450F" w:rsidRPr="00AF1481" w:rsidRDefault="00D4450F" w:rsidP="008C5949">
            <w:pPr>
              <w:pStyle w:val="TableText0"/>
            </w:pPr>
            <w:r w:rsidRPr="00AF1481">
              <w:t xml:space="preserve">The submission assumed a diminishing market growth by arguing it will capture the faricimab market share where fewer scripts will be used compared to aflibercept 2 mg and ranibizumab. </w:t>
            </w:r>
          </w:p>
        </w:tc>
        <w:tc>
          <w:tcPr>
            <w:tcW w:w="2904" w:type="dxa"/>
            <w:vAlign w:val="center"/>
          </w:tcPr>
          <w:p w14:paraId="13529544" w14:textId="0831F51A" w:rsidR="00D4450F" w:rsidRPr="00AF1481" w:rsidRDefault="004255C5" w:rsidP="008C5949">
            <w:pPr>
              <w:pStyle w:val="TableText0"/>
            </w:pPr>
            <w:r w:rsidRPr="00AF1481">
              <w:t xml:space="preserve">Annual increase in number of scripts at a diminishing rate </w:t>
            </w:r>
            <w:r w:rsidR="00874F1B" w:rsidRPr="00AF1481">
              <w:t xml:space="preserve">may be </w:t>
            </w:r>
            <w:r w:rsidRPr="00AF1481">
              <w:t>reasonable as faricimab requires fewer injections and results in a smaller number of scripts. The estimated decline (500 scripts every two years) was uncertain.</w:t>
            </w:r>
          </w:p>
        </w:tc>
      </w:tr>
      <w:tr w:rsidR="00D4450F" w:rsidRPr="00AF1481" w14:paraId="51F2CE94" w14:textId="77777777" w:rsidTr="00661641">
        <w:tc>
          <w:tcPr>
            <w:tcW w:w="1838" w:type="dxa"/>
            <w:vAlign w:val="center"/>
          </w:tcPr>
          <w:p w14:paraId="265C8FA9" w14:textId="77777777" w:rsidR="00D4450F" w:rsidRPr="00AF1481" w:rsidRDefault="00D4450F" w:rsidP="008C5949">
            <w:pPr>
              <w:pStyle w:val="TableText0"/>
            </w:pPr>
            <w:r w:rsidRPr="00AF1481">
              <w:t xml:space="preserve">Projected market size of the current anti-VEGF treatments </w:t>
            </w:r>
          </w:p>
        </w:tc>
        <w:tc>
          <w:tcPr>
            <w:tcW w:w="4253" w:type="dxa"/>
            <w:vAlign w:val="center"/>
          </w:tcPr>
          <w:p w14:paraId="48001AFD" w14:textId="77777777" w:rsidR="00D4450F" w:rsidRPr="00AF1481" w:rsidRDefault="00D4450F" w:rsidP="008C5949">
            <w:pPr>
              <w:pStyle w:val="TableText0"/>
            </w:pPr>
            <w:r w:rsidRPr="00AF1481">
              <w:t>From 122,926 scripts in Year 1 to 167,426 scripts in Year 6</w:t>
            </w:r>
          </w:p>
          <w:p w14:paraId="47183885" w14:textId="77777777" w:rsidR="00D4450F" w:rsidRPr="00AF1481" w:rsidRDefault="00D4450F" w:rsidP="008C5949">
            <w:pPr>
              <w:pStyle w:val="TableText0"/>
            </w:pPr>
            <w:r w:rsidRPr="00AF1481">
              <w:t>Calculated 2022 scripts for anti-VEGF treatments and the assumed annual growth of anti-VEGF market</w:t>
            </w:r>
          </w:p>
        </w:tc>
        <w:tc>
          <w:tcPr>
            <w:tcW w:w="2904" w:type="dxa"/>
            <w:vAlign w:val="center"/>
          </w:tcPr>
          <w:p w14:paraId="073D33A4" w14:textId="77777777" w:rsidR="00D4450F" w:rsidRPr="00AF1481" w:rsidRDefault="00D4450F" w:rsidP="008C5949">
            <w:pPr>
              <w:pStyle w:val="TableText0"/>
            </w:pPr>
            <w:r w:rsidRPr="00AF1481">
              <w:t>Refer to comment above.</w:t>
            </w:r>
          </w:p>
        </w:tc>
      </w:tr>
      <w:tr w:rsidR="00D4450F" w:rsidRPr="00AF1481" w14:paraId="446BCA4C" w14:textId="77777777" w:rsidTr="00661641">
        <w:tc>
          <w:tcPr>
            <w:tcW w:w="1838" w:type="dxa"/>
            <w:vAlign w:val="center"/>
          </w:tcPr>
          <w:p w14:paraId="6AEBDFDA" w14:textId="77777777" w:rsidR="00D4450F" w:rsidRPr="00AF1481" w:rsidRDefault="00D4450F" w:rsidP="008C5949">
            <w:pPr>
              <w:pStyle w:val="TableText0"/>
            </w:pPr>
            <w:r w:rsidRPr="00AF1481">
              <w:lastRenderedPageBreak/>
              <w:t>Share of current market (status quo scenario without listing of aflibercept 8 mg)</w:t>
            </w:r>
          </w:p>
        </w:tc>
        <w:tc>
          <w:tcPr>
            <w:tcW w:w="4253" w:type="dxa"/>
            <w:vAlign w:val="center"/>
          </w:tcPr>
          <w:p w14:paraId="75F79119" w14:textId="0D78C0C8" w:rsidR="00D4450F" w:rsidRPr="00AF1481" w:rsidRDefault="00D4450F" w:rsidP="008C5949">
            <w:pPr>
              <w:pStyle w:val="TableText0"/>
            </w:pPr>
            <w:r w:rsidRPr="00AF1481">
              <w:t xml:space="preserve">Aflibercept 2 mg: </w:t>
            </w:r>
            <w:r w:rsidR="00BD1B38" w:rsidRPr="00BD1B38">
              <w:rPr>
                <w:color w:val="000000"/>
                <w:spacing w:val="49"/>
                <w:shd w:val="solid" w:color="000000" w:fill="000000"/>
                <w:fitText w:val="320" w:id="-931927291"/>
                <w14:textFill>
                  <w14:solidFill>
                    <w14:srgbClr w14:val="000000">
                      <w14:alpha w14:val="100000"/>
                    </w14:srgbClr>
                  </w14:solidFill>
                </w14:textFill>
              </w:rPr>
              <w:t>|||</w:t>
            </w:r>
            <w:r w:rsidR="00BD1B38" w:rsidRPr="00BD1B38">
              <w:rPr>
                <w:color w:val="000000"/>
                <w:spacing w:val="3"/>
                <w:shd w:val="solid" w:color="000000" w:fill="000000"/>
                <w:fitText w:val="320" w:id="-931927291"/>
                <w14:textFill>
                  <w14:solidFill>
                    <w14:srgbClr w14:val="000000">
                      <w14:alpha w14:val="100000"/>
                    </w14:srgbClr>
                  </w14:solidFill>
                </w14:textFill>
              </w:rPr>
              <w:t>|</w:t>
            </w:r>
            <w:r w:rsidRPr="00365BFD">
              <w:t>%</w:t>
            </w:r>
            <w:r w:rsidRPr="00AF1481">
              <w:t xml:space="preserve"> in Year 1 declining </w:t>
            </w:r>
            <w:r w:rsidRPr="00365BFD">
              <w:t xml:space="preserve">to </w:t>
            </w:r>
            <w:r w:rsidR="00BD1B38" w:rsidRPr="00BD1B38">
              <w:rPr>
                <w:color w:val="000000"/>
                <w:spacing w:val="53"/>
                <w:shd w:val="solid" w:color="000000" w:fill="000000"/>
                <w:fitText w:val="330" w:id="-931927290"/>
                <w14:textFill>
                  <w14:solidFill>
                    <w14:srgbClr w14:val="000000">
                      <w14:alpha w14:val="100000"/>
                    </w14:srgbClr>
                  </w14:solidFill>
                </w14:textFill>
              </w:rPr>
              <w:t>|||</w:t>
            </w:r>
            <w:r w:rsidR="00BD1B38" w:rsidRPr="00BD1B38">
              <w:rPr>
                <w:color w:val="000000"/>
                <w:spacing w:val="1"/>
                <w:shd w:val="solid" w:color="000000" w:fill="000000"/>
                <w:fitText w:val="330" w:id="-931927290"/>
                <w14:textFill>
                  <w14:solidFill>
                    <w14:srgbClr w14:val="000000">
                      <w14:alpha w14:val="100000"/>
                    </w14:srgbClr>
                  </w14:solidFill>
                </w14:textFill>
              </w:rPr>
              <w:t>|</w:t>
            </w:r>
            <w:r w:rsidRPr="00365BFD">
              <w:t>% in</w:t>
            </w:r>
            <w:r w:rsidRPr="00AF1481">
              <w:t xml:space="preserve"> Year 6</w:t>
            </w:r>
          </w:p>
          <w:p w14:paraId="3586634B" w14:textId="792C81F8" w:rsidR="00D4450F" w:rsidRPr="00AF1481" w:rsidRDefault="00D4450F" w:rsidP="008C5949">
            <w:pPr>
              <w:pStyle w:val="TableText0"/>
            </w:pPr>
            <w:r w:rsidRPr="00AF1481">
              <w:t xml:space="preserve">Ranibizumab: </w:t>
            </w:r>
            <w:r w:rsidR="00BD1B38" w:rsidRPr="00BD1B38">
              <w:rPr>
                <w:color w:val="000000"/>
                <w:spacing w:val="53"/>
                <w:shd w:val="solid" w:color="000000" w:fill="000000"/>
                <w:fitText w:val="330" w:id="-931927289"/>
                <w14:textFill>
                  <w14:solidFill>
                    <w14:srgbClr w14:val="000000">
                      <w14:alpha w14:val="100000"/>
                    </w14:srgbClr>
                  </w14:solidFill>
                </w14:textFill>
              </w:rPr>
              <w:t>|||</w:t>
            </w:r>
            <w:r w:rsidR="00BD1B38" w:rsidRPr="00BD1B38">
              <w:rPr>
                <w:color w:val="000000"/>
                <w:spacing w:val="1"/>
                <w:shd w:val="solid" w:color="000000" w:fill="000000"/>
                <w:fitText w:val="330" w:id="-931927289"/>
                <w14:textFill>
                  <w14:solidFill>
                    <w14:srgbClr w14:val="000000">
                      <w14:alpha w14:val="100000"/>
                    </w14:srgbClr>
                  </w14:solidFill>
                </w14:textFill>
              </w:rPr>
              <w:t>|</w:t>
            </w:r>
            <w:r w:rsidRPr="00365BFD">
              <w:t>%</w:t>
            </w:r>
            <w:r w:rsidRPr="00AF1481">
              <w:t xml:space="preserve"> in Year 1 declining to </w:t>
            </w:r>
            <w:r w:rsidR="00BD1B38" w:rsidRPr="00BD1B38">
              <w:rPr>
                <w:color w:val="000000"/>
                <w:spacing w:val="49"/>
                <w:shd w:val="solid" w:color="000000" w:fill="000000"/>
                <w:fitText w:val="320" w:id="-931927288"/>
                <w14:textFill>
                  <w14:solidFill>
                    <w14:srgbClr w14:val="000000">
                      <w14:alpha w14:val="100000"/>
                    </w14:srgbClr>
                  </w14:solidFill>
                </w14:textFill>
              </w:rPr>
              <w:t>|||</w:t>
            </w:r>
            <w:r w:rsidR="00BD1B38" w:rsidRPr="00BD1B38">
              <w:rPr>
                <w:color w:val="000000"/>
                <w:spacing w:val="3"/>
                <w:shd w:val="solid" w:color="000000" w:fill="000000"/>
                <w:fitText w:val="320" w:id="-931927288"/>
                <w14:textFill>
                  <w14:solidFill>
                    <w14:srgbClr w14:val="000000">
                      <w14:alpha w14:val="100000"/>
                    </w14:srgbClr>
                  </w14:solidFill>
                </w14:textFill>
              </w:rPr>
              <w:t>|</w:t>
            </w:r>
            <w:r w:rsidRPr="00365BFD">
              <w:t>%</w:t>
            </w:r>
            <w:r w:rsidRPr="00AF1481">
              <w:t xml:space="preserve"> in Year 6</w:t>
            </w:r>
          </w:p>
          <w:p w14:paraId="7F9C0DC8" w14:textId="427AB256" w:rsidR="00D4450F" w:rsidRPr="00AF1481" w:rsidRDefault="00D4450F" w:rsidP="008C5949">
            <w:pPr>
              <w:pStyle w:val="TableText0"/>
            </w:pPr>
            <w:r w:rsidRPr="00AF1481">
              <w:t xml:space="preserve">Faricimab: </w:t>
            </w:r>
            <w:r w:rsidR="00BD1B38" w:rsidRPr="00BD1B38">
              <w:rPr>
                <w:color w:val="000000"/>
                <w:spacing w:val="53"/>
                <w:shd w:val="solid" w:color="000000" w:fill="000000"/>
                <w:fitText w:val="330" w:id="-931927287"/>
                <w14:textFill>
                  <w14:solidFill>
                    <w14:srgbClr w14:val="000000">
                      <w14:alpha w14:val="100000"/>
                    </w14:srgbClr>
                  </w14:solidFill>
                </w14:textFill>
              </w:rPr>
              <w:t>|||</w:t>
            </w:r>
            <w:r w:rsidR="00BD1B38" w:rsidRPr="00BD1B38">
              <w:rPr>
                <w:color w:val="000000"/>
                <w:spacing w:val="1"/>
                <w:shd w:val="solid" w:color="000000" w:fill="000000"/>
                <w:fitText w:val="330" w:id="-931927287"/>
                <w14:textFill>
                  <w14:solidFill>
                    <w14:srgbClr w14:val="000000">
                      <w14:alpha w14:val="100000"/>
                    </w14:srgbClr>
                  </w14:solidFill>
                </w14:textFill>
              </w:rPr>
              <w:t>|</w:t>
            </w:r>
            <w:r w:rsidRPr="00365BFD">
              <w:t>%</w:t>
            </w:r>
            <w:r w:rsidRPr="00AF1481">
              <w:t xml:space="preserve"> in Year 1 increasing to </w:t>
            </w:r>
            <w:r w:rsidR="00BD1B38" w:rsidRPr="00BD1B38">
              <w:rPr>
                <w:color w:val="000000"/>
                <w:spacing w:val="53"/>
                <w:shd w:val="solid" w:color="000000" w:fill="000000"/>
                <w:fitText w:val="330" w:id="-931927286"/>
                <w14:textFill>
                  <w14:solidFill>
                    <w14:srgbClr w14:val="000000">
                      <w14:alpha w14:val="100000"/>
                    </w14:srgbClr>
                  </w14:solidFill>
                </w14:textFill>
              </w:rPr>
              <w:t>|||</w:t>
            </w:r>
            <w:r w:rsidR="00BD1B38" w:rsidRPr="00BD1B38">
              <w:rPr>
                <w:color w:val="000000"/>
                <w:spacing w:val="1"/>
                <w:shd w:val="solid" w:color="000000" w:fill="000000"/>
                <w:fitText w:val="330" w:id="-931927286"/>
                <w14:textFill>
                  <w14:solidFill>
                    <w14:srgbClr w14:val="000000">
                      <w14:alpha w14:val="100000"/>
                    </w14:srgbClr>
                  </w14:solidFill>
                </w14:textFill>
              </w:rPr>
              <w:t>|</w:t>
            </w:r>
            <w:r w:rsidRPr="00365BFD">
              <w:t>%</w:t>
            </w:r>
            <w:r w:rsidRPr="00AF1481">
              <w:t xml:space="preserve"> in Year 6</w:t>
            </w:r>
          </w:p>
          <w:p w14:paraId="20C9B42F" w14:textId="77777777" w:rsidR="00D4450F" w:rsidRPr="00AF1481" w:rsidRDefault="00D4450F" w:rsidP="008C5949">
            <w:pPr>
              <w:pStyle w:val="TableText0"/>
            </w:pPr>
          </w:p>
          <w:p w14:paraId="751232BB" w14:textId="77777777" w:rsidR="00D4450F" w:rsidRPr="00AF1481" w:rsidRDefault="00D4450F" w:rsidP="008C5949">
            <w:pPr>
              <w:pStyle w:val="TableText0"/>
            </w:pPr>
            <w:r w:rsidRPr="00AF1481">
              <w:t>Share of aflibercept 2 mg and ranibizumab were based on historical trend of respective drugs in the absence of faricimab.</w:t>
            </w:r>
          </w:p>
          <w:p w14:paraId="563130F6" w14:textId="77777777" w:rsidR="00D4450F" w:rsidRPr="00AF1481" w:rsidRDefault="00D4450F" w:rsidP="008C5949">
            <w:pPr>
              <w:pStyle w:val="TableText0"/>
            </w:pPr>
          </w:p>
          <w:p w14:paraId="38301F1D" w14:textId="14F3D5FF" w:rsidR="00D4450F" w:rsidRPr="00AF1481" w:rsidRDefault="00D4450F" w:rsidP="008C5949">
            <w:pPr>
              <w:pStyle w:val="TableText0"/>
            </w:pPr>
            <w:r w:rsidRPr="00AF1481">
              <w:t xml:space="preserve">Sponsor assumed market share of faricimab to </w:t>
            </w:r>
            <w:r w:rsidRPr="00365BFD">
              <w:t xml:space="preserve">be </w:t>
            </w:r>
            <w:r w:rsidR="00BD1B38" w:rsidRPr="00BD1B38">
              <w:rPr>
                <w:color w:val="000000"/>
                <w:spacing w:val="53"/>
                <w:shd w:val="solid" w:color="000000" w:fill="000000"/>
                <w:fitText w:val="330" w:id="-931927285"/>
                <w14:textFill>
                  <w14:solidFill>
                    <w14:srgbClr w14:val="000000">
                      <w14:alpha w14:val="100000"/>
                    </w14:srgbClr>
                  </w14:solidFill>
                </w14:textFill>
              </w:rPr>
              <w:t>|||</w:t>
            </w:r>
            <w:r w:rsidR="00BD1B38" w:rsidRPr="00BD1B38">
              <w:rPr>
                <w:color w:val="000000"/>
                <w:spacing w:val="1"/>
                <w:shd w:val="solid" w:color="000000" w:fill="000000"/>
                <w:fitText w:val="330" w:id="-931927285"/>
                <w14:textFill>
                  <w14:solidFill>
                    <w14:srgbClr w14:val="000000">
                      <w14:alpha w14:val="100000"/>
                    </w14:srgbClr>
                  </w14:solidFill>
                </w14:textFill>
              </w:rPr>
              <w:t>|</w:t>
            </w:r>
            <w:r w:rsidRPr="00365BFD">
              <w:t>%</w:t>
            </w:r>
            <w:r w:rsidRPr="00AF1481">
              <w:t xml:space="preserve"> in 2023 and projected to </w:t>
            </w:r>
            <w:r w:rsidR="00BD1B38" w:rsidRPr="00BD1B38">
              <w:rPr>
                <w:color w:val="000000"/>
                <w:spacing w:val="49"/>
                <w:shd w:val="solid" w:color="000000" w:fill="000000"/>
                <w:fitText w:val="320" w:id="-931927284"/>
                <w14:textFill>
                  <w14:solidFill>
                    <w14:srgbClr w14:val="000000">
                      <w14:alpha w14:val="100000"/>
                    </w14:srgbClr>
                  </w14:solidFill>
                </w14:textFill>
              </w:rPr>
              <w:t>|||</w:t>
            </w:r>
            <w:r w:rsidR="00BD1B38" w:rsidRPr="00BD1B38">
              <w:rPr>
                <w:color w:val="000000"/>
                <w:spacing w:val="3"/>
                <w:shd w:val="solid" w:color="000000" w:fill="000000"/>
                <w:fitText w:val="320" w:id="-931927284"/>
                <w14:textFill>
                  <w14:solidFill>
                    <w14:srgbClr w14:val="000000">
                      <w14:alpha w14:val="100000"/>
                    </w14:srgbClr>
                  </w14:solidFill>
                </w14:textFill>
              </w:rPr>
              <w:t>|</w:t>
            </w:r>
            <w:r w:rsidRPr="00365BFD">
              <w:t>%</w:t>
            </w:r>
            <w:r w:rsidRPr="00AF1481">
              <w:t xml:space="preserve"> in Year 6 with constant growth.</w:t>
            </w:r>
          </w:p>
        </w:tc>
        <w:tc>
          <w:tcPr>
            <w:tcW w:w="2904" w:type="dxa"/>
            <w:vAlign w:val="center"/>
          </w:tcPr>
          <w:p w14:paraId="29267BE5" w14:textId="1B39E7B3" w:rsidR="00D4450F" w:rsidRPr="00AF1481" w:rsidRDefault="00D4450F" w:rsidP="008C5949">
            <w:pPr>
              <w:pStyle w:val="TableText0"/>
            </w:pPr>
            <w:r w:rsidRPr="00AF1481">
              <w:t xml:space="preserve">The assumed market share of faricimab for year 2023 (15%) </w:t>
            </w:r>
            <w:r w:rsidR="00874F1B" w:rsidRPr="00AF1481">
              <w:t>is</w:t>
            </w:r>
            <w:r w:rsidR="002E3CE5">
              <w:t xml:space="preserve"> </w:t>
            </w:r>
            <w:r w:rsidRPr="00AF1481">
              <w:t>consistent with the market share of faricimab observed for year 2023 (12.5%, until September 2023) from Medicare statistics</w:t>
            </w:r>
            <w:r w:rsidR="00874F1B" w:rsidRPr="00AF1481">
              <w:t xml:space="preserve"> sourced</w:t>
            </w:r>
            <w:r w:rsidRPr="00AF1481">
              <w:t xml:space="preserve"> during the evaluation. No justification was provided for the 35% assumed for Year 6.</w:t>
            </w:r>
          </w:p>
        </w:tc>
      </w:tr>
      <w:tr w:rsidR="00D4450F" w:rsidRPr="00AF1481" w14:paraId="2329B111" w14:textId="77777777" w:rsidTr="00661641">
        <w:tc>
          <w:tcPr>
            <w:tcW w:w="1838" w:type="dxa"/>
            <w:vAlign w:val="center"/>
          </w:tcPr>
          <w:p w14:paraId="763C91BC" w14:textId="77777777" w:rsidR="00D4450F" w:rsidRPr="00AF1481" w:rsidRDefault="00D4450F" w:rsidP="008C5949">
            <w:pPr>
              <w:pStyle w:val="TableText0"/>
            </w:pPr>
            <w:r w:rsidRPr="00AF1481">
              <w:t>Distribution of treatment type (initiation and continuation) in the current market</w:t>
            </w:r>
          </w:p>
        </w:tc>
        <w:tc>
          <w:tcPr>
            <w:tcW w:w="4253" w:type="dxa"/>
            <w:vAlign w:val="center"/>
          </w:tcPr>
          <w:p w14:paraId="0CAFC81F" w14:textId="04A0E391" w:rsidR="00D4450F" w:rsidRPr="00AF1481" w:rsidRDefault="00D4450F" w:rsidP="008C5949">
            <w:pPr>
              <w:pStyle w:val="TableText0"/>
            </w:pPr>
            <w:r w:rsidRPr="00AF1481">
              <w:t>Aflibercept 2</w:t>
            </w:r>
            <w:r w:rsidR="00FA76CA" w:rsidRPr="00AF1481">
              <w:t xml:space="preserve"> </w:t>
            </w:r>
            <w:r w:rsidRPr="00AF1481">
              <w:t>mg and ranibizumab: 30%/70% split for initiation/continuation for the 6 years period.</w:t>
            </w:r>
          </w:p>
          <w:p w14:paraId="4E9CF340" w14:textId="77777777" w:rsidR="00D4450F" w:rsidRPr="00AF1481" w:rsidRDefault="00D4450F" w:rsidP="008C5949">
            <w:pPr>
              <w:pStyle w:val="TableText0"/>
            </w:pPr>
          </w:p>
          <w:p w14:paraId="762CBB9C" w14:textId="77777777" w:rsidR="00D4450F" w:rsidRPr="00AF1481" w:rsidRDefault="00D4450F" w:rsidP="008C5949">
            <w:pPr>
              <w:pStyle w:val="TableText0"/>
            </w:pPr>
            <w:r w:rsidRPr="00AF1481">
              <w:t>Faricimab: 43%/57% split for Year 1 and 33%/67% split for subsequent years per initiation/continuation</w:t>
            </w:r>
          </w:p>
          <w:p w14:paraId="2D2635F3" w14:textId="77777777" w:rsidR="00D4450F" w:rsidRPr="00AF1481" w:rsidRDefault="00D4450F" w:rsidP="008C5949">
            <w:pPr>
              <w:pStyle w:val="TableText0"/>
            </w:pPr>
          </w:p>
          <w:p w14:paraId="191F2B12" w14:textId="77777777" w:rsidR="00A05AA6" w:rsidRDefault="00D4450F" w:rsidP="008C5949">
            <w:pPr>
              <w:pStyle w:val="TableText0"/>
            </w:pPr>
            <w:r w:rsidRPr="00AF1481">
              <w:t>Observed historical utilisation trend of ranibizumab and aflibercept 2 mg sourced from May 2018 DUSC report and faricimab DMO PSD, May 2022 PBAC meeting.</w:t>
            </w:r>
          </w:p>
          <w:p w14:paraId="7ED96572" w14:textId="5C3FDD71" w:rsidR="00D4450F" w:rsidRPr="00AF1481" w:rsidRDefault="00D4450F" w:rsidP="008C5949">
            <w:pPr>
              <w:pStyle w:val="TableText0"/>
            </w:pPr>
          </w:p>
          <w:p w14:paraId="7515CEB5" w14:textId="77777777" w:rsidR="00D4450F" w:rsidRPr="00AF1481" w:rsidRDefault="00D4450F" w:rsidP="008C5949">
            <w:pPr>
              <w:pStyle w:val="TableText0"/>
            </w:pPr>
            <w:r w:rsidRPr="00AF1481">
              <w:t>Distribution of initiation and continuation scripts for faricimab was estimated by adjusting historical aflibercept/ranibizumab utilisation using the dosing relativity between faricimab and aflibercept/ ranibizumab.</w:t>
            </w:r>
          </w:p>
        </w:tc>
        <w:tc>
          <w:tcPr>
            <w:tcW w:w="2904" w:type="dxa"/>
            <w:vAlign w:val="center"/>
          </w:tcPr>
          <w:p w14:paraId="60A7DF2D" w14:textId="3688F909" w:rsidR="00D4450F" w:rsidRPr="00AF1481" w:rsidRDefault="00D4450F" w:rsidP="008C5949">
            <w:pPr>
              <w:pStyle w:val="TableText0"/>
            </w:pPr>
            <w:r w:rsidRPr="00AF1481">
              <w:t>This approach accounts for the differences in dosing between faricimab and aflibercept/ranibizumab.</w:t>
            </w:r>
          </w:p>
        </w:tc>
      </w:tr>
      <w:tr w:rsidR="00D4450F" w:rsidRPr="00AF1481" w14:paraId="2A329DA3" w14:textId="77777777" w:rsidTr="00A618DC">
        <w:tc>
          <w:tcPr>
            <w:tcW w:w="8995" w:type="dxa"/>
            <w:gridSpan w:val="3"/>
            <w:vAlign w:val="center"/>
          </w:tcPr>
          <w:p w14:paraId="117AAC59" w14:textId="77777777" w:rsidR="00D4450F" w:rsidRPr="00AF1481" w:rsidRDefault="00D4450F" w:rsidP="008C5949">
            <w:pPr>
              <w:pStyle w:val="TableText0"/>
              <w:rPr>
                <w:b/>
              </w:rPr>
            </w:pPr>
            <w:r w:rsidRPr="00AF1481">
              <w:rPr>
                <w:b/>
              </w:rPr>
              <w:t>Anti-VEGF market with the listing of aflibercept 8 mg</w:t>
            </w:r>
          </w:p>
        </w:tc>
      </w:tr>
      <w:tr w:rsidR="00D4450F" w:rsidRPr="00AF1481" w14:paraId="39F9AD4E" w14:textId="77777777" w:rsidTr="00661641">
        <w:tc>
          <w:tcPr>
            <w:tcW w:w="1838" w:type="dxa"/>
            <w:vAlign w:val="center"/>
          </w:tcPr>
          <w:p w14:paraId="72D63EBE" w14:textId="77777777" w:rsidR="00D4450F" w:rsidRPr="00AF1481" w:rsidRDefault="00D4450F" w:rsidP="008C5949">
            <w:pPr>
              <w:pStyle w:val="TableText0"/>
            </w:pPr>
            <w:r w:rsidRPr="00AF1481">
              <w:t>Uptake rate (rate of substitution)</w:t>
            </w:r>
          </w:p>
        </w:tc>
        <w:tc>
          <w:tcPr>
            <w:tcW w:w="4253" w:type="dxa"/>
            <w:vAlign w:val="center"/>
          </w:tcPr>
          <w:p w14:paraId="2031F8A2" w14:textId="77777777" w:rsidR="00D4450F" w:rsidRPr="00AF1481" w:rsidRDefault="00D4450F" w:rsidP="008C5949">
            <w:pPr>
              <w:pStyle w:val="TableText0"/>
            </w:pPr>
            <w:r w:rsidRPr="00AF1481">
              <w:t>No direct substitution was assumed for ranibizumab.</w:t>
            </w:r>
          </w:p>
          <w:p w14:paraId="381C3133" w14:textId="204A3D8B" w:rsidR="00D4450F" w:rsidRPr="00AF1481" w:rsidRDefault="003912DB" w:rsidP="008C5949">
            <w:pPr>
              <w:pStyle w:val="TableText0"/>
            </w:pPr>
            <w:r w:rsidRPr="00AF1481">
              <w:t xml:space="preserve">Aflibercept 8 mg would substitute for </w:t>
            </w:r>
            <w:r w:rsidR="00BD1B38" w:rsidRPr="00BD1B38">
              <w:rPr>
                <w:color w:val="000000"/>
                <w:spacing w:val="53"/>
                <w:shd w:val="solid" w:color="000000" w:fill="000000"/>
                <w:fitText w:val="330" w:id="-931927283"/>
                <w14:textFill>
                  <w14:solidFill>
                    <w14:srgbClr w14:val="000000">
                      <w14:alpha w14:val="100000"/>
                    </w14:srgbClr>
                  </w14:solidFill>
                </w14:textFill>
              </w:rPr>
              <w:t>|||</w:t>
            </w:r>
            <w:r w:rsidR="00BD1B38" w:rsidRPr="00BD1B38">
              <w:rPr>
                <w:color w:val="000000"/>
                <w:spacing w:val="1"/>
                <w:shd w:val="solid" w:color="000000" w:fill="000000"/>
                <w:fitText w:val="330" w:id="-931927283"/>
                <w14:textFill>
                  <w14:solidFill>
                    <w14:srgbClr w14:val="000000">
                      <w14:alpha w14:val="100000"/>
                    </w14:srgbClr>
                  </w14:solidFill>
                </w14:textFill>
              </w:rPr>
              <w:t>|</w:t>
            </w:r>
            <w:r w:rsidRPr="00AF1481">
              <w:t xml:space="preserve">% of aflibercept 2 mg and faricimab scripts in Year 1, increasing to </w:t>
            </w:r>
            <w:r w:rsidR="00BD1B38" w:rsidRPr="00BD1B38">
              <w:rPr>
                <w:color w:val="000000"/>
                <w:spacing w:val="53"/>
                <w:shd w:val="solid" w:color="000000" w:fill="000000"/>
                <w:fitText w:val="330" w:id="-931927282"/>
                <w14:textFill>
                  <w14:solidFill>
                    <w14:srgbClr w14:val="000000">
                      <w14:alpha w14:val="100000"/>
                    </w14:srgbClr>
                  </w14:solidFill>
                </w14:textFill>
              </w:rPr>
              <w:t>|||</w:t>
            </w:r>
            <w:r w:rsidR="00BD1B38" w:rsidRPr="00BD1B38">
              <w:rPr>
                <w:color w:val="000000"/>
                <w:spacing w:val="1"/>
                <w:shd w:val="solid" w:color="000000" w:fill="000000"/>
                <w:fitText w:val="330" w:id="-931927282"/>
                <w14:textFill>
                  <w14:solidFill>
                    <w14:srgbClr w14:val="000000">
                      <w14:alpha w14:val="100000"/>
                    </w14:srgbClr>
                  </w14:solidFill>
                </w14:textFill>
              </w:rPr>
              <w:t>|</w:t>
            </w:r>
            <w:r w:rsidRPr="00AF1481">
              <w:t xml:space="preserve">% of aflibercept </w:t>
            </w:r>
            <w:r w:rsidR="00292B32" w:rsidRPr="00AF1481">
              <w:t>2</w:t>
            </w:r>
            <w:r w:rsidRPr="00AF1481">
              <w:t xml:space="preserve"> mg scripts and </w:t>
            </w:r>
            <w:r w:rsidR="00BD1B38" w:rsidRPr="00BD1B38">
              <w:rPr>
                <w:color w:val="000000"/>
                <w:spacing w:val="53"/>
                <w:shd w:val="solid" w:color="000000" w:fill="000000"/>
                <w:fitText w:val="330" w:id="-931927281"/>
                <w14:textFill>
                  <w14:solidFill>
                    <w14:srgbClr w14:val="000000">
                      <w14:alpha w14:val="100000"/>
                    </w14:srgbClr>
                  </w14:solidFill>
                </w14:textFill>
              </w:rPr>
              <w:t>|||</w:t>
            </w:r>
            <w:r w:rsidR="00BD1B38" w:rsidRPr="00BD1B38">
              <w:rPr>
                <w:color w:val="000000"/>
                <w:spacing w:val="1"/>
                <w:shd w:val="solid" w:color="000000" w:fill="000000"/>
                <w:fitText w:val="330" w:id="-931927281"/>
                <w14:textFill>
                  <w14:solidFill>
                    <w14:srgbClr w14:val="000000">
                      <w14:alpha w14:val="100000"/>
                    </w14:srgbClr>
                  </w14:solidFill>
                </w14:textFill>
              </w:rPr>
              <w:t>|</w:t>
            </w:r>
            <w:r w:rsidRPr="00AF1481">
              <w:t>% of faricimab scripts in Year 6.</w:t>
            </w:r>
          </w:p>
        </w:tc>
        <w:tc>
          <w:tcPr>
            <w:tcW w:w="2904" w:type="dxa"/>
            <w:vAlign w:val="center"/>
          </w:tcPr>
          <w:p w14:paraId="37184AC8" w14:textId="0E7AD743" w:rsidR="00D4450F" w:rsidRPr="00AF1481" w:rsidRDefault="000A2A36" w:rsidP="008C5949">
            <w:pPr>
              <w:pStyle w:val="TableText0"/>
              <w:rPr>
                <w:i/>
              </w:rPr>
            </w:pPr>
            <w:r w:rsidRPr="00AF1481">
              <w:rPr>
                <w:iCs/>
              </w:rPr>
              <w:t>The ESC considered that the uptake of aflibercept 8 mg and substitution of other VEGF-I including aflibercept 2 mg and faricimab was uncertain. The ESC considered that substitution rates may be higher and that this would result in a higher cost to the PBS/RPBS due to the need for additional loading doses.</w:t>
            </w:r>
          </w:p>
        </w:tc>
      </w:tr>
      <w:tr w:rsidR="00D4450F" w:rsidRPr="00AF1481" w14:paraId="310E4710" w14:textId="77777777" w:rsidTr="00661641">
        <w:tc>
          <w:tcPr>
            <w:tcW w:w="1838" w:type="dxa"/>
            <w:vAlign w:val="center"/>
          </w:tcPr>
          <w:p w14:paraId="3A7A4A39" w14:textId="77777777" w:rsidR="00D4450F" w:rsidRPr="00AF1481" w:rsidRDefault="00D4450F" w:rsidP="008C5949">
            <w:pPr>
              <w:pStyle w:val="TableText0"/>
            </w:pPr>
            <w:r w:rsidRPr="00AF1481">
              <w:t>Distribution of treatment type (initiation/ continuation)</w:t>
            </w:r>
          </w:p>
        </w:tc>
        <w:tc>
          <w:tcPr>
            <w:tcW w:w="4253" w:type="dxa"/>
            <w:vAlign w:val="center"/>
          </w:tcPr>
          <w:p w14:paraId="007E5217" w14:textId="77777777" w:rsidR="00D4450F" w:rsidRPr="00AF1481" w:rsidRDefault="00D4450F" w:rsidP="008C5949">
            <w:pPr>
              <w:pStyle w:val="TableText0"/>
            </w:pPr>
            <w:r w:rsidRPr="00AF1481">
              <w:t>Aflibercept 8 mg: starting with initiation/continuation split of 77%/23% in Year 1 and declining to 38%/62% from Year 4</w:t>
            </w:r>
          </w:p>
          <w:p w14:paraId="091FE69E" w14:textId="77777777" w:rsidR="00D4450F" w:rsidRPr="00AF1481" w:rsidDel="002C5A06" w:rsidRDefault="00D4450F" w:rsidP="008C5949">
            <w:pPr>
              <w:pStyle w:val="TableText0"/>
            </w:pPr>
            <w:r w:rsidRPr="00AF1481">
              <w:t>Observed historical utilisation trend of ranibizumab and aflibercept 2 mg sourced from May 2018 DUSC report and faricimab DMO PSD, May 2022 PBAC meeting</w:t>
            </w:r>
          </w:p>
        </w:tc>
        <w:tc>
          <w:tcPr>
            <w:tcW w:w="2904" w:type="dxa"/>
            <w:vAlign w:val="center"/>
          </w:tcPr>
          <w:p w14:paraId="27DEFFF6" w14:textId="3738BF12" w:rsidR="00D4450F" w:rsidRPr="00AF1481" w:rsidRDefault="00D4450F" w:rsidP="008C5949">
            <w:pPr>
              <w:pStyle w:val="TableText0"/>
            </w:pPr>
          </w:p>
        </w:tc>
      </w:tr>
      <w:tr w:rsidR="00D4450F" w:rsidRPr="00AF1481" w14:paraId="54DC0D69" w14:textId="77777777" w:rsidTr="00815375">
        <w:trPr>
          <w:trHeight w:val="1065"/>
        </w:trPr>
        <w:tc>
          <w:tcPr>
            <w:tcW w:w="1838" w:type="dxa"/>
            <w:vAlign w:val="center"/>
          </w:tcPr>
          <w:p w14:paraId="0BC905F9" w14:textId="77777777" w:rsidR="00D4450F" w:rsidRPr="00AF1481" w:rsidRDefault="00D4450F" w:rsidP="008C5949">
            <w:pPr>
              <w:pStyle w:val="TableText0"/>
            </w:pPr>
            <w:r w:rsidRPr="00AF1481">
              <w:t>Script equivalence</w:t>
            </w:r>
          </w:p>
        </w:tc>
        <w:tc>
          <w:tcPr>
            <w:tcW w:w="4253" w:type="dxa"/>
            <w:vAlign w:val="center"/>
          </w:tcPr>
          <w:p w14:paraId="08F5E828" w14:textId="77777777" w:rsidR="00A05AA6" w:rsidRDefault="00D4450F" w:rsidP="008C5949">
            <w:pPr>
              <w:pStyle w:val="TableText0"/>
            </w:pPr>
            <w:r w:rsidRPr="00AF1481">
              <w:t>Aflibercept 2 mg</w:t>
            </w:r>
          </w:p>
          <w:p w14:paraId="39F6D26C" w14:textId="5BC3FE0C" w:rsidR="00D4450F" w:rsidRPr="00AF1481" w:rsidRDefault="00453675" w:rsidP="008C5949">
            <w:pPr>
              <w:pStyle w:val="TableText0"/>
            </w:pPr>
            <w:r w:rsidRPr="00AF1481">
              <w:t>Initial scripts: 1:1; Continuing scripts: 0.75; Continuing scripts to initial scripts: 2.27</w:t>
            </w:r>
          </w:p>
          <w:p w14:paraId="647F51D2" w14:textId="77777777" w:rsidR="00A05AA6" w:rsidRDefault="00D4450F" w:rsidP="008C5949">
            <w:pPr>
              <w:pStyle w:val="TableText0"/>
            </w:pPr>
            <w:r w:rsidRPr="00AF1481">
              <w:t>Faricimab</w:t>
            </w:r>
          </w:p>
          <w:p w14:paraId="4CF35AD4" w14:textId="5CD7F92E" w:rsidR="00D4450F" w:rsidRPr="00AF1481" w:rsidRDefault="00453675" w:rsidP="008C5949">
            <w:pPr>
              <w:pStyle w:val="TableText0"/>
            </w:pPr>
            <w:r w:rsidRPr="00AF1481">
              <w:t>Initial scripts: 1:1; Continuing scripts: 0.84; Continuing scripts to initial scripts: 2.56</w:t>
            </w:r>
          </w:p>
        </w:tc>
        <w:tc>
          <w:tcPr>
            <w:tcW w:w="2904" w:type="dxa"/>
            <w:vAlign w:val="center"/>
          </w:tcPr>
          <w:p w14:paraId="768DF697" w14:textId="77777777" w:rsidR="00D4450F" w:rsidRPr="00AF1481" w:rsidRDefault="00453675" w:rsidP="008C5949">
            <w:pPr>
              <w:pStyle w:val="TableText0"/>
              <w:rPr>
                <w:iCs/>
              </w:rPr>
            </w:pPr>
            <w:r w:rsidRPr="00AF1481">
              <w:rPr>
                <w:iCs/>
              </w:rPr>
              <w:t>Using equi-effective dose proposed in pre-PBAC response</w:t>
            </w:r>
            <w:r w:rsidR="00121A2B" w:rsidRPr="00AF1481">
              <w:rPr>
                <w:iCs/>
              </w:rPr>
              <w:t xml:space="preserve"> and information from faricimab PSD (May 2022 PBAC meeting)</w:t>
            </w:r>
          </w:p>
          <w:p w14:paraId="7DC1A838" w14:textId="77777777" w:rsidR="00D96D8E" w:rsidRPr="00AF1481" w:rsidRDefault="00D96D8E" w:rsidP="00D96D8E">
            <w:pPr>
              <w:jc w:val="left"/>
              <w:rPr>
                <w:rFonts w:ascii="Arial Narrow" w:eastAsiaTheme="majorEastAsia" w:hAnsi="Arial Narrow" w:cstheme="majorBidi"/>
                <w:bCs/>
                <w:iCs/>
                <w:sz w:val="20"/>
              </w:rPr>
            </w:pPr>
          </w:p>
          <w:p w14:paraId="2C5A3CF3" w14:textId="7D92A49A" w:rsidR="00D96D8E" w:rsidRPr="00AF1481" w:rsidRDefault="00D96D8E" w:rsidP="00D96D8E">
            <w:pPr>
              <w:jc w:val="left"/>
              <w:rPr>
                <w:rFonts w:ascii="Arial Narrow" w:eastAsiaTheme="majorEastAsia" w:hAnsi="Arial Narrow" w:cstheme="majorBidi"/>
                <w:bCs/>
                <w:iCs/>
                <w:sz w:val="20"/>
              </w:rPr>
            </w:pPr>
            <w:r w:rsidRPr="00AF1481">
              <w:rPr>
                <w:rFonts w:ascii="Arial Narrow" w:eastAsiaTheme="majorEastAsia" w:hAnsi="Arial Narrow" w:cstheme="majorBidi"/>
                <w:bCs/>
                <w:iCs/>
                <w:sz w:val="20"/>
              </w:rPr>
              <w:t xml:space="preserve">The PBAC noted the financial estimates assumed there would be fewer continuing aflibercept 8 mg scripts relative to faricimab even </w:t>
            </w:r>
            <w:r w:rsidRPr="00AF1481">
              <w:rPr>
                <w:rFonts w:ascii="Arial Narrow" w:eastAsiaTheme="majorEastAsia" w:hAnsi="Arial Narrow" w:cstheme="majorBidi"/>
                <w:bCs/>
                <w:iCs/>
                <w:sz w:val="20"/>
              </w:rPr>
              <w:lastRenderedPageBreak/>
              <w:t>though the maximum dosing interval is the same (16 weeks).</w:t>
            </w:r>
          </w:p>
          <w:p w14:paraId="2EF0543A" w14:textId="2223CEE0" w:rsidR="00D96D8E" w:rsidRPr="00AF1481" w:rsidRDefault="00D96D8E" w:rsidP="008C5949">
            <w:pPr>
              <w:pStyle w:val="TableText0"/>
              <w:rPr>
                <w:iCs/>
              </w:rPr>
            </w:pPr>
          </w:p>
        </w:tc>
      </w:tr>
      <w:tr w:rsidR="00D4450F" w:rsidRPr="00AF1481" w14:paraId="2B69A496" w14:textId="77777777" w:rsidTr="00661641">
        <w:tc>
          <w:tcPr>
            <w:tcW w:w="1838" w:type="dxa"/>
            <w:vAlign w:val="center"/>
          </w:tcPr>
          <w:p w14:paraId="18FB54E8" w14:textId="77777777" w:rsidR="00D4450F" w:rsidRPr="00AF1481" w:rsidRDefault="00D4450F" w:rsidP="008C5949">
            <w:pPr>
              <w:pStyle w:val="TableText0"/>
            </w:pPr>
            <w:r w:rsidRPr="00AF1481">
              <w:lastRenderedPageBreak/>
              <w:t>Number of scripts estimated for aflibercept 8 mg</w:t>
            </w:r>
          </w:p>
        </w:tc>
        <w:tc>
          <w:tcPr>
            <w:tcW w:w="4253" w:type="dxa"/>
            <w:vAlign w:val="center"/>
          </w:tcPr>
          <w:p w14:paraId="7CF50100" w14:textId="15179331" w:rsidR="00D4450F" w:rsidRPr="00AF1481" w:rsidRDefault="00D4450F" w:rsidP="008C5949">
            <w:pPr>
              <w:pStyle w:val="TableText0"/>
            </w:pPr>
            <w:r w:rsidRPr="00AF1481">
              <w:t xml:space="preserve">From 10,430 in Year 1 to </w:t>
            </w:r>
            <w:r w:rsidR="00815375" w:rsidRPr="00AF1481">
              <w:t>61,682</w:t>
            </w:r>
            <w:r w:rsidRPr="00AF1481">
              <w:t xml:space="preserve"> in Year 6</w:t>
            </w:r>
          </w:p>
          <w:p w14:paraId="5E344A18" w14:textId="0DE4BB56" w:rsidR="00D4450F" w:rsidRPr="00AF1481" w:rsidRDefault="00D4450F" w:rsidP="008C5949">
            <w:pPr>
              <w:pStyle w:val="TableText0"/>
            </w:pPr>
            <w:r w:rsidRPr="00AF1481">
              <w:t xml:space="preserve">Calculated as the sum of the projected scripts uptake from aflibercept 2 mg and faricimab per distribution of treatment type. </w:t>
            </w:r>
          </w:p>
        </w:tc>
        <w:tc>
          <w:tcPr>
            <w:tcW w:w="2904" w:type="dxa"/>
            <w:vAlign w:val="center"/>
          </w:tcPr>
          <w:p w14:paraId="170B668B" w14:textId="5DAED3A8" w:rsidR="00D4450F" w:rsidRPr="00AF1481" w:rsidRDefault="00D4450F" w:rsidP="008C5949">
            <w:pPr>
              <w:pStyle w:val="TableText0"/>
              <w:rPr>
                <w:iCs/>
              </w:rPr>
            </w:pPr>
          </w:p>
        </w:tc>
      </w:tr>
      <w:tr w:rsidR="00D4450F" w:rsidRPr="00AF1481" w14:paraId="20DDCB0F" w14:textId="77777777" w:rsidTr="00A618DC">
        <w:tc>
          <w:tcPr>
            <w:tcW w:w="8995" w:type="dxa"/>
            <w:gridSpan w:val="3"/>
            <w:vAlign w:val="center"/>
          </w:tcPr>
          <w:p w14:paraId="0EDBC9EA" w14:textId="77777777" w:rsidR="00D4450F" w:rsidRPr="00AF1481" w:rsidRDefault="00D4450F" w:rsidP="008C5949">
            <w:pPr>
              <w:pStyle w:val="TableText0"/>
              <w:rPr>
                <w:b/>
              </w:rPr>
            </w:pPr>
            <w:r w:rsidRPr="00AF1481">
              <w:rPr>
                <w:b/>
              </w:rPr>
              <w:t>Costs</w:t>
            </w:r>
          </w:p>
        </w:tc>
      </w:tr>
      <w:tr w:rsidR="00D4450F" w:rsidRPr="00AF1481" w14:paraId="31E8D901" w14:textId="77777777" w:rsidTr="00661641">
        <w:tc>
          <w:tcPr>
            <w:tcW w:w="1838" w:type="dxa"/>
            <w:vAlign w:val="center"/>
          </w:tcPr>
          <w:p w14:paraId="77C3C900" w14:textId="77777777" w:rsidR="00D4450F" w:rsidRPr="00AF1481" w:rsidRDefault="00D4450F" w:rsidP="008C5949">
            <w:pPr>
              <w:pStyle w:val="TableText0"/>
            </w:pPr>
            <w:r w:rsidRPr="00AF1481">
              <w:t>Aflibercept 8 mg</w:t>
            </w:r>
          </w:p>
        </w:tc>
        <w:tc>
          <w:tcPr>
            <w:tcW w:w="4253" w:type="dxa"/>
            <w:vAlign w:val="center"/>
          </w:tcPr>
          <w:p w14:paraId="65153B68" w14:textId="77777777" w:rsidR="00A05AA6" w:rsidRDefault="00D4450F" w:rsidP="008C5949">
            <w:pPr>
              <w:pStyle w:val="TableText0"/>
            </w:pPr>
            <w:r w:rsidRPr="00AF1481">
              <w:t>Effective</w:t>
            </w:r>
            <w:r w:rsidR="00121A2B" w:rsidRPr="00AF1481">
              <w:t xml:space="preserve"> price</w:t>
            </w:r>
          </w:p>
          <w:p w14:paraId="66619F6E" w14:textId="5DFF0FB0" w:rsidR="00D4450F" w:rsidRPr="00AF1481" w:rsidRDefault="00121A2B" w:rsidP="008C5949">
            <w:pPr>
              <w:pStyle w:val="TableText0"/>
            </w:pPr>
            <w:r w:rsidRPr="00AF1481">
              <w:t xml:space="preserve">DPMQ: </w:t>
            </w:r>
            <w:r w:rsidR="00D4450F" w:rsidRPr="00AF1481">
              <w:t>$</w:t>
            </w:r>
            <w:r w:rsidR="00BD1B38" w:rsidRPr="00BD1B38">
              <w:rPr>
                <w:color w:val="000000"/>
                <w:spacing w:val="53"/>
                <w:shd w:val="solid" w:color="000000" w:fill="000000"/>
                <w:fitText w:val="330" w:id="-931927040"/>
                <w14:textFill>
                  <w14:solidFill>
                    <w14:srgbClr w14:val="000000">
                      <w14:alpha w14:val="100000"/>
                    </w14:srgbClr>
                  </w14:solidFill>
                </w14:textFill>
              </w:rPr>
              <w:t>|||</w:t>
            </w:r>
            <w:r w:rsidR="00BD1B38" w:rsidRPr="00BD1B38">
              <w:rPr>
                <w:color w:val="000000"/>
                <w:spacing w:val="1"/>
                <w:shd w:val="solid" w:color="000000" w:fill="000000"/>
                <w:fitText w:val="330" w:id="-931927040"/>
                <w14:textFill>
                  <w14:solidFill>
                    <w14:srgbClr w14:val="000000">
                      <w14:alpha w14:val="100000"/>
                    </w14:srgbClr>
                  </w14:solidFill>
                </w14:textFill>
              </w:rPr>
              <w:t>|</w:t>
            </w:r>
          </w:p>
          <w:p w14:paraId="4A2E1B6C" w14:textId="5EB52F69" w:rsidR="00D4450F" w:rsidRPr="00AF1481" w:rsidRDefault="00121A2B" w:rsidP="008C5949">
            <w:pPr>
              <w:pStyle w:val="TableText0"/>
            </w:pPr>
            <w:r w:rsidRPr="00AF1481">
              <w:t>EMP: $</w:t>
            </w:r>
            <w:r w:rsidR="00BD1B38" w:rsidRPr="00BD1B38">
              <w:rPr>
                <w:color w:val="000000"/>
                <w:spacing w:val="53"/>
                <w:shd w:val="solid" w:color="000000" w:fill="000000"/>
                <w:fitText w:val="330" w:id="-931927039"/>
                <w14:textFill>
                  <w14:solidFill>
                    <w14:srgbClr w14:val="000000">
                      <w14:alpha w14:val="100000"/>
                    </w14:srgbClr>
                  </w14:solidFill>
                </w14:textFill>
              </w:rPr>
              <w:t>|||</w:t>
            </w:r>
            <w:r w:rsidR="00BD1B38" w:rsidRPr="00BD1B38">
              <w:rPr>
                <w:color w:val="000000"/>
                <w:spacing w:val="1"/>
                <w:shd w:val="solid" w:color="000000" w:fill="000000"/>
                <w:fitText w:val="330" w:id="-931927039"/>
                <w14:textFill>
                  <w14:solidFill>
                    <w14:srgbClr w14:val="000000">
                      <w14:alpha w14:val="100000"/>
                    </w14:srgbClr>
                  </w14:solidFill>
                </w14:textFill>
              </w:rPr>
              <w:t>|</w:t>
            </w:r>
          </w:p>
        </w:tc>
        <w:tc>
          <w:tcPr>
            <w:tcW w:w="2904" w:type="dxa"/>
            <w:vAlign w:val="center"/>
          </w:tcPr>
          <w:p w14:paraId="65DEDD9E" w14:textId="51491531" w:rsidR="00D4450F" w:rsidRPr="00AF1481" w:rsidRDefault="003912DB" w:rsidP="008C5949">
            <w:pPr>
              <w:pStyle w:val="TableText0"/>
            </w:pPr>
            <w:r w:rsidRPr="00AF1481">
              <w:rPr>
                <w:iCs/>
              </w:rPr>
              <w:t>Effective</w:t>
            </w:r>
            <w:r w:rsidR="00121A2B" w:rsidRPr="00AF1481">
              <w:rPr>
                <w:iCs/>
              </w:rPr>
              <w:t xml:space="preserve"> </w:t>
            </w:r>
            <w:r w:rsidRPr="00AF1481">
              <w:rPr>
                <w:iCs/>
              </w:rPr>
              <w:t xml:space="preserve">price proposed in pre-PBAC response </w:t>
            </w:r>
          </w:p>
        </w:tc>
      </w:tr>
      <w:tr w:rsidR="00D4450F" w:rsidRPr="00AF1481" w14:paraId="648FFE5C" w14:textId="77777777" w:rsidTr="00661641">
        <w:tc>
          <w:tcPr>
            <w:tcW w:w="1838" w:type="dxa"/>
            <w:vAlign w:val="center"/>
          </w:tcPr>
          <w:p w14:paraId="4CD9D6B3" w14:textId="77777777" w:rsidR="00D4450F" w:rsidRPr="00AF1481" w:rsidRDefault="00D4450F" w:rsidP="008C5949">
            <w:pPr>
              <w:pStyle w:val="TableText0"/>
            </w:pPr>
            <w:r w:rsidRPr="00AF1481">
              <w:t>Aflibercept 2 mg</w:t>
            </w:r>
          </w:p>
        </w:tc>
        <w:tc>
          <w:tcPr>
            <w:tcW w:w="4253" w:type="dxa"/>
            <w:vAlign w:val="center"/>
          </w:tcPr>
          <w:p w14:paraId="37EE1131" w14:textId="77777777" w:rsidR="00121A2B" w:rsidRPr="00AF1481" w:rsidRDefault="00D4450F" w:rsidP="008C5949">
            <w:pPr>
              <w:pStyle w:val="TableText0"/>
            </w:pPr>
            <w:r w:rsidRPr="00AF1481">
              <w:t>Effective</w:t>
            </w:r>
            <w:r w:rsidR="00121A2B" w:rsidRPr="00AF1481">
              <w:t xml:space="preserve"> price</w:t>
            </w:r>
          </w:p>
          <w:p w14:paraId="6FBACBEC" w14:textId="5A25CCAD" w:rsidR="00D4450F" w:rsidRPr="00AF1481" w:rsidRDefault="00121A2B" w:rsidP="008C5949">
            <w:pPr>
              <w:pStyle w:val="TableText0"/>
            </w:pPr>
            <w:r w:rsidRPr="00AF1481">
              <w:t>DPMQ:</w:t>
            </w:r>
            <w:r w:rsidR="00D4450F" w:rsidRPr="00AF1481">
              <w:t xml:space="preserve"> $</w:t>
            </w:r>
            <w:r w:rsidR="00BD1B38" w:rsidRPr="00BD1B38">
              <w:rPr>
                <w:color w:val="000000"/>
                <w:spacing w:val="53"/>
                <w:shd w:val="solid" w:color="000000" w:fill="000000"/>
                <w:fitText w:val="330" w:id="-931927038"/>
                <w14:textFill>
                  <w14:solidFill>
                    <w14:srgbClr w14:val="000000">
                      <w14:alpha w14:val="100000"/>
                    </w14:srgbClr>
                  </w14:solidFill>
                </w14:textFill>
              </w:rPr>
              <w:t>|||</w:t>
            </w:r>
            <w:r w:rsidR="00BD1B38" w:rsidRPr="00BD1B38">
              <w:rPr>
                <w:color w:val="000000"/>
                <w:spacing w:val="1"/>
                <w:shd w:val="solid" w:color="000000" w:fill="000000"/>
                <w:fitText w:val="330" w:id="-931927038"/>
                <w14:textFill>
                  <w14:solidFill>
                    <w14:srgbClr w14:val="000000">
                      <w14:alpha w14:val="100000"/>
                    </w14:srgbClr>
                  </w14:solidFill>
                </w14:textFill>
              </w:rPr>
              <w:t>|</w:t>
            </w:r>
          </w:p>
          <w:p w14:paraId="7BF8FD48" w14:textId="4870B16B" w:rsidR="00121A2B" w:rsidRPr="00AF1481" w:rsidRDefault="00121A2B" w:rsidP="008C5949">
            <w:pPr>
              <w:pStyle w:val="TableText0"/>
            </w:pPr>
            <w:r w:rsidRPr="00AF1481">
              <w:t>EMP: $</w:t>
            </w:r>
            <w:r w:rsidR="00BD1B38" w:rsidRPr="00BD1B38">
              <w:rPr>
                <w:color w:val="000000"/>
                <w:spacing w:val="53"/>
                <w:shd w:val="solid" w:color="000000" w:fill="000000"/>
                <w:fitText w:val="330" w:id="-931927037"/>
                <w14:textFill>
                  <w14:solidFill>
                    <w14:srgbClr w14:val="000000">
                      <w14:alpha w14:val="100000"/>
                    </w14:srgbClr>
                  </w14:solidFill>
                </w14:textFill>
              </w:rPr>
              <w:t>|||</w:t>
            </w:r>
            <w:r w:rsidR="00BD1B38" w:rsidRPr="00BD1B38">
              <w:rPr>
                <w:color w:val="000000"/>
                <w:spacing w:val="1"/>
                <w:shd w:val="solid" w:color="000000" w:fill="000000"/>
                <w:fitText w:val="330" w:id="-931927037"/>
                <w14:textFill>
                  <w14:solidFill>
                    <w14:srgbClr w14:val="000000">
                      <w14:alpha w14:val="100000"/>
                    </w14:srgbClr>
                  </w14:solidFill>
                </w14:textFill>
              </w:rPr>
              <w:t>|</w:t>
            </w:r>
          </w:p>
        </w:tc>
        <w:tc>
          <w:tcPr>
            <w:tcW w:w="2904" w:type="dxa"/>
            <w:vAlign w:val="center"/>
          </w:tcPr>
          <w:p w14:paraId="1A19A307" w14:textId="59C9DB27" w:rsidR="00D4450F" w:rsidRPr="00AF1481" w:rsidRDefault="00D4450F" w:rsidP="008C5949">
            <w:pPr>
              <w:pStyle w:val="TableText0"/>
              <w:rPr>
                <w:iCs/>
              </w:rPr>
            </w:pPr>
          </w:p>
        </w:tc>
      </w:tr>
      <w:tr w:rsidR="00D4450F" w:rsidRPr="00AF1481" w14:paraId="06FE5C89" w14:textId="77777777" w:rsidTr="00661641">
        <w:tc>
          <w:tcPr>
            <w:tcW w:w="1838" w:type="dxa"/>
            <w:vAlign w:val="center"/>
          </w:tcPr>
          <w:p w14:paraId="031DFFD1" w14:textId="77777777" w:rsidR="00D4450F" w:rsidRPr="00AF1481" w:rsidRDefault="00D4450F" w:rsidP="008C5949">
            <w:pPr>
              <w:pStyle w:val="TableText0"/>
            </w:pPr>
            <w:r w:rsidRPr="00AF1481">
              <w:t xml:space="preserve">Faricimab </w:t>
            </w:r>
          </w:p>
        </w:tc>
        <w:tc>
          <w:tcPr>
            <w:tcW w:w="4253" w:type="dxa"/>
            <w:vAlign w:val="center"/>
          </w:tcPr>
          <w:p w14:paraId="3FDF00E3" w14:textId="77777777" w:rsidR="00A05AA6" w:rsidRDefault="00121A2B" w:rsidP="008C5949">
            <w:pPr>
              <w:pStyle w:val="TableText0"/>
            </w:pPr>
            <w:r w:rsidRPr="00AF1481">
              <w:t>Assumed effective price</w:t>
            </w:r>
            <w:r w:rsidR="00A10699" w:rsidRPr="00AF1481">
              <w:t>:</w:t>
            </w:r>
          </w:p>
          <w:p w14:paraId="5A68929E" w14:textId="07F88E9B" w:rsidR="00D4450F" w:rsidRPr="00AF1481" w:rsidRDefault="00121A2B" w:rsidP="008C5949">
            <w:pPr>
              <w:pStyle w:val="TableText0"/>
            </w:pPr>
            <w:r w:rsidRPr="00AF1481">
              <w:t xml:space="preserve">DPMQ: </w:t>
            </w:r>
            <w:r w:rsidR="00A10699" w:rsidRPr="00AF1481">
              <w:t>$</w:t>
            </w:r>
            <w:r w:rsidR="00BD1B38" w:rsidRPr="00BD1B38">
              <w:rPr>
                <w:color w:val="000000"/>
                <w:spacing w:val="53"/>
                <w:shd w:val="solid" w:color="000000" w:fill="000000"/>
                <w:fitText w:val="330" w:id="-931927036"/>
                <w14:textFill>
                  <w14:solidFill>
                    <w14:srgbClr w14:val="000000">
                      <w14:alpha w14:val="100000"/>
                    </w14:srgbClr>
                  </w14:solidFill>
                </w14:textFill>
              </w:rPr>
              <w:t>|||</w:t>
            </w:r>
            <w:r w:rsidR="00BD1B38" w:rsidRPr="00BD1B38">
              <w:rPr>
                <w:color w:val="000000"/>
                <w:spacing w:val="1"/>
                <w:shd w:val="solid" w:color="000000" w:fill="000000"/>
                <w:fitText w:val="330" w:id="-931927036"/>
                <w14:textFill>
                  <w14:solidFill>
                    <w14:srgbClr w14:val="000000">
                      <w14:alpha w14:val="100000"/>
                    </w14:srgbClr>
                  </w14:solidFill>
                </w14:textFill>
              </w:rPr>
              <w:t>|</w:t>
            </w:r>
          </w:p>
          <w:p w14:paraId="150965C4" w14:textId="18A9BE4A" w:rsidR="00121A2B" w:rsidRPr="00AF1481" w:rsidRDefault="00121A2B" w:rsidP="008C5949">
            <w:pPr>
              <w:pStyle w:val="TableText0"/>
            </w:pPr>
            <w:r w:rsidRPr="00AF1481">
              <w:t>EMP: $</w:t>
            </w:r>
            <w:r w:rsidR="00BD1B38" w:rsidRPr="00A01F50">
              <w:rPr>
                <w:color w:val="000000"/>
                <w:spacing w:val="53"/>
                <w:shd w:val="solid" w:color="000000" w:fill="000000"/>
                <w:fitText w:val="330" w:id="-931927035"/>
                <w14:textFill>
                  <w14:solidFill>
                    <w14:srgbClr w14:val="000000">
                      <w14:alpha w14:val="100000"/>
                    </w14:srgbClr>
                  </w14:solidFill>
                </w14:textFill>
              </w:rPr>
              <w:t>|||</w:t>
            </w:r>
            <w:r w:rsidR="00BD1B38" w:rsidRPr="00A01F50">
              <w:rPr>
                <w:color w:val="000000"/>
                <w:spacing w:val="1"/>
                <w:shd w:val="solid" w:color="000000" w:fill="000000"/>
                <w:fitText w:val="330" w:id="-931927035"/>
                <w14:textFill>
                  <w14:solidFill>
                    <w14:srgbClr w14:val="000000">
                      <w14:alpha w14:val="100000"/>
                    </w14:srgbClr>
                  </w14:solidFill>
                </w14:textFill>
              </w:rPr>
              <w:t>|</w:t>
            </w:r>
          </w:p>
        </w:tc>
        <w:tc>
          <w:tcPr>
            <w:tcW w:w="2904" w:type="dxa"/>
            <w:vAlign w:val="center"/>
          </w:tcPr>
          <w:p w14:paraId="2491C34E" w14:textId="5CBAF6EA" w:rsidR="00D4450F" w:rsidRPr="00AF1481" w:rsidRDefault="00D4450F" w:rsidP="008C5949">
            <w:pPr>
              <w:pStyle w:val="TableText0"/>
              <w:rPr>
                <w:iCs/>
              </w:rPr>
            </w:pPr>
          </w:p>
        </w:tc>
      </w:tr>
      <w:tr w:rsidR="00D4450F" w:rsidRPr="00AF1481" w14:paraId="12F98C11" w14:textId="77777777" w:rsidTr="00661641">
        <w:tc>
          <w:tcPr>
            <w:tcW w:w="1838" w:type="dxa"/>
            <w:vAlign w:val="center"/>
          </w:tcPr>
          <w:p w14:paraId="67309509" w14:textId="77777777" w:rsidR="00D4450F" w:rsidRPr="00AF1481" w:rsidRDefault="00D4450F" w:rsidP="008C5949">
            <w:pPr>
              <w:pStyle w:val="TableText0"/>
            </w:pPr>
            <w:r w:rsidRPr="00AF1481">
              <w:t>Patient copayment</w:t>
            </w:r>
          </w:p>
        </w:tc>
        <w:tc>
          <w:tcPr>
            <w:tcW w:w="4253" w:type="dxa"/>
            <w:vAlign w:val="center"/>
          </w:tcPr>
          <w:p w14:paraId="4DD26CFC" w14:textId="77777777" w:rsidR="00D4450F" w:rsidRPr="00AF1481" w:rsidRDefault="00D4450F" w:rsidP="008C5949">
            <w:pPr>
              <w:pStyle w:val="TableText0"/>
            </w:pPr>
            <w:r w:rsidRPr="00AF1481">
              <w:t>PBS: $11.35</w:t>
            </w:r>
          </w:p>
          <w:p w14:paraId="1CABDCE9" w14:textId="77777777" w:rsidR="00D4450F" w:rsidRPr="00AF1481" w:rsidRDefault="00D4450F" w:rsidP="008C5949">
            <w:pPr>
              <w:pStyle w:val="TableText0"/>
            </w:pPr>
            <w:r w:rsidRPr="00AF1481">
              <w:t>RPBS: $7.12</w:t>
            </w:r>
          </w:p>
          <w:p w14:paraId="08469690" w14:textId="03CA9E2E" w:rsidR="00D4450F" w:rsidRPr="00AF1481" w:rsidRDefault="003912DB" w:rsidP="008C5949">
            <w:pPr>
              <w:pStyle w:val="TableText0"/>
            </w:pPr>
            <w:r w:rsidRPr="00AF1481">
              <w:t xml:space="preserve">Based on current use of aflibercept 2 mg and faricimab. </w:t>
            </w:r>
          </w:p>
        </w:tc>
        <w:tc>
          <w:tcPr>
            <w:tcW w:w="2904" w:type="dxa"/>
            <w:vAlign w:val="center"/>
          </w:tcPr>
          <w:p w14:paraId="170AC378" w14:textId="058E857D" w:rsidR="00D4450F" w:rsidRPr="00AF1481" w:rsidRDefault="00D4450F" w:rsidP="008C5949">
            <w:pPr>
              <w:pStyle w:val="TableText0"/>
            </w:pPr>
          </w:p>
        </w:tc>
      </w:tr>
      <w:tr w:rsidR="00D4450F" w:rsidRPr="00AF1481" w14:paraId="7F03342E" w14:textId="77777777" w:rsidTr="00661641">
        <w:tc>
          <w:tcPr>
            <w:tcW w:w="1838" w:type="dxa"/>
            <w:vAlign w:val="center"/>
          </w:tcPr>
          <w:p w14:paraId="0A7F27DE" w14:textId="77777777" w:rsidR="00D4450F" w:rsidRPr="00AF1481" w:rsidRDefault="00D4450F" w:rsidP="008C5949">
            <w:pPr>
              <w:pStyle w:val="TableText0"/>
            </w:pPr>
            <w:r w:rsidRPr="00AF1481">
              <w:t>MBS costs</w:t>
            </w:r>
          </w:p>
        </w:tc>
        <w:tc>
          <w:tcPr>
            <w:tcW w:w="4253" w:type="dxa"/>
            <w:vAlign w:val="center"/>
          </w:tcPr>
          <w:p w14:paraId="4B293242" w14:textId="11421537" w:rsidR="00D4450F" w:rsidRPr="00AF1481" w:rsidRDefault="00D4450F" w:rsidP="008C5949">
            <w:pPr>
              <w:pStyle w:val="TableText0"/>
            </w:pPr>
            <w:r w:rsidRPr="00AF1481">
              <w:t>$331.05</w:t>
            </w:r>
          </w:p>
          <w:p w14:paraId="0679FA2D" w14:textId="77777777" w:rsidR="00D4450F" w:rsidRPr="00AF1481" w:rsidRDefault="00D4450F" w:rsidP="008C5949">
            <w:pPr>
              <w:pStyle w:val="TableText0"/>
            </w:pPr>
            <w:r w:rsidRPr="00AF1481">
              <w:t>MBS item 42738</w:t>
            </w:r>
          </w:p>
        </w:tc>
        <w:tc>
          <w:tcPr>
            <w:tcW w:w="2904" w:type="dxa"/>
            <w:vAlign w:val="center"/>
          </w:tcPr>
          <w:p w14:paraId="107F4EEA" w14:textId="2C5BB20B" w:rsidR="00D4450F" w:rsidRPr="00AF1481" w:rsidRDefault="00BB4421" w:rsidP="008C5949">
            <w:pPr>
              <w:pStyle w:val="TableText0"/>
            </w:pPr>
            <w:r w:rsidRPr="00AF1481">
              <w:t>Cost was updated during evaluation</w:t>
            </w:r>
          </w:p>
        </w:tc>
      </w:tr>
    </w:tbl>
    <w:p w14:paraId="38F5CC5C" w14:textId="77777777" w:rsidR="00D4450F" w:rsidRPr="00AF1481" w:rsidRDefault="00D4450F" w:rsidP="00D4450F">
      <w:pPr>
        <w:pStyle w:val="FooterTableFigure"/>
      </w:pPr>
      <w:r w:rsidRPr="00AF1481">
        <w:t>Source: Table 4-1, p110; Table 4-3, p112; Table 4-4, p113; Table 4-9, p116; Table 4-11, p117; Table 4-13, p119; Table 4-14, p120, Table 4-16, p121 and Workbook ‘Aflibercept8mg_Section4_DMO_Nov2023’ of the submission.</w:t>
      </w:r>
    </w:p>
    <w:p w14:paraId="2DA871EE" w14:textId="740452C5" w:rsidR="001E13FD" w:rsidRPr="00197202" w:rsidRDefault="00121A2B" w:rsidP="00D4450F">
      <w:pPr>
        <w:pStyle w:val="FooterTableFigure"/>
      </w:pPr>
      <w:r w:rsidRPr="00AF1481">
        <w:t xml:space="preserve">DPMQ = dispensed price for maximum </w:t>
      </w:r>
      <w:r w:rsidR="0032281F" w:rsidRPr="00AF1481">
        <w:t>quantity</w:t>
      </w:r>
      <w:r w:rsidRPr="00AF1481">
        <w:t xml:space="preserve">; </w:t>
      </w:r>
      <w:r w:rsidR="00D4450F" w:rsidRPr="00AF1481">
        <w:t xml:space="preserve">DUSC = Drug Utilisation Sub Committee; </w:t>
      </w:r>
      <w:r w:rsidRPr="00AF1481">
        <w:t xml:space="preserve">EMP = ex-manufacturer price; </w:t>
      </w:r>
      <w:r w:rsidR="00D4450F" w:rsidRPr="00AF1481">
        <w:t>MBS = Medical Benefit Scheme; mg = milligram; PBAC = Pharmaceutical Benefit Advisory Committee</w:t>
      </w:r>
      <w:r w:rsidR="008D7F5C" w:rsidRPr="00AF1481">
        <w:t>;</w:t>
      </w:r>
      <w:r w:rsidR="00D4450F" w:rsidRPr="00AF1481">
        <w:t xml:space="preserve"> PBS = Pharmaceutical Benefit Scheme; PSD = Public Summary Document; RPBS = Repatriation Pharmaceutical Benefit Scheme; VEGF = Vascular Endothelial Growth Factor</w:t>
      </w:r>
    </w:p>
    <w:p w14:paraId="3724BF4A" w14:textId="77777777" w:rsidR="00A05AA6" w:rsidRDefault="00D4450F" w:rsidP="00D4450F">
      <w:pPr>
        <w:pStyle w:val="3-BodyText"/>
        <w:ind w:left="709" w:hanging="709"/>
      </w:pPr>
      <w:r w:rsidRPr="00AF1481">
        <w:t>The submission relied on a number of assumptions to derive the uptake rate for aflibercept 8 mg from aflibercept 2 mg and faricimab. Overall, the submission predicted that the introduction of aflibercept 8 mg into the current DMO market will result in 43% of all DMO patients receiving aflibercept 8 mg for PBS-subsidised anti-VEGF maintenance treatment in Year 6 of its listing.</w:t>
      </w:r>
    </w:p>
    <w:p w14:paraId="0ECBCB64" w14:textId="7C1266EA" w:rsidR="00D4450F" w:rsidRPr="00AF1481" w:rsidRDefault="00D4450F" w:rsidP="00D4450F">
      <w:pPr>
        <w:pStyle w:val="3-BodyText"/>
        <w:ind w:left="709" w:hanging="709"/>
      </w:pPr>
      <w:r w:rsidRPr="00AF1481">
        <w:t>The estimated utilisation and financial impact of listing aflibercept 8 mg</w:t>
      </w:r>
      <w:r w:rsidR="00815375" w:rsidRPr="00AF1481">
        <w:t>, with script equivalence being based on a maximum treatment interval for aflibercept 8 mg of 16</w:t>
      </w:r>
      <w:r w:rsidR="000C41A8">
        <w:t> </w:t>
      </w:r>
      <w:r w:rsidR="00815375" w:rsidRPr="00AF1481">
        <w:t>weeks</w:t>
      </w:r>
      <w:r w:rsidRPr="00AF1481">
        <w:t xml:space="preserve"> </w:t>
      </w:r>
      <w:r w:rsidR="009655F3" w:rsidRPr="00AF1481">
        <w:t xml:space="preserve">and </w:t>
      </w:r>
      <w:r w:rsidR="006E2985" w:rsidRPr="00AF1481">
        <w:t>using the</w:t>
      </w:r>
      <w:r w:rsidR="009655F3" w:rsidRPr="00AF1481">
        <w:t xml:space="preserve"> effective price for aflibercept 2 mg and </w:t>
      </w:r>
      <w:r w:rsidR="003912DB" w:rsidRPr="00AF1481">
        <w:t xml:space="preserve">the </w:t>
      </w:r>
      <w:r w:rsidR="006E2985" w:rsidRPr="00AF1481">
        <w:t>assumed effective price for faricimab</w:t>
      </w:r>
      <w:r w:rsidR="003912DB" w:rsidRPr="00AF1481">
        <w:t xml:space="preserve"> </w:t>
      </w:r>
      <w:r w:rsidR="00277A2F" w:rsidRPr="00AF1481">
        <w:t xml:space="preserve">is </w:t>
      </w:r>
      <w:r w:rsidRPr="00AF1481">
        <w:t xml:space="preserve">presented in </w:t>
      </w:r>
      <w:r w:rsidRPr="00AF1481">
        <w:fldChar w:fldCharType="begin"/>
      </w:r>
      <w:r w:rsidRPr="00AF1481">
        <w:instrText xml:space="preserve"> REF _Ref153953876 \h </w:instrText>
      </w:r>
      <w:r w:rsidRPr="00AF1481">
        <w:fldChar w:fldCharType="separate"/>
      </w:r>
      <w:r w:rsidR="009404AF" w:rsidRPr="00AF1481">
        <w:t xml:space="preserve">Table </w:t>
      </w:r>
      <w:r w:rsidR="009404AF">
        <w:rPr>
          <w:noProof/>
        </w:rPr>
        <w:t>14</w:t>
      </w:r>
      <w:r w:rsidRPr="00AF1481">
        <w:fldChar w:fldCharType="end"/>
      </w:r>
      <w:r w:rsidR="0045375F" w:rsidRPr="00AF1481">
        <w:t>.</w:t>
      </w:r>
    </w:p>
    <w:p w14:paraId="3B467EEA" w14:textId="7712D8C8" w:rsidR="00D4450F" w:rsidRPr="00AF1481" w:rsidRDefault="00D4450F" w:rsidP="00D4450F">
      <w:pPr>
        <w:pStyle w:val="Caption"/>
        <w:rPr>
          <w:rStyle w:val="CommentReference"/>
          <w:b/>
          <w:szCs w:val="24"/>
        </w:rPr>
      </w:pPr>
      <w:bookmarkStart w:id="103" w:name="_Ref153953876"/>
      <w:r w:rsidRPr="00AF1481">
        <w:lastRenderedPageBreak/>
        <w:t xml:space="preserve">Table </w:t>
      </w:r>
      <w:r w:rsidR="00393E69">
        <w:fldChar w:fldCharType="begin"/>
      </w:r>
      <w:r w:rsidR="00393E69">
        <w:instrText xml:space="preserve"> SEQ Table \* ARABIC </w:instrText>
      </w:r>
      <w:r w:rsidR="00393E69">
        <w:fldChar w:fldCharType="separate"/>
      </w:r>
      <w:r w:rsidR="009404AF">
        <w:rPr>
          <w:noProof/>
        </w:rPr>
        <w:t>14</w:t>
      </w:r>
      <w:r w:rsidR="00393E69">
        <w:fldChar w:fldCharType="end"/>
      </w:r>
      <w:bookmarkEnd w:id="103"/>
      <w:r w:rsidRPr="00AF1481">
        <w:rPr>
          <w:rStyle w:val="CommentReference"/>
          <w:b/>
          <w:szCs w:val="24"/>
        </w:rPr>
        <w:t>: Estimated use and financial implications (</w:t>
      </w:r>
      <w:r w:rsidR="003912DB" w:rsidRPr="00AF1481">
        <w:rPr>
          <w:rStyle w:val="CommentReference"/>
          <w:b/>
          <w:szCs w:val="24"/>
        </w:rPr>
        <w:t xml:space="preserve">effective price of aflibercept 2 mg and </w:t>
      </w:r>
      <w:r w:rsidR="0058515A" w:rsidRPr="00AF1481">
        <w:rPr>
          <w:rStyle w:val="CommentReference"/>
          <w:b/>
          <w:szCs w:val="24"/>
        </w:rPr>
        <w:t>assumed effective price</w:t>
      </w:r>
      <w:r w:rsidR="003912DB" w:rsidRPr="00AF1481">
        <w:rPr>
          <w:rStyle w:val="CommentReference"/>
          <w:b/>
          <w:szCs w:val="24"/>
        </w:rPr>
        <w:t xml:space="preserve"> for faricimab)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0"/>
        <w:gridCol w:w="1135"/>
        <w:gridCol w:w="1134"/>
        <w:gridCol w:w="1134"/>
        <w:gridCol w:w="1134"/>
        <w:gridCol w:w="1277"/>
        <w:gridCol w:w="1363"/>
      </w:tblGrid>
      <w:tr w:rsidR="0058515A" w:rsidRPr="00AF1481" w14:paraId="1EB45CCB" w14:textId="77777777" w:rsidTr="0058515A">
        <w:trPr>
          <w:tblHeader/>
        </w:trPr>
        <w:tc>
          <w:tcPr>
            <w:tcW w:w="1020" w:type="pct"/>
            <w:shd w:val="clear" w:color="auto" w:fill="auto"/>
            <w:vAlign w:val="center"/>
          </w:tcPr>
          <w:p w14:paraId="03812F0F" w14:textId="77777777" w:rsidR="0058515A" w:rsidRPr="00AF1481" w:rsidRDefault="0058515A" w:rsidP="0058515A">
            <w:pPr>
              <w:keepNext/>
              <w:jc w:val="center"/>
              <w:rPr>
                <w:rFonts w:ascii="Arial Narrow" w:eastAsiaTheme="majorEastAsia" w:hAnsi="Arial Narrow" w:cs="Times New Roman"/>
                <w:b/>
                <w:sz w:val="20"/>
              </w:rPr>
            </w:pPr>
          </w:p>
        </w:tc>
        <w:tc>
          <w:tcPr>
            <w:tcW w:w="629" w:type="pct"/>
            <w:shd w:val="clear" w:color="auto" w:fill="auto"/>
            <w:vAlign w:val="center"/>
          </w:tcPr>
          <w:p w14:paraId="0DF6FE5C" w14:textId="77777777" w:rsidR="0058515A" w:rsidRPr="00AF1481" w:rsidRDefault="0058515A" w:rsidP="0058515A">
            <w:pPr>
              <w:keepNext/>
              <w:jc w:val="center"/>
              <w:rPr>
                <w:rFonts w:ascii="Arial Narrow" w:eastAsiaTheme="majorEastAsia" w:hAnsi="Arial Narrow" w:cs="Times New Roman"/>
                <w:b/>
                <w:sz w:val="20"/>
              </w:rPr>
            </w:pPr>
            <w:r w:rsidRPr="00AF1481">
              <w:rPr>
                <w:rFonts w:ascii="Arial Narrow" w:eastAsiaTheme="majorEastAsia" w:hAnsi="Arial Narrow" w:cs="Times New Roman"/>
                <w:b/>
                <w:sz w:val="20"/>
              </w:rPr>
              <w:t>Year 1</w:t>
            </w:r>
          </w:p>
        </w:tc>
        <w:tc>
          <w:tcPr>
            <w:tcW w:w="629" w:type="pct"/>
            <w:shd w:val="clear" w:color="auto" w:fill="auto"/>
            <w:vAlign w:val="center"/>
          </w:tcPr>
          <w:p w14:paraId="5788D3D5" w14:textId="77777777" w:rsidR="0058515A" w:rsidRPr="00AF1481" w:rsidRDefault="0058515A" w:rsidP="0058515A">
            <w:pPr>
              <w:keepNext/>
              <w:jc w:val="center"/>
              <w:rPr>
                <w:rFonts w:ascii="Arial Narrow" w:eastAsiaTheme="majorEastAsia" w:hAnsi="Arial Narrow" w:cs="Times New Roman"/>
                <w:b/>
                <w:sz w:val="20"/>
              </w:rPr>
            </w:pPr>
            <w:r w:rsidRPr="00AF1481">
              <w:rPr>
                <w:rFonts w:ascii="Arial Narrow" w:eastAsiaTheme="majorEastAsia" w:hAnsi="Arial Narrow" w:cs="Times New Roman"/>
                <w:b/>
                <w:sz w:val="20"/>
              </w:rPr>
              <w:t>Year 2</w:t>
            </w:r>
          </w:p>
        </w:tc>
        <w:tc>
          <w:tcPr>
            <w:tcW w:w="629" w:type="pct"/>
            <w:shd w:val="clear" w:color="auto" w:fill="auto"/>
            <w:vAlign w:val="center"/>
          </w:tcPr>
          <w:p w14:paraId="37336600" w14:textId="77777777" w:rsidR="0058515A" w:rsidRPr="00AF1481" w:rsidRDefault="0058515A" w:rsidP="0058515A">
            <w:pPr>
              <w:keepNext/>
              <w:jc w:val="center"/>
              <w:rPr>
                <w:rFonts w:ascii="Arial Narrow" w:eastAsiaTheme="majorEastAsia" w:hAnsi="Arial Narrow" w:cs="Times New Roman"/>
                <w:b/>
                <w:sz w:val="20"/>
              </w:rPr>
            </w:pPr>
            <w:r w:rsidRPr="00AF1481">
              <w:rPr>
                <w:rFonts w:ascii="Arial Narrow" w:eastAsiaTheme="majorEastAsia" w:hAnsi="Arial Narrow" w:cs="Times New Roman"/>
                <w:b/>
                <w:sz w:val="20"/>
              </w:rPr>
              <w:t>Year 3</w:t>
            </w:r>
          </w:p>
        </w:tc>
        <w:tc>
          <w:tcPr>
            <w:tcW w:w="629" w:type="pct"/>
            <w:shd w:val="clear" w:color="auto" w:fill="auto"/>
            <w:vAlign w:val="center"/>
          </w:tcPr>
          <w:p w14:paraId="49DCDCC0" w14:textId="77777777" w:rsidR="0058515A" w:rsidRPr="00AF1481" w:rsidRDefault="0058515A" w:rsidP="0058515A">
            <w:pPr>
              <w:keepNext/>
              <w:jc w:val="center"/>
              <w:rPr>
                <w:rFonts w:ascii="Arial Narrow" w:eastAsiaTheme="majorEastAsia" w:hAnsi="Arial Narrow" w:cs="Times New Roman"/>
                <w:b/>
                <w:sz w:val="20"/>
              </w:rPr>
            </w:pPr>
            <w:r w:rsidRPr="00AF1481">
              <w:rPr>
                <w:rFonts w:ascii="Arial Narrow" w:eastAsiaTheme="majorEastAsia" w:hAnsi="Arial Narrow" w:cs="Times New Roman"/>
                <w:b/>
                <w:sz w:val="20"/>
              </w:rPr>
              <w:t>Year 4</w:t>
            </w:r>
          </w:p>
        </w:tc>
        <w:tc>
          <w:tcPr>
            <w:tcW w:w="708" w:type="pct"/>
            <w:shd w:val="clear" w:color="auto" w:fill="auto"/>
            <w:vAlign w:val="center"/>
          </w:tcPr>
          <w:p w14:paraId="390D87EB" w14:textId="77777777" w:rsidR="0058515A" w:rsidRPr="00AF1481" w:rsidRDefault="0058515A" w:rsidP="0058515A">
            <w:pPr>
              <w:keepNext/>
              <w:jc w:val="center"/>
              <w:rPr>
                <w:rFonts w:ascii="Arial Narrow" w:eastAsiaTheme="majorEastAsia" w:hAnsi="Arial Narrow" w:cs="Times New Roman"/>
                <w:b/>
                <w:sz w:val="20"/>
              </w:rPr>
            </w:pPr>
            <w:r w:rsidRPr="00AF1481">
              <w:rPr>
                <w:rFonts w:ascii="Arial Narrow" w:eastAsiaTheme="majorEastAsia" w:hAnsi="Arial Narrow" w:cs="Times New Roman"/>
                <w:b/>
                <w:sz w:val="20"/>
              </w:rPr>
              <w:t>Year 5</w:t>
            </w:r>
          </w:p>
        </w:tc>
        <w:tc>
          <w:tcPr>
            <w:tcW w:w="757" w:type="pct"/>
          </w:tcPr>
          <w:p w14:paraId="572417DD" w14:textId="77777777" w:rsidR="0058515A" w:rsidRPr="00AF1481" w:rsidRDefault="0058515A" w:rsidP="0058515A">
            <w:pPr>
              <w:keepNext/>
              <w:jc w:val="center"/>
              <w:rPr>
                <w:rFonts w:ascii="Arial Narrow" w:eastAsiaTheme="majorEastAsia" w:hAnsi="Arial Narrow" w:cs="Times New Roman"/>
                <w:b/>
                <w:sz w:val="20"/>
              </w:rPr>
            </w:pPr>
            <w:r w:rsidRPr="00AF1481">
              <w:rPr>
                <w:rFonts w:ascii="Arial Narrow" w:eastAsiaTheme="majorEastAsia" w:hAnsi="Arial Narrow" w:cs="Times New Roman"/>
                <w:b/>
                <w:sz w:val="20"/>
              </w:rPr>
              <w:t>Year 6</w:t>
            </w:r>
          </w:p>
        </w:tc>
      </w:tr>
      <w:tr w:rsidR="0058515A" w:rsidRPr="00AF1481" w14:paraId="4923CCE5" w14:textId="77777777" w:rsidTr="008C5949">
        <w:tc>
          <w:tcPr>
            <w:tcW w:w="5000" w:type="pct"/>
            <w:gridSpan w:val="7"/>
            <w:shd w:val="clear" w:color="auto" w:fill="auto"/>
            <w:vAlign w:val="center"/>
          </w:tcPr>
          <w:p w14:paraId="0858939E" w14:textId="77777777" w:rsidR="0058515A" w:rsidRPr="00AF1481" w:rsidRDefault="0058515A" w:rsidP="0058515A">
            <w:pPr>
              <w:keepNext/>
              <w:jc w:val="left"/>
              <w:rPr>
                <w:rFonts w:ascii="Arial Narrow" w:eastAsiaTheme="majorEastAsia" w:hAnsi="Arial Narrow" w:cs="Times New Roman"/>
                <w:b/>
                <w:bCs/>
                <w:color w:val="000000"/>
                <w:sz w:val="20"/>
              </w:rPr>
            </w:pPr>
            <w:r w:rsidRPr="00AF1481">
              <w:rPr>
                <w:rFonts w:ascii="Arial Narrow" w:eastAsiaTheme="majorEastAsia" w:hAnsi="Arial Narrow" w:cs="Times New Roman"/>
                <w:b/>
                <w:bCs/>
                <w:color w:val="000000"/>
                <w:sz w:val="20"/>
              </w:rPr>
              <w:t>Estimated extent of use of aflibercept 8 mg</w:t>
            </w:r>
          </w:p>
        </w:tc>
      </w:tr>
      <w:tr w:rsidR="0058515A" w:rsidRPr="00AF1481" w14:paraId="1B609CD5" w14:textId="77777777" w:rsidTr="0058515A">
        <w:tc>
          <w:tcPr>
            <w:tcW w:w="1020" w:type="pct"/>
            <w:shd w:val="clear" w:color="auto" w:fill="auto"/>
            <w:vAlign w:val="center"/>
          </w:tcPr>
          <w:p w14:paraId="7D784561" w14:textId="77777777" w:rsidR="0058515A" w:rsidRPr="00AF1481" w:rsidRDefault="0058515A" w:rsidP="0058515A">
            <w:pPr>
              <w:keepNext/>
              <w:jc w:val="left"/>
              <w:rPr>
                <w:rFonts w:ascii="Times" w:eastAsiaTheme="majorEastAsia" w:hAnsi="Times" w:cstheme="majorBidi"/>
                <w:bCs/>
                <w:sz w:val="20"/>
              </w:rPr>
            </w:pPr>
            <w:r w:rsidRPr="00AF1481">
              <w:rPr>
                <w:rFonts w:ascii="Arial Narrow" w:eastAsiaTheme="majorEastAsia" w:hAnsi="Arial Narrow" w:cstheme="majorBidi"/>
                <w:bCs/>
                <w:sz w:val="20"/>
              </w:rPr>
              <w:t>Number of scripts dispensed</w:t>
            </w:r>
          </w:p>
        </w:tc>
        <w:tc>
          <w:tcPr>
            <w:tcW w:w="629" w:type="pct"/>
            <w:shd w:val="clear" w:color="auto" w:fill="auto"/>
            <w:vAlign w:val="center"/>
          </w:tcPr>
          <w:p w14:paraId="0A0A926D" w14:textId="0775B8F3" w:rsidR="0058515A" w:rsidRPr="00FD014B" w:rsidRDefault="00BD1B38" w:rsidP="0058515A">
            <w:pPr>
              <w:keepNext/>
              <w:jc w:val="center"/>
              <w:rPr>
                <w:rFonts w:ascii="Arial Narrow" w:eastAsiaTheme="majorEastAsia" w:hAnsi="Arial Narrow" w:cstheme="majorBidi"/>
                <w:bCs/>
                <w:color w:val="000000"/>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4"/>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4"/>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4"/>
                <w14:textFill>
                  <w14:solidFill>
                    <w14:srgbClr w14:val="000000">
                      <w14:alpha w14:val="100000"/>
                    </w14:srgbClr>
                  </w14:solidFill>
                </w14:textFill>
              </w:rPr>
              <w:t xml:space="preserve">　</w:t>
            </w:r>
            <w:r w:rsidR="00BC10FE" w:rsidRPr="00FD014B">
              <w:rPr>
                <w:rFonts w:ascii="Arial Narrow" w:hAnsi="Arial Narrow"/>
                <w:sz w:val="20"/>
                <w:szCs w:val="20"/>
                <w:vertAlign w:val="superscript"/>
              </w:rPr>
              <w:t>1</w:t>
            </w:r>
          </w:p>
        </w:tc>
        <w:tc>
          <w:tcPr>
            <w:tcW w:w="629" w:type="pct"/>
            <w:shd w:val="clear" w:color="auto" w:fill="auto"/>
            <w:vAlign w:val="center"/>
          </w:tcPr>
          <w:p w14:paraId="52A0208F" w14:textId="51421228" w:rsidR="0058515A" w:rsidRPr="00FD014B" w:rsidRDefault="00BD1B38" w:rsidP="0058515A">
            <w:pPr>
              <w:keepNext/>
              <w:jc w:val="center"/>
              <w:rPr>
                <w:rFonts w:ascii="Arial Narrow" w:eastAsiaTheme="majorEastAsia" w:hAnsi="Arial Narrow" w:cstheme="majorBidi"/>
                <w:bCs/>
                <w:color w:val="000000"/>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3"/>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3"/>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3"/>
                <w14:textFill>
                  <w14:solidFill>
                    <w14:srgbClr w14:val="000000">
                      <w14:alpha w14:val="100000"/>
                    </w14:srgbClr>
                  </w14:solidFill>
                </w14:textFill>
              </w:rPr>
              <w:t xml:space="preserve">　</w:t>
            </w:r>
            <w:r w:rsidR="00BC10FE" w:rsidRPr="00FD014B">
              <w:rPr>
                <w:rFonts w:ascii="Arial Narrow" w:hAnsi="Arial Narrow"/>
                <w:sz w:val="20"/>
                <w:szCs w:val="20"/>
                <w:vertAlign w:val="superscript"/>
              </w:rPr>
              <w:t>2</w:t>
            </w:r>
          </w:p>
        </w:tc>
        <w:tc>
          <w:tcPr>
            <w:tcW w:w="629" w:type="pct"/>
            <w:shd w:val="clear" w:color="auto" w:fill="auto"/>
            <w:vAlign w:val="center"/>
          </w:tcPr>
          <w:p w14:paraId="640DFA4B" w14:textId="012EE06F" w:rsidR="0058515A" w:rsidRPr="00FD014B" w:rsidRDefault="00BD1B38" w:rsidP="0058515A">
            <w:pPr>
              <w:keepNext/>
              <w:jc w:val="center"/>
              <w:rPr>
                <w:rFonts w:ascii="Arial Narrow" w:eastAsiaTheme="majorEastAsia" w:hAnsi="Arial Narrow" w:cstheme="majorBidi"/>
                <w:bCs/>
                <w:color w:val="000000"/>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2"/>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2"/>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2"/>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2</w:t>
            </w:r>
          </w:p>
        </w:tc>
        <w:tc>
          <w:tcPr>
            <w:tcW w:w="629" w:type="pct"/>
            <w:shd w:val="clear" w:color="auto" w:fill="auto"/>
            <w:vAlign w:val="center"/>
          </w:tcPr>
          <w:p w14:paraId="0748021D" w14:textId="3B756EBA" w:rsidR="0058515A" w:rsidRPr="00FD014B" w:rsidRDefault="00BD1B38" w:rsidP="0058515A">
            <w:pPr>
              <w:keepNext/>
              <w:jc w:val="center"/>
              <w:rPr>
                <w:rFonts w:ascii="Arial Narrow" w:eastAsiaTheme="majorEastAsia" w:hAnsi="Arial Narrow" w:cstheme="majorBidi"/>
                <w:bCs/>
                <w:color w:val="000000"/>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1"/>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1"/>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1"/>
                <w14:textFill>
                  <w14:solidFill>
                    <w14:srgbClr w14:val="000000">
                      <w14:alpha w14:val="100000"/>
                    </w14:srgbClr>
                  </w14:solidFill>
                </w14:textFill>
              </w:rPr>
              <w:t xml:space="preserve">　</w:t>
            </w:r>
            <w:r w:rsidR="00BC10FE">
              <w:rPr>
                <w:rFonts w:ascii="Arial Narrow" w:hAnsi="Arial Narrow"/>
                <w:sz w:val="20"/>
                <w:szCs w:val="20"/>
                <w:vertAlign w:val="superscript"/>
              </w:rPr>
              <w:t>3</w:t>
            </w:r>
          </w:p>
        </w:tc>
        <w:tc>
          <w:tcPr>
            <w:tcW w:w="708" w:type="pct"/>
            <w:shd w:val="clear" w:color="auto" w:fill="auto"/>
            <w:vAlign w:val="center"/>
          </w:tcPr>
          <w:p w14:paraId="7085D777" w14:textId="0C6F26AF" w:rsidR="0058515A" w:rsidRPr="00FD014B" w:rsidRDefault="00BD1B38" w:rsidP="0058515A">
            <w:pPr>
              <w:keepNext/>
              <w:jc w:val="center"/>
              <w:rPr>
                <w:rFonts w:ascii="Arial Narrow" w:eastAsiaTheme="majorEastAsia" w:hAnsi="Arial Narrow" w:cstheme="majorBidi"/>
                <w:bCs/>
                <w:color w:val="000000"/>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4</w:t>
            </w:r>
          </w:p>
        </w:tc>
        <w:tc>
          <w:tcPr>
            <w:tcW w:w="757" w:type="pct"/>
            <w:vAlign w:val="center"/>
          </w:tcPr>
          <w:p w14:paraId="59A7F4A1" w14:textId="5E3665DF" w:rsidR="0058515A" w:rsidRPr="00FD014B" w:rsidRDefault="00BD1B38" w:rsidP="0058515A">
            <w:pPr>
              <w:keepNext/>
              <w:jc w:val="center"/>
              <w:rPr>
                <w:rFonts w:ascii="Arial Narrow" w:eastAsiaTheme="majorEastAsia" w:hAnsi="Arial Narrow" w:cstheme="majorBidi"/>
                <w:bCs/>
                <w:color w:val="000000"/>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6</w:t>
            </w:r>
          </w:p>
        </w:tc>
      </w:tr>
      <w:tr w:rsidR="0058515A" w:rsidRPr="00AF1481" w14:paraId="50C09B03" w14:textId="77777777" w:rsidTr="008C5949">
        <w:tc>
          <w:tcPr>
            <w:tcW w:w="5000" w:type="pct"/>
            <w:gridSpan w:val="7"/>
            <w:shd w:val="clear" w:color="auto" w:fill="auto"/>
            <w:vAlign w:val="center"/>
          </w:tcPr>
          <w:p w14:paraId="646D50C6" w14:textId="77777777" w:rsidR="0058515A" w:rsidRPr="00AF1481" w:rsidRDefault="0058515A" w:rsidP="0058515A">
            <w:pPr>
              <w:keepNext/>
              <w:jc w:val="left"/>
              <w:rPr>
                <w:rFonts w:ascii="Arial Narrow" w:eastAsiaTheme="majorEastAsia" w:hAnsi="Arial Narrow" w:cstheme="majorBidi"/>
                <w:b/>
                <w:bCs/>
                <w:sz w:val="20"/>
              </w:rPr>
            </w:pPr>
            <w:r w:rsidRPr="00AF1481">
              <w:rPr>
                <w:rFonts w:ascii="Arial Narrow" w:eastAsiaTheme="majorEastAsia" w:hAnsi="Arial Narrow" w:cstheme="majorBidi"/>
                <w:b/>
                <w:bCs/>
                <w:sz w:val="20"/>
              </w:rPr>
              <w:t>Estimated financial implications of aflibercept 8 mg</w:t>
            </w:r>
          </w:p>
        </w:tc>
      </w:tr>
      <w:tr w:rsidR="0058515A" w:rsidRPr="00AF1481" w14:paraId="3CFDBD43" w14:textId="77777777" w:rsidTr="0058515A">
        <w:tc>
          <w:tcPr>
            <w:tcW w:w="1020" w:type="pct"/>
            <w:shd w:val="clear" w:color="auto" w:fill="auto"/>
            <w:vAlign w:val="center"/>
          </w:tcPr>
          <w:p w14:paraId="0807AF30" w14:textId="77777777" w:rsidR="0058515A" w:rsidRPr="00AF1481" w:rsidRDefault="0058515A" w:rsidP="0058515A">
            <w:pPr>
              <w:keepNext/>
              <w:jc w:val="left"/>
              <w:rPr>
                <w:rFonts w:ascii="Arial Narrow" w:eastAsiaTheme="majorEastAsia" w:hAnsi="Arial Narrow" w:cstheme="majorBidi"/>
                <w:bCs/>
                <w:sz w:val="19"/>
                <w:szCs w:val="19"/>
              </w:rPr>
            </w:pPr>
            <w:r w:rsidRPr="00AF1481">
              <w:rPr>
                <w:rFonts w:ascii="Arial Narrow" w:eastAsiaTheme="majorEastAsia" w:hAnsi="Arial Narrow" w:cstheme="majorBidi"/>
                <w:bCs/>
                <w:sz w:val="19"/>
                <w:szCs w:val="19"/>
              </w:rPr>
              <w:t>Cost to PBS/RPBS less copayments</w:t>
            </w:r>
          </w:p>
        </w:tc>
        <w:tc>
          <w:tcPr>
            <w:tcW w:w="629" w:type="pct"/>
            <w:shd w:val="clear" w:color="auto" w:fill="auto"/>
            <w:vAlign w:val="center"/>
          </w:tcPr>
          <w:p w14:paraId="29D889E6" w14:textId="2B2547F4"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0"/>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0"/>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0"/>
                <w14:textFill>
                  <w14:solidFill>
                    <w14:srgbClr w14:val="000000">
                      <w14:alpha w14:val="100000"/>
                    </w14:srgbClr>
                  </w14:solidFill>
                </w14:textFill>
              </w:rPr>
              <w:t xml:space="preserve">　</w:t>
            </w:r>
            <w:r w:rsidR="00BC10FE" w:rsidRPr="00FD014B">
              <w:rPr>
                <w:rFonts w:ascii="Arial Narrow" w:hAnsi="Arial Narrow"/>
                <w:sz w:val="20"/>
                <w:szCs w:val="20"/>
                <w:vertAlign w:val="superscript"/>
              </w:rPr>
              <w:t>6</w:t>
            </w:r>
          </w:p>
        </w:tc>
        <w:tc>
          <w:tcPr>
            <w:tcW w:w="629" w:type="pct"/>
            <w:shd w:val="clear" w:color="auto" w:fill="auto"/>
            <w:vAlign w:val="center"/>
          </w:tcPr>
          <w:p w14:paraId="732EFEA3" w14:textId="5467FA00"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9"/>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9"/>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9"/>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vAlign w:val="center"/>
          </w:tcPr>
          <w:p w14:paraId="6CEBBB5B" w14:textId="6E896B5A"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8"/>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8"/>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8"/>
                <w14:textFill>
                  <w14:solidFill>
                    <w14:srgbClr w14:val="000000">
                      <w14:alpha w14:val="100000"/>
                    </w14:srgbClr>
                  </w14:solidFill>
                </w14:textFill>
              </w:rPr>
              <w:t xml:space="preserve">　</w:t>
            </w:r>
            <w:r w:rsidR="00BC10FE">
              <w:rPr>
                <w:rFonts w:ascii="Arial Narrow" w:hAnsi="Arial Narrow"/>
                <w:sz w:val="20"/>
                <w:szCs w:val="20"/>
                <w:vertAlign w:val="superscript"/>
              </w:rPr>
              <w:t>7</w:t>
            </w:r>
          </w:p>
        </w:tc>
        <w:tc>
          <w:tcPr>
            <w:tcW w:w="629" w:type="pct"/>
            <w:shd w:val="clear" w:color="auto" w:fill="auto"/>
            <w:vAlign w:val="center"/>
          </w:tcPr>
          <w:p w14:paraId="2A7F93E9" w14:textId="17EBA2A1"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7"/>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7"/>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7"/>
                <w14:textFill>
                  <w14:solidFill>
                    <w14:srgbClr w14:val="000000">
                      <w14:alpha w14:val="100000"/>
                    </w14:srgbClr>
                  </w14:solidFill>
                </w14:textFill>
              </w:rPr>
              <w:t xml:space="preserve">　</w:t>
            </w:r>
            <w:r w:rsidR="00BC10FE">
              <w:rPr>
                <w:rFonts w:ascii="Arial Narrow" w:hAnsi="Arial Narrow"/>
                <w:sz w:val="20"/>
                <w:szCs w:val="20"/>
                <w:vertAlign w:val="superscript"/>
              </w:rPr>
              <w:t>7</w:t>
            </w:r>
          </w:p>
        </w:tc>
        <w:tc>
          <w:tcPr>
            <w:tcW w:w="708" w:type="pct"/>
            <w:shd w:val="clear" w:color="auto" w:fill="auto"/>
            <w:vAlign w:val="center"/>
          </w:tcPr>
          <w:p w14:paraId="7B5A233D" w14:textId="62DDC893"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8</w:t>
            </w:r>
          </w:p>
        </w:tc>
        <w:tc>
          <w:tcPr>
            <w:tcW w:w="757" w:type="pct"/>
            <w:vAlign w:val="center"/>
          </w:tcPr>
          <w:p w14:paraId="4C06D3F2" w14:textId="33186DFD"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8</w:t>
            </w:r>
          </w:p>
        </w:tc>
      </w:tr>
      <w:tr w:rsidR="0058515A" w:rsidRPr="00AF1481" w14:paraId="10D42859" w14:textId="77777777" w:rsidTr="008C5949">
        <w:tc>
          <w:tcPr>
            <w:tcW w:w="5000" w:type="pct"/>
            <w:gridSpan w:val="7"/>
            <w:shd w:val="clear" w:color="auto" w:fill="auto"/>
            <w:vAlign w:val="center"/>
          </w:tcPr>
          <w:p w14:paraId="6D527EB7" w14:textId="77777777" w:rsidR="0058515A" w:rsidRPr="00AF1481" w:rsidRDefault="0058515A" w:rsidP="0058515A">
            <w:pPr>
              <w:keepNext/>
              <w:jc w:val="left"/>
              <w:rPr>
                <w:rFonts w:ascii="Arial Narrow" w:eastAsiaTheme="majorEastAsia" w:hAnsi="Arial Narrow" w:cstheme="majorBidi"/>
                <w:b/>
                <w:bCs/>
                <w:sz w:val="20"/>
              </w:rPr>
            </w:pPr>
            <w:r w:rsidRPr="00AF1481">
              <w:rPr>
                <w:rFonts w:ascii="Arial Narrow" w:eastAsiaTheme="majorEastAsia" w:hAnsi="Arial Narrow" w:cstheme="majorBidi"/>
                <w:b/>
                <w:bCs/>
                <w:sz w:val="20"/>
              </w:rPr>
              <w:t>Estimated financial implications for aflibercept 2 mg and faricimab</w:t>
            </w:r>
          </w:p>
        </w:tc>
      </w:tr>
      <w:tr w:rsidR="0058515A" w:rsidRPr="00AF1481" w14:paraId="0DB5F0AE" w14:textId="77777777" w:rsidTr="0058515A">
        <w:tc>
          <w:tcPr>
            <w:tcW w:w="1020" w:type="pct"/>
            <w:shd w:val="clear" w:color="auto" w:fill="auto"/>
            <w:vAlign w:val="center"/>
          </w:tcPr>
          <w:p w14:paraId="361C872B" w14:textId="77777777" w:rsidR="0058515A" w:rsidRPr="00AF1481" w:rsidRDefault="0058515A" w:rsidP="0058515A">
            <w:pPr>
              <w:keepNext/>
              <w:jc w:val="left"/>
              <w:rPr>
                <w:rFonts w:ascii="Arial Narrow" w:eastAsiaTheme="majorEastAsia" w:hAnsi="Arial Narrow" w:cstheme="majorBidi"/>
                <w:bCs/>
                <w:sz w:val="19"/>
                <w:szCs w:val="19"/>
              </w:rPr>
            </w:pPr>
            <w:r w:rsidRPr="00AF1481">
              <w:rPr>
                <w:rFonts w:ascii="Arial Narrow" w:eastAsiaTheme="majorEastAsia" w:hAnsi="Arial Narrow" w:cstheme="majorBidi"/>
                <w:bCs/>
                <w:sz w:val="19"/>
                <w:szCs w:val="19"/>
              </w:rPr>
              <w:t>Cost to PBS/RPBS less copayments</w:t>
            </w:r>
          </w:p>
        </w:tc>
        <w:tc>
          <w:tcPr>
            <w:tcW w:w="629" w:type="pct"/>
            <w:shd w:val="clear" w:color="auto" w:fill="auto"/>
            <w:vAlign w:val="center"/>
          </w:tcPr>
          <w:p w14:paraId="7F7A563B" w14:textId="0165A149"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6"/>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6"/>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6"/>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629" w:type="pct"/>
            <w:shd w:val="clear" w:color="auto" w:fill="auto"/>
            <w:vAlign w:val="center"/>
          </w:tcPr>
          <w:p w14:paraId="134B1EEE" w14:textId="06529BBC"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5"/>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5"/>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5"/>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629" w:type="pct"/>
            <w:shd w:val="clear" w:color="auto" w:fill="auto"/>
            <w:vAlign w:val="center"/>
          </w:tcPr>
          <w:p w14:paraId="43EE4FED" w14:textId="5D01464D"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4"/>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4"/>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4"/>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629" w:type="pct"/>
            <w:shd w:val="clear" w:color="auto" w:fill="auto"/>
            <w:vAlign w:val="center"/>
          </w:tcPr>
          <w:p w14:paraId="287D0B2B" w14:textId="10EED5F1"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40"/>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40"/>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40"/>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708" w:type="pct"/>
            <w:shd w:val="clear" w:color="auto" w:fill="auto"/>
            <w:vAlign w:val="center"/>
          </w:tcPr>
          <w:p w14:paraId="602242D1" w14:textId="755217A3"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9</w:t>
            </w:r>
          </w:p>
        </w:tc>
        <w:tc>
          <w:tcPr>
            <w:tcW w:w="757" w:type="pct"/>
            <w:vAlign w:val="center"/>
          </w:tcPr>
          <w:p w14:paraId="1D6A2FBC" w14:textId="4E958380"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9</w:t>
            </w:r>
          </w:p>
        </w:tc>
      </w:tr>
      <w:tr w:rsidR="0058515A" w:rsidRPr="00AF1481" w14:paraId="5DF2C365" w14:textId="77777777" w:rsidTr="008C5949">
        <w:tc>
          <w:tcPr>
            <w:tcW w:w="5000" w:type="pct"/>
            <w:gridSpan w:val="7"/>
            <w:shd w:val="clear" w:color="auto" w:fill="auto"/>
            <w:vAlign w:val="center"/>
          </w:tcPr>
          <w:p w14:paraId="17DEEB3A" w14:textId="77777777" w:rsidR="0058515A" w:rsidRPr="00AF1481" w:rsidRDefault="0058515A" w:rsidP="0058515A">
            <w:pPr>
              <w:keepNext/>
              <w:jc w:val="left"/>
              <w:rPr>
                <w:rFonts w:ascii="Arial Narrow" w:eastAsiaTheme="majorEastAsia" w:hAnsi="Arial Narrow" w:cstheme="majorBidi"/>
                <w:b/>
                <w:bCs/>
                <w:sz w:val="20"/>
              </w:rPr>
            </w:pPr>
            <w:r w:rsidRPr="00AF1481">
              <w:rPr>
                <w:rFonts w:ascii="Arial Narrow" w:eastAsiaTheme="majorEastAsia" w:hAnsi="Arial Narrow" w:cstheme="majorBidi"/>
                <w:b/>
                <w:bCs/>
                <w:sz w:val="20"/>
              </w:rPr>
              <w:t>Net financial implications</w:t>
            </w:r>
            <w:r w:rsidRPr="00AF1481">
              <w:rPr>
                <w:rFonts w:ascii="Arial Narrow" w:eastAsiaTheme="majorEastAsia" w:hAnsi="Arial Narrow" w:cstheme="majorBidi"/>
                <w:b/>
                <w:bCs/>
                <w:color w:val="4BACC6" w:themeColor="accent5"/>
                <w:sz w:val="20"/>
              </w:rPr>
              <w:t xml:space="preserve"> </w:t>
            </w:r>
          </w:p>
        </w:tc>
      </w:tr>
      <w:tr w:rsidR="0058515A" w:rsidRPr="00AF1481" w14:paraId="17A82AE2" w14:textId="77777777" w:rsidTr="0058515A">
        <w:tc>
          <w:tcPr>
            <w:tcW w:w="1020" w:type="pct"/>
            <w:shd w:val="clear" w:color="auto" w:fill="auto"/>
            <w:vAlign w:val="center"/>
          </w:tcPr>
          <w:p w14:paraId="453EE3CA" w14:textId="77777777" w:rsidR="0058515A" w:rsidRPr="00AF1481" w:rsidRDefault="0058515A" w:rsidP="0058515A">
            <w:pPr>
              <w:keepNext/>
              <w:jc w:val="left"/>
              <w:rPr>
                <w:rFonts w:ascii="Arial Narrow" w:eastAsiaTheme="majorEastAsia" w:hAnsi="Arial Narrow" w:cstheme="majorBidi"/>
                <w:bCs/>
                <w:sz w:val="20"/>
              </w:rPr>
            </w:pPr>
            <w:r w:rsidRPr="00AF1481">
              <w:rPr>
                <w:rFonts w:ascii="Arial Narrow" w:eastAsiaTheme="majorEastAsia" w:hAnsi="Arial Narrow" w:cstheme="majorBidi"/>
                <w:bCs/>
                <w:sz w:val="19"/>
                <w:szCs w:val="19"/>
              </w:rPr>
              <w:t>Net cost to PBS/RPBS</w:t>
            </w:r>
          </w:p>
        </w:tc>
        <w:tc>
          <w:tcPr>
            <w:tcW w:w="629" w:type="pct"/>
            <w:shd w:val="clear" w:color="auto" w:fill="auto"/>
          </w:tcPr>
          <w:p w14:paraId="18B59E04" w14:textId="63236B9E"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9"/>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9"/>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9"/>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tcPr>
          <w:p w14:paraId="0A7BCCEF" w14:textId="2AC9A7BA"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8"/>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8"/>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8"/>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tcPr>
          <w:p w14:paraId="4A719942" w14:textId="61E241A1"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7"/>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7"/>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7"/>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tcPr>
          <w:p w14:paraId="031147CE" w14:textId="0EA4E526"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6"/>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6"/>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6"/>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708" w:type="pct"/>
            <w:shd w:val="clear" w:color="auto" w:fill="auto"/>
          </w:tcPr>
          <w:p w14:paraId="48FC609C" w14:textId="2FC8C6B1"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sidRPr="00650095">
              <w:rPr>
                <w:rFonts w:ascii="Arial Narrow" w:hAnsi="Arial Narrow"/>
                <w:sz w:val="20"/>
                <w:szCs w:val="20"/>
                <w:vertAlign w:val="superscript"/>
              </w:rPr>
              <w:t>6</w:t>
            </w:r>
          </w:p>
        </w:tc>
        <w:tc>
          <w:tcPr>
            <w:tcW w:w="757" w:type="pct"/>
          </w:tcPr>
          <w:p w14:paraId="1513120D" w14:textId="00913686"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sidRPr="00650095">
              <w:rPr>
                <w:rFonts w:ascii="Arial Narrow" w:hAnsi="Arial Narrow"/>
                <w:sz w:val="20"/>
                <w:szCs w:val="20"/>
                <w:vertAlign w:val="superscript"/>
              </w:rPr>
              <w:t>6</w:t>
            </w:r>
          </w:p>
        </w:tc>
      </w:tr>
      <w:tr w:rsidR="0058515A" w:rsidRPr="00AF1481" w14:paraId="6B143838" w14:textId="77777777" w:rsidTr="0058515A">
        <w:tc>
          <w:tcPr>
            <w:tcW w:w="1020" w:type="pct"/>
            <w:shd w:val="clear" w:color="auto" w:fill="auto"/>
            <w:vAlign w:val="center"/>
          </w:tcPr>
          <w:p w14:paraId="2981CF62" w14:textId="77777777" w:rsidR="0058515A" w:rsidRPr="00AF1481" w:rsidRDefault="0058515A" w:rsidP="0058515A">
            <w:pPr>
              <w:keepNext/>
              <w:jc w:val="left"/>
              <w:rPr>
                <w:rFonts w:ascii="Arial Narrow" w:eastAsiaTheme="majorEastAsia" w:hAnsi="Arial Narrow" w:cstheme="majorBidi"/>
                <w:bCs/>
                <w:sz w:val="19"/>
                <w:szCs w:val="19"/>
              </w:rPr>
            </w:pPr>
            <w:r w:rsidRPr="00AF1481">
              <w:rPr>
                <w:rFonts w:ascii="Arial Narrow" w:eastAsiaTheme="majorEastAsia" w:hAnsi="Arial Narrow" w:cstheme="majorBidi"/>
                <w:bCs/>
                <w:sz w:val="19"/>
                <w:szCs w:val="19"/>
              </w:rPr>
              <w:t>Net cost to MBS</w:t>
            </w:r>
          </w:p>
        </w:tc>
        <w:tc>
          <w:tcPr>
            <w:tcW w:w="629" w:type="pct"/>
            <w:shd w:val="clear" w:color="auto" w:fill="auto"/>
          </w:tcPr>
          <w:p w14:paraId="73FDADAD" w14:textId="00179BFE"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5"/>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5"/>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5"/>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629" w:type="pct"/>
            <w:shd w:val="clear" w:color="auto" w:fill="auto"/>
          </w:tcPr>
          <w:p w14:paraId="65FCC633" w14:textId="5205C15C"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4"/>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4"/>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4"/>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629" w:type="pct"/>
            <w:shd w:val="clear" w:color="auto" w:fill="auto"/>
          </w:tcPr>
          <w:p w14:paraId="2D4C7236" w14:textId="534E61C1"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3"/>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3"/>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3"/>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629" w:type="pct"/>
            <w:shd w:val="clear" w:color="auto" w:fill="auto"/>
          </w:tcPr>
          <w:p w14:paraId="68C659BB" w14:textId="102ABF80"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2"/>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2"/>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2"/>
                <w14:textFill>
                  <w14:solidFill>
                    <w14:srgbClr w14:val="000000">
                      <w14:alpha w14:val="100000"/>
                    </w14:srgbClr>
                  </w14:solidFill>
                </w14:textFill>
              </w:rPr>
              <w:t xml:space="preserve">　</w:t>
            </w:r>
            <w:r w:rsidR="00BC10FE">
              <w:rPr>
                <w:rFonts w:ascii="Arial Narrow" w:hAnsi="Arial Narrow"/>
                <w:sz w:val="20"/>
                <w:szCs w:val="20"/>
                <w:vertAlign w:val="superscript"/>
              </w:rPr>
              <w:t>9</w:t>
            </w:r>
          </w:p>
        </w:tc>
        <w:tc>
          <w:tcPr>
            <w:tcW w:w="708" w:type="pct"/>
            <w:shd w:val="clear" w:color="auto" w:fill="auto"/>
          </w:tcPr>
          <w:p w14:paraId="1C6D4C27" w14:textId="17D7E8B9"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9</w:t>
            </w:r>
          </w:p>
        </w:tc>
        <w:tc>
          <w:tcPr>
            <w:tcW w:w="757" w:type="pct"/>
          </w:tcPr>
          <w:p w14:paraId="280F3941" w14:textId="061EAA9E"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Pr>
                <w:rFonts w:ascii="Arial Narrow" w:hAnsi="Arial Narrow"/>
                <w:sz w:val="20"/>
                <w:szCs w:val="20"/>
                <w:vertAlign w:val="superscript"/>
              </w:rPr>
              <w:t>9</w:t>
            </w:r>
          </w:p>
        </w:tc>
      </w:tr>
      <w:tr w:rsidR="0058515A" w:rsidRPr="00AF1481" w14:paraId="479261FD" w14:textId="77777777" w:rsidTr="0058515A">
        <w:tc>
          <w:tcPr>
            <w:tcW w:w="1020" w:type="pct"/>
            <w:shd w:val="clear" w:color="auto" w:fill="auto"/>
            <w:vAlign w:val="center"/>
          </w:tcPr>
          <w:p w14:paraId="01BDB2BC" w14:textId="77777777" w:rsidR="0058515A" w:rsidRPr="00AF1481" w:rsidRDefault="0058515A" w:rsidP="0058515A">
            <w:pPr>
              <w:keepNext/>
              <w:jc w:val="left"/>
              <w:rPr>
                <w:rFonts w:ascii="Arial Narrow" w:eastAsiaTheme="majorEastAsia" w:hAnsi="Arial Narrow" w:cstheme="majorBidi"/>
                <w:bCs/>
                <w:sz w:val="19"/>
                <w:szCs w:val="19"/>
              </w:rPr>
            </w:pPr>
            <w:r w:rsidRPr="00AF1481">
              <w:rPr>
                <w:rFonts w:ascii="Arial Narrow" w:eastAsiaTheme="majorEastAsia" w:hAnsi="Arial Narrow" w:cstheme="majorBidi"/>
                <w:bCs/>
                <w:sz w:val="19"/>
                <w:szCs w:val="19"/>
              </w:rPr>
              <w:t>Net cost to Government</w:t>
            </w:r>
          </w:p>
        </w:tc>
        <w:tc>
          <w:tcPr>
            <w:tcW w:w="629" w:type="pct"/>
            <w:shd w:val="clear" w:color="auto" w:fill="auto"/>
          </w:tcPr>
          <w:p w14:paraId="657E8979" w14:textId="54E81E16"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1"/>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1"/>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1"/>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tcPr>
          <w:p w14:paraId="426CC31F" w14:textId="7EF5D8AC"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30"/>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30"/>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30"/>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tcPr>
          <w:p w14:paraId="618656C6" w14:textId="57878FBB"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9"/>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9"/>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9"/>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629" w:type="pct"/>
            <w:shd w:val="clear" w:color="auto" w:fill="auto"/>
          </w:tcPr>
          <w:p w14:paraId="79BBD3F3" w14:textId="6970E41C"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hint="eastAsia"/>
                <w:bCs/>
                <w:color w:val="000000"/>
                <w:w w:val="15"/>
                <w:sz w:val="20"/>
                <w:shd w:val="solid" w:color="000000" w:fill="000000"/>
                <w:fitText w:val="40" w:id="-931927028"/>
                <w14:textFill>
                  <w14:solidFill>
                    <w14:srgbClr w14:val="000000">
                      <w14:alpha w14:val="100000"/>
                    </w14:srgbClr>
                  </w14:solidFill>
                </w14:textFill>
              </w:rPr>
              <w:t xml:space="preserve">　</w:t>
            </w:r>
            <w:r w:rsidRPr="00BD1B38">
              <w:rPr>
                <w:rFonts w:ascii="Arial Narrow" w:eastAsiaTheme="majorEastAsia" w:hAnsi="Arial Narrow" w:cstheme="majorBidi"/>
                <w:bCs/>
                <w:color w:val="000000"/>
                <w:w w:val="15"/>
                <w:sz w:val="20"/>
                <w:shd w:val="solid" w:color="000000" w:fill="000000"/>
                <w:fitText w:val="40" w:id="-931927028"/>
                <w14:textFill>
                  <w14:solidFill>
                    <w14:srgbClr w14:val="000000">
                      <w14:alpha w14:val="100000"/>
                    </w14:srgbClr>
                  </w14:solidFill>
                </w14:textFill>
              </w:rPr>
              <w:t>|</w:t>
            </w:r>
            <w:r w:rsidRPr="00BD1B38">
              <w:rPr>
                <w:rFonts w:ascii="Arial Narrow" w:eastAsiaTheme="majorEastAsia" w:hAnsi="Arial Narrow" w:cstheme="majorBidi" w:hint="eastAsia"/>
                <w:bCs/>
                <w:color w:val="000000"/>
                <w:spacing w:val="-25"/>
                <w:w w:val="15"/>
                <w:sz w:val="20"/>
                <w:shd w:val="solid" w:color="000000" w:fill="000000"/>
                <w:fitText w:val="40" w:id="-931927028"/>
                <w14:textFill>
                  <w14:solidFill>
                    <w14:srgbClr w14:val="000000">
                      <w14:alpha w14:val="100000"/>
                    </w14:srgbClr>
                  </w14:solidFill>
                </w14:textFill>
              </w:rPr>
              <w:t xml:space="preserve">　</w:t>
            </w:r>
            <w:r w:rsidR="00BC10FE" w:rsidRPr="00650095">
              <w:rPr>
                <w:rFonts w:ascii="Arial Narrow" w:hAnsi="Arial Narrow"/>
                <w:sz w:val="20"/>
                <w:szCs w:val="20"/>
                <w:vertAlign w:val="superscript"/>
              </w:rPr>
              <w:t>6</w:t>
            </w:r>
          </w:p>
        </w:tc>
        <w:tc>
          <w:tcPr>
            <w:tcW w:w="708" w:type="pct"/>
            <w:shd w:val="clear" w:color="auto" w:fill="auto"/>
          </w:tcPr>
          <w:p w14:paraId="35BF124E" w14:textId="1FC83313"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sidRPr="00650095">
              <w:rPr>
                <w:rFonts w:ascii="Arial Narrow" w:hAnsi="Arial Narrow"/>
                <w:sz w:val="20"/>
                <w:szCs w:val="20"/>
                <w:vertAlign w:val="superscript"/>
              </w:rPr>
              <w:t>6</w:t>
            </w:r>
          </w:p>
        </w:tc>
        <w:tc>
          <w:tcPr>
            <w:tcW w:w="757" w:type="pct"/>
          </w:tcPr>
          <w:p w14:paraId="7E2E0C14" w14:textId="0861E6BF" w:rsidR="0058515A" w:rsidRPr="00FD014B" w:rsidRDefault="00BD1B38" w:rsidP="0058515A">
            <w:pPr>
              <w:keepNext/>
              <w:jc w:val="center"/>
              <w:rPr>
                <w:rFonts w:ascii="Arial Narrow" w:eastAsiaTheme="majorEastAsia" w:hAnsi="Arial Narrow" w:cstheme="majorBidi"/>
                <w:bCs/>
                <w:sz w:val="20"/>
                <w:highlight w:val="darkGray"/>
              </w:rPr>
            </w:pPr>
            <w:r w:rsidRPr="00BD1B3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10FE" w:rsidRPr="00650095">
              <w:rPr>
                <w:rFonts w:ascii="Arial Narrow" w:hAnsi="Arial Narrow"/>
                <w:sz w:val="20"/>
                <w:szCs w:val="20"/>
                <w:vertAlign w:val="superscript"/>
              </w:rPr>
              <w:t>6</w:t>
            </w:r>
          </w:p>
        </w:tc>
      </w:tr>
    </w:tbl>
    <w:p w14:paraId="78648402" w14:textId="762B4C72" w:rsidR="00D4450F" w:rsidRPr="00AF1481" w:rsidRDefault="00D4450F" w:rsidP="00D4450F">
      <w:pPr>
        <w:pStyle w:val="FooterTableFigure"/>
      </w:pPr>
      <w:r w:rsidRPr="00AF1481">
        <w:t xml:space="preserve">Source: </w:t>
      </w:r>
      <w:r w:rsidR="0058515A" w:rsidRPr="00AF1481">
        <w:t xml:space="preserve">Table 11, </w:t>
      </w:r>
      <w:r w:rsidR="00333589" w:rsidRPr="00AF1481">
        <w:t>p</w:t>
      </w:r>
      <w:r w:rsidR="0058515A" w:rsidRPr="00AF1481">
        <w:t>re-PBAC Response</w:t>
      </w:r>
      <w:r w:rsidR="007C642A" w:rsidRPr="00AF1481">
        <w:t>, assuming 85% MBS benefit</w:t>
      </w:r>
    </w:p>
    <w:p w14:paraId="43293DB5" w14:textId="5FE2BAF0" w:rsidR="00D4450F" w:rsidRDefault="00D4450F" w:rsidP="00D4450F">
      <w:pPr>
        <w:pStyle w:val="FooterTableFigure"/>
      </w:pPr>
      <w:r w:rsidRPr="00AF1481">
        <w:t>mg = milligram</w:t>
      </w:r>
      <w:r w:rsidR="00BE7BFC" w:rsidRPr="00AF1481">
        <w:t>;</w:t>
      </w:r>
      <w:r w:rsidRPr="00AF1481">
        <w:t xml:space="preserve"> PBS = Pharmaceutical Benefit Scheme</w:t>
      </w:r>
      <w:r w:rsidR="00BE7BFC" w:rsidRPr="00AF1481">
        <w:t>;</w:t>
      </w:r>
      <w:r w:rsidRPr="00AF1481">
        <w:t xml:space="preserve"> RPBS = Repatriation Pharmaceutical Benefit Scheme.</w:t>
      </w:r>
    </w:p>
    <w:p w14:paraId="2327B142" w14:textId="17075822" w:rsidR="001B7A31" w:rsidRPr="00FD014B" w:rsidRDefault="001B7A31" w:rsidP="00D4450F">
      <w:pPr>
        <w:pStyle w:val="FooterTableFigure"/>
        <w:rPr>
          <w:i/>
          <w:iCs/>
        </w:rPr>
      </w:pPr>
      <w:r w:rsidRPr="00FD014B">
        <w:rPr>
          <w:i/>
          <w:iCs/>
        </w:rPr>
        <w:t>The redacted values correspond to the following ranges:</w:t>
      </w:r>
    </w:p>
    <w:p w14:paraId="3DC4F0CF" w14:textId="2B73EAC5" w:rsidR="001B7A31" w:rsidRPr="00FD014B" w:rsidRDefault="001B7A31" w:rsidP="00D4450F">
      <w:pPr>
        <w:pStyle w:val="FooterTableFigure"/>
        <w:rPr>
          <w:i/>
          <w:iCs/>
        </w:rPr>
      </w:pPr>
      <w:r w:rsidRPr="00FD014B">
        <w:rPr>
          <w:i/>
          <w:iCs/>
          <w:vertAlign w:val="superscript"/>
        </w:rPr>
        <w:t>1</w:t>
      </w:r>
      <w:r w:rsidRPr="00FD014B">
        <w:rPr>
          <w:i/>
          <w:iCs/>
        </w:rPr>
        <w:t xml:space="preserve"> 10,000 to &lt; 20,000</w:t>
      </w:r>
    </w:p>
    <w:p w14:paraId="7D799A21" w14:textId="70A298D6" w:rsidR="00BC10FE" w:rsidRPr="00FD014B" w:rsidRDefault="00BC10FE" w:rsidP="00D4450F">
      <w:pPr>
        <w:pStyle w:val="FooterTableFigure"/>
        <w:rPr>
          <w:i/>
          <w:iCs/>
        </w:rPr>
      </w:pPr>
      <w:r w:rsidRPr="00FD014B">
        <w:rPr>
          <w:i/>
          <w:iCs/>
          <w:vertAlign w:val="superscript"/>
        </w:rPr>
        <w:t>2</w:t>
      </w:r>
      <w:r w:rsidRPr="00FD014B">
        <w:rPr>
          <w:i/>
          <w:iCs/>
        </w:rPr>
        <w:t xml:space="preserve"> 20,000 to &lt; 30,000</w:t>
      </w:r>
    </w:p>
    <w:p w14:paraId="41D38CEB" w14:textId="33DF1928" w:rsidR="00BC10FE" w:rsidRPr="00FD014B" w:rsidRDefault="00BC10FE" w:rsidP="00D4450F">
      <w:pPr>
        <w:pStyle w:val="FooterTableFigure"/>
        <w:rPr>
          <w:i/>
          <w:iCs/>
        </w:rPr>
      </w:pPr>
      <w:r w:rsidRPr="00FD014B">
        <w:rPr>
          <w:i/>
          <w:iCs/>
          <w:vertAlign w:val="superscript"/>
        </w:rPr>
        <w:t>3</w:t>
      </w:r>
      <w:r w:rsidRPr="00FD014B">
        <w:rPr>
          <w:i/>
          <w:iCs/>
        </w:rPr>
        <w:t xml:space="preserve"> 30,000 to &lt; 40,000 </w:t>
      </w:r>
    </w:p>
    <w:p w14:paraId="661DDEDF" w14:textId="5947B96F" w:rsidR="00BC10FE" w:rsidRPr="00FD014B" w:rsidRDefault="00BC10FE" w:rsidP="00D4450F">
      <w:pPr>
        <w:pStyle w:val="FooterTableFigure"/>
        <w:rPr>
          <w:i/>
          <w:iCs/>
        </w:rPr>
      </w:pPr>
      <w:r w:rsidRPr="00FD014B">
        <w:rPr>
          <w:i/>
          <w:iCs/>
          <w:vertAlign w:val="superscript"/>
        </w:rPr>
        <w:t>4</w:t>
      </w:r>
      <w:r w:rsidRPr="00FD014B">
        <w:rPr>
          <w:i/>
          <w:iCs/>
        </w:rPr>
        <w:t xml:space="preserve"> 50,000 to &lt; 60,000</w:t>
      </w:r>
    </w:p>
    <w:p w14:paraId="0F11AFE1" w14:textId="6CE12D57" w:rsidR="00BC10FE" w:rsidRPr="00FD014B" w:rsidRDefault="00BC10FE" w:rsidP="00D4450F">
      <w:pPr>
        <w:pStyle w:val="FooterTableFigure"/>
        <w:rPr>
          <w:i/>
          <w:iCs/>
        </w:rPr>
      </w:pPr>
      <w:r w:rsidRPr="00FD014B">
        <w:rPr>
          <w:i/>
          <w:iCs/>
          <w:vertAlign w:val="superscript"/>
        </w:rPr>
        <w:t>5</w:t>
      </w:r>
      <w:r w:rsidRPr="00FD014B">
        <w:rPr>
          <w:i/>
          <w:iCs/>
        </w:rPr>
        <w:t xml:space="preserve"> 60,000 to &lt; 70,000</w:t>
      </w:r>
    </w:p>
    <w:p w14:paraId="289516A0" w14:textId="6948CFB7" w:rsidR="00BC10FE" w:rsidRPr="00FD014B" w:rsidRDefault="00BC10FE" w:rsidP="00D4450F">
      <w:pPr>
        <w:pStyle w:val="FooterTableFigure"/>
        <w:rPr>
          <w:i/>
          <w:iCs/>
        </w:rPr>
      </w:pPr>
      <w:r w:rsidRPr="00FD014B">
        <w:rPr>
          <w:i/>
          <w:iCs/>
          <w:vertAlign w:val="superscript"/>
        </w:rPr>
        <w:t>6</w:t>
      </w:r>
      <w:r w:rsidRPr="00FD014B">
        <w:rPr>
          <w:i/>
          <w:iCs/>
        </w:rPr>
        <w:t xml:space="preserve"> $0 to &lt; $10 million</w:t>
      </w:r>
    </w:p>
    <w:p w14:paraId="50B1E108" w14:textId="4795FB0E" w:rsidR="00BC10FE" w:rsidRPr="00FD014B" w:rsidRDefault="00BC10FE" w:rsidP="00D4450F">
      <w:pPr>
        <w:pStyle w:val="FooterTableFigure"/>
        <w:rPr>
          <w:i/>
          <w:iCs/>
        </w:rPr>
      </w:pPr>
      <w:r w:rsidRPr="00FD014B">
        <w:rPr>
          <w:i/>
          <w:iCs/>
          <w:vertAlign w:val="superscript"/>
        </w:rPr>
        <w:t>7</w:t>
      </w:r>
      <w:r w:rsidRPr="00FD014B">
        <w:rPr>
          <w:i/>
          <w:iCs/>
        </w:rPr>
        <w:t xml:space="preserve"> $10 million to &lt; $20 million</w:t>
      </w:r>
    </w:p>
    <w:p w14:paraId="62D768D1" w14:textId="4A915445" w:rsidR="00BC10FE" w:rsidRPr="00FD014B" w:rsidRDefault="00BC10FE" w:rsidP="00D4450F">
      <w:pPr>
        <w:pStyle w:val="FooterTableFigure"/>
        <w:rPr>
          <w:i/>
          <w:iCs/>
        </w:rPr>
      </w:pPr>
      <w:r w:rsidRPr="00FD014B">
        <w:rPr>
          <w:i/>
          <w:iCs/>
          <w:vertAlign w:val="superscript"/>
        </w:rPr>
        <w:t>8</w:t>
      </w:r>
      <w:r w:rsidRPr="00FD014B">
        <w:rPr>
          <w:i/>
          <w:iCs/>
        </w:rPr>
        <w:t xml:space="preserve"> $20 million to &lt; $30 million</w:t>
      </w:r>
    </w:p>
    <w:p w14:paraId="0A923A62" w14:textId="2C13FA16" w:rsidR="00BC10FE" w:rsidRPr="00FD014B" w:rsidRDefault="00BC10FE" w:rsidP="00D4450F">
      <w:pPr>
        <w:pStyle w:val="FooterTableFigure"/>
        <w:rPr>
          <w:i/>
          <w:iCs/>
        </w:rPr>
      </w:pPr>
      <w:r w:rsidRPr="00FD014B">
        <w:rPr>
          <w:i/>
          <w:iCs/>
          <w:vertAlign w:val="superscript"/>
        </w:rPr>
        <w:t>9</w:t>
      </w:r>
      <w:r w:rsidRPr="00FD014B">
        <w:rPr>
          <w:i/>
          <w:iCs/>
        </w:rPr>
        <w:t xml:space="preserve"> net cost saving</w:t>
      </w:r>
    </w:p>
    <w:p w14:paraId="6A751EA0" w14:textId="79EDC6DD" w:rsidR="00A05AA6" w:rsidRDefault="00D4450F" w:rsidP="00D4450F">
      <w:pPr>
        <w:pStyle w:val="3-BodyText"/>
        <w:ind w:left="709" w:hanging="709"/>
      </w:pPr>
      <w:r w:rsidRPr="00AF1481">
        <w:t>The total cost to the PBS/RPBS of listing aflibercept 8 mg was estimated to be $</w:t>
      </w:r>
      <w:r w:rsidR="00BC10FE">
        <w:t>0</w:t>
      </w:r>
      <w:r w:rsidR="00FD014B">
        <w:t> </w:t>
      </w:r>
      <w:r w:rsidR="00BC10FE">
        <w:t>to</w:t>
      </w:r>
      <w:r w:rsidR="00FD014B">
        <w:t> </w:t>
      </w:r>
      <w:r w:rsidR="00BC10FE">
        <w:t>&lt;</w:t>
      </w:r>
      <w:r w:rsidR="000C41A8">
        <w:t> </w:t>
      </w:r>
      <w:r w:rsidR="00BC10FE">
        <w:t>$10</w:t>
      </w:r>
      <w:r w:rsidR="00FD014B">
        <w:t> </w:t>
      </w:r>
      <w:r w:rsidRPr="00AF1481">
        <w:t>million in Year</w:t>
      </w:r>
      <w:r w:rsidR="00FD014B">
        <w:t> </w:t>
      </w:r>
      <w:r w:rsidR="00292B32" w:rsidRPr="00AF1481">
        <w:t>1 and $</w:t>
      </w:r>
      <w:r w:rsidR="00BC10FE">
        <w:t>100</w:t>
      </w:r>
      <w:r w:rsidR="00FD014B">
        <w:t> </w:t>
      </w:r>
      <w:r w:rsidR="00BC10FE">
        <w:t>million to &lt; $</w:t>
      </w:r>
      <w:r w:rsidR="00BC10FE" w:rsidRPr="00BC10FE">
        <w:t>200</w:t>
      </w:r>
      <w:r w:rsidR="00292B32" w:rsidRPr="00FD014B">
        <w:t xml:space="preserve"> million</w:t>
      </w:r>
      <w:r w:rsidR="00292B32" w:rsidRPr="00AF1481">
        <w:t xml:space="preserve"> over the first 6 years of listing</w:t>
      </w:r>
      <w:r w:rsidRPr="00AF1481">
        <w:t xml:space="preserve">. </w:t>
      </w:r>
      <w:r w:rsidR="00292B32" w:rsidRPr="00AF1481">
        <w:t xml:space="preserve">The </w:t>
      </w:r>
      <w:r w:rsidRPr="00AF1481">
        <w:t xml:space="preserve">net cost to the PBS/RPBS, after accounting for substitution </w:t>
      </w:r>
      <w:r w:rsidR="00292B32" w:rsidRPr="00AF1481">
        <w:t xml:space="preserve">of </w:t>
      </w:r>
      <w:r w:rsidRPr="00AF1481">
        <w:t>aflibercept 2</w:t>
      </w:r>
      <w:r w:rsidR="00FD014B">
        <w:t> </w:t>
      </w:r>
      <w:r w:rsidRPr="00AF1481">
        <w:t xml:space="preserve">mg </w:t>
      </w:r>
      <w:r w:rsidR="00292B32" w:rsidRPr="00AF1481">
        <w:t xml:space="preserve">(using the effective price) </w:t>
      </w:r>
      <w:r w:rsidRPr="00AF1481">
        <w:t>and faricimab</w:t>
      </w:r>
      <w:r w:rsidR="00292B32" w:rsidRPr="00AF1481">
        <w:t xml:space="preserve"> (using the assumed effective price)</w:t>
      </w:r>
      <w:r w:rsidRPr="00AF1481">
        <w:t xml:space="preserve">, </w:t>
      </w:r>
      <w:r w:rsidR="00292B32" w:rsidRPr="00AF1481">
        <w:t xml:space="preserve">was </w:t>
      </w:r>
      <w:r w:rsidRPr="00AF1481">
        <w:t>$</w:t>
      </w:r>
      <w:r w:rsidR="00BC10FE">
        <w:t>0 to &lt; $1</w:t>
      </w:r>
      <w:r w:rsidR="00BC10FE" w:rsidRPr="00BC10FE">
        <w:t>0</w:t>
      </w:r>
      <w:r w:rsidRPr="00FD014B">
        <w:t xml:space="preserve"> million</w:t>
      </w:r>
      <w:r w:rsidRPr="00BC10FE">
        <w:t xml:space="preserve"> in</w:t>
      </w:r>
      <w:r w:rsidRPr="00AF1481">
        <w:t xml:space="preserve"> Year 1 and </w:t>
      </w:r>
      <w:r w:rsidR="00D77F40" w:rsidRPr="00AF1481">
        <w:t>$</w:t>
      </w:r>
      <w:r w:rsidR="00BC10FE">
        <w:t xml:space="preserve">10 million to </w:t>
      </w:r>
      <w:r w:rsidR="00BC10FE" w:rsidRPr="00BC10FE">
        <w:t>&lt; $20</w:t>
      </w:r>
      <w:r w:rsidR="00D77F40" w:rsidRPr="00FD014B">
        <w:t xml:space="preserve"> million</w:t>
      </w:r>
      <w:r w:rsidR="00D77F40" w:rsidRPr="00BC10FE">
        <w:t xml:space="preserve"> over</w:t>
      </w:r>
      <w:r w:rsidR="00D77F40" w:rsidRPr="00AF1481">
        <w:t xml:space="preserve"> the first 6</w:t>
      </w:r>
      <w:r w:rsidR="000C41A8">
        <w:t> </w:t>
      </w:r>
      <w:r w:rsidR="00D77F40" w:rsidRPr="00AF1481">
        <w:t>years of listing</w:t>
      </w:r>
      <w:r w:rsidRPr="00AF1481">
        <w:t xml:space="preserve">. </w:t>
      </w:r>
      <w:bookmarkStart w:id="104" w:name="_Hlk167776684"/>
      <w:r w:rsidR="00292B32" w:rsidRPr="00AF1481">
        <w:t>The net cost to the PBS/ RPBS was higher in the first 3</w:t>
      </w:r>
      <w:r w:rsidR="00FD014B">
        <w:t> </w:t>
      </w:r>
      <w:r w:rsidR="00292B32" w:rsidRPr="00AF1481">
        <w:t xml:space="preserve">years of listing due to the </w:t>
      </w:r>
      <w:r w:rsidR="00453675" w:rsidRPr="00AF1481">
        <w:t>higher proportion of initial scripts</w:t>
      </w:r>
      <w:r w:rsidR="007669F2" w:rsidRPr="00AF1481">
        <w:t xml:space="preserve"> </w:t>
      </w:r>
      <w:r w:rsidR="00D0746E" w:rsidRPr="00AF1481">
        <w:t>which accounted for the loading doses</w:t>
      </w:r>
      <w:r w:rsidR="00453675" w:rsidRPr="00AF1481">
        <w:t>.</w:t>
      </w:r>
    </w:p>
    <w:bookmarkEnd w:id="104"/>
    <w:p w14:paraId="725B3C3B" w14:textId="71B6FF52" w:rsidR="00A05AA6" w:rsidRDefault="00B545AF" w:rsidP="00D4450F">
      <w:pPr>
        <w:pStyle w:val="3-BodyText"/>
        <w:ind w:left="709" w:hanging="709"/>
      </w:pPr>
      <w:r w:rsidRPr="00AF1481">
        <w:rPr>
          <w:iCs/>
        </w:rPr>
        <w:t xml:space="preserve">The total cost to the PBS/RPBS was partially offset by a reduction of MBS costs associated with IVT injection administration frequency. </w:t>
      </w:r>
      <w:r w:rsidR="00292B32" w:rsidRPr="00AF1481">
        <w:t>The total net cost to the government of listing aflibercept 8 mg was estimated to be $</w:t>
      </w:r>
      <w:r w:rsidR="00BC10FE">
        <w:t xml:space="preserve">0 to </w:t>
      </w:r>
      <w:r w:rsidR="00BC10FE" w:rsidRPr="00BC10FE">
        <w:t>&lt; $10</w:t>
      </w:r>
      <w:r w:rsidR="00292B32" w:rsidRPr="00FD014B">
        <w:t xml:space="preserve"> million</w:t>
      </w:r>
      <w:r w:rsidR="00292B32" w:rsidRPr="00BC10FE">
        <w:t xml:space="preserve"> in</w:t>
      </w:r>
      <w:r w:rsidR="00292B32" w:rsidRPr="00AF1481">
        <w:t xml:space="preserve"> Year</w:t>
      </w:r>
      <w:r w:rsidR="00FD014B">
        <w:t> </w:t>
      </w:r>
      <w:r w:rsidR="00292B32" w:rsidRPr="00AF1481">
        <w:t>1 and $</w:t>
      </w:r>
      <w:r w:rsidR="00BC10FE">
        <w:t>0 to &lt; $</w:t>
      </w:r>
      <w:r w:rsidR="00BC10FE" w:rsidRPr="00BC10FE">
        <w:t>10</w:t>
      </w:r>
      <w:r w:rsidR="00292B32" w:rsidRPr="00FD014B">
        <w:t xml:space="preserve"> million</w:t>
      </w:r>
      <w:r w:rsidR="00292B32" w:rsidRPr="00BC10FE">
        <w:t xml:space="preserve"> over</w:t>
      </w:r>
      <w:r w:rsidR="00292B32" w:rsidRPr="00AF1481">
        <w:t xml:space="preserve"> the first 6 years of listing.</w:t>
      </w:r>
    </w:p>
    <w:p w14:paraId="16B90F50" w14:textId="22BEE919" w:rsidR="00A05AA6" w:rsidRDefault="00852E36" w:rsidP="00D4450F">
      <w:pPr>
        <w:pStyle w:val="3-BodyText"/>
        <w:ind w:left="709" w:hanging="709"/>
        <w:rPr>
          <w:iCs/>
        </w:rPr>
      </w:pPr>
      <w:r w:rsidRPr="00AF1481">
        <w:rPr>
          <w:iCs/>
        </w:rPr>
        <w:t xml:space="preserve">The PSCR </w:t>
      </w:r>
      <w:r w:rsidR="008F79C0" w:rsidRPr="00AF1481">
        <w:rPr>
          <w:iCs/>
        </w:rPr>
        <w:t>state</w:t>
      </w:r>
      <w:r w:rsidRPr="00AF1481">
        <w:rPr>
          <w:iCs/>
        </w:rPr>
        <w:t xml:space="preserve">d that ultimately there will be cost savings to the PBS/RPBS in the longer term, despite the inclusion of administration cost offsets because the pricing of aflibercept 8 mg incorporates the higher dosing frequency in the first year of a </w:t>
      </w:r>
      <w:r w:rsidR="007E5B97" w:rsidRPr="00AF1481">
        <w:rPr>
          <w:iCs/>
        </w:rPr>
        <w:t>two-year</w:t>
      </w:r>
      <w:r w:rsidRPr="00AF1481">
        <w:rPr>
          <w:iCs/>
        </w:rPr>
        <w:t xml:space="preserve"> time horizon whereas patients will continue aflibercept 8 mg for much longer. As the share of maintenance dosing increases over time, the PSCR claimed that the savings to the PBS/RPBS from the lower annual cost of maintenance dosing with aflibercept 8 mg compared to that of aflibercept 2 mg will more than offset the loading dose effect seen in the </w:t>
      </w:r>
      <w:r w:rsidR="009349A1" w:rsidRPr="00AF1481">
        <w:rPr>
          <w:iCs/>
        </w:rPr>
        <w:t>six-year</w:t>
      </w:r>
      <w:r w:rsidRPr="00AF1481">
        <w:rPr>
          <w:iCs/>
        </w:rPr>
        <w:t xml:space="preserve"> timeframe of the budget impact analysis.</w:t>
      </w:r>
    </w:p>
    <w:p w14:paraId="36BEC08D" w14:textId="312294F4" w:rsidR="00852E36" w:rsidRPr="00AF1481" w:rsidRDefault="009349A1" w:rsidP="00D4450F">
      <w:pPr>
        <w:pStyle w:val="3-BodyText"/>
        <w:ind w:left="709" w:hanging="709"/>
        <w:rPr>
          <w:iCs/>
        </w:rPr>
      </w:pPr>
      <w:r w:rsidRPr="00AF1481">
        <w:rPr>
          <w:iCs/>
        </w:rPr>
        <w:lastRenderedPageBreak/>
        <w:t>The ESC disagreed with the PSCR, considering that there would still be a net cost to the Australian healthcare system. The ESC noted this net cost was based on the need for patients switching from aflibercept 2 mg to aflibercept 8 mg to receive re-loading doses of aflibercept.</w:t>
      </w:r>
    </w:p>
    <w:p w14:paraId="642333EB" w14:textId="11013409" w:rsidR="008B1472" w:rsidRPr="00AF1481" w:rsidRDefault="008B1472" w:rsidP="00D4450F">
      <w:pPr>
        <w:pStyle w:val="3-BodyText"/>
        <w:ind w:left="709" w:hanging="709"/>
        <w:rPr>
          <w:iCs/>
        </w:rPr>
      </w:pPr>
      <w:r w:rsidRPr="00AF1481">
        <w:rPr>
          <w:iCs/>
        </w:rPr>
        <w:t xml:space="preserve">The </w:t>
      </w:r>
      <w:r w:rsidR="00333589" w:rsidRPr="00AF1481">
        <w:rPr>
          <w:iCs/>
        </w:rPr>
        <w:t>p</w:t>
      </w:r>
      <w:r w:rsidRPr="00AF1481">
        <w:rPr>
          <w:iCs/>
        </w:rPr>
        <w:t xml:space="preserve">re-PBAC </w:t>
      </w:r>
      <w:r w:rsidR="00333589" w:rsidRPr="00AF1481">
        <w:rPr>
          <w:iCs/>
        </w:rPr>
        <w:t>r</w:t>
      </w:r>
      <w:r w:rsidRPr="00AF1481">
        <w:rPr>
          <w:iCs/>
        </w:rPr>
        <w:t xml:space="preserve">esponse acknowledged the cost implications of the re-loading </w:t>
      </w:r>
      <w:r w:rsidR="007E5B97" w:rsidRPr="00AF1481">
        <w:rPr>
          <w:iCs/>
        </w:rPr>
        <w:t>doses but</w:t>
      </w:r>
      <w:r w:rsidRPr="00AF1481">
        <w:rPr>
          <w:iCs/>
        </w:rPr>
        <w:t xml:space="preserve"> noted that as substitution is likely to be skewed towards patients receiving injections of aflibercept 2 mg who currently have relatively short injection intervals, that the substitution-related cost offsets from aflibercept 2 mg would be greater than presented in the submission.</w:t>
      </w:r>
    </w:p>
    <w:p w14:paraId="45BE402B" w14:textId="77777777" w:rsidR="00CF2A8E" w:rsidRPr="00AF1481" w:rsidRDefault="00CF2A8E" w:rsidP="00CF2A8E">
      <w:pPr>
        <w:ind w:firstLine="709"/>
        <w:rPr>
          <w:rFonts w:asciiTheme="minorHAnsi" w:hAnsiTheme="minorHAnsi"/>
          <w:i/>
        </w:rPr>
      </w:pPr>
      <w:r w:rsidRPr="00AF1481">
        <w:rPr>
          <w:rFonts w:asciiTheme="minorHAnsi" w:hAnsiTheme="minorHAnsi"/>
          <w:i/>
        </w:rPr>
        <w:t>For more detail on PBAC’s view, see section 7 PBAC outcome.</w:t>
      </w:r>
    </w:p>
    <w:p w14:paraId="636BFD78" w14:textId="77777777" w:rsidR="00CF2A8E" w:rsidRPr="00AF1481" w:rsidRDefault="00CF2A8E" w:rsidP="00CB24DA">
      <w:pPr>
        <w:pStyle w:val="2-SectionHeading"/>
      </w:pPr>
      <w:bookmarkStart w:id="105" w:name="_Hlk76381249"/>
      <w:bookmarkStart w:id="106" w:name="_Hlk76377955"/>
      <w:bookmarkStart w:id="107" w:name="_Hlk160453186"/>
      <w:r w:rsidRPr="00AF1481">
        <w:t>PBAC Outcome</w:t>
      </w:r>
    </w:p>
    <w:p w14:paraId="48DEFBB4" w14:textId="5B228A78" w:rsidR="001F6CB3" w:rsidRPr="00AF1481" w:rsidRDefault="00CF2A8E" w:rsidP="001F6CB3">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 xml:space="preserve">The PBAC recommended the </w:t>
      </w:r>
      <w:r w:rsidR="001F6CB3" w:rsidRPr="00AF1481">
        <w:rPr>
          <w:rFonts w:asciiTheme="minorHAnsi" w:hAnsiTheme="minorHAnsi"/>
          <w:snapToGrid w:val="0"/>
          <w:lang w:eastAsia="en-US"/>
        </w:rPr>
        <w:t xml:space="preserve">Authority Required </w:t>
      </w:r>
      <w:r w:rsidRPr="00AF1481">
        <w:rPr>
          <w:rFonts w:asciiTheme="minorHAnsi" w:hAnsiTheme="minorHAnsi"/>
          <w:snapToGrid w:val="0"/>
          <w:lang w:eastAsia="en-US"/>
        </w:rPr>
        <w:t xml:space="preserve">listing of </w:t>
      </w:r>
      <w:r w:rsidR="001F6CB3" w:rsidRPr="00AF1481">
        <w:rPr>
          <w:rFonts w:asciiTheme="minorHAnsi" w:hAnsiTheme="minorHAnsi"/>
          <w:snapToGrid w:val="0"/>
          <w:lang w:eastAsia="en-US"/>
        </w:rPr>
        <w:t xml:space="preserve">aflibercept </w:t>
      </w:r>
      <w:r w:rsidR="000119F0" w:rsidRPr="00AF1481">
        <w:rPr>
          <w:rFonts w:asciiTheme="minorHAnsi" w:hAnsiTheme="minorHAnsi"/>
          <w:snapToGrid w:val="0"/>
          <w:lang w:eastAsia="en-US"/>
        </w:rPr>
        <w:t xml:space="preserve">8 mg </w:t>
      </w:r>
      <w:r w:rsidR="001F6CB3" w:rsidRPr="00AF1481">
        <w:rPr>
          <w:rFonts w:asciiTheme="minorHAnsi" w:hAnsiTheme="minorHAnsi"/>
          <w:snapToGrid w:val="0"/>
          <w:lang w:eastAsia="en-US"/>
        </w:rPr>
        <w:t xml:space="preserve">for the treatment of </w:t>
      </w:r>
      <w:r w:rsidR="001F6CB3" w:rsidRPr="00AF1481">
        <w:t>patients with visual impairment due to diabetic macular oedema (DMO).</w:t>
      </w:r>
      <w:r w:rsidR="004876EB" w:rsidRPr="00AF1481">
        <w:t xml:space="preserve"> The </w:t>
      </w:r>
      <w:r w:rsidR="004876EB" w:rsidRPr="00AF1481">
        <w:rPr>
          <w:snapToGrid w:val="0"/>
        </w:rPr>
        <w:t xml:space="preserve">PBAC’s recommendation for listing was based on, among other matters, its assessment that the cost-effectiveness of aflibercept 8 mg would be acceptable if it were cost-minimised to </w:t>
      </w:r>
      <w:r w:rsidR="005C6837" w:rsidRPr="00AF1481">
        <w:rPr>
          <w:snapToGrid w:val="0"/>
        </w:rPr>
        <w:t xml:space="preserve">the </w:t>
      </w:r>
      <w:r w:rsidR="004876EB" w:rsidRPr="00AF1481">
        <w:rPr>
          <w:snapToGrid w:val="0"/>
        </w:rPr>
        <w:t xml:space="preserve">lowest cost </w:t>
      </w:r>
      <w:r w:rsidR="005C6837" w:rsidRPr="00AF1481">
        <w:rPr>
          <w:snapToGrid w:val="0"/>
        </w:rPr>
        <w:t xml:space="preserve">PBS-listed </w:t>
      </w:r>
      <w:r w:rsidR="004876EB" w:rsidRPr="00AF1481">
        <w:rPr>
          <w:snapToGrid w:val="0"/>
        </w:rPr>
        <w:t>anti-VEGF treatment for the same indication.</w:t>
      </w:r>
    </w:p>
    <w:p w14:paraId="2F51CC9D" w14:textId="7A35C54C" w:rsidR="0021581F" w:rsidRPr="00AF1481" w:rsidRDefault="0021581F" w:rsidP="0021581F">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The PBAC welcomed comments received from health care professionals, and the Macular Disease Foundation Australia, via the Consumer Comments facility on the PBS website</w:t>
      </w:r>
      <w:r w:rsidR="002A7E1A" w:rsidRPr="00AF1481">
        <w:rPr>
          <w:rFonts w:asciiTheme="minorHAnsi" w:hAnsiTheme="minorHAnsi"/>
          <w:snapToGrid w:val="0"/>
          <w:lang w:eastAsia="en-US"/>
        </w:rPr>
        <w:t xml:space="preserve">. The PBAC </w:t>
      </w:r>
      <w:r w:rsidRPr="00AF1481">
        <w:rPr>
          <w:rFonts w:asciiTheme="minorHAnsi" w:hAnsiTheme="minorHAnsi"/>
          <w:snapToGrid w:val="0"/>
          <w:lang w:eastAsia="en-US"/>
        </w:rPr>
        <w:t>noted that a common theme raised in the comments</w:t>
      </w:r>
      <w:r w:rsidR="002A7E1A" w:rsidRPr="00AF1481">
        <w:rPr>
          <w:rFonts w:asciiTheme="minorHAnsi" w:hAnsiTheme="minorHAnsi"/>
          <w:snapToGrid w:val="0"/>
          <w:lang w:eastAsia="en-US"/>
        </w:rPr>
        <w:t xml:space="preserve"> was </w:t>
      </w:r>
      <w:r w:rsidRPr="00AF1481">
        <w:rPr>
          <w:rFonts w:asciiTheme="minorHAnsi" w:hAnsiTheme="minorHAnsi"/>
          <w:snapToGrid w:val="0"/>
          <w:lang w:eastAsia="en-US"/>
        </w:rPr>
        <w:t xml:space="preserve">that a lower injection frequency is likely to reduce the burden of access to treatment </w:t>
      </w:r>
      <w:r w:rsidR="002A7E1A" w:rsidRPr="00AF1481">
        <w:rPr>
          <w:rFonts w:asciiTheme="minorHAnsi" w:hAnsiTheme="minorHAnsi"/>
          <w:snapToGrid w:val="0"/>
          <w:lang w:eastAsia="en-US"/>
        </w:rPr>
        <w:t xml:space="preserve">and this </w:t>
      </w:r>
      <w:r w:rsidRPr="00AF1481">
        <w:rPr>
          <w:rFonts w:asciiTheme="minorHAnsi" w:hAnsiTheme="minorHAnsi"/>
          <w:snapToGrid w:val="0"/>
          <w:lang w:eastAsia="en-US"/>
        </w:rPr>
        <w:t>was also highlighted by clinicians during the sponsor hearing.</w:t>
      </w:r>
      <w:r w:rsidR="002E3CE5">
        <w:rPr>
          <w:rFonts w:asciiTheme="minorHAnsi" w:hAnsiTheme="minorHAnsi"/>
          <w:snapToGrid w:val="0"/>
          <w:lang w:eastAsia="en-US"/>
        </w:rPr>
        <w:t xml:space="preserve"> </w:t>
      </w:r>
      <w:r w:rsidR="002D2FB2" w:rsidRPr="00AF1481">
        <w:rPr>
          <w:rFonts w:asciiTheme="minorHAnsi" w:hAnsiTheme="minorHAnsi"/>
          <w:snapToGrid w:val="0"/>
          <w:lang w:eastAsia="en-US"/>
        </w:rPr>
        <w:t>The PBAC also noted that faricimab is available on the PBS and that dosing can be extended up to every 16 weeks, the same as for aflibercept 8 mg.</w:t>
      </w:r>
    </w:p>
    <w:p w14:paraId="70236DD0" w14:textId="4D3CF50D" w:rsidR="0021581F" w:rsidRPr="00AF1481" w:rsidRDefault="0021581F" w:rsidP="0021581F">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The PBAC noted the input from the clinicians at the sponsor hearing suggested that most patients switched from their current anti-VEGF treatment to aflibercept 8 mg would receive re</w:t>
      </w:r>
      <w:r w:rsidR="003B17DB" w:rsidRPr="00AF1481">
        <w:rPr>
          <w:rFonts w:asciiTheme="minorHAnsi" w:hAnsiTheme="minorHAnsi"/>
          <w:snapToGrid w:val="0"/>
          <w:lang w:eastAsia="en-US"/>
        </w:rPr>
        <w:t>-</w:t>
      </w:r>
      <w:r w:rsidRPr="00AF1481">
        <w:rPr>
          <w:rFonts w:asciiTheme="minorHAnsi" w:hAnsiTheme="minorHAnsi"/>
          <w:snapToGrid w:val="0"/>
          <w:lang w:eastAsia="en-US"/>
        </w:rPr>
        <w:t>loading doses.</w:t>
      </w:r>
    </w:p>
    <w:p w14:paraId="46E3C7EF" w14:textId="77777777" w:rsidR="00A05AA6" w:rsidRDefault="004876EB" w:rsidP="001F6CB3">
      <w:pPr>
        <w:widowControl w:val="0"/>
        <w:numPr>
          <w:ilvl w:val="1"/>
          <w:numId w:val="1"/>
        </w:numPr>
        <w:spacing w:after="120"/>
        <w:ind w:left="720"/>
      </w:pPr>
      <w:r w:rsidRPr="00AF1481">
        <w:rPr>
          <w:rFonts w:asciiTheme="minorHAnsi" w:hAnsiTheme="minorHAnsi"/>
          <w:snapToGrid w:val="0"/>
          <w:lang w:eastAsia="en-US"/>
        </w:rPr>
        <w:t xml:space="preserve">The PBAC considered the nominated comparator of aflibercept 2 mg was appropriate </w:t>
      </w:r>
      <w:r w:rsidR="007D3C86" w:rsidRPr="00AF1481">
        <w:rPr>
          <w:rFonts w:asciiTheme="minorHAnsi" w:hAnsiTheme="minorHAnsi"/>
          <w:snapToGrid w:val="0"/>
          <w:lang w:eastAsia="en-US"/>
        </w:rPr>
        <w:t xml:space="preserve">and noted that </w:t>
      </w:r>
      <w:r w:rsidR="002A7E1A" w:rsidRPr="00AF1481">
        <w:rPr>
          <w:rFonts w:asciiTheme="minorHAnsi" w:hAnsiTheme="minorHAnsi"/>
          <w:snapToGrid w:val="0"/>
          <w:lang w:eastAsia="en-US"/>
        </w:rPr>
        <w:t xml:space="preserve">aflibercept 2 mg, </w:t>
      </w:r>
      <w:r w:rsidR="006E2985" w:rsidRPr="00AF1481">
        <w:rPr>
          <w:rFonts w:asciiTheme="minorHAnsi" w:hAnsiTheme="minorHAnsi"/>
          <w:snapToGrid w:val="0"/>
          <w:lang w:eastAsia="en-US"/>
        </w:rPr>
        <w:t xml:space="preserve">faricimab and ranibizumab were </w:t>
      </w:r>
      <w:r w:rsidR="002A7E1A" w:rsidRPr="00AF1481">
        <w:rPr>
          <w:rFonts w:asciiTheme="minorHAnsi" w:hAnsiTheme="minorHAnsi"/>
          <w:snapToGrid w:val="0"/>
          <w:lang w:eastAsia="en-US"/>
        </w:rPr>
        <w:t xml:space="preserve">all </w:t>
      </w:r>
      <w:r w:rsidR="006E2985" w:rsidRPr="00AF1481">
        <w:rPr>
          <w:rFonts w:asciiTheme="minorHAnsi" w:hAnsiTheme="minorHAnsi"/>
          <w:snapToGrid w:val="0"/>
          <w:lang w:eastAsia="en-US"/>
        </w:rPr>
        <w:t>alternative therapies</w:t>
      </w:r>
      <w:r w:rsidR="007D3C86" w:rsidRPr="00AF1481">
        <w:rPr>
          <w:rFonts w:asciiTheme="minorHAnsi" w:hAnsiTheme="minorHAnsi"/>
          <w:snapToGrid w:val="0"/>
          <w:lang w:eastAsia="en-US"/>
        </w:rPr>
        <w:t xml:space="preserve"> as they could be replaced in clinical practice</w:t>
      </w:r>
      <w:r w:rsidR="006E2985" w:rsidRPr="00AF1481">
        <w:rPr>
          <w:rFonts w:asciiTheme="minorHAnsi" w:hAnsiTheme="minorHAnsi"/>
          <w:snapToGrid w:val="0"/>
          <w:lang w:eastAsia="en-US"/>
        </w:rPr>
        <w:t>.</w:t>
      </w:r>
      <w:r w:rsidR="007D3C86" w:rsidRPr="00AF1481">
        <w:rPr>
          <w:rFonts w:asciiTheme="minorHAnsi" w:hAnsiTheme="minorHAnsi"/>
          <w:snapToGrid w:val="0"/>
          <w:lang w:eastAsia="en-US"/>
        </w:rPr>
        <w:t xml:space="preserve"> The PBAC noted that no evidence was </w:t>
      </w:r>
      <w:r w:rsidR="007D3C86" w:rsidRPr="00AF1481">
        <w:t>provided to demonstrate aflibercept 8 mg provided a significant improvement in efficacy and/or reduction of toxicity over the alternative therapies.</w:t>
      </w:r>
    </w:p>
    <w:p w14:paraId="7EB8C49C" w14:textId="77777777" w:rsidR="00A05AA6" w:rsidRDefault="000D6C38" w:rsidP="001F6CB3">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 xml:space="preserve">The PBAC noted the </w:t>
      </w:r>
      <w:r w:rsidR="00630A84" w:rsidRPr="00AF1481">
        <w:rPr>
          <w:rFonts w:asciiTheme="minorHAnsi" w:hAnsiTheme="minorHAnsi"/>
          <w:snapToGrid w:val="0"/>
          <w:lang w:eastAsia="en-US"/>
        </w:rPr>
        <w:t xml:space="preserve">clinical claim of non-inferior efficacy and safety was based on the evidence presented in the PHOTON trial, </w:t>
      </w:r>
      <w:r w:rsidR="00794211" w:rsidRPr="00AF1481">
        <w:rPr>
          <w:rFonts w:asciiTheme="minorHAnsi" w:hAnsiTheme="minorHAnsi"/>
          <w:snapToGrid w:val="0"/>
          <w:lang w:eastAsia="en-US"/>
        </w:rPr>
        <w:t xml:space="preserve">a non-inferiority study that </w:t>
      </w:r>
      <w:r w:rsidR="00630A84" w:rsidRPr="00AF1481">
        <w:rPr>
          <w:rFonts w:asciiTheme="minorHAnsi" w:hAnsiTheme="minorHAnsi"/>
          <w:snapToGrid w:val="0"/>
          <w:lang w:eastAsia="en-US"/>
        </w:rPr>
        <w:t xml:space="preserve">compared aflibercept 8 mg </w:t>
      </w:r>
      <w:r w:rsidR="008634A0" w:rsidRPr="00AF1481">
        <w:rPr>
          <w:rFonts w:asciiTheme="minorHAnsi" w:hAnsiTheme="minorHAnsi"/>
          <w:snapToGrid w:val="0"/>
          <w:lang w:eastAsia="en-US"/>
        </w:rPr>
        <w:t xml:space="preserve">(12-weekly or 16-weekly) </w:t>
      </w:r>
      <w:r w:rsidR="00117F8A" w:rsidRPr="00AF1481">
        <w:rPr>
          <w:rFonts w:asciiTheme="minorHAnsi" w:hAnsiTheme="minorHAnsi"/>
          <w:snapToGrid w:val="0"/>
          <w:lang w:eastAsia="en-US"/>
        </w:rPr>
        <w:t xml:space="preserve">and </w:t>
      </w:r>
      <w:r w:rsidR="00630A84" w:rsidRPr="00AF1481">
        <w:rPr>
          <w:rFonts w:asciiTheme="minorHAnsi" w:hAnsiTheme="minorHAnsi"/>
          <w:snapToGrid w:val="0"/>
          <w:lang w:eastAsia="en-US"/>
        </w:rPr>
        <w:t>aflibercept 2 mg</w:t>
      </w:r>
      <w:r w:rsidR="005E3D78" w:rsidRPr="00AF1481">
        <w:rPr>
          <w:rFonts w:asciiTheme="minorHAnsi" w:hAnsiTheme="minorHAnsi"/>
          <w:snapToGrid w:val="0"/>
          <w:lang w:eastAsia="en-US"/>
        </w:rPr>
        <w:t xml:space="preserve"> (8-weekly)</w:t>
      </w:r>
      <w:r w:rsidR="00630A84" w:rsidRPr="00AF1481">
        <w:rPr>
          <w:rFonts w:asciiTheme="minorHAnsi" w:hAnsiTheme="minorHAnsi"/>
          <w:snapToGrid w:val="0"/>
          <w:lang w:eastAsia="en-US"/>
        </w:rPr>
        <w:t xml:space="preserve">. </w:t>
      </w:r>
      <w:r w:rsidR="00584867" w:rsidRPr="00AF1481">
        <w:rPr>
          <w:rFonts w:asciiTheme="minorHAnsi" w:hAnsiTheme="minorHAnsi"/>
          <w:snapToGrid w:val="0"/>
          <w:lang w:eastAsia="en-US"/>
        </w:rPr>
        <w:t>The Committee noted that the trial protocol restricted patients such that: (i) treatment intervals</w:t>
      </w:r>
      <w:r w:rsidR="005E3D78" w:rsidRPr="00AF1481">
        <w:rPr>
          <w:rFonts w:asciiTheme="minorHAnsi" w:hAnsiTheme="minorHAnsi"/>
          <w:snapToGrid w:val="0"/>
          <w:lang w:eastAsia="en-US"/>
        </w:rPr>
        <w:t xml:space="preserve"> could be</w:t>
      </w:r>
      <w:r w:rsidR="003278D1" w:rsidRPr="00AF1481">
        <w:rPr>
          <w:rFonts w:asciiTheme="minorHAnsi" w:hAnsiTheme="minorHAnsi"/>
          <w:snapToGrid w:val="0"/>
          <w:lang w:eastAsia="en-US"/>
        </w:rPr>
        <w:t xml:space="preserve"> </w:t>
      </w:r>
      <w:r w:rsidR="00584867" w:rsidRPr="00AF1481">
        <w:rPr>
          <w:rFonts w:asciiTheme="minorHAnsi" w:hAnsiTheme="minorHAnsi"/>
          <w:snapToGrid w:val="0"/>
          <w:lang w:eastAsia="en-US"/>
        </w:rPr>
        <w:t xml:space="preserve">extended </w:t>
      </w:r>
      <w:r w:rsidR="005E3D78" w:rsidRPr="00AF1481">
        <w:rPr>
          <w:rFonts w:asciiTheme="minorHAnsi" w:hAnsiTheme="minorHAnsi"/>
          <w:snapToGrid w:val="0"/>
          <w:lang w:eastAsia="en-US"/>
        </w:rPr>
        <w:t xml:space="preserve">(up to 24 weeks) </w:t>
      </w:r>
      <w:r w:rsidR="00584867" w:rsidRPr="00AF1481">
        <w:rPr>
          <w:rFonts w:asciiTheme="minorHAnsi" w:hAnsiTheme="minorHAnsi"/>
          <w:snapToGrid w:val="0"/>
          <w:lang w:eastAsia="en-US"/>
        </w:rPr>
        <w:t xml:space="preserve">from Week 52 for patients treated with aflibercept 8 mg, and (ii) </w:t>
      </w:r>
      <w:r w:rsidR="005E3D78" w:rsidRPr="00AF1481">
        <w:rPr>
          <w:rFonts w:asciiTheme="minorHAnsi" w:hAnsiTheme="minorHAnsi"/>
          <w:snapToGrid w:val="0"/>
          <w:lang w:eastAsia="en-US"/>
        </w:rPr>
        <w:t>treatment intervals could not be extended for patients treated with aflibercept 2 mg.</w:t>
      </w:r>
      <w:r w:rsidR="002A7E1A" w:rsidRPr="00AF1481">
        <w:rPr>
          <w:rFonts w:asciiTheme="minorHAnsi" w:hAnsiTheme="minorHAnsi"/>
          <w:snapToGrid w:val="0"/>
          <w:lang w:eastAsia="en-US"/>
        </w:rPr>
        <w:t xml:space="preserve"> The PBAC noted this was not consistent with clinical </w:t>
      </w:r>
      <w:r w:rsidR="002A7E1A" w:rsidRPr="00AF1481">
        <w:rPr>
          <w:rFonts w:asciiTheme="minorHAnsi" w:hAnsiTheme="minorHAnsi"/>
          <w:snapToGrid w:val="0"/>
          <w:lang w:eastAsia="en-US"/>
        </w:rPr>
        <w:lastRenderedPageBreak/>
        <w:t xml:space="preserve">practice as both agents could use a </w:t>
      </w:r>
      <w:r w:rsidR="007D6702" w:rsidRPr="00AF1481">
        <w:rPr>
          <w:rFonts w:asciiTheme="minorHAnsi" w:hAnsiTheme="minorHAnsi"/>
          <w:snapToGrid w:val="0"/>
          <w:lang w:eastAsia="en-US"/>
        </w:rPr>
        <w:t>treat and extend (</w:t>
      </w:r>
      <w:r w:rsidR="002A7E1A" w:rsidRPr="00AF1481">
        <w:rPr>
          <w:rFonts w:asciiTheme="minorHAnsi" w:hAnsiTheme="minorHAnsi"/>
          <w:snapToGrid w:val="0"/>
          <w:lang w:eastAsia="en-US"/>
        </w:rPr>
        <w:t>T&amp;E</w:t>
      </w:r>
      <w:r w:rsidR="007D6702" w:rsidRPr="00AF1481">
        <w:rPr>
          <w:rFonts w:asciiTheme="minorHAnsi" w:hAnsiTheme="minorHAnsi"/>
          <w:snapToGrid w:val="0"/>
          <w:lang w:eastAsia="en-US"/>
        </w:rPr>
        <w:t>)</w:t>
      </w:r>
      <w:r w:rsidR="002A7E1A" w:rsidRPr="00AF1481">
        <w:rPr>
          <w:rFonts w:asciiTheme="minorHAnsi" w:hAnsiTheme="minorHAnsi"/>
          <w:snapToGrid w:val="0"/>
          <w:lang w:eastAsia="en-US"/>
        </w:rPr>
        <w:t xml:space="preserve"> approach</w:t>
      </w:r>
      <w:r w:rsidR="007A79DA" w:rsidRPr="00AF1481">
        <w:rPr>
          <w:rFonts w:asciiTheme="minorHAnsi" w:hAnsiTheme="minorHAnsi"/>
          <w:snapToGrid w:val="0"/>
          <w:lang w:eastAsia="en-US"/>
        </w:rPr>
        <w:t xml:space="preserve"> following the loading doses (3 monthly injections for aflibercept 8 mg and 5 monthly injections for aflibercept 2 mg). </w:t>
      </w:r>
      <w:r w:rsidR="003278D1" w:rsidRPr="00AF1481">
        <w:rPr>
          <w:rFonts w:asciiTheme="minorHAnsi" w:hAnsiTheme="minorHAnsi"/>
          <w:snapToGrid w:val="0"/>
          <w:lang w:eastAsia="en-US"/>
        </w:rPr>
        <w:t xml:space="preserve">Additionally, the PBAC noted the treatment interval for aflibercept 8 mg could be extended </w:t>
      </w:r>
      <w:r w:rsidR="005E3D78" w:rsidRPr="00AF1481">
        <w:rPr>
          <w:rFonts w:asciiTheme="minorHAnsi" w:hAnsiTheme="minorHAnsi"/>
          <w:snapToGrid w:val="0"/>
          <w:lang w:eastAsia="en-US"/>
        </w:rPr>
        <w:t xml:space="preserve">up </w:t>
      </w:r>
      <w:r w:rsidR="003278D1" w:rsidRPr="00AF1481">
        <w:rPr>
          <w:rFonts w:asciiTheme="minorHAnsi" w:hAnsiTheme="minorHAnsi"/>
          <w:snapToGrid w:val="0"/>
          <w:lang w:eastAsia="en-US"/>
        </w:rPr>
        <w:t xml:space="preserve">to 24 weeks </w:t>
      </w:r>
      <w:r w:rsidR="00121A2B" w:rsidRPr="00AF1481">
        <w:rPr>
          <w:rFonts w:asciiTheme="minorHAnsi" w:hAnsiTheme="minorHAnsi"/>
          <w:snapToGrid w:val="0"/>
          <w:lang w:eastAsia="en-US"/>
        </w:rPr>
        <w:t xml:space="preserve">(based on response) </w:t>
      </w:r>
      <w:r w:rsidR="003278D1" w:rsidRPr="00AF1481">
        <w:rPr>
          <w:rFonts w:asciiTheme="minorHAnsi" w:hAnsiTheme="minorHAnsi"/>
          <w:snapToGrid w:val="0"/>
          <w:lang w:eastAsia="en-US"/>
        </w:rPr>
        <w:t xml:space="preserve">which </w:t>
      </w:r>
      <w:r w:rsidR="007A79DA" w:rsidRPr="00AF1481">
        <w:rPr>
          <w:rFonts w:asciiTheme="minorHAnsi" w:hAnsiTheme="minorHAnsi"/>
          <w:snapToGrid w:val="0"/>
          <w:lang w:eastAsia="en-US"/>
        </w:rPr>
        <w:t>wa</w:t>
      </w:r>
      <w:r w:rsidR="003278D1" w:rsidRPr="00AF1481">
        <w:rPr>
          <w:rFonts w:asciiTheme="minorHAnsi" w:hAnsiTheme="minorHAnsi"/>
          <w:snapToGrid w:val="0"/>
          <w:lang w:eastAsia="en-US"/>
        </w:rPr>
        <w:t>s not consistent with the draft Product Information</w:t>
      </w:r>
      <w:r w:rsidR="007D6702" w:rsidRPr="00AF1481">
        <w:rPr>
          <w:rFonts w:asciiTheme="minorHAnsi" w:hAnsiTheme="minorHAnsi"/>
          <w:snapToGrid w:val="0"/>
          <w:lang w:eastAsia="en-US"/>
        </w:rPr>
        <w:t>,</w:t>
      </w:r>
      <w:r w:rsidR="00A47B5B" w:rsidRPr="00AF1481">
        <w:rPr>
          <w:rFonts w:asciiTheme="minorHAnsi" w:hAnsiTheme="minorHAnsi"/>
          <w:snapToGrid w:val="0"/>
          <w:lang w:eastAsia="en-US"/>
        </w:rPr>
        <w:t xml:space="preserve"> </w:t>
      </w:r>
      <w:r w:rsidR="003278D1" w:rsidRPr="00AF1481">
        <w:rPr>
          <w:rFonts w:asciiTheme="minorHAnsi" w:hAnsiTheme="minorHAnsi"/>
          <w:snapToGrid w:val="0"/>
          <w:lang w:eastAsia="en-US"/>
        </w:rPr>
        <w:t>wh</w:t>
      </w:r>
      <w:r w:rsidR="00A47B5B" w:rsidRPr="00AF1481">
        <w:rPr>
          <w:rFonts w:asciiTheme="minorHAnsi" w:hAnsiTheme="minorHAnsi"/>
          <w:snapToGrid w:val="0"/>
          <w:lang w:eastAsia="en-US"/>
        </w:rPr>
        <w:t xml:space="preserve">ere the maximum recommended treatment interval will be </w:t>
      </w:r>
      <w:r w:rsidR="003278D1" w:rsidRPr="00AF1481">
        <w:rPr>
          <w:rFonts w:asciiTheme="minorHAnsi" w:hAnsiTheme="minorHAnsi"/>
          <w:snapToGrid w:val="0"/>
          <w:lang w:eastAsia="en-US"/>
        </w:rPr>
        <w:t>16 weeks</w:t>
      </w:r>
      <w:r w:rsidR="007D6702" w:rsidRPr="00AF1481">
        <w:rPr>
          <w:rFonts w:asciiTheme="minorHAnsi" w:hAnsiTheme="minorHAnsi"/>
          <w:snapToGrid w:val="0"/>
          <w:lang w:eastAsia="en-US"/>
        </w:rPr>
        <w:t xml:space="preserve"> (</w:t>
      </w:r>
      <w:r w:rsidR="007669F2" w:rsidRPr="00AF1481">
        <w:rPr>
          <w:rFonts w:asciiTheme="minorHAnsi" w:hAnsiTheme="minorHAnsi"/>
          <w:snapToGrid w:val="0"/>
          <w:lang w:eastAsia="en-US"/>
        </w:rPr>
        <w:t xml:space="preserve">as </w:t>
      </w:r>
      <w:r w:rsidR="007D6702" w:rsidRPr="00AF1481">
        <w:rPr>
          <w:rFonts w:asciiTheme="minorHAnsi" w:hAnsiTheme="minorHAnsi"/>
          <w:snapToGrid w:val="0"/>
          <w:lang w:eastAsia="en-US"/>
        </w:rPr>
        <w:t>agreed to by the sponsor</w:t>
      </w:r>
      <w:r w:rsidR="003278D1" w:rsidRPr="00AF1481">
        <w:rPr>
          <w:rFonts w:asciiTheme="minorHAnsi" w:hAnsiTheme="minorHAnsi"/>
          <w:snapToGrid w:val="0"/>
          <w:lang w:eastAsia="en-US"/>
        </w:rPr>
        <w:t>).</w:t>
      </w:r>
    </w:p>
    <w:p w14:paraId="01DB4228" w14:textId="77777777" w:rsidR="00A05AA6" w:rsidRDefault="00630A84" w:rsidP="001F6CB3">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 xml:space="preserve">The PBAC considered the claim </w:t>
      </w:r>
      <w:r w:rsidR="00584867" w:rsidRPr="00AF1481">
        <w:rPr>
          <w:rFonts w:asciiTheme="minorHAnsi" w:hAnsiTheme="minorHAnsi"/>
          <w:snapToGrid w:val="0"/>
          <w:lang w:eastAsia="en-US"/>
        </w:rPr>
        <w:t xml:space="preserve">of non-inferior comparative efficacy </w:t>
      </w:r>
      <w:r w:rsidRPr="00AF1481">
        <w:rPr>
          <w:rFonts w:asciiTheme="minorHAnsi" w:hAnsiTheme="minorHAnsi"/>
          <w:snapToGrid w:val="0"/>
          <w:lang w:eastAsia="en-US"/>
        </w:rPr>
        <w:t xml:space="preserve">to be adequately supported, </w:t>
      </w:r>
      <w:r w:rsidR="00584867" w:rsidRPr="00AF1481">
        <w:rPr>
          <w:rFonts w:asciiTheme="minorHAnsi" w:hAnsiTheme="minorHAnsi"/>
          <w:snapToGrid w:val="0"/>
          <w:lang w:eastAsia="en-US"/>
        </w:rPr>
        <w:t xml:space="preserve">noting the pre-specified non-inferiority margin of 4 letters was met for </w:t>
      </w:r>
      <w:r w:rsidRPr="00AF1481">
        <w:rPr>
          <w:rFonts w:asciiTheme="minorHAnsi" w:hAnsiTheme="minorHAnsi"/>
          <w:snapToGrid w:val="0"/>
          <w:lang w:eastAsia="en-US"/>
        </w:rPr>
        <w:t xml:space="preserve">the primary </w:t>
      </w:r>
      <w:r w:rsidR="008634A0" w:rsidRPr="00AF1481">
        <w:rPr>
          <w:rFonts w:asciiTheme="minorHAnsi" w:hAnsiTheme="minorHAnsi"/>
          <w:snapToGrid w:val="0"/>
          <w:lang w:eastAsia="en-US"/>
        </w:rPr>
        <w:t xml:space="preserve">endpoint of change in best corrected visual acuity (BCVA) score from baseline </w:t>
      </w:r>
      <w:r w:rsidRPr="00AF1481">
        <w:rPr>
          <w:rFonts w:asciiTheme="minorHAnsi" w:hAnsiTheme="minorHAnsi"/>
          <w:snapToGrid w:val="0"/>
          <w:lang w:eastAsia="en-US"/>
        </w:rPr>
        <w:t>between the treatment groups.</w:t>
      </w:r>
    </w:p>
    <w:p w14:paraId="7A22210B" w14:textId="115B97CD" w:rsidR="006449BA" w:rsidRPr="00AF1481" w:rsidRDefault="00000C8E" w:rsidP="001F6CB3">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 xml:space="preserve">The PBAC noted the incidence of adverse events and treatment-emergent adverse events was comparable between the treatment arms in PHOTON. </w:t>
      </w:r>
      <w:r w:rsidR="006449BA" w:rsidRPr="00AF1481">
        <w:rPr>
          <w:rFonts w:asciiTheme="minorHAnsi" w:hAnsiTheme="minorHAnsi"/>
          <w:snapToGrid w:val="0"/>
          <w:lang w:eastAsia="en-US"/>
        </w:rPr>
        <w:t>The PBAC</w:t>
      </w:r>
      <w:r w:rsidRPr="00AF1481">
        <w:rPr>
          <w:rFonts w:asciiTheme="minorHAnsi" w:hAnsiTheme="minorHAnsi"/>
          <w:snapToGrid w:val="0"/>
          <w:lang w:eastAsia="en-US"/>
        </w:rPr>
        <w:t xml:space="preserve"> </w:t>
      </w:r>
      <w:r w:rsidR="006449BA" w:rsidRPr="00AF1481">
        <w:rPr>
          <w:rFonts w:asciiTheme="minorHAnsi" w:hAnsiTheme="minorHAnsi"/>
          <w:snapToGrid w:val="0"/>
          <w:lang w:eastAsia="en-US"/>
        </w:rPr>
        <w:t>considered that the claim of non-inferior safety was reasonable.</w:t>
      </w:r>
    </w:p>
    <w:p w14:paraId="4B132FAB" w14:textId="77777777" w:rsidR="00A05AA6" w:rsidRDefault="00AD4AE3" w:rsidP="001F6CB3">
      <w:pPr>
        <w:widowControl w:val="0"/>
        <w:numPr>
          <w:ilvl w:val="1"/>
          <w:numId w:val="1"/>
        </w:numPr>
        <w:spacing w:after="120"/>
        <w:ind w:left="720"/>
        <w:rPr>
          <w:rFonts w:asciiTheme="minorHAnsi" w:hAnsiTheme="minorHAnsi"/>
          <w:snapToGrid w:val="0"/>
          <w:lang w:eastAsia="en-US"/>
        </w:rPr>
      </w:pPr>
      <w:r w:rsidRPr="00AF1481">
        <w:rPr>
          <w:rFonts w:asciiTheme="minorHAnsi" w:hAnsiTheme="minorHAnsi"/>
          <w:snapToGrid w:val="0"/>
          <w:lang w:eastAsia="en-US"/>
        </w:rPr>
        <w:t>The PBAC considered the cost-effectiveness of aflibercept 8 mg would be acceptable if it were cost-minimised (over 2 years) to the lowest cost alternative treatment for the same indication.</w:t>
      </w:r>
    </w:p>
    <w:p w14:paraId="5901A0C4" w14:textId="3D99348A" w:rsidR="00A05AA6" w:rsidRDefault="00B006B5" w:rsidP="001F6CB3">
      <w:pPr>
        <w:widowControl w:val="0"/>
        <w:numPr>
          <w:ilvl w:val="1"/>
          <w:numId w:val="1"/>
        </w:numPr>
        <w:spacing w:after="120"/>
        <w:ind w:left="720"/>
        <w:rPr>
          <w:rFonts w:asciiTheme="minorHAnsi" w:hAnsiTheme="minorHAnsi"/>
          <w:snapToGrid w:val="0"/>
          <w:lang w:eastAsia="en-US"/>
        </w:rPr>
      </w:pPr>
      <w:bookmarkStart w:id="108" w:name="_Ref167626789"/>
      <w:bookmarkStart w:id="109" w:name="_Hlk167724645"/>
      <w:r w:rsidRPr="00AF1481">
        <w:rPr>
          <w:rFonts w:asciiTheme="minorHAnsi" w:hAnsiTheme="minorHAnsi"/>
          <w:snapToGrid w:val="0"/>
          <w:lang w:eastAsia="en-US"/>
        </w:rPr>
        <w:t xml:space="preserve">The PBAC noted the trial dosing intervals in the PHOTON trial were not consistent with clinical practice (as discussed in paragraphs </w:t>
      </w:r>
      <w:r w:rsidRPr="00AF1481">
        <w:rPr>
          <w:rFonts w:asciiTheme="minorHAnsi" w:hAnsiTheme="minorHAnsi"/>
          <w:snapToGrid w:val="0"/>
          <w:lang w:eastAsia="en-US"/>
        </w:rPr>
        <w:fldChar w:fldCharType="begin"/>
      </w:r>
      <w:r w:rsidRPr="00AF1481">
        <w:rPr>
          <w:rFonts w:asciiTheme="minorHAnsi" w:hAnsiTheme="minorHAnsi"/>
          <w:snapToGrid w:val="0"/>
          <w:lang w:eastAsia="en-US"/>
        </w:rPr>
        <w:instrText xml:space="preserve"> REF _Ref167714827 \r \h  \* MERGEFORMAT </w:instrText>
      </w:r>
      <w:r w:rsidRPr="00AF1481">
        <w:rPr>
          <w:rFonts w:asciiTheme="minorHAnsi" w:hAnsiTheme="minorHAnsi"/>
          <w:snapToGrid w:val="0"/>
          <w:lang w:eastAsia="en-US"/>
        </w:rPr>
      </w:r>
      <w:r w:rsidRPr="00AF1481">
        <w:rPr>
          <w:rFonts w:asciiTheme="minorHAnsi" w:hAnsiTheme="minorHAnsi"/>
          <w:snapToGrid w:val="0"/>
          <w:lang w:eastAsia="en-US"/>
        </w:rPr>
        <w:fldChar w:fldCharType="separate"/>
      </w:r>
      <w:r w:rsidR="009404AF">
        <w:rPr>
          <w:rFonts w:asciiTheme="minorHAnsi" w:hAnsiTheme="minorHAnsi"/>
          <w:snapToGrid w:val="0"/>
          <w:lang w:eastAsia="en-US"/>
        </w:rPr>
        <w:t>6.12</w:t>
      </w:r>
      <w:r w:rsidRPr="00AF1481">
        <w:rPr>
          <w:rFonts w:asciiTheme="minorHAnsi" w:hAnsiTheme="minorHAnsi"/>
          <w:snapToGrid w:val="0"/>
          <w:lang w:eastAsia="en-US"/>
        </w:rPr>
        <w:fldChar w:fldCharType="end"/>
      </w:r>
      <w:r w:rsidRPr="00AF1481">
        <w:rPr>
          <w:rFonts w:asciiTheme="minorHAnsi" w:hAnsiTheme="minorHAnsi"/>
          <w:snapToGrid w:val="0"/>
          <w:lang w:eastAsia="en-US"/>
        </w:rPr>
        <w:t xml:space="preserve"> and </w:t>
      </w:r>
      <w:r w:rsidRPr="00AF1481">
        <w:rPr>
          <w:rFonts w:asciiTheme="minorHAnsi" w:hAnsiTheme="minorHAnsi"/>
          <w:snapToGrid w:val="0"/>
          <w:lang w:eastAsia="en-US"/>
        </w:rPr>
        <w:fldChar w:fldCharType="begin"/>
      </w:r>
      <w:r w:rsidRPr="00AF1481">
        <w:rPr>
          <w:rFonts w:asciiTheme="minorHAnsi" w:hAnsiTheme="minorHAnsi"/>
          <w:snapToGrid w:val="0"/>
          <w:lang w:eastAsia="en-US"/>
        </w:rPr>
        <w:instrText xml:space="preserve"> REF _Ref167714829 \r \h  \* MERGEFORMAT </w:instrText>
      </w:r>
      <w:r w:rsidRPr="00AF1481">
        <w:rPr>
          <w:rFonts w:asciiTheme="minorHAnsi" w:hAnsiTheme="minorHAnsi"/>
          <w:snapToGrid w:val="0"/>
          <w:lang w:eastAsia="en-US"/>
        </w:rPr>
      </w:r>
      <w:r w:rsidRPr="00AF1481">
        <w:rPr>
          <w:rFonts w:asciiTheme="minorHAnsi" w:hAnsiTheme="minorHAnsi"/>
          <w:snapToGrid w:val="0"/>
          <w:lang w:eastAsia="en-US"/>
        </w:rPr>
        <w:fldChar w:fldCharType="separate"/>
      </w:r>
      <w:r w:rsidR="009404AF">
        <w:rPr>
          <w:rFonts w:asciiTheme="minorHAnsi" w:hAnsiTheme="minorHAnsi"/>
          <w:snapToGrid w:val="0"/>
          <w:lang w:eastAsia="en-US"/>
        </w:rPr>
        <w:t>6.13</w:t>
      </w:r>
      <w:r w:rsidRPr="00AF1481">
        <w:rPr>
          <w:rFonts w:asciiTheme="minorHAnsi" w:hAnsiTheme="minorHAnsi"/>
          <w:snapToGrid w:val="0"/>
          <w:lang w:eastAsia="en-US"/>
        </w:rPr>
        <w:fldChar w:fldCharType="end"/>
      </w:r>
      <w:r w:rsidRPr="00AF1481">
        <w:rPr>
          <w:rFonts w:asciiTheme="minorHAnsi" w:hAnsiTheme="minorHAnsi"/>
          <w:snapToGrid w:val="0"/>
          <w:lang w:eastAsia="en-US"/>
        </w:rPr>
        <w:t xml:space="preserve">). </w:t>
      </w:r>
      <w:r w:rsidR="005E3D78" w:rsidRPr="00AF1481">
        <w:rPr>
          <w:rFonts w:asciiTheme="minorHAnsi" w:hAnsiTheme="minorHAnsi"/>
          <w:snapToGrid w:val="0"/>
          <w:lang w:eastAsia="en-US"/>
        </w:rPr>
        <w:t>The</w:t>
      </w:r>
      <w:r w:rsidRPr="00AF1481">
        <w:rPr>
          <w:rFonts w:asciiTheme="minorHAnsi" w:hAnsiTheme="minorHAnsi"/>
          <w:snapToGrid w:val="0"/>
          <w:lang w:eastAsia="en-US"/>
        </w:rPr>
        <w:t xml:space="preserve"> PBAC noted the </w:t>
      </w:r>
      <w:r w:rsidR="005E3D78" w:rsidRPr="00AF1481">
        <w:rPr>
          <w:rFonts w:asciiTheme="minorHAnsi" w:hAnsiTheme="minorHAnsi"/>
          <w:snapToGrid w:val="0"/>
          <w:lang w:eastAsia="en-US"/>
        </w:rPr>
        <w:t>equi-effective doses proposed in the pre-PBAC response used trial data for aflibercept 8 mg (adjusted for a maximum 16</w:t>
      </w:r>
      <w:r w:rsidR="00FE19D7" w:rsidRPr="00AF1481">
        <w:rPr>
          <w:rFonts w:asciiTheme="minorHAnsi" w:hAnsiTheme="minorHAnsi"/>
          <w:snapToGrid w:val="0"/>
          <w:lang w:eastAsia="en-US"/>
        </w:rPr>
        <w:t>-</w:t>
      </w:r>
      <w:r w:rsidR="005E3D78" w:rsidRPr="00AF1481">
        <w:rPr>
          <w:rFonts w:asciiTheme="minorHAnsi" w:hAnsiTheme="minorHAnsi"/>
          <w:snapToGrid w:val="0"/>
          <w:lang w:eastAsia="en-US"/>
        </w:rPr>
        <w:t xml:space="preserve">week treatment interval) and utilisation data provided by the DUSC Secretariat for aflibercept 2 mg. </w:t>
      </w:r>
      <w:r w:rsidR="003A08D6" w:rsidRPr="00AF1481">
        <w:rPr>
          <w:rFonts w:asciiTheme="minorHAnsi" w:hAnsiTheme="minorHAnsi"/>
          <w:snapToGrid w:val="0"/>
          <w:lang w:eastAsia="en-US"/>
        </w:rPr>
        <w:t>The PBAC noted the pre-PBAC response</w:t>
      </w:r>
      <w:r w:rsidR="007A79DA" w:rsidRPr="00AF1481">
        <w:rPr>
          <w:rFonts w:asciiTheme="minorHAnsi" w:hAnsiTheme="minorHAnsi"/>
          <w:snapToGrid w:val="0"/>
          <w:lang w:eastAsia="en-US"/>
        </w:rPr>
        <w:t xml:space="preserve"> proposed that</w:t>
      </w:r>
      <w:r w:rsidR="00701A16" w:rsidRPr="00AF1481">
        <w:rPr>
          <w:rFonts w:asciiTheme="minorHAnsi" w:hAnsiTheme="minorHAnsi"/>
          <w:snapToGrid w:val="0"/>
          <w:lang w:eastAsia="en-US"/>
        </w:rPr>
        <w:t xml:space="preserve"> 10.15 injections of aflibercept 8 mg </w:t>
      </w:r>
      <w:r w:rsidR="00FE467B" w:rsidRPr="00AF1481">
        <w:rPr>
          <w:rFonts w:asciiTheme="minorHAnsi" w:hAnsiTheme="minorHAnsi"/>
          <w:snapToGrid w:val="0"/>
          <w:lang w:eastAsia="en-US"/>
        </w:rPr>
        <w:t>(</w:t>
      </w:r>
      <w:bookmarkStart w:id="110" w:name="_Hlk167960490"/>
      <w:r w:rsidR="00FE467B" w:rsidRPr="00AF1481">
        <w:rPr>
          <w:rFonts w:asciiTheme="minorHAnsi" w:hAnsiTheme="minorHAnsi"/>
          <w:snapToGrid w:val="0"/>
          <w:lang w:eastAsia="en-US"/>
        </w:rPr>
        <w:t xml:space="preserve">6.2 injections in Year 1, 3.95 injections in Year </w:t>
      </w:r>
      <w:r w:rsidR="006B19A5" w:rsidRPr="00AF1481">
        <w:rPr>
          <w:rFonts w:asciiTheme="minorHAnsi" w:hAnsiTheme="minorHAnsi"/>
          <w:snapToGrid w:val="0"/>
          <w:lang w:eastAsia="en-US"/>
        </w:rPr>
        <w:t>2</w:t>
      </w:r>
      <w:bookmarkEnd w:id="110"/>
      <w:r w:rsidR="00FE467B" w:rsidRPr="00AF1481">
        <w:rPr>
          <w:rFonts w:asciiTheme="minorHAnsi" w:hAnsiTheme="minorHAnsi"/>
          <w:snapToGrid w:val="0"/>
          <w:lang w:eastAsia="en-US"/>
        </w:rPr>
        <w:t xml:space="preserve">) </w:t>
      </w:r>
      <w:r w:rsidR="00ED3563" w:rsidRPr="00AF1481">
        <w:rPr>
          <w:rFonts w:asciiTheme="minorHAnsi" w:hAnsiTheme="minorHAnsi"/>
          <w:snapToGrid w:val="0"/>
          <w:lang w:eastAsia="en-US"/>
        </w:rPr>
        <w:t>were</w:t>
      </w:r>
      <w:r w:rsidR="00701A16" w:rsidRPr="00AF1481">
        <w:rPr>
          <w:rFonts w:asciiTheme="minorHAnsi" w:hAnsiTheme="minorHAnsi"/>
          <w:snapToGrid w:val="0"/>
          <w:lang w:eastAsia="en-US"/>
        </w:rPr>
        <w:t xml:space="preserve"> equi-effective to 11.96 injections of aflibercept 2 mg</w:t>
      </w:r>
      <w:r w:rsidR="00FE467B" w:rsidRPr="00AF1481">
        <w:rPr>
          <w:rFonts w:asciiTheme="minorHAnsi" w:hAnsiTheme="minorHAnsi"/>
          <w:snapToGrid w:val="0"/>
          <w:lang w:eastAsia="en-US"/>
        </w:rPr>
        <w:t xml:space="preserve"> </w:t>
      </w:r>
      <w:bookmarkStart w:id="111" w:name="_Hlk167960504"/>
      <w:r w:rsidR="00FE467B" w:rsidRPr="00AF1481">
        <w:rPr>
          <w:rFonts w:asciiTheme="minorHAnsi" w:hAnsiTheme="minorHAnsi"/>
          <w:snapToGrid w:val="0"/>
          <w:lang w:eastAsia="en-US"/>
        </w:rPr>
        <w:t xml:space="preserve">(6.68 injections in Year 1, 5.28 injections in Year </w:t>
      </w:r>
      <w:r w:rsidR="006B19A5" w:rsidRPr="00AF1481">
        <w:rPr>
          <w:rFonts w:asciiTheme="minorHAnsi" w:hAnsiTheme="minorHAnsi"/>
          <w:snapToGrid w:val="0"/>
          <w:lang w:eastAsia="en-US"/>
        </w:rPr>
        <w:t>2)</w:t>
      </w:r>
      <w:bookmarkEnd w:id="111"/>
      <w:r w:rsidR="00701A16" w:rsidRPr="00AF1481">
        <w:rPr>
          <w:rFonts w:asciiTheme="minorHAnsi" w:hAnsiTheme="minorHAnsi"/>
          <w:snapToGrid w:val="0"/>
          <w:lang w:eastAsia="en-US"/>
        </w:rPr>
        <w:t>.</w:t>
      </w:r>
      <w:bookmarkEnd w:id="108"/>
      <w:r w:rsidRPr="00AF1481">
        <w:rPr>
          <w:rFonts w:asciiTheme="minorHAnsi" w:hAnsiTheme="minorHAnsi"/>
          <w:snapToGrid w:val="0"/>
          <w:lang w:eastAsia="en-US"/>
        </w:rPr>
        <w:t xml:space="preserve"> The PBAC considered the equi-effective doses were uncertain.</w:t>
      </w:r>
    </w:p>
    <w:p w14:paraId="33758A57" w14:textId="7635E979" w:rsidR="00A05AA6" w:rsidRDefault="00861CC4" w:rsidP="00701A16">
      <w:pPr>
        <w:widowControl w:val="0"/>
        <w:numPr>
          <w:ilvl w:val="1"/>
          <w:numId w:val="1"/>
        </w:numPr>
        <w:spacing w:after="120"/>
        <w:ind w:left="720"/>
        <w:rPr>
          <w:rFonts w:asciiTheme="minorHAnsi" w:hAnsiTheme="minorHAnsi"/>
          <w:snapToGrid w:val="0"/>
          <w:lang w:eastAsia="en-US"/>
        </w:rPr>
      </w:pPr>
      <w:bookmarkStart w:id="112" w:name="_Ref167778195"/>
      <w:bookmarkEnd w:id="109"/>
      <w:r w:rsidRPr="00AF1481">
        <w:rPr>
          <w:rFonts w:asciiTheme="minorHAnsi" w:hAnsiTheme="minorHAnsi"/>
          <w:snapToGrid w:val="0"/>
          <w:lang w:eastAsia="en-US"/>
        </w:rPr>
        <w:t xml:space="preserve">The PBAC noted the maximum treatment interval for faricimab was </w:t>
      </w:r>
      <w:r w:rsidR="00794211" w:rsidRPr="00AF1481">
        <w:rPr>
          <w:rFonts w:asciiTheme="minorHAnsi" w:hAnsiTheme="minorHAnsi"/>
          <w:snapToGrid w:val="0"/>
          <w:lang w:eastAsia="en-US"/>
        </w:rPr>
        <w:t xml:space="preserve">also </w:t>
      </w:r>
      <w:r w:rsidRPr="00AF1481">
        <w:rPr>
          <w:rFonts w:asciiTheme="minorHAnsi" w:hAnsiTheme="minorHAnsi"/>
          <w:snapToGrid w:val="0"/>
          <w:lang w:eastAsia="en-US"/>
        </w:rPr>
        <w:t>16 weeks and therefore considered it was reasonable to use a 1:1 dosing relativity for aflibercept 8</w:t>
      </w:r>
      <w:r w:rsidR="000C41A8">
        <w:rPr>
          <w:rFonts w:asciiTheme="minorHAnsi" w:hAnsiTheme="minorHAnsi"/>
          <w:snapToGrid w:val="0"/>
          <w:lang w:eastAsia="en-US"/>
        </w:rPr>
        <w:t> </w:t>
      </w:r>
      <w:r w:rsidRPr="00AF1481">
        <w:rPr>
          <w:rFonts w:asciiTheme="minorHAnsi" w:hAnsiTheme="minorHAnsi"/>
          <w:snapToGrid w:val="0"/>
          <w:lang w:eastAsia="en-US"/>
        </w:rPr>
        <w:t>mg: faricimab. The PBAC acknowledged aflibercept 8 mg required one less loading dose initially but considered</w:t>
      </w:r>
      <w:r w:rsidR="007669F2" w:rsidRPr="00AF1481">
        <w:rPr>
          <w:rFonts w:asciiTheme="minorHAnsi" w:hAnsiTheme="minorHAnsi"/>
          <w:snapToGrid w:val="0"/>
          <w:lang w:eastAsia="en-US"/>
        </w:rPr>
        <w:t xml:space="preserve"> that, on balance, a 1:1 dosing relativity</w:t>
      </w:r>
      <w:r w:rsidRPr="00AF1481">
        <w:rPr>
          <w:rFonts w:asciiTheme="minorHAnsi" w:hAnsiTheme="minorHAnsi"/>
          <w:snapToGrid w:val="0"/>
          <w:lang w:eastAsia="en-US"/>
        </w:rPr>
        <w:t xml:space="preserve"> was </w:t>
      </w:r>
      <w:bookmarkStart w:id="113" w:name="_Hlk167631344"/>
      <w:r w:rsidR="00794211" w:rsidRPr="00AF1481">
        <w:rPr>
          <w:rFonts w:asciiTheme="minorHAnsi" w:hAnsiTheme="minorHAnsi"/>
          <w:snapToGrid w:val="0"/>
          <w:lang w:eastAsia="en-US"/>
        </w:rPr>
        <w:t>reasonable</w:t>
      </w:r>
      <w:r w:rsidR="007A79DA" w:rsidRPr="00AF1481">
        <w:rPr>
          <w:rFonts w:asciiTheme="minorHAnsi" w:hAnsiTheme="minorHAnsi"/>
          <w:snapToGrid w:val="0"/>
          <w:lang w:eastAsia="en-US"/>
        </w:rPr>
        <w:t xml:space="preserve">, given </w:t>
      </w:r>
      <w:r w:rsidRPr="00AF1481">
        <w:rPr>
          <w:rFonts w:asciiTheme="minorHAnsi" w:hAnsiTheme="minorHAnsi"/>
          <w:snapToGrid w:val="0"/>
          <w:lang w:eastAsia="en-US"/>
        </w:rPr>
        <w:t>the need for re-loading doses for patients switching to aflibercept 8 mg.</w:t>
      </w:r>
      <w:r w:rsidR="002E3CE5">
        <w:rPr>
          <w:rFonts w:asciiTheme="minorHAnsi" w:hAnsiTheme="minorHAnsi"/>
          <w:snapToGrid w:val="0"/>
          <w:lang w:eastAsia="en-US"/>
        </w:rPr>
        <w:t xml:space="preserve"> </w:t>
      </w:r>
      <w:r w:rsidR="00B84041" w:rsidRPr="00AF1481">
        <w:rPr>
          <w:rFonts w:asciiTheme="minorHAnsi" w:hAnsiTheme="minorHAnsi"/>
          <w:snapToGrid w:val="0"/>
          <w:lang w:eastAsia="en-US"/>
        </w:rPr>
        <w:t>The PBAC noted the dosing relativity previously accepted for aflibercept 2 mg: ranibizumab was 1:1.</w:t>
      </w:r>
      <w:bookmarkEnd w:id="112"/>
    </w:p>
    <w:p w14:paraId="6FB33476" w14:textId="319169BD" w:rsidR="00A05AA6" w:rsidRDefault="0011367C" w:rsidP="007A79DA">
      <w:pPr>
        <w:widowControl w:val="0"/>
        <w:numPr>
          <w:ilvl w:val="1"/>
          <w:numId w:val="1"/>
        </w:numPr>
        <w:spacing w:after="120"/>
        <w:ind w:left="720"/>
        <w:rPr>
          <w:lang w:eastAsia="en-US"/>
        </w:rPr>
      </w:pPr>
      <w:bookmarkStart w:id="114" w:name="_Ref167712473"/>
      <w:bookmarkStart w:id="115" w:name="_Hlk167631521"/>
      <w:bookmarkEnd w:id="113"/>
      <w:r w:rsidRPr="00AF1481">
        <w:t xml:space="preserve">The </w:t>
      </w:r>
      <w:r w:rsidR="00E25E1B" w:rsidRPr="00AF1481">
        <w:t xml:space="preserve">PBAC noted </w:t>
      </w:r>
      <w:r w:rsidRPr="00AF1481">
        <w:t xml:space="preserve">the </w:t>
      </w:r>
      <w:r w:rsidR="00E25E1B" w:rsidRPr="00AF1481">
        <w:t xml:space="preserve">proposed equi-effective doses for </w:t>
      </w:r>
      <w:r w:rsidR="007A79DA" w:rsidRPr="00AF1481">
        <w:t xml:space="preserve">aflibercept </w:t>
      </w:r>
      <w:r w:rsidR="00E25E1B" w:rsidRPr="00AF1481">
        <w:t>8</w:t>
      </w:r>
      <w:r w:rsidR="007A79DA" w:rsidRPr="00AF1481">
        <w:t xml:space="preserve"> </w:t>
      </w:r>
      <w:r w:rsidR="00E25E1B" w:rsidRPr="00AF1481">
        <w:t xml:space="preserve">mg </w:t>
      </w:r>
      <w:r w:rsidR="007A79DA" w:rsidRPr="00AF1481">
        <w:t>and aflibercept</w:t>
      </w:r>
      <w:r w:rsidR="007A79DA" w:rsidRPr="00AF1481">
        <w:rPr>
          <w:snapToGrid w:val="0"/>
          <w:lang w:eastAsia="en-US"/>
        </w:rPr>
        <w:t xml:space="preserve"> </w:t>
      </w:r>
      <w:r w:rsidR="00E25E1B" w:rsidRPr="00AF1481">
        <w:rPr>
          <w:snapToGrid w:val="0"/>
          <w:lang w:eastAsia="en-US"/>
        </w:rPr>
        <w:t>2</w:t>
      </w:r>
      <w:r w:rsidR="007A79DA" w:rsidRPr="00AF1481">
        <w:rPr>
          <w:snapToGrid w:val="0"/>
          <w:lang w:eastAsia="en-US"/>
        </w:rPr>
        <w:t xml:space="preserve"> </w:t>
      </w:r>
      <w:r w:rsidR="00E25E1B" w:rsidRPr="00AF1481">
        <w:rPr>
          <w:snapToGrid w:val="0"/>
          <w:lang w:eastAsia="en-US"/>
        </w:rPr>
        <w:t xml:space="preserve">mg </w:t>
      </w:r>
      <w:r w:rsidR="007669F2" w:rsidRPr="00AF1481">
        <w:rPr>
          <w:snapToGrid w:val="0"/>
          <w:lang w:eastAsia="en-US"/>
        </w:rPr>
        <w:t xml:space="preserve">included </w:t>
      </w:r>
      <w:r w:rsidR="007A79DA" w:rsidRPr="00AF1481">
        <w:rPr>
          <w:snapToGrid w:val="0"/>
          <w:lang w:eastAsia="en-US"/>
        </w:rPr>
        <w:t>in the pre-PBAC response (10.15 vs 11.96 doses</w:t>
      </w:r>
      <w:r w:rsidR="00AE0C45" w:rsidRPr="00AF1481">
        <w:rPr>
          <w:snapToGrid w:val="0"/>
          <w:lang w:eastAsia="en-US"/>
        </w:rPr>
        <w:t xml:space="preserve"> over 2 years</w:t>
      </w:r>
      <w:r w:rsidR="007A79DA" w:rsidRPr="00AF1481">
        <w:rPr>
          <w:snapToGrid w:val="0"/>
          <w:lang w:eastAsia="en-US"/>
        </w:rPr>
        <w:t>, respectively)</w:t>
      </w:r>
      <w:r w:rsidR="00E25E1B" w:rsidRPr="00AF1481">
        <w:rPr>
          <w:snapToGrid w:val="0"/>
          <w:lang w:eastAsia="en-US"/>
        </w:rPr>
        <w:t xml:space="preserve"> </w:t>
      </w:r>
      <w:r w:rsidR="007A79DA" w:rsidRPr="00AF1481">
        <w:rPr>
          <w:snapToGrid w:val="0"/>
          <w:lang w:eastAsia="en-US"/>
        </w:rPr>
        <w:t>were</w:t>
      </w:r>
      <w:r w:rsidR="00E25E1B" w:rsidRPr="00AF1481">
        <w:rPr>
          <w:snapToGrid w:val="0"/>
          <w:lang w:eastAsia="en-US"/>
        </w:rPr>
        <w:t xml:space="preserve"> more favourable for </w:t>
      </w:r>
      <w:r w:rsidR="007A79DA" w:rsidRPr="00AF1481">
        <w:rPr>
          <w:snapToGrid w:val="0"/>
          <w:lang w:eastAsia="en-US"/>
        </w:rPr>
        <w:t xml:space="preserve">aflibercept </w:t>
      </w:r>
      <w:r w:rsidR="00E25E1B" w:rsidRPr="00AF1481">
        <w:rPr>
          <w:snapToGrid w:val="0"/>
          <w:lang w:eastAsia="en-US"/>
        </w:rPr>
        <w:t>8</w:t>
      </w:r>
      <w:r w:rsidR="007A79DA" w:rsidRPr="00AF1481">
        <w:rPr>
          <w:snapToGrid w:val="0"/>
          <w:lang w:eastAsia="en-US"/>
        </w:rPr>
        <w:t xml:space="preserve"> </w:t>
      </w:r>
      <w:r w:rsidR="00E25E1B" w:rsidRPr="00AF1481">
        <w:rPr>
          <w:snapToGrid w:val="0"/>
          <w:lang w:eastAsia="en-US"/>
        </w:rPr>
        <w:t xml:space="preserve">mg than </w:t>
      </w:r>
      <w:r w:rsidR="007A79DA" w:rsidRPr="00AF1481">
        <w:rPr>
          <w:snapToGrid w:val="0"/>
          <w:lang w:eastAsia="en-US"/>
        </w:rPr>
        <w:t xml:space="preserve">the </w:t>
      </w:r>
      <w:r w:rsidR="00E25E1B" w:rsidRPr="00AF1481">
        <w:rPr>
          <w:snapToGrid w:val="0"/>
          <w:lang w:eastAsia="en-US"/>
        </w:rPr>
        <w:t>previously determined equi-effective doses for fari</w:t>
      </w:r>
      <w:r w:rsidR="007A79DA" w:rsidRPr="00AF1481">
        <w:rPr>
          <w:snapToGrid w:val="0"/>
          <w:lang w:eastAsia="en-US"/>
        </w:rPr>
        <w:t>cimab</w:t>
      </w:r>
      <w:r w:rsidR="00E25E1B" w:rsidRPr="00AF1481">
        <w:rPr>
          <w:snapToGrid w:val="0"/>
          <w:lang w:eastAsia="en-US"/>
        </w:rPr>
        <w:t xml:space="preserve"> </w:t>
      </w:r>
      <w:r w:rsidR="007A79DA" w:rsidRPr="00AF1481">
        <w:rPr>
          <w:snapToGrid w:val="0"/>
          <w:lang w:eastAsia="en-US"/>
        </w:rPr>
        <w:t xml:space="preserve">and aflibercept </w:t>
      </w:r>
      <w:r w:rsidR="00E25E1B" w:rsidRPr="00AF1481">
        <w:rPr>
          <w:snapToGrid w:val="0"/>
          <w:lang w:eastAsia="en-US"/>
        </w:rPr>
        <w:t>2</w:t>
      </w:r>
      <w:r w:rsidR="007A79DA" w:rsidRPr="00AF1481">
        <w:rPr>
          <w:snapToGrid w:val="0"/>
          <w:lang w:eastAsia="en-US"/>
        </w:rPr>
        <w:t xml:space="preserve"> </w:t>
      </w:r>
      <w:r w:rsidR="00E25E1B" w:rsidRPr="00AF1481">
        <w:rPr>
          <w:snapToGrid w:val="0"/>
          <w:lang w:eastAsia="en-US"/>
        </w:rPr>
        <w:t xml:space="preserve">mg </w:t>
      </w:r>
      <w:r w:rsidR="007A79DA" w:rsidRPr="00AF1481">
        <w:rPr>
          <w:snapToGrid w:val="0"/>
          <w:lang w:eastAsia="en-US"/>
        </w:rPr>
        <w:t>(</w:t>
      </w:r>
      <w:r w:rsidR="00E25E1B" w:rsidRPr="00AF1481">
        <w:rPr>
          <w:snapToGrid w:val="0"/>
          <w:lang w:eastAsia="en-US"/>
        </w:rPr>
        <w:t>12.91 vs 11.65 doses</w:t>
      </w:r>
      <w:r w:rsidR="00AE0C45" w:rsidRPr="00AF1481">
        <w:rPr>
          <w:snapToGrid w:val="0"/>
          <w:lang w:eastAsia="en-US"/>
        </w:rPr>
        <w:t xml:space="preserve"> over two years</w:t>
      </w:r>
      <w:r w:rsidR="007A79DA" w:rsidRPr="00AF1481">
        <w:rPr>
          <w:snapToGrid w:val="0"/>
          <w:lang w:eastAsia="en-US"/>
        </w:rPr>
        <w:t>, respectively)</w:t>
      </w:r>
      <w:r w:rsidR="00E25E1B" w:rsidRPr="00AF1481">
        <w:rPr>
          <w:snapToGrid w:val="0"/>
          <w:lang w:eastAsia="en-US"/>
        </w:rPr>
        <w:t xml:space="preserve">. Noting </w:t>
      </w:r>
      <w:r w:rsidR="007A79DA" w:rsidRPr="00AF1481">
        <w:rPr>
          <w:snapToGrid w:val="0"/>
          <w:lang w:eastAsia="en-US"/>
        </w:rPr>
        <w:t xml:space="preserve">the </w:t>
      </w:r>
      <w:r w:rsidR="00E25E1B" w:rsidRPr="00AF1481">
        <w:rPr>
          <w:snapToGrid w:val="0"/>
          <w:lang w:eastAsia="en-US"/>
        </w:rPr>
        <w:t xml:space="preserve">uncertainty with </w:t>
      </w:r>
      <w:r w:rsidR="007A79DA" w:rsidRPr="00AF1481">
        <w:rPr>
          <w:snapToGrid w:val="0"/>
          <w:lang w:eastAsia="en-US"/>
        </w:rPr>
        <w:t xml:space="preserve">the </w:t>
      </w:r>
      <w:r w:rsidR="00E25E1B" w:rsidRPr="00AF1481">
        <w:rPr>
          <w:snapToGrid w:val="0"/>
          <w:lang w:eastAsia="en-US"/>
        </w:rPr>
        <w:t xml:space="preserve">proposed equi-effective doses, and 1:1 </w:t>
      </w:r>
      <w:r w:rsidR="007A79DA" w:rsidRPr="00AF1481">
        <w:rPr>
          <w:snapToGrid w:val="0"/>
          <w:lang w:eastAsia="en-US"/>
        </w:rPr>
        <w:t xml:space="preserve">relativity </w:t>
      </w:r>
      <w:r w:rsidR="00E25E1B" w:rsidRPr="00AF1481">
        <w:rPr>
          <w:snapToGrid w:val="0"/>
          <w:lang w:eastAsia="en-US"/>
        </w:rPr>
        <w:t>vs fari</w:t>
      </w:r>
      <w:r w:rsidR="007A79DA" w:rsidRPr="00AF1481">
        <w:rPr>
          <w:snapToGrid w:val="0"/>
          <w:lang w:eastAsia="en-US"/>
        </w:rPr>
        <w:t>cimab</w:t>
      </w:r>
      <w:r w:rsidR="00121A2B" w:rsidRPr="00AF1481">
        <w:rPr>
          <w:snapToGrid w:val="0"/>
          <w:lang w:eastAsia="en-US"/>
        </w:rPr>
        <w:t xml:space="preserve"> (as per paragraph </w:t>
      </w:r>
      <w:r w:rsidR="00121A2B" w:rsidRPr="00AF1481">
        <w:rPr>
          <w:snapToGrid w:val="0"/>
          <w:lang w:eastAsia="en-US"/>
        </w:rPr>
        <w:fldChar w:fldCharType="begin"/>
      </w:r>
      <w:r w:rsidR="00121A2B" w:rsidRPr="00AF1481">
        <w:rPr>
          <w:snapToGrid w:val="0"/>
          <w:lang w:eastAsia="en-US"/>
        </w:rPr>
        <w:instrText xml:space="preserve"> REF _Ref167778195 \r \h </w:instrText>
      </w:r>
      <w:r w:rsidR="00121A2B" w:rsidRPr="00AF1481">
        <w:rPr>
          <w:snapToGrid w:val="0"/>
          <w:lang w:eastAsia="en-US"/>
        </w:rPr>
      </w:r>
      <w:r w:rsidR="00121A2B" w:rsidRPr="00AF1481">
        <w:rPr>
          <w:snapToGrid w:val="0"/>
          <w:lang w:eastAsia="en-US"/>
        </w:rPr>
        <w:fldChar w:fldCharType="separate"/>
      </w:r>
      <w:r w:rsidR="009404AF">
        <w:rPr>
          <w:snapToGrid w:val="0"/>
          <w:lang w:eastAsia="en-US"/>
        </w:rPr>
        <w:t>7.10</w:t>
      </w:r>
      <w:r w:rsidR="00121A2B" w:rsidRPr="00AF1481">
        <w:rPr>
          <w:snapToGrid w:val="0"/>
          <w:lang w:eastAsia="en-US"/>
        </w:rPr>
        <w:fldChar w:fldCharType="end"/>
      </w:r>
      <w:r w:rsidR="00121A2B" w:rsidRPr="00AF1481">
        <w:rPr>
          <w:snapToGrid w:val="0"/>
          <w:lang w:eastAsia="en-US"/>
        </w:rPr>
        <w:t>)</w:t>
      </w:r>
      <w:r w:rsidR="00E25E1B" w:rsidRPr="00AF1481">
        <w:rPr>
          <w:snapToGrid w:val="0"/>
          <w:lang w:eastAsia="en-US"/>
        </w:rPr>
        <w:t xml:space="preserve">, </w:t>
      </w:r>
      <w:bookmarkStart w:id="116" w:name="_Hlk167725053"/>
      <w:r w:rsidR="001E2E9E" w:rsidRPr="00AF1481">
        <w:rPr>
          <w:snapToGrid w:val="0"/>
          <w:lang w:eastAsia="en-US"/>
        </w:rPr>
        <w:t xml:space="preserve">the PBAC considered there was insufficient evidence to support more favourable equi-effective doses for aflibercept 8 mg and therefore the equi-effective doses should be the same as previously accepted for faricimab. On this basis, the </w:t>
      </w:r>
      <w:r w:rsidR="007A79DA" w:rsidRPr="00AF1481">
        <w:rPr>
          <w:snapToGrid w:val="0"/>
          <w:lang w:eastAsia="en-US"/>
        </w:rPr>
        <w:t xml:space="preserve">PBAC advised the equi-effective </w:t>
      </w:r>
      <w:r w:rsidR="007A79DA" w:rsidRPr="00AF1481">
        <w:rPr>
          <w:snapToGrid w:val="0"/>
          <w:lang w:eastAsia="en-US"/>
        </w:rPr>
        <w:lastRenderedPageBreak/>
        <w:t xml:space="preserve">doses over 2 years are </w:t>
      </w:r>
      <w:r w:rsidR="007A79DA" w:rsidRPr="00AF1481">
        <w:rPr>
          <w:lang w:eastAsia="en-US"/>
        </w:rPr>
        <w:t>12.91 doses of aflibercept 8mg/ faricimab and 11.65 doses of aflibercept 2 mg/ ranibizumab</w:t>
      </w:r>
      <w:r w:rsidR="00AE0C45" w:rsidRPr="00AF1481">
        <w:rPr>
          <w:lang w:eastAsia="en-US"/>
        </w:rPr>
        <w:t>, as follows:</w:t>
      </w:r>
      <w:bookmarkEnd w:id="114"/>
      <w:bookmarkEnd w:id="115"/>
    </w:p>
    <w:p w14:paraId="24D1DB6D" w14:textId="3F49078B" w:rsidR="00AE0C45" w:rsidRPr="00AF1481" w:rsidRDefault="00AE0C45" w:rsidP="00AE0C45">
      <w:pPr>
        <w:pStyle w:val="ListParagraph"/>
        <w:widowControl w:val="0"/>
        <w:numPr>
          <w:ilvl w:val="0"/>
          <w:numId w:val="44"/>
        </w:numPr>
        <w:rPr>
          <w:lang w:eastAsia="en-US"/>
        </w:rPr>
      </w:pPr>
      <w:r w:rsidRPr="00AF1481">
        <w:rPr>
          <w:lang w:eastAsia="en-US"/>
        </w:rPr>
        <w:t>Year 1: 8.23 injections of aflibercept 8 mg/ faricimab to 6.38 injections of aflibercept 2 mg/ ranibizumab</w:t>
      </w:r>
    </w:p>
    <w:p w14:paraId="45A537AD" w14:textId="5227E1FF" w:rsidR="00AE0C45" w:rsidRPr="00AF1481" w:rsidRDefault="00AE0C45" w:rsidP="00AE0C45">
      <w:pPr>
        <w:pStyle w:val="ListParagraph"/>
        <w:widowControl w:val="0"/>
        <w:numPr>
          <w:ilvl w:val="0"/>
          <w:numId w:val="44"/>
        </w:numPr>
        <w:rPr>
          <w:lang w:eastAsia="en-US"/>
        </w:rPr>
      </w:pPr>
      <w:r w:rsidRPr="00AF1481">
        <w:rPr>
          <w:lang w:eastAsia="en-US"/>
        </w:rPr>
        <w:t>Year 2: 4.68 injections of aflibercept 8 mg/ faricimab to 5.27 injections of aflibercept 2 mg/ ranibizumab</w:t>
      </w:r>
    </w:p>
    <w:bookmarkEnd w:id="116"/>
    <w:p w14:paraId="43A085EF" w14:textId="7E1A330F" w:rsidR="00791EBA" w:rsidRPr="00AF1481" w:rsidRDefault="0047116C" w:rsidP="007A79DA">
      <w:pPr>
        <w:widowControl w:val="0"/>
        <w:numPr>
          <w:ilvl w:val="1"/>
          <w:numId w:val="1"/>
        </w:numPr>
        <w:spacing w:after="120"/>
        <w:ind w:left="720"/>
        <w:rPr>
          <w:rFonts w:asciiTheme="minorHAnsi" w:hAnsiTheme="minorHAnsi"/>
          <w:snapToGrid w:val="0"/>
        </w:rPr>
      </w:pPr>
      <w:r w:rsidRPr="00AF1481">
        <w:rPr>
          <w:rFonts w:asciiTheme="minorHAnsi" w:hAnsiTheme="minorHAnsi"/>
          <w:snapToGrid w:val="0"/>
        </w:rPr>
        <w:t xml:space="preserve">The PBAC </w:t>
      </w:r>
      <w:r w:rsidR="00B02FC0" w:rsidRPr="00AF1481">
        <w:rPr>
          <w:rFonts w:asciiTheme="minorHAnsi" w:hAnsiTheme="minorHAnsi"/>
          <w:snapToGrid w:val="0"/>
        </w:rPr>
        <w:t>consider</w:t>
      </w:r>
      <w:r w:rsidRPr="00AF1481">
        <w:rPr>
          <w:rFonts w:asciiTheme="minorHAnsi" w:hAnsiTheme="minorHAnsi"/>
          <w:snapToGrid w:val="0"/>
        </w:rPr>
        <w:t xml:space="preserve">ed the financial estimates had </w:t>
      </w:r>
      <w:r w:rsidR="00B02FC0" w:rsidRPr="00AF1481">
        <w:rPr>
          <w:rFonts w:asciiTheme="minorHAnsi" w:hAnsiTheme="minorHAnsi"/>
          <w:snapToGrid w:val="0"/>
        </w:rPr>
        <w:t xml:space="preserve">appropriately </w:t>
      </w:r>
      <w:r w:rsidRPr="00AF1481">
        <w:rPr>
          <w:rFonts w:asciiTheme="minorHAnsi" w:hAnsiTheme="minorHAnsi"/>
          <w:snapToGrid w:val="0"/>
        </w:rPr>
        <w:t>been prepared based on a market share approac</w:t>
      </w:r>
      <w:r w:rsidR="00B02FC0" w:rsidRPr="00AF1481">
        <w:rPr>
          <w:rFonts w:asciiTheme="minorHAnsi" w:hAnsiTheme="minorHAnsi"/>
          <w:snapToGrid w:val="0"/>
        </w:rPr>
        <w:t>h</w:t>
      </w:r>
      <w:r w:rsidR="00FC595E" w:rsidRPr="00AF1481">
        <w:rPr>
          <w:rFonts w:asciiTheme="minorHAnsi" w:hAnsiTheme="minorHAnsi"/>
          <w:snapToGrid w:val="0"/>
        </w:rPr>
        <w:t>.</w:t>
      </w:r>
      <w:r w:rsidR="007A79DA" w:rsidRPr="00AF1481">
        <w:rPr>
          <w:rFonts w:asciiTheme="minorHAnsi" w:hAnsiTheme="minorHAnsi"/>
          <w:snapToGrid w:val="0"/>
        </w:rPr>
        <w:t xml:space="preserve"> </w:t>
      </w:r>
      <w:bookmarkStart w:id="117" w:name="_Hlk167631656"/>
      <w:r w:rsidR="007A79DA" w:rsidRPr="00AF1481">
        <w:rPr>
          <w:rFonts w:asciiTheme="minorHAnsi" w:hAnsiTheme="minorHAnsi"/>
          <w:snapToGrid w:val="0"/>
        </w:rPr>
        <w:t>The PBAC noted the financial estimate</w:t>
      </w:r>
      <w:r w:rsidR="00FD5020" w:rsidRPr="00AF1481">
        <w:rPr>
          <w:rFonts w:asciiTheme="minorHAnsi" w:hAnsiTheme="minorHAnsi"/>
          <w:snapToGrid w:val="0"/>
        </w:rPr>
        <w:t>s</w:t>
      </w:r>
      <w:r w:rsidR="007A79DA" w:rsidRPr="00AF1481">
        <w:rPr>
          <w:rFonts w:asciiTheme="minorHAnsi" w:hAnsiTheme="minorHAnsi"/>
          <w:snapToGrid w:val="0"/>
        </w:rPr>
        <w:t xml:space="preserve"> provided in the pre-PBAC response (see </w:t>
      </w:r>
      <w:r w:rsidR="007A79DA" w:rsidRPr="00AF1481">
        <w:rPr>
          <w:rFonts w:asciiTheme="minorHAnsi" w:hAnsiTheme="minorHAnsi"/>
          <w:snapToGrid w:val="0"/>
        </w:rPr>
        <w:fldChar w:fldCharType="begin"/>
      </w:r>
      <w:r w:rsidR="007A79DA" w:rsidRPr="00AF1481">
        <w:rPr>
          <w:rFonts w:asciiTheme="minorHAnsi" w:hAnsiTheme="minorHAnsi"/>
          <w:snapToGrid w:val="0"/>
        </w:rPr>
        <w:instrText xml:space="preserve"> REF _Ref153953876 \h </w:instrText>
      </w:r>
      <w:r w:rsidR="007A79DA" w:rsidRPr="00AF1481">
        <w:rPr>
          <w:rFonts w:asciiTheme="minorHAnsi" w:hAnsiTheme="minorHAnsi"/>
          <w:snapToGrid w:val="0"/>
        </w:rPr>
      </w:r>
      <w:r w:rsidR="007A79DA" w:rsidRPr="00AF1481">
        <w:rPr>
          <w:rFonts w:asciiTheme="minorHAnsi" w:hAnsiTheme="minorHAnsi"/>
          <w:snapToGrid w:val="0"/>
        </w:rPr>
        <w:fldChar w:fldCharType="separate"/>
      </w:r>
      <w:r w:rsidR="009404AF" w:rsidRPr="00AF1481">
        <w:t xml:space="preserve">Table </w:t>
      </w:r>
      <w:r w:rsidR="009404AF">
        <w:rPr>
          <w:noProof/>
        </w:rPr>
        <w:t>14</w:t>
      </w:r>
      <w:r w:rsidR="007A79DA" w:rsidRPr="00AF1481">
        <w:rPr>
          <w:rFonts w:asciiTheme="minorHAnsi" w:hAnsiTheme="minorHAnsi"/>
          <w:snapToGrid w:val="0"/>
        </w:rPr>
        <w:fldChar w:fldCharType="end"/>
      </w:r>
      <w:r w:rsidR="007A79DA" w:rsidRPr="00AF1481">
        <w:rPr>
          <w:rFonts w:asciiTheme="minorHAnsi" w:hAnsiTheme="minorHAnsi"/>
          <w:snapToGrid w:val="0"/>
        </w:rPr>
        <w:t>) resulted in a net cost to the PBS/RPBS over the first 6 years of listing.</w:t>
      </w:r>
      <w:r w:rsidR="002E3CE5">
        <w:rPr>
          <w:rFonts w:asciiTheme="minorHAnsi" w:hAnsiTheme="minorHAnsi"/>
          <w:snapToGrid w:val="0"/>
        </w:rPr>
        <w:t xml:space="preserve"> </w:t>
      </w:r>
      <w:r w:rsidR="007A79DA" w:rsidRPr="00AF1481">
        <w:rPr>
          <w:rFonts w:asciiTheme="minorHAnsi" w:hAnsiTheme="minorHAnsi"/>
          <w:snapToGrid w:val="0"/>
        </w:rPr>
        <w:t>T</w:t>
      </w:r>
      <w:r w:rsidR="00D8764B" w:rsidRPr="00AF1481">
        <w:rPr>
          <w:rFonts w:asciiTheme="minorHAnsi" w:hAnsiTheme="minorHAnsi"/>
          <w:snapToGrid w:val="0"/>
        </w:rPr>
        <w:t>he PBAC</w:t>
      </w:r>
      <w:r w:rsidR="00791EBA" w:rsidRPr="00AF1481">
        <w:rPr>
          <w:rFonts w:asciiTheme="minorHAnsi" w:hAnsiTheme="minorHAnsi"/>
          <w:snapToGrid w:val="0"/>
        </w:rPr>
        <w:t xml:space="preserve"> noted </w:t>
      </w:r>
      <w:r w:rsidR="007A79DA" w:rsidRPr="00AF1481">
        <w:rPr>
          <w:rFonts w:asciiTheme="minorHAnsi" w:hAnsiTheme="minorHAnsi"/>
          <w:snapToGrid w:val="0"/>
        </w:rPr>
        <w:t xml:space="preserve">this </w:t>
      </w:r>
      <w:r w:rsidR="00D8764B" w:rsidRPr="00AF1481">
        <w:rPr>
          <w:rFonts w:asciiTheme="minorHAnsi" w:hAnsiTheme="minorHAnsi"/>
          <w:snapToGrid w:val="0"/>
        </w:rPr>
        <w:t xml:space="preserve">was due </w:t>
      </w:r>
      <w:r w:rsidR="007669F2" w:rsidRPr="00AF1481">
        <w:rPr>
          <w:rFonts w:asciiTheme="minorHAnsi" w:hAnsiTheme="minorHAnsi"/>
          <w:snapToGrid w:val="0"/>
        </w:rPr>
        <w:t xml:space="preserve">in part </w:t>
      </w:r>
      <w:r w:rsidR="00D8764B" w:rsidRPr="00AF1481">
        <w:rPr>
          <w:rFonts w:asciiTheme="minorHAnsi" w:hAnsiTheme="minorHAnsi"/>
          <w:snapToGrid w:val="0"/>
        </w:rPr>
        <w:t>to</w:t>
      </w:r>
      <w:r w:rsidR="00791EBA" w:rsidRPr="00AF1481">
        <w:rPr>
          <w:rFonts w:asciiTheme="minorHAnsi" w:hAnsiTheme="minorHAnsi"/>
          <w:snapToGrid w:val="0"/>
        </w:rPr>
        <w:t>:</w:t>
      </w:r>
    </w:p>
    <w:p w14:paraId="2693C5AA" w14:textId="533EF76A" w:rsidR="00791EBA" w:rsidRPr="00AF1481" w:rsidRDefault="00D8764B" w:rsidP="00791EBA">
      <w:pPr>
        <w:pStyle w:val="ListParagraph"/>
        <w:widowControl w:val="0"/>
        <w:numPr>
          <w:ilvl w:val="0"/>
          <w:numId w:val="40"/>
        </w:numPr>
      </w:pPr>
      <w:r w:rsidRPr="00AF1481">
        <w:t>the drug cost for aflibercept 8 mg is higher than the drug cost for aflibercept 2 mg as the CMA accounts for the cost of administration;</w:t>
      </w:r>
    </w:p>
    <w:p w14:paraId="29408ED3" w14:textId="397312CA" w:rsidR="00791EBA" w:rsidRPr="00AF1481" w:rsidRDefault="00D8764B" w:rsidP="00791EBA">
      <w:pPr>
        <w:pStyle w:val="ListParagraph"/>
        <w:widowControl w:val="0"/>
        <w:numPr>
          <w:ilvl w:val="0"/>
          <w:numId w:val="40"/>
        </w:numPr>
      </w:pPr>
      <w:r w:rsidRPr="00AF1481">
        <w:t>prevalent treated patients switching to aflibercept 8 mg incur additional cost</w:t>
      </w:r>
      <w:r w:rsidR="00791EBA" w:rsidRPr="00AF1481">
        <w:t>s</w:t>
      </w:r>
      <w:r w:rsidRPr="00AF1481">
        <w:t xml:space="preserve"> due to loading doses (which were not accounted for in the CMA). </w:t>
      </w:r>
      <w:r w:rsidR="00791EBA" w:rsidRPr="00AF1481">
        <w:t>This impact is largely in the first two years of listing</w:t>
      </w:r>
      <w:r w:rsidR="00B51232" w:rsidRPr="00AF1481">
        <w:t>.</w:t>
      </w:r>
    </w:p>
    <w:p w14:paraId="502A2C94" w14:textId="77777777" w:rsidR="00A05AA6" w:rsidRDefault="007A79DA" w:rsidP="00573849">
      <w:pPr>
        <w:widowControl w:val="0"/>
        <w:numPr>
          <w:ilvl w:val="1"/>
          <w:numId w:val="1"/>
        </w:numPr>
        <w:spacing w:after="120"/>
        <w:ind w:left="720"/>
        <w:rPr>
          <w:rFonts w:asciiTheme="minorHAnsi" w:hAnsiTheme="minorHAnsi"/>
          <w:snapToGrid w:val="0"/>
        </w:rPr>
      </w:pPr>
      <w:r w:rsidRPr="00AF1481">
        <w:rPr>
          <w:rFonts w:asciiTheme="minorHAnsi" w:hAnsiTheme="minorHAnsi"/>
          <w:snapToGrid w:val="0"/>
        </w:rPr>
        <w:t xml:space="preserve">However, the PBAC noted that, based on a CMA versus the lowest cost alternative using the equi-effective doses outlined in paragraph </w:t>
      </w:r>
      <w:r w:rsidR="005C25C5" w:rsidRPr="00AF1481">
        <w:rPr>
          <w:rFonts w:asciiTheme="minorHAnsi" w:hAnsiTheme="minorHAnsi"/>
          <w:snapToGrid w:val="0"/>
        </w:rPr>
        <w:t>7.11</w:t>
      </w:r>
      <w:r w:rsidRPr="00AF1481">
        <w:rPr>
          <w:rFonts w:asciiTheme="minorHAnsi" w:hAnsiTheme="minorHAnsi"/>
          <w:snapToGrid w:val="0"/>
        </w:rPr>
        <w:t xml:space="preserve">, </w:t>
      </w:r>
      <w:bookmarkStart w:id="118" w:name="_Hlk167724960"/>
      <w:r w:rsidRPr="00AF1481">
        <w:rPr>
          <w:rFonts w:asciiTheme="minorHAnsi" w:hAnsiTheme="minorHAnsi"/>
          <w:snapToGrid w:val="0"/>
        </w:rPr>
        <w:t>there w</w:t>
      </w:r>
      <w:r w:rsidR="007669F2" w:rsidRPr="00AF1481">
        <w:rPr>
          <w:rFonts w:asciiTheme="minorHAnsi" w:hAnsiTheme="minorHAnsi"/>
          <w:snapToGrid w:val="0"/>
        </w:rPr>
        <w:t>as likely to</w:t>
      </w:r>
      <w:r w:rsidRPr="00AF1481">
        <w:rPr>
          <w:rFonts w:asciiTheme="minorHAnsi" w:hAnsiTheme="minorHAnsi"/>
          <w:snapToGrid w:val="0"/>
        </w:rPr>
        <w:t xml:space="preserve"> be </w:t>
      </w:r>
      <w:r w:rsidR="00EB09D8" w:rsidRPr="00AF1481">
        <w:rPr>
          <w:rFonts w:asciiTheme="minorHAnsi" w:hAnsiTheme="minorHAnsi"/>
          <w:snapToGrid w:val="0"/>
        </w:rPr>
        <w:t>a saving</w:t>
      </w:r>
      <w:r w:rsidRPr="00AF1481">
        <w:rPr>
          <w:rFonts w:asciiTheme="minorHAnsi" w:hAnsiTheme="minorHAnsi"/>
          <w:snapToGrid w:val="0"/>
        </w:rPr>
        <w:t xml:space="preserve"> to the PBS/RPBS </w:t>
      </w:r>
      <w:r w:rsidR="007669F2" w:rsidRPr="00AF1481">
        <w:rPr>
          <w:rFonts w:asciiTheme="minorHAnsi" w:hAnsiTheme="minorHAnsi"/>
          <w:snapToGrid w:val="0"/>
        </w:rPr>
        <w:t xml:space="preserve">over the first 6 years of listing of </w:t>
      </w:r>
      <w:r w:rsidRPr="00AF1481">
        <w:rPr>
          <w:rFonts w:asciiTheme="minorHAnsi" w:hAnsiTheme="minorHAnsi"/>
          <w:snapToGrid w:val="0"/>
        </w:rPr>
        <w:t>aflibercept 8 mg.</w:t>
      </w:r>
      <w:bookmarkEnd w:id="118"/>
    </w:p>
    <w:p w14:paraId="4C73FF3B" w14:textId="48F09252" w:rsidR="005522E5" w:rsidRPr="00AF1481" w:rsidRDefault="007669F2" w:rsidP="005522E5">
      <w:pPr>
        <w:pStyle w:val="ExecSumBodyText"/>
        <w:numPr>
          <w:ilvl w:val="1"/>
          <w:numId w:val="1"/>
        </w:numPr>
        <w:ind w:left="709" w:hanging="709"/>
      </w:pPr>
      <w:bookmarkStart w:id="119" w:name="_Hlk167724978"/>
      <w:bookmarkEnd w:id="117"/>
      <w:r w:rsidRPr="00AF1481">
        <w:t xml:space="preserve">The PBAC considered the requested listing was appropriate, noting it was consistent with the current listings for the other VEGF inhibitors. </w:t>
      </w:r>
      <w:bookmarkEnd w:id="119"/>
      <w:r w:rsidR="005522E5" w:rsidRPr="00AF1481">
        <w:t xml:space="preserve">The PBAC considered that a grandfather restriction </w:t>
      </w:r>
      <w:r w:rsidR="00D11F82" w:rsidRPr="00AF1481">
        <w:t xml:space="preserve">was appropriate, that it </w:t>
      </w:r>
      <w:r w:rsidR="005522E5" w:rsidRPr="00AF1481">
        <w:t xml:space="preserve">should be in operation for a maximum of 12 months from listing and that the following administrative </w:t>
      </w:r>
      <w:r w:rsidR="008655AD" w:rsidRPr="00AF1481">
        <w:t>advic</w:t>
      </w:r>
      <w:r w:rsidR="005522E5" w:rsidRPr="00AF1481">
        <w:t>e should be added “Patients may qualify for PBS-subsidised treatment under this restriction once only per eye. For continuing PBS-subsidised treatment, a 'Grandfathered' patient must qualify under the 'Continuing treatment' criteria.”</w:t>
      </w:r>
    </w:p>
    <w:p w14:paraId="564679BC" w14:textId="59208584" w:rsidR="004876EB" w:rsidRPr="00AF1481" w:rsidRDefault="004876EB" w:rsidP="004876EB">
      <w:pPr>
        <w:widowControl w:val="0"/>
        <w:numPr>
          <w:ilvl w:val="1"/>
          <w:numId w:val="1"/>
        </w:numPr>
        <w:spacing w:after="120"/>
        <w:ind w:left="720"/>
        <w:rPr>
          <w:rFonts w:asciiTheme="minorHAnsi" w:hAnsiTheme="minorHAnsi"/>
          <w:bCs/>
          <w:snapToGrid w:val="0"/>
        </w:rPr>
      </w:pPr>
      <w:r w:rsidRPr="00AF1481">
        <w:rPr>
          <w:rFonts w:asciiTheme="minorHAnsi" w:hAnsiTheme="minorHAnsi"/>
          <w:bCs/>
          <w:snapToGrid w:val="0"/>
        </w:rPr>
        <w:t>The PBAC advised that aflibercept 8 mg is not suitable for prescribing by nurse practitioners.</w:t>
      </w:r>
    </w:p>
    <w:p w14:paraId="68B8F43E" w14:textId="4FAEED06" w:rsidR="004876EB" w:rsidRPr="00AF1481" w:rsidRDefault="004876EB" w:rsidP="004876EB">
      <w:pPr>
        <w:widowControl w:val="0"/>
        <w:numPr>
          <w:ilvl w:val="1"/>
          <w:numId w:val="1"/>
        </w:numPr>
        <w:spacing w:after="120"/>
        <w:ind w:left="720"/>
        <w:rPr>
          <w:rFonts w:asciiTheme="minorHAnsi" w:hAnsiTheme="minorHAnsi"/>
          <w:bCs/>
          <w:snapToGrid w:val="0"/>
        </w:rPr>
      </w:pPr>
      <w:r w:rsidRPr="00AF1481">
        <w:rPr>
          <w:rFonts w:asciiTheme="minorHAnsi" w:hAnsiTheme="minorHAnsi"/>
          <w:bCs/>
          <w:snapToGrid w:val="0"/>
        </w:rPr>
        <w:t>The PBAC recommended that the Early Supply Rule should not apply.</w:t>
      </w:r>
    </w:p>
    <w:p w14:paraId="1A7ECB4A" w14:textId="691FB037" w:rsidR="004876EB" w:rsidRPr="00AF1481" w:rsidRDefault="004876EB" w:rsidP="00D11F82">
      <w:pPr>
        <w:widowControl w:val="0"/>
        <w:numPr>
          <w:ilvl w:val="1"/>
          <w:numId w:val="1"/>
        </w:numPr>
        <w:ind w:left="720"/>
        <w:rPr>
          <w:rFonts w:asciiTheme="minorHAnsi" w:hAnsiTheme="minorHAnsi"/>
          <w:b/>
          <w:bCs/>
        </w:rPr>
      </w:pPr>
      <w:r w:rsidRPr="00AF1481">
        <w:rPr>
          <w:rFonts w:asciiTheme="minorHAnsi" w:hAnsiTheme="minorHAnsi" w:cstheme="minorHAnsi"/>
        </w:rPr>
        <w:t>The PBAC noted that its recommendation was on a cost-minimisation basis and advised that, because aflibercept 8 mg is not expected to provide a substantial</w:t>
      </w:r>
      <w:r w:rsidRPr="00AF1481">
        <w:rPr>
          <w:rFonts w:asciiTheme="minorHAnsi" w:hAnsiTheme="minorHAnsi"/>
          <w:bCs/>
        </w:rPr>
        <w:t xml:space="preserve"> and clinically relevant improvement in efficacy, or reduction of toxicity, over aflibercept</w:t>
      </w:r>
      <w:r w:rsidR="002E3CE5">
        <w:rPr>
          <w:rFonts w:asciiTheme="minorHAnsi" w:hAnsiTheme="minorHAnsi"/>
          <w:bCs/>
        </w:rPr>
        <w:t xml:space="preserve"> </w:t>
      </w:r>
      <w:r w:rsidRPr="00AF1481">
        <w:rPr>
          <w:rFonts w:asciiTheme="minorHAnsi" w:hAnsiTheme="minorHAnsi"/>
          <w:bCs/>
        </w:rPr>
        <w:t xml:space="preserve">2 mg, or not expected to address a high and urgent unmet clinical need given the presence of an alternative therapy, the criteria prescribed by the </w:t>
      </w:r>
      <w:r w:rsidRPr="00AF1481">
        <w:rPr>
          <w:rFonts w:asciiTheme="minorHAnsi" w:hAnsiTheme="minorHAnsi"/>
          <w:bCs/>
          <w:i/>
        </w:rPr>
        <w:t>National Health (Pharmaceuticals and Vaccines – Cost Recovery) Regulations 2009</w:t>
      </w:r>
      <w:r w:rsidRPr="00AF1481">
        <w:rPr>
          <w:rFonts w:asciiTheme="minorHAnsi" w:hAnsiTheme="minorHAnsi"/>
          <w:bCs/>
        </w:rPr>
        <w:t xml:space="preserve"> for Pricing Pathway A were not met.</w:t>
      </w:r>
    </w:p>
    <w:p w14:paraId="12E772D1" w14:textId="77777777" w:rsidR="00A05AA6" w:rsidRDefault="004876EB" w:rsidP="00D11F82">
      <w:pPr>
        <w:widowControl w:val="0"/>
        <w:numPr>
          <w:ilvl w:val="1"/>
          <w:numId w:val="1"/>
        </w:numPr>
        <w:spacing w:before="120" w:after="120"/>
        <w:ind w:left="720"/>
        <w:rPr>
          <w:rFonts w:asciiTheme="minorHAnsi" w:hAnsiTheme="minorHAnsi"/>
          <w:bCs/>
          <w:snapToGrid w:val="0"/>
        </w:rPr>
      </w:pPr>
      <w:r w:rsidRPr="00AF1481">
        <w:rPr>
          <w:rFonts w:asciiTheme="minorHAnsi" w:hAnsiTheme="minorHAnsi"/>
          <w:bCs/>
          <w:snapToGrid w:val="0"/>
        </w:rPr>
        <w:t>The PBAC noted that this submission is not eligible for an Independent Review as it received a positive recommendation.</w:t>
      </w:r>
    </w:p>
    <w:p w14:paraId="55507EA3" w14:textId="77777777" w:rsidR="00DC3A91" w:rsidRDefault="00DC3A91" w:rsidP="004876EB">
      <w:pPr>
        <w:spacing w:before="240"/>
        <w:rPr>
          <w:rFonts w:asciiTheme="minorHAnsi" w:hAnsiTheme="minorHAnsi"/>
          <w:b/>
          <w:bCs/>
          <w:snapToGrid w:val="0"/>
        </w:rPr>
      </w:pPr>
    </w:p>
    <w:p w14:paraId="5869A8A1" w14:textId="36EA4B1E" w:rsidR="004876EB" w:rsidRPr="00AF1481" w:rsidRDefault="004876EB" w:rsidP="004876EB">
      <w:pPr>
        <w:spacing w:before="240"/>
        <w:rPr>
          <w:rFonts w:asciiTheme="minorHAnsi" w:hAnsiTheme="minorHAnsi"/>
          <w:b/>
          <w:bCs/>
          <w:snapToGrid w:val="0"/>
        </w:rPr>
      </w:pPr>
      <w:r w:rsidRPr="00AF1481">
        <w:rPr>
          <w:rFonts w:asciiTheme="minorHAnsi" w:hAnsiTheme="minorHAnsi"/>
          <w:b/>
          <w:bCs/>
          <w:snapToGrid w:val="0"/>
        </w:rPr>
        <w:lastRenderedPageBreak/>
        <w:t>Outcome:</w:t>
      </w:r>
    </w:p>
    <w:p w14:paraId="11BBAFE2" w14:textId="56BB3B6F" w:rsidR="00CF2A8E" w:rsidRPr="00197202" w:rsidRDefault="004876EB" w:rsidP="00197202">
      <w:pPr>
        <w:rPr>
          <w:rFonts w:asciiTheme="minorHAnsi" w:hAnsiTheme="minorHAnsi"/>
          <w:bCs/>
          <w:snapToGrid w:val="0"/>
          <w:highlight w:val="yellow"/>
        </w:rPr>
      </w:pPr>
      <w:r w:rsidRPr="00AF1481">
        <w:rPr>
          <w:rFonts w:asciiTheme="minorHAnsi" w:hAnsiTheme="minorHAnsi"/>
          <w:bCs/>
          <w:snapToGrid w:val="0"/>
        </w:rPr>
        <w:t>Recommended</w:t>
      </w:r>
    </w:p>
    <w:bookmarkEnd w:id="105"/>
    <w:p w14:paraId="6662DFBD" w14:textId="77777777" w:rsidR="00CF2A8E" w:rsidRPr="00AF1481" w:rsidRDefault="00CF2A8E" w:rsidP="00CB24DA">
      <w:pPr>
        <w:pStyle w:val="2-SectionHeading"/>
        <w:rPr>
          <w:iCs/>
        </w:rPr>
      </w:pPr>
      <w:r w:rsidRPr="00AF1481">
        <w:t>Recommended listing</w:t>
      </w:r>
    </w:p>
    <w:p w14:paraId="7A2E497F" w14:textId="5485E99F" w:rsidR="00CF2A8E" w:rsidRPr="00AF1481" w:rsidRDefault="004876EB" w:rsidP="007D035C">
      <w:pPr>
        <w:widowControl w:val="0"/>
        <w:numPr>
          <w:ilvl w:val="1"/>
          <w:numId w:val="1"/>
        </w:numPr>
        <w:spacing w:after="120"/>
        <w:ind w:left="720"/>
        <w:jc w:val="left"/>
        <w:rPr>
          <w:rFonts w:asciiTheme="minorHAnsi" w:hAnsiTheme="minorHAnsi"/>
          <w:b/>
          <w:bCs/>
          <w:snapToGrid w:val="0"/>
          <w:lang w:eastAsia="en-US"/>
        </w:rPr>
      </w:pPr>
      <w:r w:rsidRPr="00AF1481">
        <w:rPr>
          <w:rFonts w:asciiTheme="minorHAnsi" w:hAnsiTheme="minorHAnsi"/>
          <w:bCs/>
          <w:snapToGrid w:val="0"/>
          <w:lang w:eastAsia="en-US"/>
        </w:rPr>
        <w:t>Add new item:</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811"/>
        <w:gridCol w:w="812"/>
        <w:gridCol w:w="811"/>
        <w:gridCol w:w="812"/>
        <w:gridCol w:w="1852"/>
      </w:tblGrid>
      <w:tr w:rsidR="00A3515D" w:rsidRPr="00AF1481" w14:paraId="760B3873" w14:textId="77777777" w:rsidTr="00FD014B">
        <w:trPr>
          <w:cantSplit/>
          <w:trHeight w:val="20"/>
        </w:trPr>
        <w:tc>
          <w:tcPr>
            <w:tcW w:w="3941" w:type="dxa"/>
            <w:vAlign w:val="center"/>
          </w:tcPr>
          <w:p w14:paraId="1C9B6F1F" w14:textId="77777777" w:rsidR="00A3515D" w:rsidRPr="00AF1481" w:rsidRDefault="00A3515D" w:rsidP="008C5949">
            <w:pPr>
              <w:keepLines/>
              <w:rPr>
                <w:rFonts w:ascii="Arial Narrow" w:hAnsi="Arial Narrow"/>
                <w:b/>
                <w:bCs/>
                <w:sz w:val="20"/>
                <w:szCs w:val="20"/>
              </w:rPr>
            </w:pPr>
            <w:r w:rsidRPr="00AF1481">
              <w:rPr>
                <w:rFonts w:ascii="Arial Narrow" w:hAnsi="Arial Narrow"/>
                <w:b/>
                <w:bCs/>
                <w:sz w:val="20"/>
                <w:szCs w:val="20"/>
              </w:rPr>
              <w:t>MEDICINAL PRODUCT</w:t>
            </w:r>
          </w:p>
          <w:p w14:paraId="1202B601" w14:textId="77777777" w:rsidR="00A3515D" w:rsidRPr="00AF1481" w:rsidRDefault="00A3515D" w:rsidP="008C5949">
            <w:pPr>
              <w:keepLines/>
              <w:rPr>
                <w:rFonts w:ascii="Arial Narrow" w:hAnsi="Arial Narrow"/>
                <w:b/>
                <w:sz w:val="20"/>
                <w:szCs w:val="20"/>
              </w:rPr>
            </w:pPr>
            <w:r w:rsidRPr="00AF1481">
              <w:rPr>
                <w:rFonts w:ascii="Arial Narrow" w:hAnsi="Arial Narrow"/>
                <w:b/>
                <w:bCs/>
                <w:sz w:val="20"/>
                <w:szCs w:val="20"/>
              </w:rPr>
              <w:t>medicinal product pack</w:t>
            </w:r>
          </w:p>
        </w:tc>
        <w:tc>
          <w:tcPr>
            <w:tcW w:w="811" w:type="dxa"/>
            <w:vAlign w:val="center"/>
          </w:tcPr>
          <w:p w14:paraId="0D0D119E" w14:textId="77777777" w:rsidR="00A3515D" w:rsidRPr="00AF1481" w:rsidRDefault="00A3515D" w:rsidP="008C5949">
            <w:pPr>
              <w:keepLines/>
              <w:jc w:val="center"/>
              <w:rPr>
                <w:rFonts w:ascii="Arial Narrow" w:hAnsi="Arial Narrow"/>
                <w:b/>
                <w:sz w:val="20"/>
                <w:szCs w:val="20"/>
              </w:rPr>
            </w:pPr>
            <w:r w:rsidRPr="00AF1481">
              <w:rPr>
                <w:rFonts w:ascii="Arial Narrow" w:hAnsi="Arial Narrow"/>
                <w:b/>
                <w:sz w:val="20"/>
                <w:szCs w:val="20"/>
              </w:rPr>
              <w:t>PBS item code</w:t>
            </w:r>
          </w:p>
        </w:tc>
        <w:tc>
          <w:tcPr>
            <w:tcW w:w="812" w:type="dxa"/>
            <w:vAlign w:val="center"/>
          </w:tcPr>
          <w:p w14:paraId="4969984A" w14:textId="77777777" w:rsidR="00A3515D" w:rsidRPr="00AF1481" w:rsidRDefault="00A3515D" w:rsidP="008C5949">
            <w:pPr>
              <w:keepLines/>
              <w:jc w:val="center"/>
              <w:rPr>
                <w:rFonts w:ascii="Arial Narrow" w:hAnsi="Arial Narrow"/>
                <w:b/>
                <w:sz w:val="20"/>
                <w:szCs w:val="20"/>
              </w:rPr>
            </w:pPr>
            <w:r w:rsidRPr="00AF1481">
              <w:rPr>
                <w:rFonts w:ascii="Arial Narrow" w:hAnsi="Arial Narrow"/>
                <w:b/>
                <w:sz w:val="20"/>
                <w:szCs w:val="20"/>
              </w:rPr>
              <w:t>Max. qty packs</w:t>
            </w:r>
          </w:p>
        </w:tc>
        <w:tc>
          <w:tcPr>
            <w:tcW w:w="811" w:type="dxa"/>
            <w:vAlign w:val="center"/>
          </w:tcPr>
          <w:p w14:paraId="73042A11" w14:textId="77777777" w:rsidR="00A3515D" w:rsidRPr="00AF1481" w:rsidRDefault="00A3515D" w:rsidP="008C5949">
            <w:pPr>
              <w:keepLines/>
              <w:jc w:val="center"/>
              <w:rPr>
                <w:rFonts w:ascii="Arial Narrow" w:hAnsi="Arial Narrow"/>
                <w:b/>
                <w:sz w:val="20"/>
                <w:szCs w:val="20"/>
              </w:rPr>
            </w:pPr>
            <w:r w:rsidRPr="00AF1481">
              <w:rPr>
                <w:rFonts w:ascii="Arial Narrow" w:hAnsi="Arial Narrow"/>
                <w:b/>
                <w:sz w:val="20"/>
                <w:szCs w:val="20"/>
              </w:rPr>
              <w:t>Max. qty units</w:t>
            </w:r>
          </w:p>
        </w:tc>
        <w:tc>
          <w:tcPr>
            <w:tcW w:w="812" w:type="dxa"/>
            <w:vAlign w:val="center"/>
          </w:tcPr>
          <w:p w14:paraId="01CED08E" w14:textId="77777777" w:rsidR="00A3515D" w:rsidRPr="00AF1481" w:rsidRDefault="00A3515D" w:rsidP="008C5949">
            <w:pPr>
              <w:keepLines/>
              <w:jc w:val="center"/>
              <w:rPr>
                <w:rFonts w:ascii="Arial Narrow" w:hAnsi="Arial Narrow"/>
                <w:b/>
                <w:sz w:val="20"/>
                <w:szCs w:val="20"/>
              </w:rPr>
            </w:pPr>
            <w:r w:rsidRPr="00AF1481">
              <w:rPr>
                <w:rFonts w:ascii="Arial Narrow" w:hAnsi="Arial Narrow"/>
                <w:b/>
                <w:sz w:val="20"/>
                <w:szCs w:val="20"/>
              </w:rPr>
              <w:t>№.of</w:t>
            </w:r>
          </w:p>
          <w:p w14:paraId="76238D28" w14:textId="77777777" w:rsidR="00A3515D" w:rsidRPr="00AF1481" w:rsidRDefault="00A3515D" w:rsidP="008C5949">
            <w:pPr>
              <w:keepLines/>
              <w:jc w:val="center"/>
              <w:rPr>
                <w:rFonts w:ascii="Arial Narrow" w:hAnsi="Arial Narrow"/>
                <w:b/>
                <w:sz w:val="20"/>
                <w:szCs w:val="20"/>
              </w:rPr>
            </w:pPr>
            <w:r w:rsidRPr="00AF1481">
              <w:rPr>
                <w:rFonts w:ascii="Arial Narrow" w:hAnsi="Arial Narrow"/>
                <w:b/>
                <w:sz w:val="20"/>
                <w:szCs w:val="20"/>
              </w:rPr>
              <w:t>Rpts</w:t>
            </w:r>
          </w:p>
        </w:tc>
        <w:tc>
          <w:tcPr>
            <w:tcW w:w="1852" w:type="dxa"/>
            <w:vAlign w:val="center"/>
          </w:tcPr>
          <w:p w14:paraId="4CEB32DD" w14:textId="77777777" w:rsidR="00A3515D" w:rsidRPr="00AF1481" w:rsidRDefault="00A3515D" w:rsidP="008C5949">
            <w:pPr>
              <w:keepLines/>
              <w:rPr>
                <w:rFonts w:ascii="Arial Narrow" w:hAnsi="Arial Narrow"/>
                <w:b/>
                <w:sz w:val="20"/>
                <w:szCs w:val="20"/>
              </w:rPr>
            </w:pPr>
            <w:r w:rsidRPr="00AF1481">
              <w:rPr>
                <w:rFonts w:ascii="Arial Narrow" w:hAnsi="Arial Narrow"/>
                <w:b/>
                <w:sz w:val="20"/>
                <w:szCs w:val="20"/>
              </w:rPr>
              <w:t>Available brands</w:t>
            </w:r>
          </w:p>
        </w:tc>
      </w:tr>
      <w:tr w:rsidR="00A3515D" w:rsidRPr="00AF1481" w14:paraId="309B3B6B" w14:textId="77777777" w:rsidTr="00FD014B">
        <w:trPr>
          <w:cantSplit/>
          <w:trHeight w:val="20"/>
        </w:trPr>
        <w:tc>
          <w:tcPr>
            <w:tcW w:w="9039" w:type="dxa"/>
            <w:gridSpan w:val="6"/>
            <w:vAlign w:val="center"/>
          </w:tcPr>
          <w:p w14:paraId="278190C2" w14:textId="77777777" w:rsidR="00A3515D" w:rsidRPr="00AF1481" w:rsidRDefault="00A3515D" w:rsidP="008C5949">
            <w:pPr>
              <w:keepLines/>
              <w:rPr>
                <w:rFonts w:ascii="Arial Narrow" w:hAnsi="Arial Narrow"/>
                <w:sz w:val="20"/>
                <w:szCs w:val="20"/>
              </w:rPr>
            </w:pPr>
            <w:r w:rsidRPr="00AF1481">
              <w:rPr>
                <w:rFonts w:ascii="Arial Narrow" w:hAnsi="Arial Narrow"/>
                <w:sz w:val="20"/>
                <w:szCs w:val="20"/>
              </w:rPr>
              <w:t xml:space="preserve">AFLIBERCEPT </w:t>
            </w:r>
          </w:p>
        </w:tc>
      </w:tr>
      <w:tr w:rsidR="00DD24B5" w:rsidRPr="00AF1481" w14:paraId="6C8B0BF2" w14:textId="77777777" w:rsidTr="00FD014B">
        <w:trPr>
          <w:cantSplit/>
          <w:trHeight w:val="20"/>
        </w:trPr>
        <w:tc>
          <w:tcPr>
            <w:tcW w:w="9039" w:type="dxa"/>
            <w:gridSpan w:val="6"/>
            <w:vAlign w:val="center"/>
          </w:tcPr>
          <w:p w14:paraId="449A3FB6" w14:textId="7B056754" w:rsidR="00DD24B5" w:rsidRPr="00AF1481" w:rsidRDefault="00DD24B5" w:rsidP="008C5949">
            <w:pPr>
              <w:keepLines/>
              <w:rPr>
                <w:rFonts w:ascii="Arial Narrow" w:hAnsi="Arial Narrow"/>
                <w:sz w:val="20"/>
                <w:szCs w:val="20"/>
              </w:rPr>
            </w:pPr>
            <w:r w:rsidRPr="00AF1481">
              <w:rPr>
                <w:rFonts w:ascii="Arial Narrow" w:hAnsi="Arial Narrow"/>
                <w:sz w:val="20"/>
                <w:szCs w:val="20"/>
              </w:rPr>
              <w:t>Initial and Grandfather treatment</w:t>
            </w:r>
          </w:p>
        </w:tc>
      </w:tr>
      <w:tr w:rsidR="00A3515D" w:rsidRPr="00AF1481" w14:paraId="49536DDD" w14:textId="77777777" w:rsidTr="00FD014B">
        <w:trPr>
          <w:cantSplit/>
          <w:trHeight w:val="20"/>
        </w:trPr>
        <w:tc>
          <w:tcPr>
            <w:tcW w:w="3941" w:type="dxa"/>
            <w:vAlign w:val="center"/>
          </w:tcPr>
          <w:p w14:paraId="4E4342A6" w14:textId="77777777" w:rsidR="00A3515D" w:rsidRPr="00AF1481" w:rsidRDefault="00A3515D" w:rsidP="008C5949">
            <w:pPr>
              <w:keepLines/>
              <w:rPr>
                <w:rFonts w:ascii="Arial Narrow" w:hAnsi="Arial Narrow"/>
                <w:sz w:val="20"/>
                <w:szCs w:val="20"/>
              </w:rPr>
            </w:pPr>
            <w:r w:rsidRPr="00AF1481">
              <w:rPr>
                <w:rFonts w:ascii="Arial Narrow" w:hAnsi="Arial Narrow"/>
                <w:sz w:val="20"/>
                <w:szCs w:val="20"/>
              </w:rPr>
              <w:t>aflibercept 8 mg/0.07 mL injection, 0.07 mL vial</w:t>
            </w:r>
          </w:p>
        </w:tc>
        <w:tc>
          <w:tcPr>
            <w:tcW w:w="811" w:type="dxa"/>
            <w:vAlign w:val="center"/>
          </w:tcPr>
          <w:p w14:paraId="0560BECA" w14:textId="77777777" w:rsidR="00A3515D" w:rsidRPr="00AF1481" w:rsidRDefault="00A3515D" w:rsidP="008C5949">
            <w:pPr>
              <w:keepLines/>
              <w:jc w:val="center"/>
              <w:rPr>
                <w:rFonts w:ascii="Arial Narrow" w:hAnsi="Arial Narrow"/>
                <w:sz w:val="20"/>
                <w:szCs w:val="20"/>
              </w:rPr>
            </w:pPr>
            <w:r w:rsidRPr="00AF1481">
              <w:rPr>
                <w:rFonts w:ascii="Arial Narrow" w:hAnsi="Arial Narrow"/>
                <w:sz w:val="20"/>
                <w:szCs w:val="20"/>
              </w:rPr>
              <w:t>NEW</w:t>
            </w:r>
          </w:p>
        </w:tc>
        <w:tc>
          <w:tcPr>
            <w:tcW w:w="812" w:type="dxa"/>
            <w:vAlign w:val="center"/>
          </w:tcPr>
          <w:p w14:paraId="6B83EEBF" w14:textId="77777777" w:rsidR="00A3515D" w:rsidRPr="00AF1481" w:rsidRDefault="00A3515D" w:rsidP="008C5949">
            <w:pPr>
              <w:keepLines/>
              <w:jc w:val="center"/>
              <w:rPr>
                <w:rFonts w:ascii="Arial Narrow" w:hAnsi="Arial Narrow"/>
                <w:sz w:val="20"/>
                <w:szCs w:val="20"/>
              </w:rPr>
            </w:pPr>
            <w:r w:rsidRPr="00AF1481">
              <w:rPr>
                <w:rFonts w:ascii="Arial Narrow" w:hAnsi="Arial Narrow"/>
                <w:sz w:val="20"/>
                <w:szCs w:val="20"/>
              </w:rPr>
              <w:t>1</w:t>
            </w:r>
          </w:p>
        </w:tc>
        <w:tc>
          <w:tcPr>
            <w:tcW w:w="811" w:type="dxa"/>
            <w:vAlign w:val="center"/>
          </w:tcPr>
          <w:p w14:paraId="3F6B0B66" w14:textId="77777777" w:rsidR="00A3515D" w:rsidRPr="00AF1481" w:rsidRDefault="00A3515D" w:rsidP="008C5949">
            <w:pPr>
              <w:keepLines/>
              <w:jc w:val="center"/>
              <w:rPr>
                <w:rFonts w:ascii="Arial Narrow" w:hAnsi="Arial Narrow"/>
                <w:sz w:val="20"/>
                <w:szCs w:val="20"/>
              </w:rPr>
            </w:pPr>
            <w:r w:rsidRPr="00AF1481">
              <w:rPr>
                <w:rFonts w:ascii="Arial Narrow" w:hAnsi="Arial Narrow"/>
                <w:sz w:val="20"/>
                <w:szCs w:val="20"/>
              </w:rPr>
              <w:t>1</w:t>
            </w:r>
          </w:p>
        </w:tc>
        <w:tc>
          <w:tcPr>
            <w:tcW w:w="812" w:type="dxa"/>
            <w:vAlign w:val="center"/>
          </w:tcPr>
          <w:p w14:paraId="08A12532" w14:textId="77777777" w:rsidR="00A3515D" w:rsidRPr="00AF1481" w:rsidRDefault="00A3515D" w:rsidP="008C5949">
            <w:pPr>
              <w:keepLines/>
              <w:jc w:val="center"/>
              <w:rPr>
                <w:rFonts w:ascii="Arial Narrow" w:hAnsi="Arial Narrow"/>
                <w:sz w:val="20"/>
                <w:szCs w:val="20"/>
              </w:rPr>
            </w:pPr>
            <w:r w:rsidRPr="00AF1481">
              <w:rPr>
                <w:rFonts w:ascii="Arial Narrow" w:hAnsi="Arial Narrow"/>
                <w:sz w:val="20"/>
                <w:szCs w:val="20"/>
              </w:rPr>
              <w:t>5</w:t>
            </w:r>
          </w:p>
        </w:tc>
        <w:tc>
          <w:tcPr>
            <w:tcW w:w="1852" w:type="dxa"/>
            <w:vAlign w:val="center"/>
          </w:tcPr>
          <w:p w14:paraId="291C9A2D" w14:textId="77777777" w:rsidR="00A3515D" w:rsidRPr="00AF1481" w:rsidRDefault="00A3515D" w:rsidP="008C5949">
            <w:pPr>
              <w:keepLines/>
              <w:rPr>
                <w:rFonts w:ascii="Arial Narrow" w:hAnsi="Arial Narrow"/>
                <w:sz w:val="20"/>
                <w:szCs w:val="20"/>
              </w:rPr>
            </w:pPr>
            <w:r w:rsidRPr="00AF1481">
              <w:rPr>
                <w:rFonts w:ascii="Arial Narrow" w:hAnsi="Arial Narrow"/>
                <w:sz w:val="20"/>
                <w:szCs w:val="20"/>
              </w:rPr>
              <w:t>Eylea</w:t>
            </w:r>
          </w:p>
        </w:tc>
      </w:tr>
      <w:tr w:rsidR="00DD24B5" w:rsidRPr="00AF1481" w14:paraId="19CA35E1" w14:textId="77777777" w:rsidTr="00FD014B">
        <w:trPr>
          <w:cantSplit/>
          <w:trHeight w:val="20"/>
        </w:trPr>
        <w:tc>
          <w:tcPr>
            <w:tcW w:w="9039" w:type="dxa"/>
            <w:gridSpan w:val="6"/>
            <w:vAlign w:val="center"/>
          </w:tcPr>
          <w:p w14:paraId="5E2703D0" w14:textId="02102830" w:rsidR="00DD24B5" w:rsidRPr="00AF1481" w:rsidRDefault="00DD24B5" w:rsidP="008C5949">
            <w:pPr>
              <w:keepLines/>
              <w:rPr>
                <w:rFonts w:ascii="Arial Narrow" w:hAnsi="Arial Narrow"/>
                <w:sz w:val="20"/>
                <w:szCs w:val="20"/>
              </w:rPr>
            </w:pPr>
            <w:r w:rsidRPr="00AF1481">
              <w:rPr>
                <w:rFonts w:ascii="Arial Narrow" w:hAnsi="Arial Narrow"/>
                <w:sz w:val="20"/>
                <w:szCs w:val="20"/>
              </w:rPr>
              <w:t>Continuing treatment</w:t>
            </w:r>
          </w:p>
        </w:tc>
      </w:tr>
      <w:tr w:rsidR="00DD24B5" w:rsidRPr="00AF1481" w14:paraId="0BB3E2A0" w14:textId="77777777" w:rsidTr="00FD014B">
        <w:trPr>
          <w:cantSplit/>
          <w:trHeight w:val="20"/>
        </w:trPr>
        <w:tc>
          <w:tcPr>
            <w:tcW w:w="3941" w:type="dxa"/>
            <w:vAlign w:val="center"/>
          </w:tcPr>
          <w:p w14:paraId="06DDC5C4" w14:textId="31D485E7" w:rsidR="00DD24B5" w:rsidRPr="00AF1481" w:rsidRDefault="00DD24B5" w:rsidP="00DD24B5">
            <w:pPr>
              <w:keepLines/>
              <w:rPr>
                <w:rFonts w:ascii="Arial Narrow" w:hAnsi="Arial Narrow"/>
                <w:sz w:val="20"/>
                <w:szCs w:val="20"/>
              </w:rPr>
            </w:pPr>
            <w:r w:rsidRPr="00AF1481">
              <w:rPr>
                <w:rFonts w:ascii="Arial Narrow" w:hAnsi="Arial Narrow"/>
                <w:sz w:val="20"/>
                <w:szCs w:val="20"/>
              </w:rPr>
              <w:t>aflibercept 8 mg/0.07 mL injection, 0.07 mL vial</w:t>
            </w:r>
          </w:p>
        </w:tc>
        <w:tc>
          <w:tcPr>
            <w:tcW w:w="811" w:type="dxa"/>
            <w:vAlign w:val="center"/>
          </w:tcPr>
          <w:p w14:paraId="04F8973F" w14:textId="4121BB7F" w:rsidR="00DD24B5" w:rsidRPr="00AF1481" w:rsidRDefault="00DD24B5" w:rsidP="00DD24B5">
            <w:pPr>
              <w:keepLines/>
              <w:jc w:val="center"/>
              <w:rPr>
                <w:rFonts w:ascii="Arial Narrow" w:hAnsi="Arial Narrow"/>
                <w:sz w:val="20"/>
                <w:szCs w:val="20"/>
              </w:rPr>
            </w:pPr>
            <w:r w:rsidRPr="00AF1481">
              <w:rPr>
                <w:rFonts w:ascii="Arial Narrow" w:hAnsi="Arial Narrow"/>
                <w:sz w:val="20"/>
                <w:szCs w:val="20"/>
              </w:rPr>
              <w:t>NEW</w:t>
            </w:r>
          </w:p>
        </w:tc>
        <w:tc>
          <w:tcPr>
            <w:tcW w:w="812" w:type="dxa"/>
            <w:vAlign w:val="center"/>
          </w:tcPr>
          <w:p w14:paraId="4FCEF15A" w14:textId="4622C30A" w:rsidR="00DD24B5" w:rsidRPr="00AF1481" w:rsidRDefault="00DD24B5" w:rsidP="00DD24B5">
            <w:pPr>
              <w:keepLines/>
              <w:jc w:val="center"/>
              <w:rPr>
                <w:rFonts w:ascii="Arial Narrow" w:hAnsi="Arial Narrow"/>
                <w:sz w:val="20"/>
                <w:szCs w:val="20"/>
              </w:rPr>
            </w:pPr>
            <w:r w:rsidRPr="00AF1481">
              <w:rPr>
                <w:rFonts w:ascii="Arial Narrow" w:hAnsi="Arial Narrow"/>
                <w:sz w:val="20"/>
                <w:szCs w:val="20"/>
              </w:rPr>
              <w:t>1</w:t>
            </w:r>
          </w:p>
        </w:tc>
        <w:tc>
          <w:tcPr>
            <w:tcW w:w="811" w:type="dxa"/>
            <w:vAlign w:val="center"/>
          </w:tcPr>
          <w:p w14:paraId="510DDCA4" w14:textId="3EA1308C" w:rsidR="00DD24B5" w:rsidRPr="00AF1481" w:rsidRDefault="00DD24B5" w:rsidP="00DD24B5">
            <w:pPr>
              <w:keepLines/>
              <w:jc w:val="center"/>
              <w:rPr>
                <w:rFonts w:ascii="Arial Narrow" w:hAnsi="Arial Narrow"/>
                <w:sz w:val="20"/>
                <w:szCs w:val="20"/>
              </w:rPr>
            </w:pPr>
            <w:r w:rsidRPr="00AF1481">
              <w:rPr>
                <w:rFonts w:ascii="Arial Narrow" w:hAnsi="Arial Narrow"/>
                <w:sz w:val="20"/>
                <w:szCs w:val="20"/>
              </w:rPr>
              <w:t>1</w:t>
            </w:r>
          </w:p>
        </w:tc>
        <w:tc>
          <w:tcPr>
            <w:tcW w:w="812" w:type="dxa"/>
            <w:vAlign w:val="center"/>
          </w:tcPr>
          <w:p w14:paraId="1BD65C58" w14:textId="48D04380" w:rsidR="00DD24B5" w:rsidRPr="00AF1481" w:rsidRDefault="00DD24B5" w:rsidP="00DD24B5">
            <w:pPr>
              <w:keepLines/>
              <w:jc w:val="center"/>
              <w:rPr>
                <w:rFonts w:ascii="Arial Narrow" w:hAnsi="Arial Narrow"/>
                <w:sz w:val="20"/>
                <w:szCs w:val="20"/>
              </w:rPr>
            </w:pPr>
            <w:r w:rsidRPr="00AF1481">
              <w:rPr>
                <w:rFonts w:ascii="Arial Narrow" w:hAnsi="Arial Narrow"/>
                <w:sz w:val="20"/>
                <w:szCs w:val="20"/>
              </w:rPr>
              <w:t>5</w:t>
            </w:r>
          </w:p>
        </w:tc>
        <w:tc>
          <w:tcPr>
            <w:tcW w:w="1852" w:type="dxa"/>
            <w:vAlign w:val="center"/>
          </w:tcPr>
          <w:p w14:paraId="09A14A81" w14:textId="78BA5AC4" w:rsidR="00DD24B5" w:rsidRPr="00AF1481" w:rsidRDefault="00DD24B5" w:rsidP="00DD24B5">
            <w:pPr>
              <w:keepLines/>
              <w:rPr>
                <w:rFonts w:ascii="Arial Narrow" w:hAnsi="Arial Narrow"/>
                <w:sz w:val="20"/>
                <w:szCs w:val="20"/>
              </w:rPr>
            </w:pPr>
            <w:r w:rsidRPr="00AF1481">
              <w:rPr>
                <w:rFonts w:ascii="Arial Narrow" w:hAnsi="Arial Narrow"/>
                <w:sz w:val="20"/>
                <w:szCs w:val="20"/>
              </w:rPr>
              <w:t>Eylea</w:t>
            </w:r>
          </w:p>
        </w:tc>
      </w:tr>
      <w:tr w:rsidR="00DD24B5" w:rsidRPr="00AF1481" w14:paraId="67796268"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top w:val="single" w:sz="4" w:space="0" w:color="auto"/>
              <w:left w:val="single" w:sz="4" w:space="0" w:color="auto"/>
              <w:right w:val="single" w:sz="4" w:space="0" w:color="auto"/>
            </w:tcBorders>
            <w:vAlign w:val="center"/>
          </w:tcPr>
          <w:p w14:paraId="69B1DD08" w14:textId="77777777" w:rsidR="00DD24B5" w:rsidRPr="00AF1481" w:rsidRDefault="00DD24B5" w:rsidP="00DD24B5">
            <w:pPr>
              <w:rPr>
                <w:rFonts w:ascii="Arial Narrow" w:hAnsi="Arial Narrow"/>
                <w:sz w:val="20"/>
                <w:szCs w:val="20"/>
              </w:rPr>
            </w:pPr>
          </w:p>
        </w:tc>
      </w:tr>
      <w:tr w:rsidR="00DD24B5" w:rsidRPr="00AF1481" w14:paraId="2963CA5D"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top w:val="single" w:sz="4" w:space="0" w:color="auto"/>
              <w:left w:val="single" w:sz="4" w:space="0" w:color="auto"/>
              <w:right w:val="single" w:sz="4" w:space="0" w:color="auto"/>
            </w:tcBorders>
            <w:vAlign w:val="center"/>
          </w:tcPr>
          <w:p w14:paraId="36C11C34" w14:textId="77777777" w:rsidR="00DD24B5" w:rsidRPr="00AF1481" w:rsidRDefault="00DD24B5" w:rsidP="00DD24B5">
            <w:pPr>
              <w:keepLines/>
              <w:rPr>
                <w:rFonts w:ascii="Arial Narrow" w:hAnsi="Arial Narrow"/>
                <w:b/>
                <w:sz w:val="20"/>
                <w:szCs w:val="20"/>
              </w:rPr>
            </w:pPr>
            <w:r w:rsidRPr="00AF1481">
              <w:rPr>
                <w:rFonts w:ascii="Arial Narrow" w:hAnsi="Arial Narrow"/>
                <w:b/>
                <w:sz w:val="20"/>
                <w:szCs w:val="20"/>
              </w:rPr>
              <w:t>Restriction Summary edit 13342 / Treatment of Concept: edit 13388</w:t>
            </w:r>
          </w:p>
        </w:tc>
      </w:tr>
      <w:tr w:rsidR="00915EC0" w:rsidRPr="00AF1481" w14:paraId="55FCC604"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top w:val="single" w:sz="4" w:space="0" w:color="auto"/>
              <w:left w:val="single" w:sz="4" w:space="0" w:color="auto"/>
              <w:right w:val="single" w:sz="4" w:space="0" w:color="auto"/>
            </w:tcBorders>
          </w:tcPr>
          <w:p w14:paraId="4B7155FE" w14:textId="77777777" w:rsidR="00915EC0" w:rsidRPr="00AF1481" w:rsidRDefault="00915EC0" w:rsidP="00DD24B5">
            <w:pPr>
              <w:keepLines/>
              <w:rPr>
                <w:rFonts w:ascii="Arial Narrow" w:hAnsi="Arial Narrow"/>
                <w:sz w:val="20"/>
                <w:szCs w:val="20"/>
              </w:rPr>
            </w:pPr>
            <w:r w:rsidRPr="00AF1481">
              <w:rPr>
                <w:rFonts w:ascii="Arial Narrow" w:hAnsi="Arial Narrow"/>
                <w:b/>
                <w:sz w:val="20"/>
                <w:szCs w:val="20"/>
              </w:rPr>
              <w:t xml:space="preserve">Category / Program: </w:t>
            </w:r>
            <w:r w:rsidRPr="00AF1481">
              <w:rPr>
                <w:rFonts w:ascii="Arial Narrow" w:hAnsi="Arial Narrow"/>
                <w:sz w:val="20"/>
                <w:szCs w:val="20"/>
              </w:rPr>
              <w:t>GENERAL – General Schedule (Code GE)</w:t>
            </w:r>
            <w:r w:rsidRPr="00AF1481">
              <w:rPr>
                <w:rFonts w:ascii="Arial Narrow" w:hAnsi="Arial Narrow"/>
                <w:color w:val="FF0000"/>
                <w:sz w:val="20"/>
                <w:szCs w:val="20"/>
              </w:rPr>
              <w:t xml:space="preserve"> </w:t>
            </w:r>
          </w:p>
        </w:tc>
      </w:tr>
      <w:tr w:rsidR="00915EC0" w:rsidRPr="00AF1481" w14:paraId="676D8D60"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left w:val="single" w:sz="4" w:space="0" w:color="auto"/>
              <w:right w:val="single" w:sz="4" w:space="0" w:color="auto"/>
            </w:tcBorders>
          </w:tcPr>
          <w:p w14:paraId="4C334F14" w14:textId="77777777" w:rsidR="00915EC0" w:rsidRPr="00AF1481" w:rsidRDefault="00915EC0" w:rsidP="00DD24B5">
            <w:pPr>
              <w:keepLines/>
              <w:rPr>
                <w:rFonts w:ascii="Arial Narrow" w:hAnsi="Arial Narrow"/>
                <w:b/>
                <w:sz w:val="20"/>
                <w:szCs w:val="20"/>
              </w:rPr>
            </w:pPr>
            <w:r w:rsidRPr="00AF1481">
              <w:rPr>
                <w:rFonts w:ascii="Arial Narrow" w:hAnsi="Arial Narrow"/>
                <w:b/>
                <w:sz w:val="20"/>
                <w:szCs w:val="20"/>
              </w:rPr>
              <w:t xml:space="preserve">Prescriber type: </w:t>
            </w:r>
            <w:r w:rsidRPr="00AF1481">
              <w:rPr>
                <w:rFonts w:ascii="Arial Narrow" w:hAnsi="Arial Narrow"/>
                <w:sz w:val="20"/>
                <w:szCs w:val="20"/>
              </w:rPr>
              <w:fldChar w:fldCharType="begin">
                <w:ffData>
                  <w:name w:val=""/>
                  <w:enabled/>
                  <w:calcOnExit w:val="0"/>
                  <w:checkBox>
                    <w:sizeAuto/>
                    <w:default w:val="1"/>
                  </w:checkBox>
                </w:ffData>
              </w:fldChar>
            </w:r>
            <w:r w:rsidRPr="00AF1481">
              <w:rPr>
                <w:rFonts w:ascii="Arial Narrow" w:hAnsi="Arial Narrow"/>
                <w:sz w:val="20"/>
                <w:szCs w:val="20"/>
              </w:rPr>
              <w:instrText xml:space="preserve"> FORMCHECKBOX </w:instrText>
            </w:r>
            <w:r w:rsidR="009404AF">
              <w:rPr>
                <w:rFonts w:ascii="Arial Narrow" w:hAnsi="Arial Narrow"/>
                <w:sz w:val="20"/>
                <w:szCs w:val="20"/>
              </w:rPr>
            </w:r>
            <w:r w:rsidR="009404AF">
              <w:rPr>
                <w:rFonts w:ascii="Arial Narrow" w:hAnsi="Arial Narrow"/>
                <w:sz w:val="20"/>
                <w:szCs w:val="20"/>
              </w:rPr>
              <w:fldChar w:fldCharType="separate"/>
            </w:r>
            <w:r w:rsidRPr="00AF1481">
              <w:rPr>
                <w:rFonts w:ascii="Arial Narrow" w:hAnsi="Arial Narrow"/>
                <w:sz w:val="20"/>
                <w:szCs w:val="20"/>
              </w:rPr>
              <w:fldChar w:fldCharType="end"/>
            </w:r>
            <w:r w:rsidRPr="00AF1481">
              <w:rPr>
                <w:rFonts w:ascii="Arial Narrow" w:hAnsi="Arial Narrow"/>
                <w:sz w:val="20"/>
                <w:szCs w:val="20"/>
              </w:rPr>
              <w:t xml:space="preserve">Medical Practitioners </w:t>
            </w:r>
          </w:p>
        </w:tc>
      </w:tr>
      <w:tr w:rsidR="00915EC0" w:rsidRPr="00AF1481" w14:paraId="671863B9"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left w:val="single" w:sz="4" w:space="0" w:color="auto"/>
              <w:bottom w:val="single" w:sz="4" w:space="0" w:color="auto"/>
              <w:right w:val="single" w:sz="4" w:space="0" w:color="auto"/>
            </w:tcBorders>
          </w:tcPr>
          <w:p w14:paraId="4D198537" w14:textId="77777777" w:rsidR="00915EC0" w:rsidRPr="00AF1481" w:rsidRDefault="00915EC0" w:rsidP="00DD24B5">
            <w:pPr>
              <w:keepLines/>
              <w:jc w:val="left"/>
              <w:rPr>
                <w:rFonts w:ascii="Arial Narrow" w:eastAsia="Calibri" w:hAnsi="Arial Narrow"/>
                <w:color w:val="FF0000"/>
                <w:sz w:val="20"/>
                <w:szCs w:val="20"/>
              </w:rPr>
            </w:pPr>
            <w:r w:rsidRPr="00AF1481">
              <w:rPr>
                <w:rFonts w:ascii="Arial Narrow" w:hAnsi="Arial Narrow"/>
                <w:b/>
                <w:sz w:val="20"/>
                <w:szCs w:val="20"/>
              </w:rPr>
              <w:t xml:space="preserve">Restriction type: </w:t>
            </w:r>
            <w:r w:rsidRPr="00AF1481">
              <w:rPr>
                <w:rFonts w:ascii="Arial Narrow" w:eastAsia="Calibri" w:hAnsi="Arial Narrow"/>
                <w:color w:val="FF0000"/>
                <w:sz w:val="20"/>
                <w:szCs w:val="20"/>
              </w:rPr>
              <w:br/>
            </w:r>
            <w:r w:rsidRPr="00AF1481">
              <w:rPr>
                <w:rFonts w:ascii="Arial Narrow" w:eastAsia="Calibri" w:hAnsi="Arial Narrow"/>
                <w:sz w:val="20"/>
                <w:szCs w:val="20"/>
              </w:rPr>
              <w:fldChar w:fldCharType="begin">
                <w:ffData>
                  <w:name w:val=""/>
                  <w:enabled/>
                  <w:calcOnExit w:val="0"/>
                  <w:checkBox>
                    <w:sizeAuto/>
                    <w:default w:val="1"/>
                  </w:checkBox>
                </w:ffData>
              </w:fldChar>
            </w:r>
            <w:r w:rsidRPr="00AF1481">
              <w:rPr>
                <w:rFonts w:ascii="Arial Narrow" w:eastAsia="Calibri" w:hAnsi="Arial Narrow"/>
                <w:sz w:val="20"/>
                <w:szCs w:val="20"/>
              </w:rPr>
              <w:instrText xml:space="preserve"> FORMCHECKBOX </w:instrText>
            </w:r>
            <w:r w:rsidR="009404AF">
              <w:rPr>
                <w:rFonts w:ascii="Arial Narrow" w:eastAsia="Calibri" w:hAnsi="Arial Narrow"/>
                <w:sz w:val="20"/>
                <w:szCs w:val="20"/>
              </w:rPr>
            </w:r>
            <w:r w:rsidR="009404AF">
              <w:rPr>
                <w:rFonts w:ascii="Arial Narrow" w:eastAsia="Calibri" w:hAnsi="Arial Narrow"/>
                <w:sz w:val="20"/>
                <w:szCs w:val="20"/>
              </w:rPr>
              <w:fldChar w:fldCharType="separate"/>
            </w:r>
            <w:r w:rsidRPr="00AF1481">
              <w:rPr>
                <w:rFonts w:ascii="Arial Narrow" w:eastAsia="Calibri" w:hAnsi="Arial Narrow"/>
                <w:sz w:val="20"/>
                <w:szCs w:val="20"/>
              </w:rPr>
              <w:fldChar w:fldCharType="end"/>
            </w:r>
            <w:r w:rsidRPr="00AF1481">
              <w:rPr>
                <w:rFonts w:ascii="Arial Narrow" w:eastAsia="Calibri" w:hAnsi="Arial Narrow"/>
                <w:sz w:val="20"/>
                <w:szCs w:val="20"/>
              </w:rPr>
              <w:t>Authority Required (in writing - legacy) – Postal/HPOS upload or Online PBS Authorities immediate assessment</w:t>
            </w:r>
          </w:p>
        </w:tc>
      </w:tr>
      <w:tr w:rsidR="00915EC0" w:rsidRPr="00AF1481" w14:paraId="118171C9"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left w:val="single" w:sz="4" w:space="0" w:color="auto"/>
            </w:tcBorders>
            <w:vAlign w:val="center"/>
          </w:tcPr>
          <w:p w14:paraId="485C09EA" w14:textId="77777777" w:rsidR="00915EC0" w:rsidRPr="00AF1481" w:rsidRDefault="00915EC0" w:rsidP="00DD24B5">
            <w:pPr>
              <w:rPr>
                <w:rFonts w:ascii="Arial Narrow" w:hAnsi="Arial Narrow"/>
                <w:color w:val="333333"/>
                <w:sz w:val="20"/>
                <w:szCs w:val="20"/>
              </w:rPr>
            </w:pPr>
            <w:r w:rsidRPr="00AF1481">
              <w:rPr>
                <w:rFonts w:ascii="Arial Narrow" w:hAnsi="Arial Narrow"/>
                <w:b/>
                <w:bCs/>
                <w:color w:val="333333"/>
                <w:sz w:val="20"/>
                <w:szCs w:val="20"/>
              </w:rPr>
              <w:t>Administrative Advice:</w:t>
            </w:r>
          </w:p>
          <w:p w14:paraId="0DF52B0E" w14:textId="77777777" w:rsidR="00915EC0" w:rsidRPr="00AF1481" w:rsidRDefault="00915EC0" w:rsidP="00DD24B5">
            <w:pPr>
              <w:rPr>
                <w:rFonts w:ascii="Arial Narrow" w:hAnsi="Arial Narrow"/>
                <w:color w:val="333333"/>
                <w:sz w:val="20"/>
                <w:szCs w:val="20"/>
              </w:rPr>
            </w:pPr>
            <w:r w:rsidRPr="00AF1481">
              <w:rPr>
                <w:rFonts w:ascii="Arial Narrow" w:hAnsi="Arial Narrow"/>
                <w:sz w:val="20"/>
                <w:szCs w:val="20"/>
              </w:rPr>
              <w:t>Special Pricing Arrangements apply.</w:t>
            </w:r>
          </w:p>
        </w:tc>
      </w:tr>
      <w:tr w:rsidR="00915EC0" w:rsidRPr="00AF1481" w14:paraId="4234DA6C"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left w:val="single" w:sz="4" w:space="0" w:color="auto"/>
            </w:tcBorders>
          </w:tcPr>
          <w:p w14:paraId="432AD63E" w14:textId="77777777" w:rsidR="00915EC0" w:rsidRPr="00AF1481" w:rsidRDefault="00915EC0" w:rsidP="00DD24B5">
            <w:pPr>
              <w:rPr>
                <w:rFonts w:ascii="Arial Narrow" w:hAnsi="Arial Narrow"/>
                <w:b/>
                <w:bCs/>
                <w:color w:val="333333"/>
                <w:sz w:val="20"/>
                <w:szCs w:val="20"/>
              </w:rPr>
            </w:pPr>
            <w:r w:rsidRPr="00AF1481">
              <w:rPr>
                <w:rFonts w:ascii="Arial Narrow" w:hAnsi="Arial Narrow"/>
                <w:b/>
                <w:bCs/>
                <w:color w:val="333333"/>
                <w:sz w:val="20"/>
                <w:szCs w:val="20"/>
              </w:rPr>
              <w:t>Administrative Advice:</w:t>
            </w:r>
          </w:p>
          <w:p w14:paraId="5D69E2F6" w14:textId="77777777" w:rsidR="00915EC0" w:rsidRPr="00AF1481" w:rsidRDefault="00915EC0" w:rsidP="00DD24B5">
            <w:pPr>
              <w:rPr>
                <w:rFonts w:ascii="Arial Narrow" w:hAnsi="Arial Narrow"/>
                <w:color w:val="333333"/>
                <w:sz w:val="20"/>
                <w:szCs w:val="20"/>
              </w:rPr>
            </w:pPr>
            <w:r w:rsidRPr="00AF1481">
              <w:rPr>
                <w:rFonts w:ascii="Arial Narrow" w:hAnsi="Arial Narrow"/>
                <w:color w:val="333333"/>
                <w:sz w:val="20"/>
                <w:szCs w:val="20"/>
              </w:rPr>
              <w:t xml:space="preserve">No increase in the maximum number of repeats may be authorised </w:t>
            </w:r>
          </w:p>
        </w:tc>
      </w:tr>
      <w:tr w:rsidR="00915EC0" w:rsidRPr="00AF1481" w14:paraId="63CA4084"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left w:val="single" w:sz="4" w:space="0" w:color="auto"/>
            </w:tcBorders>
          </w:tcPr>
          <w:p w14:paraId="65004293" w14:textId="77777777" w:rsidR="00915EC0" w:rsidRPr="00AF1481" w:rsidRDefault="00915EC0" w:rsidP="00DD24B5">
            <w:pPr>
              <w:rPr>
                <w:rFonts w:ascii="Arial Narrow" w:hAnsi="Arial Narrow"/>
                <w:b/>
                <w:bCs/>
                <w:color w:val="333333"/>
                <w:sz w:val="20"/>
                <w:szCs w:val="20"/>
              </w:rPr>
            </w:pPr>
            <w:r w:rsidRPr="00AF1481">
              <w:rPr>
                <w:rFonts w:ascii="Arial Narrow" w:hAnsi="Arial Narrow"/>
                <w:b/>
                <w:bCs/>
                <w:color w:val="333333"/>
                <w:sz w:val="20"/>
                <w:szCs w:val="20"/>
              </w:rPr>
              <w:t>Administrative Advice:</w:t>
            </w:r>
          </w:p>
          <w:p w14:paraId="5606F3F7" w14:textId="77777777" w:rsidR="00915EC0" w:rsidRPr="00AF1481" w:rsidRDefault="00915EC0" w:rsidP="00DD24B5">
            <w:pPr>
              <w:rPr>
                <w:rFonts w:ascii="Arial Narrow" w:hAnsi="Arial Narrow"/>
                <w:color w:val="333333"/>
                <w:sz w:val="20"/>
                <w:szCs w:val="20"/>
              </w:rPr>
            </w:pPr>
            <w:r w:rsidRPr="00AF1481">
              <w:rPr>
                <w:rFonts w:ascii="Arial Narrow" w:hAnsi="Arial Narrow"/>
                <w:color w:val="333333"/>
                <w:sz w:val="20"/>
                <w:szCs w:val="20"/>
              </w:rPr>
              <w:t xml:space="preserve">No increase in the maximum quantity or number of units may be authorised for applications for treatment of one eye. </w:t>
            </w:r>
          </w:p>
        </w:tc>
      </w:tr>
      <w:tr w:rsidR="00915EC0" w:rsidRPr="00AF1481" w14:paraId="1C968446" w14:textId="77777777" w:rsidTr="00FD014B">
        <w:tblPrEx>
          <w:tblCellMar>
            <w:top w:w="15" w:type="dxa"/>
            <w:bottom w:w="15" w:type="dxa"/>
          </w:tblCellMar>
          <w:tblLook w:val="04A0" w:firstRow="1" w:lastRow="0" w:firstColumn="1" w:lastColumn="0" w:noHBand="0" w:noVBand="1"/>
        </w:tblPrEx>
        <w:trPr>
          <w:trHeight w:val="20"/>
        </w:trPr>
        <w:tc>
          <w:tcPr>
            <w:tcW w:w="9039" w:type="dxa"/>
            <w:gridSpan w:val="6"/>
            <w:tcBorders>
              <w:left w:val="single" w:sz="4" w:space="0" w:color="auto"/>
            </w:tcBorders>
          </w:tcPr>
          <w:p w14:paraId="0038DE16" w14:textId="77777777" w:rsidR="00915EC0" w:rsidRPr="00AF1481" w:rsidRDefault="00915EC0" w:rsidP="00DD24B5">
            <w:pPr>
              <w:rPr>
                <w:rFonts w:ascii="Arial Narrow" w:hAnsi="Arial Narrow"/>
                <w:b/>
                <w:bCs/>
                <w:color w:val="333333"/>
                <w:sz w:val="20"/>
                <w:szCs w:val="20"/>
              </w:rPr>
            </w:pPr>
            <w:r w:rsidRPr="00AF1481">
              <w:rPr>
                <w:rFonts w:ascii="Arial Narrow" w:hAnsi="Arial Narrow"/>
                <w:b/>
                <w:bCs/>
                <w:color w:val="333333"/>
                <w:sz w:val="20"/>
                <w:szCs w:val="20"/>
              </w:rPr>
              <w:t>Administrative Advice:</w:t>
            </w:r>
          </w:p>
          <w:p w14:paraId="20ACB488" w14:textId="77777777" w:rsidR="00915EC0" w:rsidRPr="00AF1481" w:rsidRDefault="00915EC0" w:rsidP="00DD24B5">
            <w:pPr>
              <w:rPr>
                <w:rFonts w:ascii="Arial Narrow" w:hAnsi="Arial Narrow"/>
                <w:color w:val="333333"/>
                <w:sz w:val="20"/>
                <w:szCs w:val="20"/>
              </w:rPr>
            </w:pPr>
            <w:r w:rsidRPr="00AF1481">
              <w:rPr>
                <w:rFonts w:ascii="Arial Narrow" w:hAnsi="Arial Narrow"/>
                <w:color w:val="333333"/>
                <w:sz w:val="20"/>
                <w:szCs w:val="20"/>
              </w:rPr>
              <w:t xml:space="preserve">Where both eyes are affected by the condition, a quantity of 2 units may be requested through the same authority application. </w:t>
            </w:r>
          </w:p>
        </w:tc>
      </w:tr>
      <w:tr w:rsidR="00915EC0" w:rsidRPr="00AF1481" w14:paraId="06279D11"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5749FEA" w14:textId="77777777" w:rsidR="00915EC0" w:rsidRPr="00AF1481" w:rsidRDefault="00915EC0" w:rsidP="00DD24B5">
            <w:pPr>
              <w:keepLines/>
              <w:rPr>
                <w:rFonts w:ascii="Arial Narrow" w:hAnsi="Arial Narrow"/>
                <w:color w:val="333333"/>
                <w:sz w:val="20"/>
                <w:szCs w:val="20"/>
              </w:rPr>
            </w:pPr>
            <w:r w:rsidRPr="00AF1481">
              <w:rPr>
                <w:rFonts w:ascii="Arial Narrow" w:hAnsi="Arial Narrow"/>
                <w:b/>
                <w:bCs/>
                <w:color w:val="333333"/>
                <w:sz w:val="20"/>
                <w:szCs w:val="20"/>
              </w:rPr>
              <w:t>Indication:</w:t>
            </w:r>
            <w:r w:rsidRPr="00AF1481">
              <w:rPr>
                <w:rFonts w:ascii="Arial Narrow" w:hAnsi="Arial Narrow"/>
                <w:color w:val="333333"/>
                <w:sz w:val="20"/>
                <w:szCs w:val="20"/>
              </w:rPr>
              <w:t xml:space="preserve"> Diabetic macular oedema (DMO)</w:t>
            </w:r>
          </w:p>
        </w:tc>
      </w:tr>
      <w:tr w:rsidR="00915EC0" w:rsidRPr="00AF1481" w14:paraId="07D9FB6C"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A9F99BE" w14:textId="77777777" w:rsidR="00915EC0" w:rsidRPr="00AF1481" w:rsidRDefault="00915EC0" w:rsidP="00DD24B5">
            <w:pPr>
              <w:rPr>
                <w:rFonts w:ascii="Arial Narrow" w:hAnsi="Arial Narrow"/>
                <w:sz w:val="20"/>
                <w:szCs w:val="20"/>
              </w:rPr>
            </w:pPr>
            <w:r w:rsidRPr="00AF1481">
              <w:rPr>
                <w:rFonts w:ascii="Arial Narrow" w:hAnsi="Arial Narrow"/>
                <w:b/>
                <w:bCs/>
                <w:color w:val="333333"/>
                <w:sz w:val="20"/>
                <w:szCs w:val="20"/>
              </w:rPr>
              <w:t>Treatment Phase:</w:t>
            </w:r>
            <w:r w:rsidRPr="00AF1481">
              <w:rPr>
                <w:rFonts w:ascii="Arial Narrow" w:hAnsi="Arial Narrow"/>
                <w:color w:val="FF0000"/>
                <w:sz w:val="20"/>
                <w:szCs w:val="20"/>
              </w:rPr>
              <w:t xml:space="preserve"> </w:t>
            </w:r>
            <w:r w:rsidRPr="00AF1481">
              <w:rPr>
                <w:rFonts w:ascii="Arial Narrow" w:hAnsi="Arial Narrow"/>
                <w:sz w:val="20"/>
                <w:szCs w:val="20"/>
              </w:rPr>
              <w:t xml:space="preserve">Initial treatment </w:t>
            </w:r>
          </w:p>
        </w:tc>
      </w:tr>
      <w:tr w:rsidR="00915EC0" w:rsidRPr="00AF1481" w14:paraId="0E882FD8"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CC6B7DC" w14:textId="77777777" w:rsidR="00915EC0" w:rsidRPr="00AF1481" w:rsidRDefault="00915EC0" w:rsidP="00DD24B5">
            <w:pPr>
              <w:rPr>
                <w:rFonts w:ascii="Arial Narrow" w:hAnsi="Arial Narrow"/>
                <w:b/>
                <w:bCs/>
                <w:color w:val="333333"/>
                <w:sz w:val="20"/>
                <w:szCs w:val="20"/>
              </w:rPr>
            </w:pPr>
            <w:r w:rsidRPr="00AF1481">
              <w:rPr>
                <w:rFonts w:ascii="Arial Narrow" w:hAnsi="Arial Narrow"/>
                <w:b/>
                <w:bCs/>
                <w:color w:val="333333"/>
                <w:sz w:val="20"/>
                <w:szCs w:val="20"/>
              </w:rPr>
              <w:t>Treatment criteria:</w:t>
            </w:r>
          </w:p>
        </w:tc>
      </w:tr>
      <w:tr w:rsidR="00915EC0" w:rsidRPr="00AF1481" w14:paraId="0A772525"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DD61F2F" w14:textId="77777777" w:rsidR="00915EC0" w:rsidRPr="00AF1481" w:rsidRDefault="00915EC0" w:rsidP="00DD24B5">
            <w:pPr>
              <w:rPr>
                <w:rFonts w:ascii="Arial Narrow" w:hAnsi="Arial Narrow"/>
                <w:b/>
                <w:bCs/>
                <w:color w:val="333333"/>
                <w:sz w:val="20"/>
                <w:szCs w:val="20"/>
              </w:rPr>
            </w:pPr>
            <w:r w:rsidRPr="00AF1481">
              <w:rPr>
                <w:rFonts w:ascii="Arial Narrow" w:hAnsi="Arial Narrow" w:cs="Arial Narrow"/>
                <w:iCs/>
                <w:sz w:val="20"/>
                <w:szCs w:val="20"/>
              </w:rPr>
              <w:t xml:space="preserve">Must be treated by an ophthalmologist or by an accredited ophthalmology registrar in consultation with an ophthalmologist </w:t>
            </w:r>
          </w:p>
        </w:tc>
      </w:tr>
      <w:tr w:rsidR="00915EC0" w:rsidRPr="00AF1481" w14:paraId="09ABEA2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05863BAC" w14:textId="77777777" w:rsidR="00915EC0" w:rsidRPr="00AF1481" w:rsidRDefault="00915EC0" w:rsidP="00DD24B5">
            <w:pPr>
              <w:rPr>
                <w:rFonts w:ascii="Arial Narrow" w:hAnsi="Arial Narrow"/>
                <w:sz w:val="20"/>
                <w:szCs w:val="20"/>
              </w:rPr>
            </w:pPr>
            <w:r w:rsidRPr="00AF1481">
              <w:rPr>
                <w:rFonts w:ascii="Arial Narrow" w:hAnsi="Arial Narrow"/>
                <w:b/>
                <w:bCs/>
                <w:color w:val="333333"/>
                <w:sz w:val="20"/>
                <w:szCs w:val="20"/>
              </w:rPr>
              <w:t xml:space="preserve">Clinical criteria: </w:t>
            </w:r>
          </w:p>
        </w:tc>
      </w:tr>
      <w:tr w:rsidR="00915EC0" w:rsidRPr="00AF1481" w14:paraId="140FFBA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5ABCB246" w14:textId="77777777" w:rsidR="00915EC0" w:rsidRPr="00AF1481" w:rsidRDefault="00915EC0" w:rsidP="00DD24B5">
            <w:pPr>
              <w:rPr>
                <w:rFonts w:ascii="Arial Narrow" w:hAnsi="Arial Narrow"/>
                <w:color w:val="333333"/>
                <w:sz w:val="20"/>
                <w:szCs w:val="20"/>
              </w:rPr>
            </w:pPr>
            <w:r w:rsidRPr="00AF1481">
              <w:rPr>
                <w:rFonts w:ascii="Arial Narrow" w:hAnsi="Arial Narrow"/>
                <w:sz w:val="20"/>
                <w:szCs w:val="20"/>
              </w:rPr>
              <w:t>Patient must have visual impairment due to diabetic macular oedema</w:t>
            </w:r>
          </w:p>
        </w:tc>
      </w:tr>
      <w:tr w:rsidR="00915EC0" w:rsidRPr="00AF1481" w14:paraId="0BFEAABE"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42F773F" w14:textId="77777777" w:rsidR="00915EC0" w:rsidRPr="00AF1481" w:rsidRDefault="00915EC0" w:rsidP="00DD24B5">
            <w:pPr>
              <w:rPr>
                <w:rFonts w:ascii="Arial Narrow" w:hAnsi="Arial Narrow"/>
                <w:color w:val="333333"/>
                <w:sz w:val="20"/>
                <w:szCs w:val="20"/>
              </w:rPr>
            </w:pPr>
            <w:r w:rsidRPr="00AF1481">
              <w:rPr>
                <w:rFonts w:ascii="Arial Narrow" w:hAnsi="Arial Narrow"/>
                <w:b/>
                <w:bCs/>
                <w:color w:val="333333"/>
                <w:sz w:val="20"/>
                <w:szCs w:val="20"/>
              </w:rPr>
              <w:t>AND</w:t>
            </w:r>
          </w:p>
        </w:tc>
      </w:tr>
      <w:tr w:rsidR="00915EC0" w:rsidRPr="00AF1481" w14:paraId="382FEC6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5D0C33E6" w14:textId="77777777" w:rsidR="00915EC0" w:rsidRPr="00AF1481" w:rsidRDefault="00915EC0" w:rsidP="00DD24B5">
            <w:pPr>
              <w:rPr>
                <w:rFonts w:ascii="Arial Narrow" w:hAnsi="Arial Narrow"/>
                <w:color w:val="333333"/>
                <w:sz w:val="20"/>
                <w:szCs w:val="20"/>
              </w:rPr>
            </w:pPr>
            <w:r w:rsidRPr="00AF1481">
              <w:rPr>
                <w:rFonts w:ascii="Arial Narrow" w:hAnsi="Arial Narrow"/>
                <w:b/>
                <w:bCs/>
                <w:color w:val="333333"/>
                <w:sz w:val="20"/>
                <w:szCs w:val="20"/>
              </w:rPr>
              <w:t>Clinical criteria:</w:t>
            </w:r>
          </w:p>
        </w:tc>
      </w:tr>
      <w:tr w:rsidR="00915EC0" w:rsidRPr="00AF1481" w14:paraId="580203B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5F375FC" w14:textId="77777777" w:rsidR="00915EC0" w:rsidRPr="00AF1481" w:rsidRDefault="00915EC0" w:rsidP="00DD24B5">
            <w:pPr>
              <w:rPr>
                <w:rFonts w:ascii="Arial Narrow" w:hAnsi="Arial Narrow"/>
                <w:color w:val="FF0000"/>
                <w:sz w:val="20"/>
                <w:szCs w:val="20"/>
              </w:rPr>
            </w:pPr>
            <w:r w:rsidRPr="00AF1481">
              <w:rPr>
                <w:rFonts w:ascii="Arial Narrow" w:hAnsi="Arial Narrow"/>
                <w:sz w:val="20"/>
                <w:szCs w:val="20"/>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w:t>
            </w:r>
          </w:p>
        </w:tc>
      </w:tr>
      <w:tr w:rsidR="00915EC0" w:rsidRPr="00AF1481" w14:paraId="4F6EA35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0DF3E87" w14:textId="77777777" w:rsidR="00915EC0" w:rsidRPr="00AF1481" w:rsidRDefault="00915EC0" w:rsidP="00DD24B5">
            <w:pPr>
              <w:rPr>
                <w:rFonts w:ascii="Arial Narrow" w:hAnsi="Arial Narrow"/>
                <w:color w:val="333333"/>
                <w:sz w:val="20"/>
                <w:szCs w:val="20"/>
              </w:rPr>
            </w:pPr>
            <w:r w:rsidRPr="00AF1481">
              <w:rPr>
                <w:rFonts w:ascii="Arial Narrow" w:hAnsi="Arial Narrow"/>
                <w:b/>
                <w:bCs/>
                <w:color w:val="333333"/>
                <w:sz w:val="20"/>
                <w:szCs w:val="20"/>
              </w:rPr>
              <w:t>AND</w:t>
            </w:r>
          </w:p>
        </w:tc>
      </w:tr>
      <w:tr w:rsidR="00915EC0" w:rsidRPr="00AF1481" w14:paraId="014C38EE"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01B7BFF8" w14:textId="77777777" w:rsidR="00915EC0" w:rsidRPr="00AF1481" w:rsidRDefault="00915EC0" w:rsidP="00DD24B5">
            <w:pPr>
              <w:rPr>
                <w:rFonts w:ascii="Arial Narrow" w:hAnsi="Arial Narrow"/>
                <w:color w:val="333333"/>
                <w:sz w:val="20"/>
                <w:szCs w:val="20"/>
              </w:rPr>
            </w:pPr>
            <w:r w:rsidRPr="00AF1481">
              <w:rPr>
                <w:rFonts w:ascii="Arial Narrow" w:hAnsi="Arial Narrow"/>
                <w:b/>
                <w:bCs/>
                <w:color w:val="333333"/>
                <w:sz w:val="20"/>
                <w:szCs w:val="20"/>
              </w:rPr>
              <w:t>Clinical criteria:</w:t>
            </w:r>
          </w:p>
        </w:tc>
      </w:tr>
      <w:tr w:rsidR="00ED4BA2" w:rsidRPr="00AF1481" w14:paraId="327CD89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D3EEFA8" w14:textId="77777777" w:rsidR="00ED4BA2" w:rsidRPr="00AF1481" w:rsidRDefault="00ED4BA2" w:rsidP="00DD24B5">
            <w:pPr>
              <w:rPr>
                <w:rFonts w:ascii="Arial Narrow" w:hAnsi="Arial Narrow"/>
                <w:color w:val="333333"/>
                <w:sz w:val="20"/>
                <w:szCs w:val="20"/>
              </w:rPr>
            </w:pPr>
            <w:r w:rsidRPr="00AF1481">
              <w:rPr>
                <w:rFonts w:ascii="Arial Narrow" w:hAnsi="Arial Narrow"/>
                <w:color w:val="333333"/>
                <w:sz w:val="20"/>
                <w:szCs w:val="20"/>
              </w:rPr>
              <w:t>The condition must be diagnosed by optical coherence tomography; or</w:t>
            </w:r>
          </w:p>
        </w:tc>
      </w:tr>
      <w:tr w:rsidR="00ED4BA2" w:rsidRPr="00AF1481" w14:paraId="2B8F6183"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C6937D3" w14:textId="77777777" w:rsidR="00ED4BA2" w:rsidRPr="00AF1481" w:rsidRDefault="00ED4BA2" w:rsidP="00DD24B5">
            <w:pPr>
              <w:keepNext/>
              <w:rPr>
                <w:rFonts w:ascii="Arial Narrow" w:hAnsi="Arial Narrow"/>
                <w:color w:val="333333"/>
                <w:sz w:val="20"/>
                <w:szCs w:val="20"/>
              </w:rPr>
            </w:pPr>
            <w:r w:rsidRPr="00AF1481">
              <w:rPr>
                <w:rFonts w:ascii="Arial Narrow" w:hAnsi="Arial Narrow"/>
                <w:color w:val="333333"/>
                <w:sz w:val="20"/>
                <w:szCs w:val="20"/>
              </w:rPr>
              <w:t xml:space="preserve">The condition must be diagnosed by fluorescein angiography </w:t>
            </w:r>
          </w:p>
        </w:tc>
      </w:tr>
      <w:tr w:rsidR="00ED4BA2" w:rsidRPr="00AF1481" w14:paraId="4383BC6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0B8FB0C" w14:textId="77777777" w:rsidR="00ED4BA2" w:rsidRPr="00AF1481" w:rsidRDefault="00ED4BA2" w:rsidP="00DD24B5">
            <w:pPr>
              <w:autoSpaceDE w:val="0"/>
              <w:autoSpaceDN w:val="0"/>
              <w:adjustRightInd w:val="0"/>
              <w:rPr>
                <w:rFonts w:ascii="Arial Narrow" w:hAnsi="Arial Narrow" w:cs="Arial Narrow"/>
                <w:i/>
                <w:iCs/>
                <w:sz w:val="20"/>
                <w:szCs w:val="20"/>
              </w:rPr>
            </w:pPr>
            <w:r w:rsidRPr="00AF1481">
              <w:rPr>
                <w:rFonts w:ascii="Arial Narrow" w:hAnsi="Arial Narrow"/>
                <w:b/>
                <w:bCs/>
                <w:color w:val="333333"/>
                <w:sz w:val="20"/>
                <w:szCs w:val="20"/>
              </w:rPr>
              <w:t>AND</w:t>
            </w:r>
          </w:p>
        </w:tc>
      </w:tr>
      <w:tr w:rsidR="00ED4BA2" w:rsidRPr="00AF1481" w14:paraId="7FAD8A7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7BFAF1C" w14:textId="77777777" w:rsidR="00ED4BA2" w:rsidRPr="00AF1481" w:rsidRDefault="00ED4BA2" w:rsidP="00DD24B5">
            <w:pPr>
              <w:autoSpaceDE w:val="0"/>
              <w:autoSpaceDN w:val="0"/>
              <w:adjustRightInd w:val="0"/>
              <w:rPr>
                <w:rFonts w:ascii="Arial Narrow" w:hAnsi="Arial Narrow" w:cs="Arial Narrow"/>
                <w:i/>
                <w:iCs/>
                <w:sz w:val="20"/>
                <w:szCs w:val="20"/>
              </w:rPr>
            </w:pPr>
            <w:r w:rsidRPr="00AF1481">
              <w:rPr>
                <w:rFonts w:ascii="Arial Narrow" w:hAnsi="Arial Narrow"/>
                <w:b/>
                <w:bCs/>
                <w:color w:val="333333"/>
                <w:sz w:val="20"/>
                <w:szCs w:val="20"/>
              </w:rPr>
              <w:t>Clinical criteria:</w:t>
            </w:r>
          </w:p>
        </w:tc>
      </w:tr>
      <w:tr w:rsidR="00ED4BA2" w:rsidRPr="00AF1481" w14:paraId="2496D71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E6B472F" w14:textId="77777777" w:rsidR="00ED4BA2" w:rsidRPr="00AF1481" w:rsidRDefault="00ED4BA2" w:rsidP="00DD24B5">
            <w:pPr>
              <w:rPr>
                <w:rFonts w:ascii="Arial Narrow" w:hAnsi="Arial Narrow"/>
                <w:color w:val="333333"/>
                <w:sz w:val="20"/>
                <w:szCs w:val="20"/>
              </w:rPr>
            </w:pPr>
            <w:r w:rsidRPr="00AF1481">
              <w:rPr>
                <w:rFonts w:ascii="Arial Narrow" w:hAnsi="Arial Narrow"/>
                <w:color w:val="333333"/>
                <w:sz w:val="20"/>
                <w:szCs w:val="20"/>
              </w:rPr>
              <w:t xml:space="preserve">The treatment must be as monotherapy; or </w:t>
            </w:r>
          </w:p>
        </w:tc>
      </w:tr>
      <w:tr w:rsidR="00ED4BA2" w:rsidRPr="00AF1481" w14:paraId="55E028FF"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B7A8228" w14:textId="77777777" w:rsidR="00ED4BA2" w:rsidRPr="00AF1481" w:rsidRDefault="00ED4BA2" w:rsidP="00DD24B5">
            <w:pPr>
              <w:rPr>
                <w:rFonts w:ascii="Arial Narrow" w:hAnsi="Arial Narrow"/>
                <w:color w:val="333333"/>
                <w:sz w:val="20"/>
                <w:szCs w:val="20"/>
              </w:rPr>
            </w:pPr>
            <w:r w:rsidRPr="00AF1481">
              <w:rPr>
                <w:rFonts w:ascii="Arial Narrow" w:hAnsi="Arial Narrow"/>
                <w:color w:val="333333"/>
                <w:sz w:val="20"/>
                <w:szCs w:val="20"/>
              </w:rPr>
              <w:t xml:space="preserve">The treatment must be in combination with laser photocoagulation </w:t>
            </w:r>
          </w:p>
        </w:tc>
      </w:tr>
      <w:tr w:rsidR="00ED4BA2" w:rsidRPr="00AF1481" w14:paraId="7C81D694"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5747E750" w14:textId="77777777" w:rsidR="00ED4BA2" w:rsidRPr="00AF1481" w:rsidRDefault="00ED4BA2" w:rsidP="00DD24B5">
            <w:pPr>
              <w:rPr>
                <w:rFonts w:ascii="Arial Narrow" w:hAnsi="Arial Narrow"/>
                <w:color w:val="333333"/>
                <w:sz w:val="20"/>
                <w:szCs w:val="20"/>
              </w:rPr>
            </w:pPr>
            <w:r w:rsidRPr="00AF1481">
              <w:rPr>
                <w:rFonts w:ascii="Arial Narrow" w:hAnsi="Arial Narrow"/>
                <w:b/>
                <w:bCs/>
                <w:color w:val="333333"/>
                <w:sz w:val="20"/>
                <w:szCs w:val="20"/>
              </w:rPr>
              <w:t>AND</w:t>
            </w:r>
          </w:p>
        </w:tc>
      </w:tr>
      <w:tr w:rsidR="00ED4BA2" w:rsidRPr="00AF1481" w14:paraId="57E3B4D1"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6208037" w14:textId="77777777" w:rsidR="00ED4BA2" w:rsidRPr="00AF1481" w:rsidRDefault="00ED4BA2" w:rsidP="00DD24B5">
            <w:pPr>
              <w:rPr>
                <w:rFonts w:ascii="Arial Narrow" w:hAnsi="Arial Narrow"/>
                <w:color w:val="333333"/>
                <w:sz w:val="20"/>
                <w:szCs w:val="20"/>
              </w:rPr>
            </w:pPr>
            <w:r w:rsidRPr="00AF1481">
              <w:rPr>
                <w:rFonts w:ascii="Arial Narrow" w:hAnsi="Arial Narrow"/>
                <w:b/>
                <w:bCs/>
                <w:color w:val="333333"/>
                <w:sz w:val="20"/>
                <w:szCs w:val="20"/>
              </w:rPr>
              <w:lastRenderedPageBreak/>
              <w:t>Clinical criteria:</w:t>
            </w:r>
          </w:p>
        </w:tc>
      </w:tr>
      <w:tr w:rsidR="00ED4BA2" w:rsidRPr="00AF1481" w14:paraId="2F3B54F4"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2C29E2F" w14:textId="77777777" w:rsidR="00ED4BA2" w:rsidRPr="00AF1481" w:rsidRDefault="00ED4BA2" w:rsidP="00DD24B5">
            <w:pPr>
              <w:rPr>
                <w:rFonts w:ascii="Arial Narrow" w:hAnsi="Arial Narrow"/>
                <w:color w:val="333333"/>
                <w:sz w:val="20"/>
                <w:szCs w:val="20"/>
              </w:rPr>
            </w:pPr>
            <w:r w:rsidRPr="00AF1481">
              <w:rPr>
                <w:rFonts w:ascii="Arial Narrow" w:hAnsi="Arial Narrow"/>
                <w:color w:val="333333"/>
                <w:sz w:val="20"/>
                <w:szCs w:val="20"/>
              </w:rPr>
              <w:t>The treatment must be the sole PBS-subsidised therapy for this condition</w:t>
            </w:r>
          </w:p>
        </w:tc>
      </w:tr>
      <w:tr w:rsidR="00ED4BA2" w:rsidRPr="00AF1481" w14:paraId="489DA963"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hideMark/>
          </w:tcPr>
          <w:p w14:paraId="4AF66ED8" w14:textId="77777777" w:rsidR="00A05AA6" w:rsidRDefault="00ED4BA2" w:rsidP="00DD24B5">
            <w:pPr>
              <w:rPr>
                <w:rFonts w:ascii="Arial Narrow" w:hAnsi="Arial Narrow"/>
                <w:b/>
                <w:bCs/>
                <w:color w:val="333333"/>
                <w:sz w:val="20"/>
                <w:szCs w:val="20"/>
              </w:rPr>
            </w:pPr>
            <w:r w:rsidRPr="00AF1481">
              <w:rPr>
                <w:rFonts w:ascii="Arial Narrow" w:hAnsi="Arial Narrow"/>
                <w:b/>
                <w:bCs/>
                <w:color w:val="333333"/>
                <w:sz w:val="20"/>
                <w:szCs w:val="20"/>
              </w:rPr>
              <w:t>Prescribing Instructions:</w:t>
            </w:r>
          </w:p>
          <w:p w14:paraId="73F2E73B" w14:textId="542C84FB" w:rsidR="00ED4BA2" w:rsidRPr="00AF1481" w:rsidRDefault="00ED4BA2" w:rsidP="00DD24B5">
            <w:pPr>
              <w:rPr>
                <w:rFonts w:ascii="Arial Narrow" w:hAnsi="Arial Narrow"/>
                <w:sz w:val="20"/>
                <w:szCs w:val="20"/>
              </w:rPr>
            </w:pPr>
            <w:r w:rsidRPr="00AF1481">
              <w:rPr>
                <w:rFonts w:ascii="Arial Narrow" w:hAnsi="Arial Narrow"/>
                <w:color w:val="333333"/>
                <w:sz w:val="20"/>
                <w:szCs w:val="20"/>
              </w:rPr>
              <w:t xml:space="preserve">Authority approval for initial treatment of each eye must be sought. </w:t>
            </w:r>
          </w:p>
        </w:tc>
      </w:tr>
      <w:tr w:rsidR="00ED4BA2" w:rsidRPr="00AF1481" w14:paraId="6D5CA584"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0E561072" w14:textId="77777777" w:rsidR="00ED4BA2" w:rsidRPr="00AF1481" w:rsidRDefault="00ED4BA2" w:rsidP="00DD24B5">
            <w:pPr>
              <w:rPr>
                <w:rFonts w:ascii="Arial Narrow" w:hAnsi="Arial Narrow"/>
                <w:b/>
                <w:bCs/>
                <w:color w:val="333333"/>
                <w:sz w:val="20"/>
                <w:szCs w:val="20"/>
              </w:rPr>
            </w:pPr>
            <w:r w:rsidRPr="00AF1481">
              <w:rPr>
                <w:rFonts w:ascii="Arial Narrow" w:hAnsi="Arial Narrow"/>
                <w:b/>
                <w:bCs/>
                <w:color w:val="333333"/>
                <w:sz w:val="20"/>
                <w:szCs w:val="20"/>
              </w:rPr>
              <w:t>Prescribing Instructions:</w:t>
            </w:r>
          </w:p>
          <w:p w14:paraId="16C1A03C" w14:textId="77777777" w:rsidR="00ED4BA2" w:rsidRPr="00AF1481" w:rsidRDefault="00ED4BA2" w:rsidP="00DD24B5">
            <w:pPr>
              <w:rPr>
                <w:rFonts w:ascii="Arial Narrow" w:hAnsi="Arial Narrow"/>
                <w:color w:val="333333"/>
                <w:sz w:val="20"/>
                <w:szCs w:val="20"/>
              </w:rPr>
            </w:pPr>
            <w:r w:rsidRPr="00AF1481">
              <w:rPr>
                <w:rFonts w:ascii="Arial Narrow" w:hAnsi="Arial Narrow"/>
                <w:color w:val="333333"/>
                <w:sz w:val="20"/>
                <w:szCs w:val="20"/>
              </w:rPr>
              <w:t>The first authority application for each eye must be made via the Online PBS Authorities System (real time assessment) or in writing via HPOS form upload or mail and must include:</w:t>
            </w:r>
          </w:p>
          <w:p w14:paraId="1D2CE7D4" w14:textId="77777777" w:rsidR="00ED4BA2" w:rsidRPr="00AF1481" w:rsidRDefault="00ED4BA2" w:rsidP="00DD24B5">
            <w:pPr>
              <w:rPr>
                <w:rFonts w:ascii="Arial Narrow" w:hAnsi="Arial Narrow"/>
                <w:color w:val="333333"/>
                <w:sz w:val="20"/>
                <w:szCs w:val="20"/>
              </w:rPr>
            </w:pPr>
            <w:r w:rsidRPr="00AF1481">
              <w:rPr>
                <w:rFonts w:ascii="Arial Narrow" w:hAnsi="Arial Narrow"/>
                <w:color w:val="333333"/>
                <w:sz w:val="20"/>
                <w:szCs w:val="20"/>
              </w:rPr>
              <w:t>(1) Details (date, unique identifying number/code or provider number) of the optical coherence tomography or fluorescein angiogram report.</w:t>
            </w:r>
          </w:p>
          <w:p w14:paraId="5EC6752C" w14:textId="77777777" w:rsidR="00ED4BA2" w:rsidRPr="00AF1481" w:rsidRDefault="00ED4BA2" w:rsidP="00DD24B5">
            <w:pPr>
              <w:rPr>
                <w:rFonts w:ascii="Arial Narrow" w:hAnsi="Arial Narrow"/>
                <w:sz w:val="20"/>
                <w:szCs w:val="20"/>
              </w:rPr>
            </w:pPr>
            <w:r w:rsidRPr="00AF1481">
              <w:rPr>
                <w:rFonts w:ascii="Arial Narrow" w:hAnsi="Arial Narrow"/>
                <w:sz w:val="20"/>
                <w:szCs w:val="20"/>
              </w:rPr>
              <w:t>If the application is submitted through HPOS form upload or mail, it must include:</w:t>
            </w:r>
          </w:p>
          <w:p w14:paraId="0DD31B03" w14:textId="77777777" w:rsidR="00A05AA6" w:rsidRDefault="00ED4BA2" w:rsidP="00DD24B5">
            <w:pPr>
              <w:rPr>
                <w:rFonts w:ascii="Arial Narrow" w:hAnsi="Arial Narrow"/>
                <w:sz w:val="20"/>
                <w:szCs w:val="20"/>
              </w:rPr>
            </w:pPr>
            <w:r w:rsidRPr="00AF1481">
              <w:rPr>
                <w:rFonts w:ascii="Arial Narrow" w:hAnsi="Arial Narrow"/>
                <w:sz w:val="20"/>
                <w:szCs w:val="20"/>
              </w:rPr>
              <w:t>(a) A completed authority prescription form; and</w:t>
            </w:r>
          </w:p>
          <w:p w14:paraId="3E5C006A" w14:textId="77777777" w:rsidR="00A05AA6" w:rsidRDefault="00ED4BA2" w:rsidP="00DD24B5">
            <w:pPr>
              <w:rPr>
                <w:rFonts w:ascii="Arial Narrow" w:hAnsi="Arial Narrow"/>
                <w:sz w:val="20"/>
                <w:szCs w:val="20"/>
              </w:rPr>
            </w:pPr>
            <w:r w:rsidRPr="00AF1481">
              <w:rPr>
                <w:rFonts w:ascii="Arial Narrow" w:hAnsi="Arial Narrow"/>
                <w:sz w:val="20"/>
                <w:szCs w:val="20"/>
              </w:rPr>
              <w:t>(b) A completed authority application form relevant to the indication and treatment phase (the latest version is located on the website specified in the Administrative Advice).</w:t>
            </w:r>
          </w:p>
          <w:p w14:paraId="20FB8CFE" w14:textId="76BFFD0E" w:rsidR="00ED4BA2" w:rsidRPr="00AF1481" w:rsidRDefault="00ED4BA2" w:rsidP="00DD24B5">
            <w:pPr>
              <w:rPr>
                <w:rFonts w:ascii="Arial Narrow" w:hAnsi="Arial Narrow"/>
                <w:sz w:val="20"/>
                <w:szCs w:val="20"/>
              </w:rPr>
            </w:pPr>
            <w:r w:rsidRPr="00AF1481">
              <w:rPr>
                <w:rFonts w:ascii="Arial Narrow" w:hAnsi="Arial Narrow"/>
                <w:sz w:val="20"/>
                <w:szCs w:val="20"/>
              </w:rPr>
              <w:t>All reports must be documented in the patient’s medical records.</w:t>
            </w:r>
          </w:p>
        </w:tc>
      </w:tr>
      <w:tr w:rsidR="00ED4BA2" w:rsidRPr="00AF1481" w14:paraId="44D9DBFD"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C1E6374" w14:textId="77777777" w:rsidR="00A05AA6" w:rsidRDefault="00ED4BA2" w:rsidP="00DD24B5">
            <w:pPr>
              <w:rPr>
                <w:rFonts w:ascii="Arial Narrow" w:hAnsi="Arial Narrow"/>
                <w:b/>
                <w:bCs/>
                <w:color w:val="333333"/>
                <w:sz w:val="20"/>
                <w:szCs w:val="20"/>
              </w:rPr>
            </w:pPr>
            <w:r w:rsidRPr="00AF1481">
              <w:rPr>
                <w:rFonts w:ascii="Arial Narrow" w:hAnsi="Arial Narrow"/>
                <w:b/>
                <w:bCs/>
                <w:color w:val="333333"/>
                <w:sz w:val="20"/>
                <w:szCs w:val="20"/>
              </w:rPr>
              <w:t>Administrative Advice:</w:t>
            </w:r>
          </w:p>
          <w:p w14:paraId="4D818B4B" w14:textId="77777777" w:rsidR="00A05AA6" w:rsidRDefault="00ED4BA2" w:rsidP="00DD24B5">
            <w:pPr>
              <w:rPr>
                <w:rFonts w:ascii="Arial Narrow" w:hAnsi="Arial Narrow"/>
                <w:bCs/>
                <w:color w:val="333333"/>
                <w:sz w:val="20"/>
                <w:szCs w:val="20"/>
              </w:rPr>
            </w:pPr>
            <w:r w:rsidRPr="00AF1481">
              <w:rPr>
                <w:rFonts w:ascii="Arial Narrow" w:hAnsi="Arial Narrow"/>
                <w:bCs/>
                <w:color w:val="333333"/>
                <w:sz w:val="20"/>
                <w:szCs w:val="20"/>
              </w:rPr>
              <w:t>Any queries concerning the arrangements to prescribe may be directed to Services Australia on 1800 700 270 (hours of operation 8 a.m. to 5 p.m. Monday to Friday).</w:t>
            </w:r>
          </w:p>
          <w:p w14:paraId="3FFB49D4" w14:textId="54DA15C2" w:rsidR="00ED4BA2" w:rsidRPr="00AF1481" w:rsidRDefault="00ED4BA2" w:rsidP="00DD24B5">
            <w:pPr>
              <w:rPr>
                <w:rFonts w:ascii="Arial Narrow" w:hAnsi="Arial Narrow"/>
                <w:bCs/>
                <w:color w:val="333333"/>
                <w:sz w:val="20"/>
                <w:szCs w:val="20"/>
              </w:rPr>
            </w:pPr>
            <w:r w:rsidRPr="00AF1481">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0" w:history="1">
              <w:r w:rsidRPr="00AF1481">
                <w:rPr>
                  <w:rStyle w:val="Hyperlink"/>
                  <w:rFonts w:ascii="Arial Narrow" w:hAnsi="Arial Narrow"/>
                  <w:bCs/>
                  <w:sz w:val="20"/>
                  <w:szCs w:val="20"/>
                </w:rPr>
                <w:t>www.servicesaustralia.gov.au</w:t>
              </w:r>
            </w:hyperlink>
          </w:p>
          <w:p w14:paraId="264C2535" w14:textId="77777777" w:rsidR="00ED4BA2" w:rsidRPr="00AF1481" w:rsidRDefault="00ED4BA2" w:rsidP="00DD24B5">
            <w:pPr>
              <w:rPr>
                <w:rFonts w:ascii="Arial Narrow" w:hAnsi="Arial Narrow"/>
                <w:bCs/>
                <w:color w:val="333333"/>
                <w:sz w:val="20"/>
                <w:szCs w:val="20"/>
              </w:rPr>
            </w:pPr>
            <w:r w:rsidRPr="00AF1481">
              <w:rPr>
                <w:rFonts w:ascii="Arial Narrow" w:hAnsi="Arial Narrow"/>
                <w:bCs/>
                <w:color w:val="333333"/>
                <w:sz w:val="20"/>
                <w:szCs w:val="20"/>
              </w:rPr>
              <w:t xml:space="preserve">Applications for authorisation under this restriction should be made in real time using the Online PBS Authorities system (see </w:t>
            </w:r>
            <w:hyperlink r:id="rId11" w:history="1">
              <w:r w:rsidRPr="00AF1481">
                <w:rPr>
                  <w:rStyle w:val="Hyperlink"/>
                  <w:rFonts w:ascii="Arial Narrow" w:hAnsi="Arial Narrow"/>
                  <w:bCs/>
                  <w:sz w:val="20"/>
                  <w:szCs w:val="20"/>
                </w:rPr>
                <w:t>www.servicesaustralia.gov.au/hpos</w:t>
              </w:r>
            </w:hyperlink>
            <w:r w:rsidRPr="00AF1481">
              <w:rPr>
                <w:rFonts w:ascii="Arial Narrow" w:hAnsi="Arial Narrow"/>
                <w:bCs/>
                <w:color w:val="333333"/>
                <w:sz w:val="20"/>
                <w:szCs w:val="20"/>
              </w:rPr>
              <w:t>)</w:t>
            </w:r>
          </w:p>
          <w:p w14:paraId="38E3236D" w14:textId="77777777" w:rsidR="00A05AA6" w:rsidRDefault="00ED4BA2" w:rsidP="00DD24B5">
            <w:pPr>
              <w:rPr>
                <w:rFonts w:ascii="Arial Narrow" w:hAnsi="Arial Narrow"/>
                <w:bCs/>
                <w:color w:val="333333"/>
                <w:sz w:val="20"/>
                <w:szCs w:val="20"/>
              </w:rPr>
            </w:pPr>
            <w:r w:rsidRPr="00AF1481">
              <w:rPr>
                <w:rFonts w:ascii="Arial Narrow" w:hAnsi="Arial Narrow"/>
                <w:bCs/>
                <w:color w:val="333333"/>
                <w:sz w:val="20"/>
                <w:szCs w:val="20"/>
              </w:rPr>
              <w:t xml:space="preserve">Alternatively, applications for authority to prescribe can be submitted online using the form upload facility in Health Professional Online Services (HPOS) at </w:t>
            </w:r>
            <w:hyperlink r:id="rId12" w:history="1">
              <w:r w:rsidRPr="00AF1481">
                <w:rPr>
                  <w:rStyle w:val="Hyperlink"/>
                  <w:rFonts w:ascii="Arial Narrow" w:hAnsi="Arial Narrow"/>
                  <w:bCs/>
                  <w:sz w:val="20"/>
                  <w:szCs w:val="20"/>
                </w:rPr>
                <w:t>www.servicesaustralia.gov.au/hpos</w:t>
              </w:r>
            </w:hyperlink>
          </w:p>
          <w:p w14:paraId="666DD4DA" w14:textId="7DC99196" w:rsidR="00ED4BA2" w:rsidRPr="00AF1481" w:rsidRDefault="00ED4BA2" w:rsidP="00DD24B5">
            <w:pPr>
              <w:rPr>
                <w:rFonts w:ascii="Arial Narrow" w:hAnsi="Arial Narrow"/>
                <w:bCs/>
                <w:color w:val="333333"/>
                <w:sz w:val="20"/>
                <w:szCs w:val="20"/>
              </w:rPr>
            </w:pPr>
            <w:r w:rsidRPr="00AF1481">
              <w:rPr>
                <w:rFonts w:ascii="Arial Narrow" w:hAnsi="Arial Narrow"/>
                <w:bCs/>
                <w:color w:val="333333"/>
                <w:sz w:val="20"/>
                <w:szCs w:val="20"/>
              </w:rPr>
              <w:t>Or mailed to:</w:t>
            </w:r>
          </w:p>
          <w:p w14:paraId="3EA34D9B" w14:textId="77777777" w:rsidR="00A05AA6" w:rsidRDefault="00ED4BA2" w:rsidP="00DD24B5">
            <w:pPr>
              <w:rPr>
                <w:rFonts w:ascii="Arial Narrow" w:hAnsi="Arial Narrow"/>
                <w:bCs/>
                <w:color w:val="333333"/>
                <w:sz w:val="20"/>
                <w:szCs w:val="20"/>
              </w:rPr>
            </w:pPr>
            <w:r w:rsidRPr="00AF1481">
              <w:rPr>
                <w:rFonts w:ascii="Arial Narrow" w:hAnsi="Arial Narrow"/>
                <w:bCs/>
                <w:color w:val="333333"/>
                <w:sz w:val="20"/>
                <w:szCs w:val="20"/>
              </w:rPr>
              <w:t>Services Australia</w:t>
            </w:r>
          </w:p>
          <w:p w14:paraId="02CEC123" w14:textId="77777777" w:rsidR="00A05AA6" w:rsidRDefault="00ED4BA2" w:rsidP="00DD24B5">
            <w:pPr>
              <w:rPr>
                <w:rFonts w:ascii="Arial Narrow" w:hAnsi="Arial Narrow"/>
                <w:bCs/>
                <w:color w:val="333333"/>
                <w:sz w:val="20"/>
                <w:szCs w:val="20"/>
              </w:rPr>
            </w:pPr>
            <w:r w:rsidRPr="00AF1481">
              <w:rPr>
                <w:rFonts w:ascii="Arial Narrow" w:hAnsi="Arial Narrow"/>
                <w:bCs/>
                <w:color w:val="333333"/>
                <w:sz w:val="20"/>
                <w:szCs w:val="20"/>
              </w:rPr>
              <w:t>Complex Drugs</w:t>
            </w:r>
          </w:p>
          <w:p w14:paraId="4D38AF11" w14:textId="19E50A74" w:rsidR="00ED4BA2" w:rsidRPr="00AF1481" w:rsidRDefault="00ED4BA2" w:rsidP="00DD24B5">
            <w:pPr>
              <w:rPr>
                <w:rFonts w:ascii="Arial Narrow" w:hAnsi="Arial Narrow"/>
                <w:bCs/>
                <w:color w:val="333333"/>
                <w:sz w:val="20"/>
                <w:szCs w:val="20"/>
              </w:rPr>
            </w:pPr>
            <w:r w:rsidRPr="00AF1481">
              <w:rPr>
                <w:rFonts w:ascii="Arial Narrow" w:hAnsi="Arial Narrow"/>
                <w:bCs/>
                <w:color w:val="333333"/>
                <w:sz w:val="20"/>
                <w:szCs w:val="20"/>
              </w:rPr>
              <w:t>Reply Paid 9826</w:t>
            </w:r>
          </w:p>
          <w:p w14:paraId="12A0FB6A" w14:textId="77777777" w:rsidR="00ED4BA2" w:rsidRPr="00AF1481" w:rsidRDefault="00ED4BA2" w:rsidP="00DD24B5">
            <w:pPr>
              <w:rPr>
                <w:rFonts w:ascii="Arial Narrow" w:hAnsi="Arial Narrow"/>
                <w:bCs/>
                <w:color w:val="333333"/>
                <w:sz w:val="20"/>
                <w:szCs w:val="20"/>
              </w:rPr>
            </w:pPr>
            <w:r w:rsidRPr="00AF1481">
              <w:rPr>
                <w:rFonts w:ascii="Arial Narrow" w:hAnsi="Arial Narrow"/>
                <w:bCs/>
                <w:color w:val="333333"/>
                <w:sz w:val="20"/>
                <w:szCs w:val="20"/>
              </w:rPr>
              <w:t>HOBART TAS 7001</w:t>
            </w:r>
          </w:p>
        </w:tc>
      </w:tr>
      <w:tr w:rsidR="00DD24B5" w:rsidRPr="00AF1481" w14:paraId="4DB33F2B"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4D94183" w14:textId="77777777" w:rsidR="00DD24B5" w:rsidRPr="00AF1481" w:rsidRDefault="00DD24B5" w:rsidP="00DD24B5">
            <w:pPr>
              <w:rPr>
                <w:rFonts w:ascii="Arial Narrow" w:hAnsi="Arial Narrow"/>
                <w:bCs/>
                <w:color w:val="FF0000"/>
                <w:sz w:val="20"/>
                <w:szCs w:val="20"/>
              </w:rPr>
            </w:pPr>
          </w:p>
        </w:tc>
      </w:tr>
      <w:tr w:rsidR="00DD24B5" w:rsidRPr="00AF1481" w14:paraId="24C1CAB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08B22C5" w14:textId="77777777" w:rsidR="00DD24B5" w:rsidRPr="00AF1481" w:rsidRDefault="00DD24B5" w:rsidP="00DD24B5">
            <w:pPr>
              <w:rPr>
                <w:rFonts w:ascii="Arial Narrow" w:hAnsi="Arial Narrow"/>
                <w:bCs/>
                <w:color w:val="FF0000"/>
                <w:sz w:val="20"/>
                <w:szCs w:val="20"/>
              </w:rPr>
            </w:pPr>
          </w:p>
        </w:tc>
      </w:tr>
      <w:tr w:rsidR="00DD24B5" w:rsidRPr="00AF1481" w14:paraId="15F83404"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98A9EBB" w14:textId="6C533837" w:rsidR="00DD24B5" w:rsidRPr="00AF1481" w:rsidRDefault="00DD24B5" w:rsidP="00DD24B5">
            <w:pPr>
              <w:keepNext/>
              <w:keepLines/>
              <w:rPr>
                <w:rFonts w:ascii="Arial Narrow" w:hAnsi="Arial Narrow"/>
                <w:b/>
                <w:bCs/>
                <w:color w:val="333333"/>
                <w:sz w:val="20"/>
                <w:szCs w:val="20"/>
              </w:rPr>
            </w:pPr>
            <w:r w:rsidRPr="00AF1481">
              <w:rPr>
                <w:rFonts w:ascii="Arial Narrow" w:hAnsi="Arial Narrow"/>
                <w:b/>
                <w:bCs/>
                <w:color w:val="333333"/>
                <w:sz w:val="20"/>
                <w:szCs w:val="20"/>
              </w:rPr>
              <w:t>Restriction Summary edit 13414</w:t>
            </w:r>
            <w:r w:rsidRPr="00AF1481">
              <w:rPr>
                <w:rFonts w:ascii="Arial Narrow" w:hAnsi="Arial Narrow"/>
                <w:b/>
                <w:bCs/>
                <w:color w:val="FF0000"/>
                <w:sz w:val="20"/>
                <w:szCs w:val="20"/>
              </w:rPr>
              <w:t xml:space="preserve"> </w:t>
            </w:r>
            <w:r w:rsidRPr="00AF1481">
              <w:rPr>
                <w:rFonts w:ascii="Arial Narrow" w:hAnsi="Arial Narrow"/>
                <w:b/>
                <w:bCs/>
                <w:color w:val="333333"/>
                <w:sz w:val="20"/>
                <w:szCs w:val="20"/>
              </w:rPr>
              <w:t>/ Treatment of Concept: edit 13402</w:t>
            </w:r>
          </w:p>
        </w:tc>
      </w:tr>
      <w:tr w:rsidR="003B23E2" w:rsidRPr="00AF1481" w14:paraId="7715086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tcBorders>
              <w:top w:val="single" w:sz="4" w:space="0" w:color="auto"/>
              <w:left w:val="single" w:sz="4" w:space="0" w:color="auto"/>
              <w:bottom w:val="single" w:sz="4" w:space="0" w:color="auto"/>
              <w:right w:val="single" w:sz="4" w:space="0" w:color="auto"/>
            </w:tcBorders>
            <w:vAlign w:val="center"/>
          </w:tcPr>
          <w:p w14:paraId="36D07B40" w14:textId="77777777" w:rsidR="003B23E2" w:rsidRPr="00AF1481" w:rsidRDefault="003B23E2" w:rsidP="00DD24B5">
            <w:pPr>
              <w:keepNext/>
              <w:keepLines/>
              <w:rPr>
                <w:rFonts w:ascii="Arial Narrow" w:hAnsi="Arial Narrow"/>
                <w:sz w:val="20"/>
                <w:szCs w:val="20"/>
              </w:rPr>
            </w:pPr>
            <w:r w:rsidRPr="00AF1481">
              <w:rPr>
                <w:rFonts w:ascii="Arial Narrow" w:hAnsi="Arial Narrow"/>
                <w:b/>
                <w:sz w:val="20"/>
                <w:szCs w:val="20"/>
              </w:rPr>
              <w:t xml:space="preserve">Category / Program: </w:t>
            </w:r>
            <w:r w:rsidRPr="00AF1481">
              <w:rPr>
                <w:rFonts w:ascii="Arial Narrow" w:hAnsi="Arial Narrow"/>
                <w:sz w:val="20"/>
                <w:szCs w:val="20"/>
              </w:rPr>
              <w:t>GENERAL – General Schedule (Code GE)</w:t>
            </w:r>
            <w:r w:rsidRPr="00AF1481">
              <w:rPr>
                <w:rFonts w:ascii="Arial Narrow" w:hAnsi="Arial Narrow"/>
                <w:color w:val="FF0000"/>
                <w:sz w:val="20"/>
                <w:szCs w:val="20"/>
              </w:rPr>
              <w:t xml:space="preserve"> </w:t>
            </w:r>
          </w:p>
        </w:tc>
      </w:tr>
      <w:tr w:rsidR="003B23E2" w:rsidRPr="00AF1481" w14:paraId="1F7093CB"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tcBorders>
              <w:top w:val="single" w:sz="4" w:space="0" w:color="auto"/>
              <w:left w:val="single" w:sz="4" w:space="0" w:color="auto"/>
              <w:bottom w:val="single" w:sz="4" w:space="0" w:color="auto"/>
              <w:right w:val="single" w:sz="4" w:space="0" w:color="auto"/>
            </w:tcBorders>
            <w:vAlign w:val="center"/>
          </w:tcPr>
          <w:p w14:paraId="335A04A2" w14:textId="77777777" w:rsidR="003B23E2" w:rsidRPr="00AF1481" w:rsidRDefault="003B23E2" w:rsidP="00DD24B5">
            <w:pPr>
              <w:keepNext/>
              <w:keepLines/>
              <w:rPr>
                <w:rFonts w:ascii="Arial Narrow" w:hAnsi="Arial Narrow"/>
                <w:b/>
                <w:sz w:val="20"/>
                <w:szCs w:val="20"/>
              </w:rPr>
            </w:pPr>
            <w:r w:rsidRPr="00AF1481">
              <w:rPr>
                <w:rFonts w:ascii="Arial Narrow" w:hAnsi="Arial Narrow"/>
                <w:b/>
                <w:sz w:val="20"/>
                <w:szCs w:val="20"/>
              </w:rPr>
              <w:t xml:space="preserve">Prescriber type: </w:t>
            </w:r>
            <w:r w:rsidRPr="00AF1481">
              <w:rPr>
                <w:rFonts w:ascii="Arial Narrow" w:hAnsi="Arial Narrow"/>
                <w:sz w:val="20"/>
                <w:szCs w:val="20"/>
              </w:rPr>
              <w:fldChar w:fldCharType="begin">
                <w:ffData>
                  <w:name w:val=""/>
                  <w:enabled/>
                  <w:calcOnExit w:val="0"/>
                  <w:checkBox>
                    <w:sizeAuto/>
                    <w:default w:val="1"/>
                  </w:checkBox>
                </w:ffData>
              </w:fldChar>
            </w:r>
            <w:r w:rsidRPr="00AF1481">
              <w:rPr>
                <w:rFonts w:ascii="Arial Narrow" w:hAnsi="Arial Narrow"/>
                <w:sz w:val="20"/>
                <w:szCs w:val="20"/>
              </w:rPr>
              <w:instrText xml:space="preserve"> FORMCHECKBOX </w:instrText>
            </w:r>
            <w:r w:rsidR="009404AF">
              <w:rPr>
                <w:rFonts w:ascii="Arial Narrow" w:hAnsi="Arial Narrow"/>
                <w:sz w:val="20"/>
                <w:szCs w:val="20"/>
              </w:rPr>
            </w:r>
            <w:r w:rsidR="009404AF">
              <w:rPr>
                <w:rFonts w:ascii="Arial Narrow" w:hAnsi="Arial Narrow"/>
                <w:sz w:val="20"/>
                <w:szCs w:val="20"/>
              </w:rPr>
              <w:fldChar w:fldCharType="separate"/>
            </w:r>
            <w:r w:rsidRPr="00AF1481">
              <w:rPr>
                <w:rFonts w:ascii="Arial Narrow" w:hAnsi="Arial Narrow"/>
                <w:sz w:val="20"/>
                <w:szCs w:val="20"/>
              </w:rPr>
              <w:fldChar w:fldCharType="end"/>
            </w:r>
            <w:r w:rsidRPr="00AF1481">
              <w:rPr>
                <w:rFonts w:ascii="Arial Narrow" w:hAnsi="Arial Narrow"/>
                <w:sz w:val="20"/>
                <w:szCs w:val="20"/>
              </w:rPr>
              <w:t xml:space="preserve">Medical Practitioners </w:t>
            </w:r>
          </w:p>
        </w:tc>
      </w:tr>
      <w:tr w:rsidR="003B23E2" w:rsidRPr="00AF1481" w14:paraId="19D9A8A0"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tcBorders>
              <w:top w:val="single" w:sz="4" w:space="0" w:color="auto"/>
              <w:left w:val="single" w:sz="4" w:space="0" w:color="auto"/>
              <w:bottom w:val="single" w:sz="4" w:space="0" w:color="auto"/>
              <w:right w:val="single" w:sz="4" w:space="0" w:color="auto"/>
            </w:tcBorders>
            <w:vAlign w:val="center"/>
          </w:tcPr>
          <w:p w14:paraId="5CC20228" w14:textId="3EC1BAC3" w:rsidR="003B23E2" w:rsidRPr="00AF1481" w:rsidRDefault="003B23E2" w:rsidP="00DD24B5">
            <w:pPr>
              <w:keepNext/>
              <w:keepLines/>
              <w:jc w:val="left"/>
              <w:rPr>
                <w:rFonts w:ascii="Arial Narrow" w:eastAsia="Calibri" w:hAnsi="Arial Narrow"/>
                <w:sz w:val="20"/>
                <w:szCs w:val="20"/>
              </w:rPr>
            </w:pPr>
            <w:r w:rsidRPr="00AF1481">
              <w:rPr>
                <w:rFonts w:ascii="Arial Narrow" w:hAnsi="Arial Narrow"/>
                <w:b/>
                <w:sz w:val="20"/>
                <w:szCs w:val="20"/>
              </w:rPr>
              <w:t>Restriction type:</w:t>
            </w:r>
            <w:r w:rsidR="002E3CE5">
              <w:rPr>
                <w:rFonts w:ascii="Arial Narrow" w:hAnsi="Arial Narrow"/>
                <w:b/>
                <w:sz w:val="20"/>
                <w:szCs w:val="20"/>
              </w:rPr>
              <w:t xml:space="preserve"> </w:t>
            </w:r>
            <w:r w:rsidRPr="00AF1481">
              <w:rPr>
                <w:rFonts w:ascii="Arial Narrow" w:eastAsia="Calibri" w:hAnsi="Arial Narrow"/>
                <w:sz w:val="20"/>
                <w:szCs w:val="20"/>
              </w:rPr>
              <w:fldChar w:fldCharType="begin">
                <w:ffData>
                  <w:name w:val=""/>
                  <w:enabled/>
                  <w:calcOnExit w:val="0"/>
                  <w:checkBox>
                    <w:sizeAuto/>
                    <w:default w:val="1"/>
                  </w:checkBox>
                </w:ffData>
              </w:fldChar>
            </w:r>
            <w:r w:rsidRPr="00AF1481">
              <w:rPr>
                <w:rFonts w:ascii="Arial Narrow" w:eastAsia="Calibri" w:hAnsi="Arial Narrow"/>
                <w:sz w:val="20"/>
                <w:szCs w:val="20"/>
              </w:rPr>
              <w:instrText xml:space="preserve"> FORMCHECKBOX </w:instrText>
            </w:r>
            <w:r w:rsidR="009404AF">
              <w:rPr>
                <w:rFonts w:ascii="Arial Narrow" w:eastAsia="Calibri" w:hAnsi="Arial Narrow"/>
                <w:sz w:val="20"/>
                <w:szCs w:val="20"/>
              </w:rPr>
            </w:r>
            <w:r w:rsidR="009404AF">
              <w:rPr>
                <w:rFonts w:ascii="Arial Narrow" w:eastAsia="Calibri" w:hAnsi="Arial Narrow"/>
                <w:sz w:val="20"/>
                <w:szCs w:val="20"/>
              </w:rPr>
              <w:fldChar w:fldCharType="separate"/>
            </w:r>
            <w:r w:rsidRPr="00AF1481">
              <w:rPr>
                <w:rFonts w:ascii="Arial Narrow" w:eastAsia="Calibri" w:hAnsi="Arial Narrow"/>
                <w:sz w:val="20"/>
                <w:szCs w:val="20"/>
              </w:rPr>
              <w:fldChar w:fldCharType="end"/>
            </w:r>
            <w:r w:rsidRPr="00AF1481">
              <w:rPr>
                <w:rFonts w:ascii="Arial Narrow" w:eastAsia="Calibri" w:hAnsi="Arial Narrow"/>
                <w:sz w:val="20"/>
                <w:szCs w:val="20"/>
              </w:rPr>
              <w:t xml:space="preserve">Authority Required (STREAMLINED) [new code] </w:t>
            </w:r>
          </w:p>
        </w:tc>
      </w:tr>
      <w:tr w:rsidR="003B23E2" w:rsidRPr="00AF1481" w14:paraId="3D9D5BAD"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hideMark/>
          </w:tcPr>
          <w:p w14:paraId="424A75FE" w14:textId="77777777" w:rsidR="003B23E2" w:rsidRPr="00AF1481" w:rsidRDefault="003B23E2" w:rsidP="00DD24B5">
            <w:pPr>
              <w:rPr>
                <w:rFonts w:ascii="Arial Narrow" w:hAnsi="Arial Narrow"/>
                <w:color w:val="333333"/>
                <w:sz w:val="20"/>
                <w:szCs w:val="20"/>
              </w:rPr>
            </w:pPr>
            <w:r w:rsidRPr="00AF1481">
              <w:rPr>
                <w:rFonts w:ascii="Arial Narrow" w:hAnsi="Arial Narrow"/>
                <w:b/>
                <w:bCs/>
                <w:color w:val="333333"/>
                <w:sz w:val="20"/>
                <w:szCs w:val="20"/>
              </w:rPr>
              <w:t>Indication:</w:t>
            </w:r>
            <w:r w:rsidRPr="00AF1481">
              <w:rPr>
                <w:rFonts w:ascii="Arial Narrow" w:hAnsi="Arial Narrow"/>
                <w:color w:val="333333"/>
                <w:sz w:val="20"/>
                <w:szCs w:val="20"/>
              </w:rPr>
              <w:t xml:space="preserve"> Diabetic macular oedema (DMO)</w:t>
            </w:r>
          </w:p>
        </w:tc>
      </w:tr>
      <w:tr w:rsidR="003B23E2" w:rsidRPr="00AF1481" w14:paraId="036D716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hideMark/>
          </w:tcPr>
          <w:p w14:paraId="2D7BDA2B" w14:textId="77777777" w:rsidR="003B23E2" w:rsidRPr="00AF1481" w:rsidRDefault="003B23E2" w:rsidP="00DD24B5">
            <w:pPr>
              <w:rPr>
                <w:rFonts w:ascii="Arial Narrow" w:hAnsi="Arial Narrow"/>
                <w:sz w:val="20"/>
                <w:szCs w:val="20"/>
              </w:rPr>
            </w:pPr>
            <w:r w:rsidRPr="00AF1481">
              <w:rPr>
                <w:rFonts w:ascii="Arial Narrow" w:hAnsi="Arial Narrow"/>
                <w:b/>
                <w:bCs/>
                <w:color w:val="333333"/>
                <w:sz w:val="20"/>
                <w:szCs w:val="20"/>
              </w:rPr>
              <w:t>Treatment Phase:</w:t>
            </w:r>
            <w:r w:rsidRPr="00AF1481">
              <w:rPr>
                <w:rFonts w:ascii="Arial Narrow" w:hAnsi="Arial Narrow"/>
                <w:color w:val="FF0000"/>
                <w:sz w:val="20"/>
                <w:szCs w:val="20"/>
              </w:rPr>
              <w:t xml:space="preserve"> </w:t>
            </w:r>
            <w:r w:rsidRPr="00AF1481">
              <w:rPr>
                <w:rFonts w:ascii="Arial Narrow" w:hAnsi="Arial Narrow"/>
                <w:sz w:val="20"/>
                <w:szCs w:val="20"/>
              </w:rPr>
              <w:t xml:space="preserve">Continuing treatment </w:t>
            </w:r>
          </w:p>
        </w:tc>
      </w:tr>
      <w:tr w:rsidR="003B23E2" w:rsidRPr="00AF1481" w14:paraId="4E986E42"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B2D9420"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Treatment criteria:</w:t>
            </w:r>
          </w:p>
        </w:tc>
      </w:tr>
      <w:tr w:rsidR="003B23E2" w:rsidRPr="00AF1481" w14:paraId="33FBB9CB"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5C28F2F" w14:textId="77777777" w:rsidR="003B23E2" w:rsidRPr="00AF1481" w:rsidRDefault="003B23E2" w:rsidP="00DD24B5">
            <w:pPr>
              <w:rPr>
                <w:rFonts w:ascii="Arial Narrow" w:hAnsi="Arial Narrow"/>
                <w:b/>
                <w:bCs/>
                <w:color w:val="333333"/>
                <w:sz w:val="20"/>
                <w:szCs w:val="20"/>
              </w:rPr>
            </w:pPr>
            <w:r w:rsidRPr="00AF1481">
              <w:rPr>
                <w:rFonts w:ascii="Arial Narrow" w:hAnsi="Arial Narrow" w:cs="Arial Narrow"/>
                <w:iCs/>
                <w:sz w:val="20"/>
                <w:szCs w:val="20"/>
              </w:rPr>
              <w:t xml:space="preserve">Must be treated by an ophthalmologist or by an accredited ophthalmology registrar in consultation with an ophthalmologist </w:t>
            </w:r>
          </w:p>
        </w:tc>
      </w:tr>
      <w:tr w:rsidR="003B23E2" w:rsidRPr="00AF1481" w14:paraId="5ACF51A8"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3FC8D8F"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3CD58002"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A89A03F"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Patient must have previously received PBS-subsided treatment with this drug for this condition for the same eye </w:t>
            </w:r>
          </w:p>
        </w:tc>
      </w:tr>
      <w:tr w:rsidR="003B23E2" w:rsidRPr="00AF1481" w14:paraId="19B09AD2"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21423DD"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AND</w:t>
            </w:r>
          </w:p>
        </w:tc>
      </w:tr>
      <w:tr w:rsidR="003B23E2" w:rsidRPr="00AF1481" w14:paraId="3908C04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F2E94A0"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5B4D226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A0BA1DA"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The treatment must be as monotherapy; or </w:t>
            </w:r>
          </w:p>
        </w:tc>
      </w:tr>
      <w:tr w:rsidR="003B23E2" w:rsidRPr="00AF1481" w14:paraId="7277A55E"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8557BB5"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The treatment must be in combination with laser photocoagulation </w:t>
            </w:r>
          </w:p>
        </w:tc>
      </w:tr>
      <w:tr w:rsidR="003B23E2" w:rsidRPr="00AF1481" w14:paraId="15B3ADCC"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8D45AFE" w14:textId="77777777" w:rsidR="003B23E2" w:rsidRPr="00AF1481" w:rsidRDefault="003B23E2" w:rsidP="00DD24B5">
            <w:pPr>
              <w:rPr>
                <w:rFonts w:ascii="Arial Narrow" w:hAnsi="Arial Narrow"/>
                <w:color w:val="333333"/>
                <w:sz w:val="20"/>
                <w:szCs w:val="20"/>
              </w:rPr>
            </w:pPr>
            <w:r w:rsidRPr="00AF1481">
              <w:rPr>
                <w:rFonts w:ascii="Arial Narrow" w:hAnsi="Arial Narrow"/>
                <w:b/>
                <w:bCs/>
                <w:color w:val="333333"/>
                <w:sz w:val="20"/>
                <w:szCs w:val="20"/>
              </w:rPr>
              <w:t>AND</w:t>
            </w:r>
          </w:p>
        </w:tc>
      </w:tr>
      <w:tr w:rsidR="003B23E2" w:rsidRPr="00AF1481" w14:paraId="26E6E005"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DA826D7" w14:textId="77777777" w:rsidR="003B23E2" w:rsidRPr="00AF1481" w:rsidRDefault="003B23E2" w:rsidP="00DD24B5">
            <w:pPr>
              <w:rPr>
                <w:rFonts w:ascii="Arial Narrow" w:hAnsi="Arial Narrow"/>
                <w:color w:val="333333"/>
                <w:sz w:val="20"/>
                <w:szCs w:val="20"/>
              </w:rPr>
            </w:pPr>
            <w:r w:rsidRPr="00AF1481">
              <w:rPr>
                <w:rFonts w:ascii="Arial Narrow" w:hAnsi="Arial Narrow"/>
                <w:b/>
                <w:bCs/>
                <w:color w:val="333333"/>
                <w:sz w:val="20"/>
                <w:szCs w:val="20"/>
              </w:rPr>
              <w:t>Clinical criteria:</w:t>
            </w:r>
          </w:p>
        </w:tc>
      </w:tr>
      <w:tr w:rsidR="003B23E2" w:rsidRPr="00AF1481" w14:paraId="6766FB88"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24475C7"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The treatment must be the sole PBS-subsidised therapy for this condition </w:t>
            </w:r>
          </w:p>
        </w:tc>
      </w:tr>
      <w:tr w:rsidR="003B23E2" w:rsidRPr="00AF1481" w14:paraId="431FCBA1"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182E60B" w14:textId="77777777" w:rsidR="00A05AA6"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Administrative Advice:</w:t>
            </w:r>
          </w:p>
          <w:p w14:paraId="4495D52C" w14:textId="50D409A5"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tc>
      </w:tr>
      <w:tr w:rsidR="00DD24B5" w:rsidRPr="00AF1481" w14:paraId="187C260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5D3C6BE" w14:textId="77777777" w:rsidR="00DD24B5" w:rsidRPr="00AF1481" w:rsidRDefault="00DD24B5" w:rsidP="00DD24B5">
            <w:pPr>
              <w:rPr>
                <w:rFonts w:ascii="Arial Narrow" w:hAnsi="Arial Narrow"/>
                <w:b/>
                <w:bCs/>
                <w:color w:val="333333"/>
                <w:sz w:val="20"/>
                <w:szCs w:val="20"/>
              </w:rPr>
            </w:pPr>
          </w:p>
        </w:tc>
      </w:tr>
      <w:tr w:rsidR="00DD24B5" w:rsidRPr="00AF1481" w14:paraId="4AB18E8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DCC1E41" w14:textId="77777777" w:rsidR="00DD24B5" w:rsidRPr="00AF1481" w:rsidRDefault="00DD24B5" w:rsidP="00DD24B5">
            <w:pPr>
              <w:rPr>
                <w:rFonts w:ascii="Arial Narrow" w:hAnsi="Arial Narrow"/>
                <w:b/>
                <w:bCs/>
                <w:color w:val="333333"/>
                <w:sz w:val="20"/>
                <w:szCs w:val="20"/>
              </w:rPr>
            </w:pPr>
          </w:p>
        </w:tc>
      </w:tr>
      <w:tr w:rsidR="00DD24B5" w:rsidRPr="00AF1481" w14:paraId="1913DFE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8B5FF67" w14:textId="77777777" w:rsidR="00DD24B5" w:rsidRPr="00AF1481" w:rsidRDefault="00DD24B5" w:rsidP="00DD24B5">
            <w:pPr>
              <w:rPr>
                <w:rFonts w:ascii="Arial Narrow" w:hAnsi="Arial Narrow"/>
                <w:b/>
                <w:bCs/>
                <w:color w:val="333333"/>
                <w:sz w:val="20"/>
                <w:szCs w:val="20"/>
              </w:rPr>
            </w:pPr>
            <w:r w:rsidRPr="00AF1481">
              <w:rPr>
                <w:rFonts w:ascii="Arial Narrow" w:hAnsi="Arial Narrow"/>
                <w:b/>
                <w:sz w:val="20"/>
                <w:szCs w:val="20"/>
              </w:rPr>
              <w:t>Restriction Summary edit 13342 / Treatment of Concept: edit 13388</w:t>
            </w:r>
          </w:p>
        </w:tc>
      </w:tr>
      <w:tr w:rsidR="003B23E2" w:rsidRPr="00AF1481" w14:paraId="165AB770"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7C186BC" w14:textId="77777777" w:rsidR="003B23E2" w:rsidRPr="00AF1481" w:rsidRDefault="003B23E2" w:rsidP="00DD24B5">
            <w:pPr>
              <w:rPr>
                <w:rFonts w:ascii="Arial Narrow" w:hAnsi="Arial Narrow"/>
                <w:b/>
                <w:bCs/>
                <w:color w:val="333333"/>
                <w:sz w:val="20"/>
                <w:szCs w:val="20"/>
              </w:rPr>
            </w:pPr>
            <w:r w:rsidRPr="00AF1481">
              <w:rPr>
                <w:rFonts w:ascii="Arial Narrow" w:hAnsi="Arial Narrow"/>
                <w:b/>
                <w:sz w:val="20"/>
                <w:szCs w:val="20"/>
              </w:rPr>
              <w:t xml:space="preserve">Category / Program: </w:t>
            </w:r>
            <w:r w:rsidRPr="00AF1481">
              <w:rPr>
                <w:rFonts w:ascii="Arial Narrow" w:hAnsi="Arial Narrow"/>
                <w:sz w:val="20"/>
                <w:szCs w:val="20"/>
              </w:rPr>
              <w:t>GENERAL – General Schedule (Code GE)</w:t>
            </w:r>
            <w:r w:rsidRPr="00AF1481">
              <w:rPr>
                <w:rFonts w:ascii="Arial Narrow" w:hAnsi="Arial Narrow"/>
                <w:color w:val="FF0000"/>
                <w:sz w:val="20"/>
                <w:szCs w:val="20"/>
              </w:rPr>
              <w:t xml:space="preserve"> </w:t>
            </w:r>
          </w:p>
        </w:tc>
      </w:tr>
      <w:tr w:rsidR="003B23E2" w:rsidRPr="00AF1481" w14:paraId="50A4E134"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341068B" w14:textId="77777777" w:rsidR="003B23E2" w:rsidRPr="00AF1481" w:rsidRDefault="003B23E2" w:rsidP="00DD24B5">
            <w:pPr>
              <w:rPr>
                <w:rFonts w:ascii="Arial Narrow" w:hAnsi="Arial Narrow"/>
                <w:b/>
                <w:bCs/>
                <w:color w:val="333333"/>
                <w:sz w:val="20"/>
                <w:szCs w:val="20"/>
              </w:rPr>
            </w:pPr>
            <w:r w:rsidRPr="00AF1481">
              <w:rPr>
                <w:rFonts w:ascii="Arial Narrow" w:hAnsi="Arial Narrow"/>
                <w:b/>
                <w:sz w:val="20"/>
                <w:szCs w:val="20"/>
              </w:rPr>
              <w:t xml:space="preserve">Prescriber type: </w:t>
            </w:r>
            <w:r w:rsidRPr="00AF1481">
              <w:rPr>
                <w:rFonts w:ascii="Arial Narrow" w:hAnsi="Arial Narrow"/>
                <w:sz w:val="20"/>
                <w:szCs w:val="20"/>
              </w:rPr>
              <w:fldChar w:fldCharType="begin">
                <w:ffData>
                  <w:name w:val=""/>
                  <w:enabled/>
                  <w:calcOnExit w:val="0"/>
                  <w:checkBox>
                    <w:sizeAuto/>
                    <w:default w:val="1"/>
                  </w:checkBox>
                </w:ffData>
              </w:fldChar>
            </w:r>
            <w:r w:rsidRPr="00AF1481">
              <w:rPr>
                <w:rFonts w:ascii="Arial Narrow" w:hAnsi="Arial Narrow"/>
                <w:sz w:val="20"/>
                <w:szCs w:val="20"/>
              </w:rPr>
              <w:instrText xml:space="preserve"> FORMCHECKBOX </w:instrText>
            </w:r>
            <w:r w:rsidR="009404AF">
              <w:rPr>
                <w:rFonts w:ascii="Arial Narrow" w:hAnsi="Arial Narrow"/>
                <w:sz w:val="20"/>
                <w:szCs w:val="20"/>
              </w:rPr>
            </w:r>
            <w:r w:rsidR="009404AF">
              <w:rPr>
                <w:rFonts w:ascii="Arial Narrow" w:hAnsi="Arial Narrow"/>
                <w:sz w:val="20"/>
                <w:szCs w:val="20"/>
              </w:rPr>
              <w:fldChar w:fldCharType="separate"/>
            </w:r>
            <w:r w:rsidRPr="00AF1481">
              <w:rPr>
                <w:rFonts w:ascii="Arial Narrow" w:hAnsi="Arial Narrow"/>
                <w:sz w:val="20"/>
                <w:szCs w:val="20"/>
              </w:rPr>
              <w:fldChar w:fldCharType="end"/>
            </w:r>
            <w:r w:rsidRPr="00AF1481">
              <w:rPr>
                <w:rFonts w:ascii="Arial Narrow" w:hAnsi="Arial Narrow"/>
                <w:sz w:val="20"/>
                <w:szCs w:val="20"/>
              </w:rPr>
              <w:t xml:space="preserve">Medical Practitioners </w:t>
            </w:r>
          </w:p>
        </w:tc>
      </w:tr>
      <w:tr w:rsidR="003B23E2" w:rsidRPr="00AF1481" w14:paraId="2ECB167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FFBED4A" w14:textId="487BB7B4" w:rsidR="003B23E2" w:rsidRPr="00AF1481" w:rsidRDefault="003B23E2" w:rsidP="00DD24B5">
            <w:pPr>
              <w:jc w:val="left"/>
              <w:rPr>
                <w:rFonts w:ascii="Arial Narrow" w:hAnsi="Arial Narrow"/>
                <w:b/>
                <w:bCs/>
                <w:color w:val="333333"/>
                <w:sz w:val="20"/>
                <w:szCs w:val="20"/>
              </w:rPr>
            </w:pPr>
            <w:r w:rsidRPr="00AF1481">
              <w:rPr>
                <w:rFonts w:ascii="Arial Narrow" w:hAnsi="Arial Narrow"/>
                <w:b/>
                <w:sz w:val="20"/>
                <w:szCs w:val="20"/>
              </w:rPr>
              <w:t xml:space="preserve">Restriction type: </w:t>
            </w:r>
            <w:r w:rsidRPr="00AF1481">
              <w:rPr>
                <w:rFonts w:ascii="Arial Narrow" w:eastAsia="Calibri" w:hAnsi="Arial Narrow"/>
                <w:color w:val="FF0000"/>
                <w:sz w:val="20"/>
                <w:szCs w:val="20"/>
              </w:rPr>
              <w:br/>
            </w:r>
            <w:r w:rsidRPr="00AF1481">
              <w:rPr>
                <w:rFonts w:ascii="Arial Narrow" w:eastAsia="Calibri" w:hAnsi="Arial Narrow"/>
                <w:sz w:val="20"/>
                <w:szCs w:val="20"/>
              </w:rPr>
              <w:fldChar w:fldCharType="begin">
                <w:ffData>
                  <w:name w:val=""/>
                  <w:enabled/>
                  <w:calcOnExit w:val="0"/>
                  <w:checkBox>
                    <w:sizeAuto/>
                    <w:default w:val="1"/>
                  </w:checkBox>
                </w:ffData>
              </w:fldChar>
            </w:r>
            <w:r w:rsidRPr="00AF1481">
              <w:rPr>
                <w:rFonts w:ascii="Arial Narrow" w:eastAsia="Calibri" w:hAnsi="Arial Narrow"/>
                <w:sz w:val="20"/>
                <w:szCs w:val="20"/>
              </w:rPr>
              <w:instrText xml:space="preserve"> FORMCHECKBOX </w:instrText>
            </w:r>
            <w:r w:rsidR="009404AF">
              <w:rPr>
                <w:rFonts w:ascii="Arial Narrow" w:eastAsia="Calibri" w:hAnsi="Arial Narrow"/>
                <w:sz w:val="20"/>
                <w:szCs w:val="20"/>
              </w:rPr>
            </w:r>
            <w:r w:rsidR="009404AF">
              <w:rPr>
                <w:rFonts w:ascii="Arial Narrow" w:eastAsia="Calibri" w:hAnsi="Arial Narrow"/>
                <w:sz w:val="20"/>
                <w:szCs w:val="20"/>
              </w:rPr>
              <w:fldChar w:fldCharType="separate"/>
            </w:r>
            <w:r w:rsidRPr="00AF1481">
              <w:rPr>
                <w:rFonts w:ascii="Arial Narrow" w:eastAsia="Calibri" w:hAnsi="Arial Narrow"/>
                <w:sz w:val="20"/>
                <w:szCs w:val="20"/>
              </w:rPr>
              <w:fldChar w:fldCharType="end"/>
            </w:r>
            <w:r w:rsidRPr="00AF1481">
              <w:rPr>
                <w:rFonts w:ascii="Arial Narrow" w:eastAsia="Calibri" w:hAnsi="Arial Narrow"/>
                <w:sz w:val="20"/>
                <w:szCs w:val="20"/>
              </w:rPr>
              <w:t>Authority Required (in writing – legacy) – Postal/HPOS upload or Online PBS Authorities immediate assessment</w:t>
            </w:r>
          </w:p>
        </w:tc>
      </w:tr>
      <w:tr w:rsidR="003B23E2" w:rsidRPr="00AF1481" w14:paraId="2E2BA093"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238F56A"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Indication:</w:t>
            </w:r>
            <w:r w:rsidRPr="00AF1481">
              <w:rPr>
                <w:rFonts w:ascii="Arial Narrow" w:hAnsi="Arial Narrow"/>
                <w:color w:val="333333"/>
                <w:sz w:val="20"/>
                <w:szCs w:val="20"/>
              </w:rPr>
              <w:t xml:space="preserve"> Diabetic macular oedema (DMO)</w:t>
            </w:r>
          </w:p>
        </w:tc>
      </w:tr>
      <w:tr w:rsidR="003B23E2" w:rsidRPr="00AF1481" w14:paraId="32D8287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9BF16BC" w14:textId="0111E482"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Treatment Phase:</w:t>
            </w:r>
            <w:r w:rsidRPr="00AF1481">
              <w:rPr>
                <w:rFonts w:ascii="Arial Narrow" w:hAnsi="Arial Narrow"/>
                <w:color w:val="FF0000"/>
                <w:sz w:val="20"/>
                <w:szCs w:val="20"/>
              </w:rPr>
              <w:t xml:space="preserve"> </w:t>
            </w:r>
            <w:r w:rsidRPr="00AF1481">
              <w:rPr>
                <w:rFonts w:ascii="Arial Narrow" w:hAnsi="Arial Narrow"/>
                <w:sz w:val="20"/>
                <w:szCs w:val="20"/>
              </w:rPr>
              <w:t>Transitioning from non-PBS to PBS-subsidised treatment - Grandfather arrangements</w:t>
            </w:r>
          </w:p>
        </w:tc>
      </w:tr>
      <w:tr w:rsidR="003B23E2" w:rsidRPr="00AF1481" w14:paraId="640D9AA0"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D014053"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Treatment criteria:</w:t>
            </w:r>
          </w:p>
        </w:tc>
      </w:tr>
      <w:tr w:rsidR="003B23E2" w:rsidRPr="00AF1481" w14:paraId="4D0D547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EEB1EE6" w14:textId="77777777" w:rsidR="003B23E2" w:rsidRPr="00AF1481" w:rsidRDefault="003B23E2" w:rsidP="00DD24B5">
            <w:pPr>
              <w:rPr>
                <w:rFonts w:ascii="Arial Narrow" w:hAnsi="Arial Narrow"/>
                <w:b/>
                <w:bCs/>
                <w:color w:val="333333"/>
                <w:sz w:val="20"/>
                <w:szCs w:val="20"/>
              </w:rPr>
            </w:pPr>
            <w:r w:rsidRPr="00AF1481">
              <w:rPr>
                <w:rFonts w:ascii="Arial Narrow" w:hAnsi="Arial Narrow" w:cs="Arial Narrow"/>
                <w:iCs/>
                <w:sz w:val="20"/>
                <w:szCs w:val="20"/>
              </w:rPr>
              <w:t xml:space="preserve">Must be treated by an ophthalmologist or by an accredited ophthalmology registrar in consultation with an ophthalmologist </w:t>
            </w:r>
          </w:p>
        </w:tc>
      </w:tr>
      <w:tr w:rsidR="003B23E2" w:rsidRPr="00AF1481" w14:paraId="7CE53122"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0730F9A0"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0672000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48AA893" w14:textId="462C1B46"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Patient must have received non-PBS-subsidised treatment with this drug for this PBS indication for the same eye prior to [PBS listing date],</w:t>
            </w:r>
          </w:p>
        </w:tc>
      </w:tr>
      <w:tr w:rsidR="003B23E2" w:rsidRPr="00AF1481" w14:paraId="739EE15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D5A1330"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AND</w:t>
            </w:r>
          </w:p>
        </w:tc>
      </w:tr>
      <w:tr w:rsidR="003B23E2" w:rsidRPr="00AF1481" w14:paraId="60B5A12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24EB655"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 xml:space="preserve">Clinical criteria: </w:t>
            </w:r>
          </w:p>
        </w:tc>
      </w:tr>
      <w:tr w:rsidR="003B23E2" w:rsidRPr="00AF1481" w14:paraId="65C3BE45"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A6953E1" w14:textId="77777777" w:rsidR="003B23E2" w:rsidRPr="00AF1481" w:rsidRDefault="003B23E2" w:rsidP="00DD24B5">
            <w:pPr>
              <w:rPr>
                <w:rFonts w:ascii="Arial Narrow" w:hAnsi="Arial Narrow"/>
                <w:b/>
                <w:bCs/>
                <w:color w:val="333333"/>
                <w:sz w:val="20"/>
                <w:szCs w:val="20"/>
              </w:rPr>
            </w:pPr>
            <w:r w:rsidRPr="00AF1481">
              <w:rPr>
                <w:rFonts w:ascii="Arial Narrow" w:hAnsi="Arial Narrow"/>
                <w:sz w:val="20"/>
                <w:szCs w:val="20"/>
              </w:rPr>
              <w:t>Patient must have visual impairment due to diabetic macular oedema</w:t>
            </w:r>
          </w:p>
        </w:tc>
      </w:tr>
      <w:tr w:rsidR="003B23E2" w:rsidRPr="00AF1481" w14:paraId="47D745E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3192CC5"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AND</w:t>
            </w:r>
          </w:p>
        </w:tc>
      </w:tr>
      <w:tr w:rsidR="003B23E2" w:rsidRPr="00AF1481" w14:paraId="00F55A71"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560E62E9"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0AE4148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4E6F223" w14:textId="77777777" w:rsidR="003B23E2" w:rsidRPr="00AF1481" w:rsidRDefault="003B23E2" w:rsidP="00DD24B5">
            <w:pPr>
              <w:rPr>
                <w:rFonts w:ascii="Arial Narrow" w:hAnsi="Arial Narrow"/>
                <w:b/>
                <w:bCs/>
                <w:color w:val="333333"/>
                <w:sz w:val="20"/>
                <w:szCs w:val="20"/>
              </w:rPr>
            </w:pPr>
            <w:r w:rsidRPr="00AF1481">
              <w:rPr>
                <w:rFonts w:ascii="Arial Narrow" w:hAnsi="Arial Narrow"/>
                <w:sz w:val="20"/>
                <w:szCs w:val="20"/>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w:t>
            </w:r>
          </w:p>
        </w:tc>
      </w:tr>
      <w:tr w:rsidR="003B23E2" w:rsidRPr="00AF1481" w14:paraId="0935691E"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8B2AA20"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AND</w:t>
            </w:r>
          </w:p>
        </w:tc>
      </w:tr>
      <w:tr w:rsidR="003B23E2" w:rsidRPr="00AF1481" w14:paraId="60B11D62"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CFBBDE6"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7B432A0B"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5E79A1DB" w14:textId="77777777" w:rsidR="003B23E2" w:rsidRPr="00AF1481" w:rsidRDefault="003B23E2" w:rsidP="00DD24B5">
            <w:pPr>
              <w:rPr>
                <w:rFonts w:ascii="Arial Narrow" w:hAnsi="Arial Narrow"/>
                <w:b/>
                <w:bCs/>
                <w:color w:val="333333"/>
                <w:sz w:val="20"/>
                <w:szCs w:val="20"/>
              </w:rPr>
            </w:pPr>
            <w:r w:rsidRPr="00AF1481">
              <w:rPr>
                <w:rFonts w:ascii="Arial Narrow" w:hAnsi="Arial Narrow"/>
                <w:color w:val="333333"/>
                <w:sz w:val="20"/>
                <w:szCs w:val="20"/>
              </w:rPr>
              <w:t>The condition must be diagnosed by optical coherence tomography; or</w:t>
            </w:r>
          </w:p>
        </w:tc>
      </w:tr>
      <w:tr w:rsidR="003B23E2" w:rsidRPr="00AF1481" w14:paraId="12AD9A0E"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E89AC8E"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The condition must be diagnosed by fluorescein angiography </w:t>
            </w:r>
          </w:p>
        </w:tc>
      </w:tr>
      <w:tr w:rsidR="003B23E2" w:rsidRPr="00AF1481" w14:paraId="1EFB5D9B"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0510360" w14:textId="77777777" w:rsidR="003B23E2" w:rsidRPr="00AF1481" w:rsidRDefault="003B23E2" w:rsidP="00DD24B5">
            <w:pPr>
              <w:rPr>
                <w:rFonts w:ascii="Arial Narrow" w:hAnsi="Arial Narrow"/>
                <w:color w:val="333333"/>
                <w:sz w:val="20"/>
                <w:szCs w:val="20"/>
              </w:rPr>
            </w:pPr>
            <w:r w:rsidRPr="00AF1481">
              <w:rPr>
                <w:rFonts w:ascii="Arial Narrow" w:hAnsi="Arial Narrow"/>
                <w:b/>
                <w:bCs/>
                <w:color w:val="333333"/>
                <w:sz w:val="20"/>
                <w:szCs w:val="20"/>
              </w:rPr>
              <w:t>AND</w:t>
            </w:r>
          </w:p>
        </w:tc>
      </w:tr>
      <w:tr w:rsidR="003B23E2" w:rsidRPr="00AF1481" w14:paraId="11AB30F1"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1ACEFC21"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2F28F9A8"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F9F5912" w14:textId="77777777" w:rsidR="003B23E2" w:rsidRPr="00AF1481" w:rsidRDefault="003B23E2" w:rsidP="00DD24B5">
            <w:pPr>
              <w:rPr>
                <w:rFonts w:ascii="Arial Narrow" w:hAnsi="Arial Narrow"/>
                <w:b/>
                <w:bCs/>
                <w:color w:val="333333"/>
                <w:sz w:val="20"/>
                <w:szCs w:val="20"/>
              </w:rPr>
            </w:pPr>
            <w:r w:rsidRPr="00AF1481">
              <w:rPr>
                <w:rFonts w:ascii="Arial Narrow" w:hAnsi="Arial Narrow"/>
                <w:color w:val="333333"/>
                <w:sz w:val="20"/>
                <w:szCs w:val="20"/>
              </w:rPr>
              <w:t xml:space="preserve">The treatment must be as monotherapy; or </w:t>
            </w:r>
          </w:p>
        </w:tc>
      </w:tr>
      <w:tr w:rsidR="003B23E2" w:rsidRPr="00AF1481" w14:paraId="2D95EC31"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28CF239C"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 xml:space="preserve">The treatment must be in combination with laser photocoagulation </w:t>
            </w:r>
          </w:p>
        </w:tc>
      </w:tr>
      <w:tr w:rsidR="003B23E2" w:rsidRPr="00AF1481" w14:paraId="27980CEA"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7E12857D" w14:textId="77777777" w:rsidR="003B23E2" w:rsidRPr="00AF1481" w:rsidRDefault="003B23E2" w:rsidP="00DD24B5">
            <w:pPr>
              <w:rPr>
                <w:rFonts w:ascii="Arial Narrow" w:hAnsi="Arial Narrow"/>
                <w:color w:val="333333"/>
                <w:sz w:val="20"/>
                <w:szCs w:val="20"/>
              </w:rPr>
            </w:pPr>
            <w:r w:rsidRPr="00AF1481">
              <w:rPr>
                <w:rFonts w:ascii="Arial Narrow" w:hAnsi="Arial Narrow"/>
                <w:b/>
                <w:bCs/>
                <w:color w:val="333333"/>
                <w:sz w:val="20"/>
                <w:szCs w:val="20"/>
              </w:rPr>
              <w:t>AND</w:t>
            </w:r>
          </w:p>
        </w:tc>
      </w:tr>
      <w:tr w:rsidR="003B23E2" w:rsidRPr="00AF1481" w14:paraId="22DECD5F"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0C5E493"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Clinical criteria:</w:t>
            </w:r>
          </w:p>
        </w:tc>
      </w:tr>
      <w:tr w:rsidR="003B23E2" w:rsidRPr="00AF1481" w14:paraId="7236171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4652D159" w14:textId="77777777" w:rsidR="003B23E2" w:rsidRPr="00AF1481" w:rsidRDefault="003B23E2" w:rsidP="00DD24B5">
            <w:pPr>
              <w:rPr>
                <w:rFonts w:ascii="Arial Narrow" w:hAnsi="Arial Narrow"/>
                <w:b/>
                <w:bCs/>
                <w:color w:val="333333"/>
                <w:sz w:val="20"/>
                <w:szCs w:val="20"/>
              </w:rPr>
            </w:pPr>
            <w:r w:rsidRPr="00AF1481">
              <w:rPr>
                <w:rFonts w:ascii="Arial Narrow" w:hAnsi="Arial Narrow"/>
                <w:color w:val="333333"/>
                <w:sz w:val="20"/>
                <w:szCs w:val="20"/>
              </w:rPr>
              <w:t>The treatment must be the sole PBS-subsidised therapy for this condition</w:t>
            </w:r>
          </w:p>
        </w:tc>
      </w:tr>
      <w:tr w:rsidR="003B23E2" w:rsidRPr="00AF1481" w14:paraId="628B1777"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1676F5A" w14:textId="7C2C88A9" w:rsidR="003B23E2" w:rsidRPr="00AF1481" w:rsidRDefault="003B23E2" w:rsidP="00DD24B5">
            <w:pPr>
              <w:rPr>
                <w:rFonts w:ascii="Arial Narrow" w:hAnsi="Arial Narrow"/>
                <w:bCs/>
                <w:color w:val="FF0000"/>
                <w:sz w:val="20"/>
                <w:szCs w:val="20"/>
              </w:rPr>
            </w:pPr>
            <w:r w:rsidRPr="00AF1481">
              <w:rPr>
                <w:rFonts w:ascii="Arial Narrow" w:hAnsi="Arial Narrow"/>
                <w:b/>
                <w:bCs/>
                <w:color w:val="333333"/>
                <w:sz w:val="20"/>
                <w:szCs w:val="20"/>
              </w:rPr>
              <w:t>Prescribing Instructions:</w:t>
            </w:r>
          </w:p>
          <w:p w14:paraId="6827ACE7"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The first authority application for each eye must be made via the Online PBS Authorities System (real time assessment) or in writing via HPOS form upload or mail and must include:</w:t>
            </w:r>
          </w:p>
          <w:p w14:paraId="5521189F" w14:textId="77777777" w:rsidR="003B23E2" w:rsidRPr="00AF1481" w:rsidRDefault="003B23E2" w:rsidP="00DD24B5">
            <w:pPr>
              <w:rPr>
                <w:rFonts w:ascii="Arial Narrow" w:hAnsi="Arial Narrow"/>
                <w:color w:val="333333"/>
                <w:sz w:val="20"/>
                <w:szCs w:val="20"/>
              </w:rPr>
            </w:pPr>
            <w:r w:rsidRPr="00AF1481">
              <w:rPr>
                <w:rFonts w:ascii="Arial Narrow" w:hAnsi="Arial Narrow"/>
                <w:color w:val="333333"/>
                <w:sz w:val="20"/>
                <w:szCs w:val="20"/>
              </w:rPr>
              <w:t>(1) Details (date, unique identifying number/code or provider number) of the optical coherence tomography or fluorescein angiogram report.</w:t>
            </w:r>
          </w:p>
          <w:p w14:paraId="71BA6B84" w14:textId="77777777" w:rsidR="003B23E2" w:rsidRPr="00AF1481" w:rsidRDefault="003B23E2" w:rsidP="00DD24B5">
            <w:pPr>
              <w:rPr>
                <w:rFonts w:ascii="Arial Narrow" w:hAnsi="Arial Narrow"/>
                <w:sz w:val="20"/>
                <w:szCs w:val="20"/>
              </w:rPr>
            </w:pPr>
            <w:r w:rsidRPr="00AF1481">
              <w:rPr>
                <w:rFonts w:ascii="Arial Narrow" w:hAnsi="Arial Narrow"/>
                <w:sz w:val="20"/>
                <w:szCs w:val="20"/>
              </w:rPr>
              <w:t>If the application is submitted through HPOS form upload or mail, it must include:</w:t>
            </w:r>
          </w:p>
          <w:p w14:paraId="76F618FF" w14:textId="77777777" w:rsidR="00A05AA6" w:rsidRDefault="003B23E2" w:rsidP="00DD24B5">
            <w:pPr>
              <w:rPr>
                <w:rFonts w:ascii="Arial Narrow" w:hAnsi="Arial Narrow"/>
                <w:sz w:val="20"/>
                <w:szCs w:val="20"/>
              </w:rPr>
            </w:pPr>
            <w:r w:rsidRPr="00AF1481">
              <w:rPr>
                <w:rFonts w:ascii="Arial Narrow" w:hAnsi="Arial Narrow"/>
                <w:sz w:val="20"/>
                <w:szCs w:val="20"/>
              </w:rPr>
              <w:t>(a) A completed authority prescription form; and</w:t>
            </w:r>
          </w:p>
          <w:p w14:paraId="14A5AC7A" w14:textId="77777777" w:rsidR="00A05AA6" w:rsidRDefault="003B23E2" w:rsidP="00DD24B5">
            <w:pPr>
              <w:rPr>
                <w:rFonts w:ascii="Arial Narrow" w:hAnsi="Arial Narrow"/>
                <w:sz w:val="20"/>
                <w:szCs w:val="20"/>
              </w:rPr>
            </w:pPr>
            <w:r w:rsidRPr="00AF1481">
              <w:rPr>
                <w:rFonts w:ascii="Arial Narrow" w:hAnsi="Arial Narrow"/>
                <w:sz w:val="20"/>
                <w:szCs w:val="20"/>
              </w:rPr>
              <w:t>(b) A completed authority application form relevant to the indication and treatment phase (the latest version is located on the website specified in the Administrative Advice).</w:t>
            </w:r>
          </w:p>
          <w:p w14:paraId="28AF2780" w14:textId="5A29E792" w:rsidR="003B23E2" w:rsidRPr="00AF1481" w:rsidRDefault="003B23E2" w:rsidP="00DD24B5">
            <w:pPr>
              <w:rPr>
                <w:rFonts w:ascii="Arial Narrow" w:hAnsi="Arial Narrow"/>
                <w:b/>
                <w:bCs/>
                <w:color w:val="333333"/>
                <w:sz w:val="20"/>
                <w:szCs w:val="20"/>
              </w:rPr>
            </w:pPr>
            <w:r w:rsidRPr="00AF1481">
              <w:rPr>
                <w:rFonts w:ascii="Arial Narrow" w:hAnsi="Arial Narrow"/>
                <w:sz w:val="20"/>
                <w:szCs w:val="20"/>
              </w:rPr>
              <w:t>All reports must be documented in the patient’s medical records.</w:t>
            </w:r>
          </w:p>
        </w:tc>
      </w:tr>
      <w:tr w:rsidR="003B23E2" w:rsidRPr="00AF1481" w14:paraId="32484476"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3C9E37DB" w14:textId="77777777" w:rsidR="003B23E2" w:rsidRPr="00AF1481" w:rsidRDefault="003B23E2" w:rsidP="00DD24B5">
            <w:pPr>
              <w:rPr>
                <w:rFonts w:ascii="Arial Narrow" w:hAnsi="Arial Narrow"/>
                <w:b/>
                <w:bCs/>
                <w:color w:val="333333"/>
                <w:sz w:val="20"/>
                <w:szCs w:val="20"/>
              </w:rPr>
            </w:pPr>
            <w:bookmarkStart w:id="120" w:name="_Hlk166501594"/>
            <w:r w:rsidRPr="00AF1481">
              <w:rPr>
                <w:rFonts w:ascii="Arial Narrow" w:hAnsi="Arial Narrow"/>
                <w:b/>
                <w:bCs/>
                <w:color w:val="333333"/>
                <w:sz w:val="20"/>
                <w:szCs w:val="20"/>
              </w:rPr>
              <w:t>Administrative advice:</w:t>
            </w:r>
          </w:p>
          <w:p w14:paraId="1CD1A8DF" w14:textId="77777777" w:rsidR="003B23E2" w:rsidRPr="00AF1481" w:rsidRDefault="003B23E2" w:rsidP="00DD24B5">
            <w:pPr>
              <w:rPr>
                <w:rFonts w:ascii="Arial Narrow" w:hAnsi="Arial Narrow"/>
                <w:b/>
                <w:bCs/>
                <w:strike/>
                <w:color w:val="333333"/>
                <w:sz w:val="20"/>
                <w:szCs w:val="20"/>
              </w:rPr>
            </w:pPr>
            <w:r w:rsidRPr="00AF1481">
              <w:rPr>
                <w:rFonts w:ascii="Arial Narrow" w:hAnsi="Arial Narrow"/>
                <w:color w:val="333333"/>
                <w:sz w:val="20"/>
                <w:szCs w:val="20"/>
              </w:rPr>
              <w:t xml:space="preserve">This grandfather restriction will cease to operate from 12 months after the date specified in the clinical criteria. </w:t>
            </w:r>
          </w:p>
        </w:tc>
      </w:tr>
      <w:tr w:rsidR="003B23E2" w:rsidRPr="00AF1481" w14:paraId="56288959"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0B2D824A" w14:textId="77777777" w:rsidR="003B23E2" w:rsidRPr="00AF1481"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t>Administrative advice:</w:t>
            </w:r>
          </w:p>
          <w:p w14:paraId="6BEBF525" w14:textId="77777777" w:rsidR="003B23E2" w:rsidRPr="00AF1481" w:rsidRDefault="003B23E2" w:rsidP="00DD24B5">
            <w:pPr>
              <w:rPr>
                <w:rFonts w:ascii="Arial Narrow" w:hAnsi="Arial Narrow"/>
                <w:b/>
                <w:bCs/>
                <w:strike/>
                <w:color w:val="333333"/>
                <w:sz w:val="20"/>
                <w:szCs w:val="20"/>
              </w:rPr>
            </w:pPr>
            <w:r w:rsidRPr="00AF1481">
              <w:rPr>
                <w:rFonts w:ascii="Arial Narrow" w:hAnsi="Arial Narrow"/>
                <w:color w:val="333333"/>
                <w:sz w:val="20"/>
                <w:szCs w:val="20"/>
              </w:rPr>
              <w:t xml:space="preserve">Patients may qualify for PBS-subsidised treatment under this restriction once only per eye. For continuing PBS-subsidised treatment, a ‘Grandfather’ patient must qualify under the ‘Continuing treatment’ criteria. </w:t>
            </w:r>
          </w:p>
        </w:tc>
      </w:tr>
      <w:bookmarkEnd w:id="120"/>
      <w:tr w:rsidR="003B23E2" w:rsidRPr="00AF1481" w14:paraId="6D849A70" w14:textId="77777777" w:rsidTr="00FD014B">
        <w:tblPrEx>
          <w:tblCellMar>
            <w:top w:w="15" w:type="dxa"/>
            <w:bottom w:w="15" w:type="dxa"/>
          </w:tblCellMar>
          <w:tblLook w:val="04A0" w:firstRow="1" w:lastRow="0" w:firstColumn="1" w:lastColumn="0" w:noHBand="0" w:noVBand="1"/>
        </w:tblPrEx>
        <w:trPr>
          <w:cantSplit/>
          <w:trHeight w:val="20"/>
        </w:trPr>
        <w:tc>
          <w:tcPr>
            <w:tcW w:w="9039" w:type="dxa"/>
            <w:gridSpan w:val="6"/>
            <w:vAlign w:val="center"/>
          </w:tcPr>
          <w:p w14:paraId="676E4DE9" w14:textId="77777777" w:rsidR="00A05AA6" w:rsidRDefault="003B23E2" w:rsidP="00DD24B5">
            <w:pPr>
              <w:rPr>
                <w:rFonts w:ascii="Arial Narrow" w:hAnsi="Arial Narrow"/>
                <w:b/>
                <w:bCs/>
                <w:color w:val="333333"/>
                <w:sz w:val="20"/>
                <w:szCs w:val="20"/>
              </w:rPr>
            </w:pPr>
            <w:r w:rsidRPr="00AF1481">
              <w:rPr>
                <w:rFonts w:ascii="Arial Narrow" w:hAnsi="Arial Narrow"/>
                <w:b/>
                <w:bCs/>
                <w:color w:val="333333"/>
                <w:sz w:val="20"/>
                <w:szCs w:val="20"/>
              </w:rPr>
              <w:lastRenderedPageBreak/>
              <w:t>Administrative Advice:</w:t>
            </w:r>
          </w:p>
          <w:p w14:paraId="2D384ADD" w14:textId="77777777" w:rsidR="00A05AA6" w:rsidRDefault="003B23E2" w:rsidP="00DD24B5">
            <w:pPr>
              <w:rPr>
                <w:rFonts w:ascii="Arial Narrow" w:hAnsi="Arial Narrow"/>
                <w:bCs/>
                <w:color w:val="333333"/>
                <w:sz w:val="20"/>
                <w:szCs w:val="20"/>
              </w:rPr>
            </w:pPr>
            <w:r w:rsidRPr="00AF1481">
              <w:rPr>
                <w:rFonts w:ascii="Arial Narrow" w:hAnsi="Arial Narrow"/>
                <w:bCs/>
                <w:color w:val="333333"/>
                <w:sz w:val="20"/>
                <w:szCs w:val="20"/>
              </w:rPr>
              <w:t>Any queries concerning the arrangements to prescribe may be directed to Services Australia on 1800 700 270 (hours of operation 8 a.m. to 5 p.m. Monday to Friday).</w:t>
            </w:r>
          </w:p>
          <w:p w14:paraId="56EF8106" w14:textId="0DAFD2D7" w:rsidR="003B23E2" w:rsidRPr="00AF1481" w:rsidRDefault="003B23E2" w:rsidP="00DD24B5">
            <w:pPr>
              <w:rPr>
                <w:rFonts w:ascii="Arial Narrow" w:hAnsi="Arial Narrow"/>
                <w:bCs/>
                <w:color w:val="333333"/>
                <w:sz w:val="20"/>
                <w:szCs w:val="20"/>
              </w:rPr>
            </w:pPr>
            <w:r w:rsidRPr="00AF1481">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3" w:history="1">
              <w:r w:rsidRPr="00AF1481">
                <w:rPr>
                  <w:rStyle w:val="Hyperlink"/>
                  <w:rFonts w:ascii="Arial Narrow" w:hAnsi="Arial Narrow"/>
                  <w:bCs/>
                  <w:sz w:val="20"/>
                  <w:szCs w:val="20"/>
                </w:rPr>
                <w:t>www.servicesaustralia.gov.au</w:t>
              </w:r>
            </w:hyperlink>
          </w:p>
          <w:p w14:paraId="3D35B0E0" w14:textId="77777777" w:rsidR="003B23E2" w:rsidRPr="00AF1481" w:rsidRDefault="003B23E2" w:rsidP="00DD24B5">
            <w:pPr>
              <w:rPr>
                <w:rFonts w:ascii="Arial Narrow" w:hAnsi="Arial Narrow"/>
                <w:bCs/>
                <w:color w:val="333333"/>
                <w:sz w:val="20"/>
                <w:szCs w:val="20"/>
              </w:rPr>
            </w:pPr>
            <w:r w:rsidRPr="00AF1481">
              <w:rPr>
                <w:rFonts w:ascii="Arial Narrow" w:hAnsi="Arial Narrow"/>
                <w:bCs/>
                <w:color w:val="333333"/>
                <w:sz w:val="20"/>
                <w:szCs w:val="20"/>
              </w:rPr>
              <w:t xml:space="preserve">Applications for authorisation under this restriction should be made in real time using the Online PBS Authorities system (see </w:t>
            </w:r>
            <w:hyperlink r:id="rId14" w:history="1">
              <w:r w:rsidRPr="00AF1481">
                <w:rPr>
                  <w:rStyle w:val="Hyperlink"/>
                  <w:rFonts w:ascii="Arial Narrow" w:hAnsi="Arial Narrow"/>
                  <w:bCs/>
                  <w:sz w:val="20"/>
                  <w:szCs w:val="20"/>
                </w:rPr>
                <w:t>www.servicesaustralia.gov.au/hpos</w:t>
              </w:r>
            </w:hyperlink>
            <w:r w:rsidRPr="00AF1481">
              <w:rPr>
                <w:rFonts w:ascii="Arial Narrow" w:hAnsi="Arial Narrow"/>
                <w:bCs/>
                <w:color w:val="333333"/>
                <w:sz w:val="20"/>
                <w:szCs w:val="20"/>
              </w:rPr>
              <w:t>)</w:t>
            </w:r>
          </w:p>
          <w:p w14:paraId="0FCE18D0" w14:textId="77777777" w:rsidR="00A05AA6" w:rsidRDefault="003B23E2" w:rsidP="00DD24B5">
            <w:pPr>
              <w:rPr>
                <w:rFonts w:ascii="Arial Narrow" w:hAnsi="Arial Narrow"/>
                <w:bCs/>
                <w:color w:val="333333"/>
                <w:sz w:val="20"/>
                <w:szCs w:val="20"/>
              </w:rPr>
            </w:pPr>
            <w:r w:rsidRPr="00AF1481">
              <w:rPr>
                <w:rFonts w:ascii="Arial Narrow" w:hAnsi="Arial Narrow"/>
                <w:bCs/>
                <w:color w:val="333333"/>
                <w:sz w:val="20"/>
                <w:szCs w:val="20"/>
              </w:rPr>
              <w:t xml:space="preserve">Alternatively, applications for authority to prescribe can be submitted online using the form upload facility in Health Professional Online Services (HPOS) at </w:t>
            </w:r>
            <w:hyperlink r:id="rId15" w:history="1">
              <w:r w:rsidRPr="00AF1481">
                <w:rPr>
                  <w:rStyle w:val="Hyperlink"/>
                  <w:rFonts w:ascii="Arial Narrow" w:hAnsi="Arial Narrow"/>
                  <w:bCs/>
                  <w:sz w:val="20"/>
                  <w:szCs w:val="20"/>
                </w:rPr>
                <w:t>www.servicesaustralia.gov.au/hpos</w:t>
              </w:r>
            </w:hyperlink>
          </w:p>
          <w:p w14:paraId="607823D3" w14:textId="639CC212" w:rsidR="003B23E2" w:rsidRPr="00AF1481" w:rsidRDefault="003B23E2" w:rsidP="00DD24B5">
            <w:pPr>
              <w:rPr>
                <w:rFonts w:ascii="Arial Narrow" w:hAnsi="Arial Narrow"/>
                <w:bCs/>
                <w:color w:val="333333"/>
                <w:sz w:val="20"/>
                <w:szCs w:val="20"/>
              </w:rPr>
            </w:pPr>
            <w:r w:rsidRPr="00AF1481">
              <w:rPr>
                <w:rFonts w:ascii="Arial Narrow" w:hAnsi="Arial Narrow"/>
                <w:bCs/>
                <w:color w:val="333333"/>
                <w:sz w:val="20"/>
                <w:szCs w:val="20"/>
              </w:rPr>
              <w:t>Or mailed to:</w:t>
            </w:r>
          </w:p>
          <w:p w14:paraId="7855ED22" w14:textId="77777777" w:rsidR="00A05AA6" w:rsidRDefault="003B23E2" w:rsidP="00DD24B5">
            <w:pPr>
              <w:rPr>
                <w:rFonts w:ascii="Arial Narrow" w:hAnsi="Arial Narrow"/>
                <w:bCs/>
                <w:color w:val="333333"/>
                <w:sz w:val="20"/>
                <w:szCs w:val="20"/>
              </w:rPr>
            </w:pPr>
            <w:r w:rsidRPr="00AF1481">
              <w:rPr>
                <w:rFonts w:ascii="Arial Narrow" w:hAnsi="Arial Narrow"/>
                <w:bCs/>
                <w:color w:val="333333"/>
                <w:sz w:val="20"/>
                <w:szCs w:val="20"/>
              </w:rPr>
              <w:t>Services Australia</w:t>
            </w:r>
          </w:p>
          <w:p w14:paraId="5F4A5F9B" w14:textId="77777777" w:rsidR="00A05AA6" w:rsidRDefault="003B23E2" w:rsidP="00DD24B5">
            <w:pPr>
              <w:rPr>
                <w:rFonts w:ascii="Arial Narrow" w:hAnsi="Arial Narrow"/>
                <w:bCs/>
                <w:color w:val="333333"/>
                <w:sz w:val="20"/>
                <w:szCs w:val="20"/>
              </w:rPr>
            </w:pPr>
            <w:r w:rsidRPr="00AF1481">
              <w:rPr>
                <w:rFonts w:ascii="Arial Narrow" w:hAnsi="Arial Narrow"/>
                <w:bCs/>
                <w:color w:val="333333"/>
                <w:sz w:val="20"/>
                <w:szCs w:val="20"/>
              </w:rPr>
              <w:t>Complex Drugs</w:t>
            </w:r>
          </w:p>
          <w:p w14:paraId="578F40D7" w14:textId="13773574" w:rsidR="003B23E2" w:rsidRPr="00AF1481" w:rsidRDefault="003B23E2" w:rsidP="00DD24B5">
            <w:pPr>
              <w:rPr>
                <w:rFonts w:ascii="Arial Narrow" w:hAnsi="Arial Narrow"/>
                <w:bCs/>
                <w:color w:val="333333"/>
                <w:sz w:val="20"/>
                <w:szCs w:val="20"/>
              </w:rPr>
            </w:pPr>
            <w:r w:rsidRPr="00AF1481">
              <w:rPr>
                <w:rFonts w:ascii="Arial Narrow" w:hAnsi="Arial Narrow"/>
                <w:bCs/>
                <w:color w:val="333333"/>
                <w:sz w:val="20"/>
                <w:szCs w:val="20"/>
              </w:rPr>
              <w:t>Reply Paid 9826</w:t>
            </w:r>
          </w:p>
          <w:p w14:paraId="2DB756AB" w14:textId="77777777" w:rsidR="003B23E2" w:rsidRPr="00AF1481" w:rsidRDefault="003B23E2" w:rsidP="00DD24B5">
            <w:pPr>
              <w:rPr>
                <w:rFonts w:ascii="Arial Narrow" w:hAnsi="Arial Narrow"/>
                <w:b/>
                <w:bCs/>
                <w:color w:val="333333"/>
                <w:sz w:val="20"/>
                <w:szCs w:val="20"/>
              </w:rPr>
            </w:pPr>
            <w:r w:rsidRPr="00AF1481">
              <w:rPr>
                <w:rFonts w:ascii="Arial Narrow" w:hAnsi="Arial Narrow"/>
                <w:bCs/>
                <w:color w:val="333333"/>
                <w:sz w:val="20"/>
                <w:szCs w:val="20"/>
              </w:rPr>
              <w:t>HOBART TAS 7001</w:t>
            </w:r>
          </w:p>
        </w:tc>
      </w:tr>
    </w:tbl>
    <w:p w14:paraId="52D2A68B" w14:textId="72582F8A" w:rsidR="002A65B2" w:rsidRDefault="00A3515D" w:rsidP="007D035C">
      <w:pPr>
        <w:spacing w:before="120"/>
        <w:rPr>
          <w:rFonts w:asciiTheme="minorHAnsi" w:hAnsiTheme="minorHAnsi"/>
          <w:szCs w:val="22"/>
        </w:rPr>
      </w:pPr>
      <w:r w:rsidRPr="00AF1481">
        <w:rPr>
          <w:rFonts w:asciiTheme="minorHAnsi" w:hAnsiTheme="minorHAnsi"/>
          <w:b/>
          <w:bCs/>
          <w:i/>
          <w:szCs w:val="22"/>
        </w:rPr>
        <w:t>This restriction may be subject to further review. Should there be any changes made to the restriction the sponsor will be informed</w:t>
      </w:r>
      <w:r w:rsidRPr="00AF1481">
        <w:rPr>
          <w:rFonts w:asciiTheme="minorHAnsi" w:hAnsiTheme="minorHAnsi"/>
          <w:szCs w:val="22"/>
        </w:rPr>
        <w:t>.</w:t>
      </w:r>
      <w:bookmarkEnd w:id="106"/>
      <w:bookmarkEnd w:id="107"/>
    </w:p>
    <w:p w14:paraId="6F5D3F6D" w14:textId="77777777" w:rsidR="002A65B2" w:rsidRPr="00061CBE" w:rsidRDefault="002A65B2" w:rsidP="002A65B2">
      <w:pPr>
        <w:pStyle w:val="2-SectionHeading"/>
        <w:numPr>
          <w:ilvl w:val="0"/>
          <w:numId w:val="0"/>
        </w:numPr>
        <w:ind w:left="720" w:hanging="720"/>
        <w:rPr>
          <w:lang w:val="en-GB"/>
        </w:rPr>
      </w:pPr>
      <w:r w:rsidRPr="00061CBE">
        <w:t>9</w:t>
      </w:r>
      <w:r w:rsidRPr="00061CBE">
        <w:tab/>
        <w:t>Context for Decision</w:t>
      </w:r>
    </w:p>
    <w:p w14:paraId="67571F8C" w14:textId="77777777" w:rsidR="002A65B2" w:rsidRPr="00061CBE" w:rsidRDefault="002A65B2" w:rsidP="002A65B2">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4622DE1" w14:textId="77777777" w:rsidR="002A65B2" w:rsidRPr="00061CBE" w:rsidRDefault="002A65B2" w:rsidP="002A65B2">
      <w:pPr>
        <w:pStyle w:val="2-SectionHeading"/>
        <w:numPr>
          <w:ilvl w:val="0"/>
          <w:numId w:val="0"/>
        </w:numPr>
        <w:ind w:left="720" w:hanging="720"/>
      </w:pPr>
      <w:r w:rsidRPr="00061CBE">
        <w:t>10</w:t>
      </w:r>
      <w:r w:rsidRPr="00061CBE">
        <w:tab/>
        <w:t>Sponsor’s Comment</w:t>
      </w:r>
    </w:p>
    <w:p w14:paraId="5BF34AC6" w14:textId="09CF288E" w:rsidR="002A65B2" w:rsidRPr="007D035C" w:rsidRDefault="002A65B2" w:rsidP="007D035C">
      <w:pPr>
        <w:ind w:firstLine="720"/>
        <w:rPr>
          <w:bCs/>
        </w:rPr>
      </w:pPr>
      <w:r w:rsidRPr="00061CBE">
        <w:rPr>
          <w:bCs/>
        </w:rPr>
        <w:t>The sponsor had no comment.</w:t>
      </w:r>
    </w:p>
    <w:sectPr w:rsidR="002A65B2" w:rsidRPr="007D035C" w:rsidSect="00E85BEB">
      <w:headerReference w:type="default" r:id="rId16"/>
      <w:footerReference w:type="defaul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FE30" w14:textId="77777777" w:rsidR="006503BB" w:rsidRDefault="006503BB" w:rsidP="00124A51">
      <w:r>
        <w:separator/>
      </w:r>
    </w:p>
    <w:p w14:paraId="6D396834" w14:textId="77777777" w:rsidR="006503BB" w:rsidRDefault="006503BB"/>
  </w:endnote>
  <w:endnote w:type="continuationSeparator" w:id="0">
    <w:p w14:paraId="3FFA5B2A" w14:textId="77777777" w:rsidR="006503BB" w:rsidRDefault="006503BB" w:rsidP="00124A51">
      <w:r>
        <w:continuationSeparator/>
      </w:r>
    </w:p>
    <w:p w14:paraId="0288280A" w14:textId="77777777" w:rsidR="006503BB" w:rsidRDefault="006503BB"/>
  </w:endnote>
  <w:endnote w:type="continuationNotice" w:id="1">
    <w:p w14:paraId="629A511B" w14:textId="77777777" w:rsidR="006503BB" w:rsidRDefault="00650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9398" w14:textId="77777777" w:rsidR="00062BAC" w:rsidRDefault="00062BAC" w:rsidP="00062BAC">
    <w:pPr>
      <w:pStyle w:val="Footer"/>
      <w:jc w:val="center"/>
    </w:pPr>
  </w:p>
  <w:p w14:paraId="34168A9B" w14:textId="070EF5FA" w:rsidR="00062BAC" w:rsidRDefault="009404AF" w:rsidP="00FD014B">
    <w:pPr>
      <w:pStyle w:val="Footer"/>
      <w:jc w:val="center"/>
    </w:pPr>
    <w:sdt>
      <w:sdtPr>
        <w:id w:val="1036156457"/>
        <w:docPartObj>
          <w:docPartGallery w:val="Page Numbers (Bottom of Page)"/>
          <w:docPartUnique/>
        </w:docPartObj>
      </w:sdtPr>
      <w:sdtEndPr>
        <w:rPr>
          <w:b/>
          <w:bCs/>
          <w:noProof/>
        </w:rPr>
      </w:sdtEndPr>
      <w:sdtContent>
        <w:r w:rsidR="00062BAC" w:rsidRPr="00612DFD">
          <w:rPr>
            <w:b/>
            <w:bCs/>
          </w:rPr>
          <w:fldChar w:fldCharType="begin"/>
        </w:r>
        <w:r w:rsidR="00062BAC" w:rsidRPr="00612DFD">
          <w:rPr>
            <w:b/>
            <w:bCs/>
          </w:rPr>
          <w:instrText xml:space="preserve"> PAGE   \* MERGEFORMAT </w:instrText>
        </w:r>
        <w:r w:rsidR="00062BAC" w:rsidRPr="00612DFD">
          <w:rPr>
            <w:b/>
            <w:bCs/>
          </w:rPr>
          <w:fldChar w:fldCharType="separate"/>
        </w:r>
        <w:r w:rsidR="00062BAC" w:rsidRPr="00612DFD">
          <w:rPr>
            <w:b/>
            <w:bCs/>
          </w:rPr>
          <w:t>19</w:t>
        </w:r>
        <w:r w:rsidR="00062BAC" w:rsidRPr="00612DFD">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C268" w14:textId="77777777" w:rsidR="006503BB" w:rsidRDefault="006503BB" w:rsidP="00124A51">
      <w:r>
        <w:separator/>
      </w:r>
    </w:p>
    <w:p w14:paraId="5020E918" w14:textId="77777777" w:rsidR="006503BB" w:rsidRDefault="006503BB"/>
  </w:footnote>
  <w:footnote w:type="continuationSeparator" w:id="0">
    <w:p w14:paraId="70DA787A" w14:textId="77777777" w:rsidR="006503BB" w:rsidRDefault="006503BB" w:rsidP="00124A51">
      <w:r>
        <w:continuationSeparator/>
      </w:r>
    </w:p>
    <w:p w14:paraId="084CD24A" w14:textId="77777777" w:rsidR="006503BB" w:rsidRDefault="006503BB"/>
  </w:footnote>
  <w:footnote w:type="continuationNotice" w:id="1">
    <w:p w14:paraId="65AE0CBA" w14:textId="77777777" w:rsidR="006503BB" w:rsidRDefault="006503BB"/>
  </w:footnote>
  <w:footnote w:id="2">
    <w:p w14:paraId="2A5F3AFA" w14:textId="49C0FCB5" w:rsidR="0048020A" w:rsidRPr="0048020A" w:rsidRDefault="0048020A">
      <w:pPr>
        <w:pStyle w:val="FootnoteText"/>
        <w:rPr>
          <w:rFonts w:ascii="Calibri" w:hAnsi="Calibri" w:cs="Calibri"/>
        </w:rPr>
      </w:pPr>
      <w:r w:rsidRPr="0048020A">
        <w:rPr>
          <w:rStyle w:val="FootnoteReference"/>
          <w:rFonts w:ascii="Calibri" w:hAnsi="Calibri" w:cs="Calibri"/>
        </w:rPr>
        <w:footnoteRef/>
      </w:r>
      <w:r w:rsidRPr="0048020A">
        <w:rPr>
          <w:rFonts w:ascii="Calibri" w:hAnsi="Calibri" w:cs="Calibri"/>
        </w:rPr>
        <w:t xml:space="preserve"> Listed on the PBS 1</w:t>
      </w:r>
      <w:r>
        <w:rPr>
          <w:rFonts w:ascii="Calibri" w:hAnsi="Calibri" w:cs="Calibri"/>
        </w:rPr>
        <w:t xml:space="preserve"> January</w:t>
      </w:r>
      <w:r w:rsidRPr="0048020A">
        <w:rPr>
          <w:rFonts w:ascii="Calibri" w:hAnsi="Calibri" w:cs="Calibri"/>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0F70" w14:textId="529B27D6" w:rsidR="00062BAC" w:rsidRPr="00195452" w:rsidRDefault="006C6323" w:rsidP="00062BAC">
    <w:pPr>
      <w:pStyle w:val="Header"/>
      <w:rPr>
        <w:rFonts w:asciiTheme="minorHAnsi" w:hAnsiTheme="minorHAnsi"/>
        <w:i/>
        <w:color w:val="808080"/>
      </w:rPr>
    </w:pPr>
    <w:r>
      <w:rPr>
        <w:rFonts w:asciiTheme="minorHAnsi" w:hAnsiTheme="minorHAnsi"/>
        <w:i/>
        <w:color w:val="808080"/>
      </w:rPr>
      <w:t>Public Summary Document</w:t>
    </w:r>
    <w:r w:rsidR="00612DFD">
      <w:rPr>
        <w:rFonts w:asciiTheme="minorHAnsi" w:hAnsiTheme="minorHAnsi"/>
        <w:i/>
        <w:color w:val="808080"/>
      </w:rPr>
      <w:t xml:space="preserve"> </w:t>
    </w:r>
    <w:r w:rsidR="00612DFD" w:rsidRPr="00056684">
      <w:rPr>
        <w:rFonts w:asciiTheme="minorHAnsi" w:hAnsiTheme="minorHAnsi"/>
        <w:i/>
        <w:color w:val="808080"/>
      </w:rPr>
      <w:t xml:space="preserve">– </w:t>
    </w:r>
    <w:r w:rsidR="00612DFD">
      <w:rPr>
        <w:rFonts w:asciiTheme="minorHAnsi" w:hAnsiTheme="minorHAnsi"/>
        <w:i/>
        <w:color w:val="808080"/>
      </w:rPr>
      <w:t>Ma</w:t>
    </w:r>
    <w:r w:rsidR="00AA36C1">
      <w:rPr>
        <w:rFonts w:asciiTheme="minorHAnsi" w:hAnsiTheme="minorHAnsi"/>
        <w:i/>
        <w:color w:val="808080"/>
      </w:rPr>
      <w:t>y</w:t>
    </w:r>
    <w:r w:rsidR="00612DFD">
      <w:rPr>
        <w:rFonts w:asciiTheme="minorHAnsi" w:hAnsiTheme="minorHAnsi"/>
        <w:i/>
        <w:color w:val="808080"/>
      </w:rPr>
      <w:t xml:space="preserve"> </w:t>
    </w:r>
    <w:r w:rsidR="00392B19">
      <w:rPr>
        <w:rFonts w:asciiTheme="minorHAnsi" w:hAnsiTheme="minorHAnsi"/>
        <w:i/>
        <w:color w:val="808080"/>
      </w:rPr>
      <w:t xml:space="preserve">2024 </w:t>
    </w:r>
    <w:r w:rsidR="00062BAC" w:rsidRPr="00195452">
      <w:rPr>
        <w:rFonts w:asciiTheme="minorHAnsi" w:hAnsiTheme="minorHAnsi"/>
        <w:i/>
        <w:color w:val="808080"/>
      </w:rPr>
      <w:t xml:space="preserve">PBAC </w:t>
    </w:r>
    <w:r w:rsidR="00AC0081">
      <w:rPr>
        <w:rFonts w:asciiTheme="minorHAnsi" w:hAnsiTheme="minorHAnsi"/>
        <w:i/>
        <w:color w:val="808080"/>
      </w:rPr>
      <w:t xml:space="preserve">Intracycle </w:t>
    </w:r>
    <w:r w:rsidR="00062BAC" w:rsidRPr="00195452">
      <w:rPr>
        <w:rFonts w:asciiTheme="minorHAnsi" w:hAnsiTheme="minorHAnsi"/>
        <w:i/>
        <w:color w:val="808080"/>
      </w:rPr>
      <w:t>Meeting</w:t>
    </w:r>
  </w:p>
  <w:p w14:paraId="7AD1F297" w14:textId="77777777" w:rsidR="00062BAC" w:rsidRDefault="0006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D5E9484"/>
    <w:lvl w:ilvl="0">
      <w:start w:val="1"/>
      <w:numFmt w:val="decimal"/>
      <w:pStyle w:val="ListNumber3"/>
      <w:lvlText w:val="%1"/>
      <w:lvlJc w:val="left"/>
      <w:pPr>
        <w:ind w:left="360" w:hanging="360"/>
      </w:pPr>
      <w:rPr>
        <w:rFonts w:hint="default"/>
      </w:rPr>
    </w:lvl>
  </w:abstractNum>
  <w:abstractNum w:abstractNumId="1" w15:restartNumberingAfterBreak="0">
    <w:nsid w:val="FFFFFF7F"/>
    <w:multiLevelType w:val="singleLevel"/>
    <w:tmpl w:val="9CF6F81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F6E6661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4FA06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C95803"/>
    <w:multiLevelType w:val="hybridMultilevel"/>
    <w:tmpl w:val="BDE22152"/>
    <w:lvl w:ilvl="0" w:tplc="08090001">
      <w:start w:val="1"/>
      <w:numFmt w:val="bullet"/>
      <w:lvlText w:val=""/>
      <w:lvlJc w:val="left"/>
      <w:pPr>
        <w:ind w:left="720" w:hanging="360"/>
      </w:pPr>
      <w:rPr>
        <w:rFonts w:ascii="Symbol" w:hAnsi="Symbol" w:hint="default"/>
      </w:rPr>
    </w:lvl>
    <w:lvl w:ilvl="1" w:tplc="BA3E4A74">
      <w:numFmt w:val="bullet"/>
      <w:lvlText w:val="•"/>
      <w:lvlJc w:val="left"/>
      <w:pPr>
        <w:ind w:left="1440" w:hanging="360"/>
      </w:pPr>
      <w:rPr>
        <w:rFonts w:ascii="Arial Narrow" w:eastAsiaTheme="majorEastAsia" w:hAnsi="Arial Narrow"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17A59"/>
    <w:multiLevelType w:val="hybridMultilevel"/>
    <w:tmpl w:val="3280D01E"/>
    <w:lvl w:ilvl="0" w:tplc="5B5E8C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9A94AB9"/>
    <w:multiLevelType w:val="hybridMultilevel"/>
    <w:tmpl w:val="44388FA8"/>
    <w:lvl w:ilvl="0" w:tplc="599AD810">
      <w:start w:val="1"/>
      <w:numFmt w:val="bullet"/>
      <w:lvlText w:val=""/>
      <w:lvlJc w:val="left"/>
      <w:pPr>
        <w:ind w:left="1440" w:hanging="360"/>
      </w:pPr>
      <w:rPr>
        <w:rFonts w:ascii="Symbol" w:hAnsi="Symbol"/>
      </w:rPr>
    </w:lvl>
    <w:lvl w:ilvl="1" w:tplc="8B84DF2C">
      <w:start w:val="1"/>
      <w:numFmt w:val="bullet"/>
      <w:lvlText w:val=""/>
      <w:lvlJc w:val="left"/>
      <w:pPr>
        <w:ind w:left="2160" w:hanging="360"/>
      </w:pPr>
      <w:rPr>
        <w:rFonts w:ascii="Symbol" w:hAnsi="Symbol"/>
      </w:rPr>
    </w:lvl>
    <w:lvl w:ilvl="2" w:tplc="0DCEF2FC">
      <w:start w:val="1"/>
      <w:numFmt w:val="bullet"/>
      <w:lvlText w:val=""/>
      <w:lvlJc w:val="left"/>
      <w:pPr>
        <w:ind w:left="1440" w:hanging="360"/>
      </w:pPr>
      <w:rPr>
        <w:rFonts w:ascii="Symbol" w:hAnsi="Symbol"/>
      </w:rPr>
    </w:lvl>
    <w:lvl w:ilvl="3" w:tplc="72EAE85A">
      <w:start w:val="1"/>
      <w:numFmt w:val="bullet"/>
      <w:lvlText w:val=""/>
      <w:lvlJc w:val="left"/>
      <w:pPr>
        <w:ind w:left="1440" w:hanging="360"/>
      </w:pPr>
      <w:rPr>
        <w:rFonts w:ascii="Symbol" w:hAnsi="Symbol"/>
      </w:rPr>
    </w:lvl>
    <w:lvl w:ilvl="4" w:tplc="7CB808E8">
      <w:start w:val="1"/>
      <w:numFmt w:val="bullet"/>
      <w:lvlText w:val=""/>
      <w:lvlJc w:val="left"/>
      <w:pPr>
        <w:ind w:left="1440" w:hanging="360"/>
      </w:pPr>
      <w:rPr>
        <w:rFonts w:ascii="Symbol" w:hAnsi="Symbol"/>
      </w:rPr>
    </w:lvl>
    <w:lvl w:ilvl="5" w:tplc="F6E43658">
      <w:start w:val="1"/>
      <w:numFmt w:val="bullet"/>
      <w:lvlText w:val=""/>
      <w:lvlJc w:val="left"/>
      <w:pPr>
        <w:ind w:left="1440" w:hanging="360"/>
      </w:pPr>
      <w:rPr>
        <w:rFonts w:ascii="Symbol" w:hAnsi="Symbol"/>
      </w:rPr>
    </w:lvl>
    <w:lvl w:ilvl="6" w:tplc="4280B48A">
      <w:start w:val="1"/>
      <w:numFmt w:val="bullet"/>
      <w:lvlText w:val=""/>
      <w:lvlJc w:val="left"/>
      <w:pPr>
        <w:ind w:left="1440" w:hanging="360"/>
      </w:pPr>
      <w:rPr>
        <w:rFonts w:ascii="Symbol" w:hAnsi="Symbol"/>
      </w:rPr>
    </w:lvl>
    <w:lvl w:ilvl="7" w:tplc="BB621D82">
      <w:start w:val="1"/>
      <w:numFmt w:val="bullet"/>
      <w:lvlText w:val=""/>
      <w:lvlJc w:val="left"/>
      <w:pPr>
        <w:ind w:left="1440" w:hanging="360"/>
      </w:pPr>
      <w:rPr>
        <w:rFonts w:ascii="Symbol" w:hAnsi="Symbol"/>
      </w:rPr>
    </w:lvl>
    <w:lvl w:ilvl="8" w:tplc="62FE1BA8">
      <w:start w:val="1"/>
      <w:numFmt w:val="bullet"/>
      <w:lvlText w:val=""/>
      <w:lvlJc w:val="left"/>
      <w:pPr>
        <w:ind w:left="1440" w:hanging="360"/>
      </w:pPr>
      <w:rPr>
        <w:rFonts w:ascii="Symbol" w:hAnsi="Symbol"/>
      </w:rPr>
    </w:lvl>
  </w:abstractNum>
  <w:abstractNum w:abstractNumId="8" w15:restartNumberingAfterBreak="0">
    <w:nsid w:val="0A1913BC"/>
    <w:multiLevelType w:val="hybridMultilevel"/>
    <w:tmpl w:val="7A581404"/>
    <w:styleLink w:val="SectionBii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B52BC"/>
    <w:multiLevelType w:val="hybridMultilevel"/>
    <w:tmpl w:val="A7561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C94D19"/>
    <w:multiLevelType w:val="hybridMultilevel"/>
    <w:tmpl w:val="13D634F6"/>
    <w:styleLink w:val="SectionBi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F0691C"/>
    <w:multiLevelType w:val="multilevel"/>
    <w:tmpl w:val="3E3A868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5B1617"/>
    <w:multiLevelType w:val="hybridMultilevel"/>
    <w:tmpl w:val="6AB6307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A208F"/>
    <w:multiLevelType w:val="multilevel"/>
    <w:tmpl w:val="AEE40CE8"/>
    <w:styleLink w:val="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C9250D"/>
    <w:multiLevelType w:val="multilevel"/>
    <w:tmpl w:val="CFD25E36"/>
    <w:styleLink w:val="Style131"/>
    <w:lvl w:ilvl="0">
      <w:start w:val="1"/>
      <w:numFmt w:val="decimal"/>
      <w:lvlText w:val="SECTION %1."/>
      <w:lvlJc w:val="left"/>
      <w:pPr>
        <w:ind w:left="324" w:hanging="324"/>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357" w:hanging="35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0" w:firstLine="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01" w:hanging="357"/>
      </w:pPr>
      <w:rPr>
        <w:rFonts w:hint="default"/>
      </w:rPr>
    </w:lvl>
    <w:lvl w:ilvl="4">
      <w:start w:val="1"/>
      <w:numFmt w:val="lowerLetter"/>
      <w:lvlText w:val="(%5)"/>
      <w:lvlJc w:val="left"/>
      <w:pPr>
        <w:ind w:left="401" w:hanging="357"/>
      </w:pPr>
      <w:rPr>
        <w:rFonts w:hint="default"/>
      </w:rPr>
    </w:lvl>
    <w:lvl w:ilvl="5">
      <w:start w:val="1"/>
      <w:numFmt w:val="lowerRoman"/>
      <w:lvlText w:val="(%6)"/>
      <w:lvlJc w:val="left"/>
      <w:pPr>
        <w:ind w:left="401" w:hanging="357"/>
      </w:pPr>
      <w:rPr>
        <w:rFonts w:hint="default"/>
      </w:rPr>
    </w:lvl>
    <w:lvl w:ilvl="6">
      <w:start w:val="1"/>
      <w:numFmt w:val="decimal"/>
      <w:lvlText w:val="%7."/>
      <w:lvlJc w:val="left"/>
      <w:pPr>
        <w:ind w:left="401" w:hanging="357"/>
      </w:pPr>
      <w:rPr>
        <w:rFonts w:hint="default"/>
      </w:rPr>
    </w:lvl>
    <w:lvl w:ilvl="7">
      <w:start w:val="1"/>
      <w:numFmt w:val="lowerLetter"/>
      <w:lvlText w:val="%8."/>
      <w:lvlJc w:val="left"/>
      <w:pPr>
        <w:ind w:left="401" w:hanging="357"/>
      </w:pPr>
      <w:rPr>
        <w:rFonts w:hint="default"/>
      </w:rPr>
    </w:lvl>
    <w:lvl w:ilvl="8">
      <w:start w:val="1"/>
      <w:numFmt w:val="lowerRoman"/>
      <w:lvlText w:val="%9."/>
      <w:lvlJc w:val="left"/>
      <w:pPr>
        <w:ind w:left="401" w:hanging="357"/>
      </w:pPr>
      <w:rPr>
        <w:rFont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ED2BF6"/>
    <w:multiLevelType w:val="multilevel"/>
    <w:tmpl w:val="152EF1F6"/>
    <w:lvl w:ilvl="0">
      <w:start w:val="1"/>
      <w:numFmt w:val="decimal"/>
      <w:lvlText w:val="%1"/>
      <w:lvlJc w:val="left"/>
      <w:pPr>
        <w:ind w:left="720" w:hanging="720"/>
      </w:pPr>
      <w:rPr>
        <w:rFonts w:hint="default"/>
        <w:b/>
      </w:rPr>
    </w:lvl>
    <w:lvl w:ilvl="1">
      <w:start w:val="1"/>
      <w:numFmt w:val="bullet"/>
      <w:lvlText w:val=""/>
      <w:lvlJc w:val="left"/>
      <w:pPr>
        <w:ind w:left="786"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A44E4B"/>
    <w:multiLevelType w:val="hybridMultilevel"/>
    <w:tmpl w:val="4288A63C"/>
    <w:styleLink w:val="Style13"/>
    <w:lvl w:ilvl="0" w:tplc="C272082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1D0CC20E"/>
    <w:lvl w:ilvl="0" w:tplc="04090001">
      <w:start w:val="1"/>
      <w:numFmt w:val="bullet"/>
      <w:pStyle w:val="ListParagraph"/>
      <w:lvlText w:val=""/>
      <w:lvlJc w:val="left"/>
      <w:pPr>
        <w:ind w:left="720" w:hanging="360"/>
      </w:pPr>
      <w:rPr>
        <w:rFonts w:ascii="Symbol" w:hAnsi="Symbol" w:hint="default"/>
      </w:rPr>
    </w:lvl>
    <w:lvl w:ilvl="1" w:tplc="1DB891B0">
      <w:numFmt w:val="bullet"/>
      <w:lvlText w:val="•"/>
      <w:lvlJc w:val="left"/>
      <w:pPr>
        <w:ind w:left="1440" w:hanging="360"/>
      </w:pPr>
      <w:rPr>
        <w:rFonts w:ascii="Arial Narrow" w:eastAsiaTheme="majorEastAsia" w:hAnsi="Arial Narrow"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A44C4"/>
    <w:multiLevelType w:val="hybridMultilevel"/>
    <w:tmpl w:val="390CD9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9CA087C"/>
    <w:multiLevelType w:val="hybridMultilevel"/>
    <w:tmpl w:val="81FE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A25F4"/>
    <w:multiLevelType w:val="multilevel"/>
    <w:tmpl w:val="2124B9A2"/>
    <w:styleLink w:val="SectionBii"/>
    <w:lvl w:ilvl="0">
      <w:start w:val="2"/>
      <w:numFmt w:val="upperLetter"/>
      <w:lvlText w:val="%1(ii)."/>
      <w:lvlJc w:val="left"/>
      <w:pPr>
        <w:ind w:left="1077" w:hanging="1077"/>
      </w:pPr>
      <w:rPr>
        <w:rFonts w:ascii="Arial" w:hAnsi="Arial" w:hint="default"/>
        <w:b/>
        <w:sz w:val="22"/>
      </w:rPr>
    </w:lvl>
    <w:lvl w:ilvl="1">
      <w:start w:val="1"/>
      <w:numFmt w:val="decimal"/>
      <w:lvlText w:val="%1(ii).%2."/>
      <w:lvlJc w:val="left"/>
      <w:pPr>
        <w:ind w:left="1474" w:hanging="1474"/>
      </w:pPr>
      <w:rPr>
        <w:rFonts w:ascii="Arial" w:hAnsi="Arial" w:hint="default"/>
        <w:b/>
        <w:sz w:val="22"/>
      </w:rPr>
    </w:lvl>
    <w:lvl w:ilvl="2">
      <w:start w:val="1"/>
      <w:numFmt w:val="decimal"/>
      <w:lvlText w:val="%1(ii).%2.%3."/>
      <w:lvlJc w:val="left"/>
      <w:pPr>
        <w:ind w:left="1871" w:hanging="1871"/>
      </w:pPr>
      <w:rPr>
        <w:rFonts w:ascii="Arial" w:hAnsi="Arial" w:hint="default"/>
        <w:b/>
        <w:sz w:val="22"/>
      </w:rPr>
    </w:lvl>
    <w:lvl w:ilvl="3">
      <w:start w:val="1"/>
      <w:numFmt w:val="decimal"/>
      <w:lvlText w:val="%1(ii).%2.%3.%4."/>
      <w:lvlJc w:val="left"/>
      <w:pPr>
        <w:ind w:left="2268" w:hanging="2268"/>
      </w:pPr>
      <w:rPr>
        <w:rFonts w:ascii="Arial" w:hAnsi="Arial" w:hint="default"/>
        <w:b/>
        <w:sz w:val="22"/>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5B31279A"/>
    <w:multiLevelType w:val="hybridMultilevel"/>
    <w:tmpl w:val="DB5878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C2413DC"/>
    <w:multiLevelType w:val="hybridMultilevel"/>
    <w:tmpl w:val="30EC3EBC"/>
    <w:styleLink w:val="PBACstandardnumber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9397A60"/>
    <w:multiLevelType w:val="multilevel"/>
    <w:tmpl w:val="6ED68566"/>
    <w:lvl w:ilvl="0">
      <w:start w:val="1"/>
      <w:numFmt w:val="decimal"/>
      <w:lvlText w:val="%1"/>
      <w:lvlJc w:val="left"/>
      <w:pPr>
        <w:ind w:left="720" w:hanging="720"/>
      </w:pPr>
      <w:rPr>
        <w:rFonts w:hint="default"/>
        <w:b/>
      </w:rPr>
    </w:lvl>
    <w:lvl w:ilvl="1">
      <w:start w:val="1"/>
      <w:numFmt w:val="bullet"/>
      <w:lvlText w:val=""/>
      <w:lvlJc w:val="left"/>
      <w:pPr>
        <w:ind w:left="786"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F07D11"/>
    <w:multiLevelType w:val="hybridMultilevel"/>
    <w:tmpl w:val="233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3675A"/>
    <w:multiLevelType w:val="multilevel"/>
    <w:tmpl w:val="10C015FC"/>
    <w:styleLink w:val="PBACstandardnumberstyle"/>
    <w:lvl w:ilvl="0">
      <w:start w:val="1"/>
      <w:numFmt w:val="upp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5515F5"/>
    <w:multiLevelType w:val="hybridMultilevel"/>
    <w:tmpl w:val="0CF8C6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15:restartNumberingAfterBreak="0">
    <w:nsid w:val="784D033C"/>
    <w:multiLevelType w:val="multilevel"/>
    <w:tmpl w:val="1106954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146"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EB31A0"/>
    <w:multiLevelType w:val="hybridMultilevel"/>
    <w:tmpl w:val="0ADE6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04243C"/>
    <w:multiLevelType w:val="hybridMultilevel"/>
    <w:tmpl w:val="7BF86A70"/>
    <w:lvl w:ilvl="0" w:tplc="D3784A20">
      <w:start w:val="1"/>
      <w:numFmt w:val="bullet"/>
      <w:pStyle w:val="PBAC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291257332">
    <w:abstractNumId w:val="39"/>
  </w:num>
  <w:num w:numId="2" w16cid:durableId="179204743">
    <w:abstractNumId w:val="22"/>
  </w:num>
  <w:num w:numId="3" w16cid:durableId="649140907">
    <w:abstractNumId w:val="23"/>
  </w:num>
  <w:num w:numId="4" w16cid:durableId="2096122068">
    <w:abstractNumId w:val="40"/>
  </w:num>
  <w:num w:numId="5" w16cid:durableId="417168701">
    <w:abstractNumId w:val="32"/>
  </w:num>
  <w:num w:numId="6" w16cid:durableId="2091390368">
    <w:abstractNumId w:val="25"/>
  </w:num>
  <w:num w:numId="7" w16cid:durableId="1696226514">
    <w:abstractNumId w:val="41"/>
  </w:num>
  <w:num w:numId="8" w16cid:durableId="1773502399">
    <w:abstractNumId w:val="5"/>
  </w:num>
  <w:num w:numId="9" w16cid:durableId="1275476908">
    <w:abstractNumId w:val="14"/>
  </w:num>
  <w:num w:numId="10" w16cid:durableId="103355653">
    <w:abstractNumId w:val="26"/>
  </w:num>
  <w:num w:numId="11" w16cid:durableId="262809617">
    <w:abstractNumId w:val="36"/>
  </w:num>
  <w:num w:numId="12" w16cid:durableId="1237786218">
    <w:abstractNumId w:val="21"/>
  </w:num>
  <w:num w:numId="13" w16cid:durableId="2098167406">
    <w:abstractNumId w:val="11"/>
  </w:num>
  <w:num w:numId="14" w16cid:durableId="81688656">
    <w:abstractNumId w:val="8"/>
  </w:num>
  <w:num w:numId="15" w16cid:durableId="1859735758">
    <w:abstractNumId w:val="30"/>
  </w:num>
  <w:num w:numId="16" w16cid:durableId="1197232972">
    <w:abstractNumId w:val="2"/>
  </w:num>
  <w:num w:numId="17" w16cid:durableId="1605336809">
    <w:abstractNumId w:val="42"/>
  </w:num>
  <w:num w:numId="18" w16cid:durableId="2017028570">
    <w:abstractNumId w:val="1"/>
  </w:num>
  <w:num w:numId="19" w16cid:durableId="300960812">
    <w:abstractNumId w:val="18"/>
  </w:num>
  <w:num w:numId="20" w16cid:durableId="1999921310">
    <w:abstractNumId w:val="28"/>
  </w:num>
  <w:num w:numId="21" w16cid:durableId="1378889681">
    <w:abstractNumId w:val="0"/>
  </w:num>
  <w:num w:numId="22" w16cid:durableId="1727491613">
    <w:abstractNumId w:val="13"/>
  </w:num>
  <w:num w:numId="23" w16cid:durableId="802231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718860">
    <w:abstractNumId w:val="43"/>
  </w:num>
  <w:num w:numId="25" w16cid:durableId="693306333">
    <w:abstractNumId w:val="35"/>
  </w:num>
  <w:num w:numId="26" w16cid:durableId="1969819751">
    <w:abstractNumId w:val="34"/>
  </w:num>
  <w:num w:numId="27" w16cid:durableId="696078826">
    <w:abstractNumId w:val="12"/>
  </w:num>
  <w:num w:numId="28" w16cid:durableId="564489916">
    <w:abstractNumId w:val="7"/>
  </w:num>
  <w:num w:numId="29" w16cid:durableId="517551139">
    <w:abstractNumId w:val="10"/>
  </w:num>
  <w:num w:numId="30" w16cid:durableId="2101027684">
    <w:abstractNumId w:val="27"/>
  </w:num>
  <w:num w:numId="31" w16cid:durableId="2022706707">
    <w:abstractNumId w:val="9"/>
  </w:num>
  <w:num w:numId="32" w16cid:durableId="268706096">
    <w:abstractNumId w:val="4"/>
  </w:num>
  <w:num w:numId="33" w16cid:durableId="1926307752">
    <w:abstractNumId w:val="17"/>
  </w:num>
  <w:num w:numId="34" w16cid:durableId="547881203">
    <w:abstractNumId w:val="19"/>
  </w:num>
  <w:num w:numId="35" w16cid:durableId="618268088">
    <w:abstractNumId w:val="15"/>
  </w:num>
  <w:num w:numId="36" w16cid:durableId="12974431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5379126">
    <w:abstractNumId w:val="37"/>
  </w:num>
  <w:num w:numId="38" w16cid:durableId="2036689271">
    <w:abstractNumId w:val="38"/>
  </w:num>
  <w:num w:numId="39" w16cid:durableId="1230574716">
    <w:abstractNumId w:val="20"/>
  </w:num>
  <w:num w:numId="40" w16cid:durableId="1870799831">
    <w:abstractNumId w:val="6"/>
  </w:num>
  <w:num w:numId="41" w16cid:durableId="1246376893">
    <w:abstractNumId w:val="23"/>
  </w:num>
  <w:num w:numId="42" w16cid:durableId="154423902">
    <w:abstractNumId w:val="33"/>
  </w:num>
  <w:num w:numId="43" w16cid:durableId="844905734">
    <w:abstractNumId w:val="24"/>
  </w:num>
  <w:num w:numId="44" w16cid:durableId="542862638">
    <w:abstractNumId w:val="29"/>
  </w:num>
  <w:num w:numId="45" w16cid:durableId="88502675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A41"/>
    <w:rsid w:val="00000AB5"/>
    <w:rsid w:val="00000C8E"/>
    <w:rsid w:val="00001042"/>
    <w:rsid w:val="0000110B"/>
    <w:rsid w:val="00001492"/>
    <w:rsid w:val="00001D45"/>
    <w:rsid w:val="00002371"/>
    <w:rsid w:val="00002A68"/>
    <w:rsid w:val="00002BB6"/>
    <w:rsid w:val="00002EC0"/>
    <w:rsid w:val="00003499"/>
    <w:rsid w:val="00003713"/>
    <w:rsid w:val="000039B7"/>
    <w:rsid w:val="0000525E"/>
    <w:rsid w:val="000056B9"/>
    <w:rsid w:val="00005C22"/>
    <w:rsid w:val="00005EC8"/>
    <w:rsid w:val="000061A6"/>
    <w:rsid w:val="0000639A"/>
    <w:rsid w:val="00006616"/>
    <w:rsid w:val="00006650"/>
    <w:rsid w:val="000066C4"/>
    <w:rsid w:val="00006A7C"/>
    <w:rsid w:val="00006D07"/>
    <w:rsid w:val="00007D77"/>
    <w:rsid w:val="00007E61"/>
    <w:rsid w:val="00010793"/>
    <w:rsid w:val="00010796"/>
    <w:rsid w:val="00011742"/>
    <w:rsid w:val="000119F0"/>
    <w:rsid w:val="00011DF5"/>
    <w:rsid w:val="00012EB0"/>
    <w:rsid w:val="00013247"/>
    <w:rsid w:val="000133D4"/>
    <w:rsid w:val="00013BC7"/>
    <w:rsid w:val="00014A5A"/>
    <w:rsid w:val="00014EFD"/>
    <w:rsid w:val="0001505A"/>
    <w:rsid w:val="00015628"/>
    <w:rsid w:val="00015886"/>
    <w:rsid w:val="000162EF"/>
    <w:rsid w:val="000166D4"/>
    <w:rsid w:val="00016C86"/>
    <w:rsid w:val="00017346"/>
    <w:rsid w:val="0001744D"/>
    <w:rsid w:val="00017925"/>
    <w:rsid w:val="00020228"/>
    <w:rsid w:val="000207C9"/>
    <w:rsid w:val="000208EC"/>
    <w:rsid w:val="00020B04"/>
    <w:rsid w:val="00021296"/>
    <w:rsid w:val="00021AAC"/>
    <w:rsid w:val="0002225F"/>
    <w:rsid w:val="00022EEF"/>
    <w:rsid w:val="00023763"/>
    <w:rsid w:val="00023BF1"/>
    <w:rsid w:val="00023C8A"/>
    <w:rsid w:val="00024242"/>
    <w:rsid w:val="000245A4"/>
    <w:rsid w:val="000248CC"/>
    <w:rsid w:val="00024EB5"/>
    <w:rsid w:val="000255FD"/>
    <w:rsid w:val="00025C15"/>
    <w:rsid w:val="000266B5"/>
    <w:rsid w:val="00027233"/>
    <w:rsid w:val="000274B8"/>
    <w:rsid w:val="00027580"/>
    <w:rsid w:val="0003087E"/>
    <w:rsid w:val="00030F50"/>
    <w:rsid w:val="00032A10"/>
    <w:rsid w:val="00033863"/>
    <w:rsid w:val="000344DC"/>
    <w:rsid w:val="00034C66"/>
    <w:rsid w:val="00034EAC"/>
    <w:rsid w:val="00034FA4"/>
    <w:rsid w:val="000355DC"/>
    <w:rsid w:val="00035650"/>
    <w:rsid w:val="000357AD"/>
    <w:rsid w:val="00035DC0"/>
    <w:rsid w:val="00036722"/>
    <w:rsid w:val="00036829"/>
    <w:rsid w:val="00036EB5"/>
    <w:rsid w:val="00036F2A"/>
    <w:rsid w:val="000377BA"/>
    <w:rsid w:val="00040895"/>
    <w:rsid w:val="00040A3B"/>
    <w:rsid w:val="00040E47"/>
    <w:rsid w:val="000410A0"/>
    <w:rsid w:val="00041157"/>
    <w:rsid w:val="00041545"/>
    <w:rsid w:val="000417F1"/>
    <w:rsid w:val="00041AD5"/>
    <w:rsid w:val="000421BC"/>
    <w:rsid w:val="0004222D"/>
    <w:rsid w:val="00042DDA"/>
    <w:rsid w:val="00042FC8"/>
    <w:rsid w:val="000435EE"/>
    <w:rsid w:val="00043B98"/>
    <w:rsid w:val="00043C37"/>
    <w:rsid w:val="00043E23"/>
    <w:rsid w:val="00045017"/>
    <w:rsid w:val="00045A2B"/>
    <w:rsid w:val="00045C26"/>
    <w:rsid w:val="00045E7D"/>
    <w:rsid w:val="00045E97"/>
    <w:rsid w:val="0004665D"/>
    <w:rsid w:val="0004698F"/>
    <w:rsid w:val="00046D64"/>
    <w:rsid w:val="00046F96"/>
    <w:rsid w:val="00047371"/>
    <w:rsid w:val="000473ED"/>
    <w:rsid w:val="00047435"/>
    <w:rsid w:val="00050195"/>
    <w:rsid w:val="000508C2"/>
    <w:rsid w:val="00050F4D"/>
    <w:rsid w:val="0005132D"/>
    <w:rsid w:val="000514BC"/>
    <w:rsid w:val="000518F2"/>
    <w:rsid w:val="000522A6"/>
    <w:rsid w:val="00052644"/>
    <w:rsid w:val="000529AB"/>
    <w:rsid w:val="00052A0F"/>
    <w:rsid w:val="00053147"/>
    <w:rsid w:val="000539D0"/>
    <w:rsid w:val="00054222"/>
    <w:rsid w:val="00054621"/>
    <w:rsid w:val="000546D7"/>
    <w:rsid w:val="00054A8D"/>
    <w:rsid w:val="00055609"/>
    <w:rsid w:val="000567E4"/>
    <w:rsid w:val="00056D75"/>
    <w:rsid w:val="00056ECF"/>
    <w:rsid w:val="00057540"/>
    <w:rsid w:val="000604DF"/>
    <w:rsid w:val="00061056"/>
    <w:rsid w:val="00061ED0"/>
    <w:rsid w:val="000622B0"/>
    <w:rsid w:val="00062324"/>
    <w:rsid w:val="000624B6"/>
    <w:rsid w:val="00062BAC"/>
    <w:rsid w:val="000633B6"/>
    <w:rsid w:val="0006450E"/>
    <w:rsid w:val="000653B5"/>
    <w:rsid w:val="000656A8"/>
    <w:rsid w:val="00065A11"/>
    <w:rsid w:val="00066066"/>
    <w:rsid w:val="00066360"/>
    <w:rsid w:val="000668C2"/>
    <w:rsid w:val="000668DF"/>
    <w:rsid w:val="00066AF8"/>
    <w:rsid w:val="000676B4"/>
    <w:rsid w:val="00067982"/>
    <w:rsid w:val="00070688"/>
    <w:rsid w:val="00071248"/>
    <w:rsid w:val="0007175B"/>
    <w:rsid w:val="0007178A"/>
    <w:rsid w:val="000717D7"/>
    <w:rsid w:val="00071CE8"/>
    <w:rsid w:val="000720B9"/>
    <w:rsid w:val="00072B82"/>
    <w:rsid w:val="00072EBB"/>
    <w:rsid w:val="00073528"/>
    <w:rsid w:val="000737F7"/>
    <w:rsid w:val="00073C88"/>
    <w:rsid w:val="00074439"/>
    <w:rsid w:val="000750ED"/>
    <w:rsid w:val="00075A2C"/>
    <w:rsid w:val="0007672F"/>
    <w:rsid w:val="00076B54"/>
    <w:rsid w:val="0007701E"/>
    <w:rsid w:val="00077127"/>
    <w:rsid w:val="00077425"/>
    <w:rsid w:val="000774F0"/>
    <w:rsid w:val="00080282"/>
    <w:rsid w:val="00080909"/>
    <w:rsid w:val="000812CA"/>
    <w:rsid w:val="000818D9"/>
    <w:rsid w:val="00081E63"/>
    <w:rsid w:val="0008258D"/>
    <w:rsid w:val="0008271E"/>
    <w:rsid w:val="00083401"/>
    <w:rsid w:val="0008383E"/>
    <w:rsid w:val="00083E99"/>
    <w:rsid w:val="00083FB3"/>
    <w:rsid w:val="000844E2"/>
    <w:rsid w:val="00084823"/>
    <w:rsid w:val="00084BDB"/>
    <w:rsid w:val="00084FA8"/>
    <w:rsid w:val="000856C5"/>
    <w:rsid w:val="000857D0"/>
    <w:rsid w:val="00085911"/>
    <w:rsid w:val="00085C31"/>
    <w:rsid w:val="0008662A"/>
    <w:rsid w:val="0008696C"/>
    <w:rsid w:val="00086AC8"/>
    <w:rsid w:val="000875E6"/>
    <w:rsid w:val="0008789C"/>
    <w:rsid w:val="000902D9"/>
    <w:rsid w:val="00090C7E"/>
    <w:rsid w:val="000911AC"/>
    <w:rsid w:val="00091478"/>
    <w:rsid w:val="00092217"/>
    <w:rsid w:val="000924C0"/>
    <w:rsid w:val="00092600"/>
    <w:rsid w:val="0009262B"/>
    <w:rsid w:val="00092E0F"/>
    <w:rsid w:val="00092EAF"/>
    <w:rsid w:val="00093310"/>
    <w:rsid w:val="00093B81"/>
    <w:rsid w:val="00093E9F"/>
    <w:rsid w:val="00093F17"/>
    <w:rsid w:val="0009402B"/>
    <w:rsid w:val="0009445C"/>
    <w:rsid w:val="00095200"/>
    <w:rsid w:val="00095C5E"/>
    <w:rsid w:val="00095FE5"/>
    <w:rsid w:val="00096284"/>
    <w:rsid w:val="000970DD"/>
    <w:rsid w:val="000A0D8A"/>
    <w:rsid w:val="000A1072"/>
    <w:rsid w:val="000A13FB"/>
    <w:rsid w:val="000A1BC0"/>
    <w:rsid w:val="000A1C09"/>
    <w:rsid w:val="000A2A36"/>
    <w:rsid w:val="000A2C12"/>
    <w:rsid w:val="000A2CFE"/>
    <w:rsid w:val="000A2D72"/>
    <w:rsid w:val="000A2F9E"/>
    <w:rsid w:val="000A3E47"/>
    <w:rsid w:val="000A4296"/>
    <w:rsid w:val="000A4C75"/>
    <w:rsid w:val="000A5047"/>
    <w:rsid w:val="000A51FA"/>
    <w:rsid w:val="000A522B"/>
    <w:rsid w:val="000A6039"/>
    <w:rsid w:val="000A614D"/>
    <w:rsid w:val="000A7453"/>
    <w:rsid w:val="000A7D08"/>
    <w:rsid w:val="000B0121"/>
    <w:rsid w:val="000B0286"/>
    <w:rsid w:val="000B02AE"/>
    <w:rsid w:val="000B0670"/>
    <w:rsid w:val="000B0E75"/>
    <w:rsid w:val="000B142A"/>
    <w:rsid w:val="000B153E"/>
    <w:rsid w:val="000B1CB0"/>
    <w:rsid w:val="000B23BF"/>
    <w:rsid w:val="000B2DCB"/>
    <w:rsid w:val="000B2EC0"/>
    <w:rsid w:val="000B3885"/>
    <w:rsid w:val="000B3E70"/>
    <w:rsid w:val="000B4FC9"/>
    <w:rsid w:val="000B5726"/>
    <w:rsid w:val="000B5CE0"/>
    <w:rsid w:val="000B5E36"/>
    <w:rsid w:val="000B600A"/>
    <w:rsid w:val="000B6BA2"/>
    <w:rsid w:val="000B6CAC"/>
    <w:rsid w:val="000B7612"/>
    <w:rsid w:val="000B78AE"/>
    <w:rsid w:val="000C1887"/>
    <w:rsid w:val="000C1EE5"/>
    <w:rsid w:val="000C2170"/>
    <w:rsid w:val="000C2421"/>
    <w:rsid w:val="000C3DF9"/>
    <w:rsid w:val="000C3EC7"/>
    <w:rsid w:val="000C3EF8"/>
    <w:rsid w:val="000C40E5"/>
    <w:rsid w:val="000C41A8"/>
    <w:rsid w:val="000C421D"/>
    <w:rsid w:val="000C4685"/>
    <w:rsid w:val="000C4BD3"/>
    <w:rsid w:val="000C4CF2"/>
    <w:rsid w:val="000C4E42"/>
    <w:rsid w:val="000C512E"/>
    <w:rsid w:val="000C6713"/>
    <w:rsid w:val="000C6DA9"/>
    <w:rsid w:val="000C7C9D"/>
    <w:rsid w:val="000D005F"/>
    <w:rsid w:val="000D0063"/>
    <w:rsid w:val="000D0FF0"/>
    <w:rsid w:val="000D1361"/>
    <w:rsid w:val="000D1774"/>
    <w:rsid w:val="000D1BFC"/>
    <w:rsid w:val="000D1D5D"/>
    <w:rsid w:val="000D2349"/>
    <w:rsid w:val="000D281A"/>
    <w:rsid w:val="000D2833"/>
    <w:rsid w:val="000D2848"/>
    <w:rsid w:val="000D308F"/>
    <w:rsid w:val="000D326A"/>
    <w:rsid w:val="000D43C1"/>
    <w:rsid w:val="000D47C2"/>
    <w:rsid w:val="000D481E"/>
    <w:rsid w:val="000D48DB"/>
    <w:rsid w:val="000D51FB"/>
    <w:rsid w:val="000D653F"/>
    <w:rsid w:val="000D6C38"/>
    <w:rsid w:val="000D721B"/>
    <w:rsid w:val="000D7CAD"/>
    <w:rsid w:val="000E0640"/>
    <w:rsid w:val="000E0BCF"/>
    <w:rsid w:val="000E0C4C"/>
    <w:rsid w:val="000E0D28"/>
    <w:rsid w:val="000E1132"/>
    <w:rsid w:val="000E135D"/>
    <w:rsid w:val="000E188F"/>
    <w:rsid w:val="000E1CF0"/>
    <w:rsid w:val="000E20BF"/>
    <w:rsid w:val="000E2782"/>
    <w:rsid w:val="000E2A3B"/>
    <w:rsid w:val="000E3528"/>
    <w:rsid w:val="000E4557"/>
    <w:rsid w:val="000E4B66"/>
    <w:rsid w:val="000E55E3"/>
    <w:rsid w:val="000E6548"/>
    <w:rsid w:val="000E7620"/>
    <w:rsid w:val="000E7B1F"/>
    <w:rsid w:val="000E7F4F"/>
    <w:rsid w:val="000F00BA"/>
    <w:rsid w:val="000F0712"/>
    <w:rsid w:val="000F13B2"/>
    <w:rsid w:val="000F1423"/>
    <w:rsid w:val="000F316A"/>
    <w:rsid w:val="000F316E"/>
    <w:rsid w:val="000F3C74"/>
    <w:rsid w:val="000F4170"/>
    <w:rsid w:val="000F48B5"/>
    <w:rsid w:val="000F4BB8"/>
    <w:rsid w:val="000F4FA9"/>
    <w:rsid w:val="000F5190"/>
    <w:rsid w:val="000F53FB"/>
    <w:rsid w:val="000F62C8"/>
    <w:rsid w:val="000F6476"/>
    <w:rsid w:val="000F6673"/>
    <w:rsid w:val="000F6B1E"/>
    <w:rsid w:val="000F7127"/>
    <w:rsid w:val="000F7B54"/>
    <w:rsid w:val="000F7BD2"/>
    <w:rsid w:val="001000B3"/>
    <w:rsid w:val="0010035C"/>
    <w:rsid w:val="00100AC7"/>
    <w:rsid w:val="00100D41"/>
    <w:rsid w:val="00100EB9"/>
    <w:rsid w:val="00100F8A"/>
    <w:rsid w:val="0010192B"/>
    <w:rsid w:val="00101BA2"/>
    <w:rsid w:val="00103D73"/>
    <w:rsid w:val="00104018"/>
    <w:rsid w:val="0010452E"/>
    <w:rsid w:val="00105AE2"/>
    <w:rsid w:val="001060C6"/>
    <w:rsid w:val="00106B80"/>
    <w:rsid w:val="00107ECE"/>
    <w:rsid w:val="0011032E"/>
    <w:rsid w:val="00111DC2"/>
    <w:rsid w:val="00111EEA"/>
    <w:rsid w:val="00111FCD"/>
    <w:rsid w:val="001127E8"/>
    <w:rsid w:val="00112C8A"/>
    <w:rsid w:val="0011348B"/>
    <w:rsid w:val="0011367C"/>
    <w:rsid w:val="00115982"/>
    <w:rsid w:val="00115B49"/>
    <w:rsid w:val="00115E02"/>
    <w:rsid w:val="001167F2"/>
    <w:rsid w:val="00116C53"/>
    <w:rsid w:val="00117325"/>
    <w:rsid w:val="00117ADC"/>
    <w:rsid w:val="00117F8A"/>
    <w:rsid w:val="0012010A"/>
    <w:rsid w:val="00120BE3"/>
    <w:rsid w:val="0012139B"/>
    <w:rsid w:val="00121799"/>
    <w:rsid w:val="00121A2B"/>
    <w:rsid w:val="001222FC"/>
    <w:rsid w:val="0012342E"/>
    <w:rsid w:val="00123902"/>
    <w:rsid w:val="001248AF"/>
    <w:rsid w:val="00124A51"/>
    <w:rsid w:val="0012523D"/>
    <w:rsid w:val="0012540E"/>
    <w:rsid w:val="00125889"/>
    <w:rsid w:val="001265E5"/>
    <w:rsid w:val="00126621"/>
    <w:rsid w:val="00126B1D"/>
    <w:rsid w:val="00126C11"/>
    <w:rsid w:val="00126E21"/>
    <w:rsid w:val="00126FB6"/>
    <w:rsid w:val="00127257"/>
    <w:rsid w:val="00127501"/>
    <w:rsid w:val="001301E9"/>
    <w:rsid w:val="00131D82"/>
    <w:rsid w:val="00131E25"/>
    <w:rsid w:val="00131F50"/>
    <w:rsid w:val="0013232C"/>
    <w:rsid w:val="00132648"/>
    <w:rsid w:val="00132B22"/>
    <w:rsid w:val="00132B9C"/>
    <w:rsid w:val="00132C1F"/>
    <w:rsid w:val="00132EAF"/>
    <w:rsid w:val="00133C3D"/>
    <w:rsid w:val="00133D36"/>
    <w:rsid w:val="001347B5"/>
    <w:rsid w:val="00134B8B"/>
    <w:rsid w:val="00134CB8"/>
    <w:rsid w:val="00135E3D"/>
    <w:rsid w:val="00136833"/>
    <w:rsid w:val="00136E8E"/>
    <w:rsid w:val="00136F02"/>
    <w:rsid w:val="00137645"/>
    <w:rsid w:val="00137C22"/>
    <w:rsid w:val="0014015A"/>
    <w:rsid w:val="001402E3"/>
    <w:rsid w:val="00140AFC"/>
    <w:rsid w:val="00140B12"/>
    <w:rsid w:val="00140DE6"/>
    <w:rsid w:val="00140E99"/>
    <w:rsid w:val="001414FC"/>
    <w:rsid w:val="00141574"/>
    <w:rsid w:val="0014214F"/>
    <w:rsid w:val="001423D8"/>
    <w:rsid w:val="00142C9A"/>
    <w:rsid w:val="00143A54"/>
    <w:rsid w:val="00143E82"/>
    <w:rsid w:val="00143F67"/>
    <w:rsid w:val="001443C9"/>
    <w:rsid w:val="00145011"/>
    <w:rsid w:val="00145234"/>
    <w:rsid w:val="0014539B"/>
    <w:rsid w:val="00145540"/>
    <w:rsid w:val="0014557B"/>
    <w:rsid w:val="001455F7"/>
    <w:rsid w:val="001456B0"/>
    <w:rsid w:val="00146364"/>
    <w:rsid w:val="00147858"/>
    <w:rsid w:val="00147E66"/>
    <w:rsid w:val="00151829"/>
    <w:rsid w:val="0015284D"/>
    <w:rsid w:val="00152EC1"/>
    <w:rsid w:val="0015304D"/>
    <w:rsid w:val="00153F3C"/>
    <w:rsid w:val="0015479D"/>
    <w:rsid w:val="001547AB"/>
    <w:rsid w:val="001553F3"/>
    <w:rsid w:val="001564F6"/>
    <w:rsid w:val="00156C41"/>
    <w:rsid w:val="00156F8F"/>
    <w:rsid w:val="00157130"/>
    <w:rsid w:val="001576B1"/>
    <w:rsid w:val="00157A1D"/>
    <w:rsid w:val="0016047B"/>
    <w:rsid w:val="00160572"/>
    <w:rsid w:val="001605EA"/>
    <w:rsid w:val="00160A18"/>
    <w:rsid w:val="00160A29"/>
    <w:rsid w:val="00160A4C"/>
    <w:rsid w:val="00160A74"/>
    <w:rsid w:val="001614E0"/>
    <w:rsid w:val="00161A6B"/>
    <w:rsid w:val="00161C8C"/>
    <w:rsid w:val="00162913"/>
    <w:rsid w:val="00163EFF"/>
    <w:rsid w:val="00163F66"/>
    <w:rsid w:val="0016478E"/>
    <w:rsid w:val="00164C32"/>
    <w:rsid w:val="00164F65"/>
    <w:rsid w:val="00165381"/>
    <w:rsid w:val="00165EC4"/>
    <w:rsid w:val="001661FB"/>
    <w:rsid w:val="00166E9F"/>
    <w:rsid w:val="001671A0"/>
    <w:rsid w:val="0016767F"/>
    <w:rsid w:val="00167C77"/>
    <w:rsid w:val="00167E85"/>
    <w:rsid w:val="00170D88"/>
    <w:rsid w:val="00170F72"/>
    <w:rsid w:val="0017183B"/>
    <w:rsid w:val="00172430"/>
    <w:rsid w:val="0017276E"/>
    <w:rsid w:val="00172C27"/>
    <w:rsid w:val="00172D04"/>
    <w:rsid w:val="00172E76"/>
    <w:rsid w:val="00173565"/>
    <w:rsid w:val="00173B07"/>
    <w:rsid w:val="00173EC6"/>
    <w:rsid w:val="00174406"/>
    <w:rsid w:val="001749CC"/>
    <w:rsid w:val="001751FA"/>
    <w:rsid w:val="001754D8"/>
    <w:rsid w:val="0017736A"/>
    <w:rsid w:val="001800E9"/>
    <w:rsid w:val="0018095D"/>
    <w:rsid w:val="00181C10"/>
    <w:rsid w:val="00181D9C"/>
    <w:rsid w:val="001826BE"/>
    <w:rsid w:val="00183069"/>
    <w:rsid w:val="00183608"/>
    <w:rsid w:val="001837FF"/>
    <w:rsid w:val="00183ADC"/>
    <w:rsid w:val="00183CD0"/>
    <w:rsid w:val="00183D5E"/>
    <w:rsid w:val="00184B0E"/>
    <w:rsid w:val="00184E12"/>
    <w:rsid w:val="00185117"/>
    <w:rsid w:val="001857B1"/>
    <w:rsid w:val="00186C03"/>
    <w:rsid w:val="00186E2F"/>
    <w:rsid w:val="0018752F"/>
    <w:rsid w:val="0019176D"/>
    <w:rsid w:val="00192C44"/>
    <w:rsid w:val="00193270"/>
    <w:rsid w:val="00193838"/>
    <w:rsid w:val="00193CE8"/>
    <w:rsid w:val="001941EE"/>
    <w:rsid w:val="001942C2"/>
    <w:rsid w:val="0019430E"/>
    <w:rsid w:val="00194AD8"/>
    <w:rsid w:val="00194EE7"/>
    <w:rsid w:val="00195222"/>
    <w:rsid w:val="00195452"/>
    <w:rsid w:val="0019580C"/>
    <w:rsid w:val="001962C8"/>
    <w:rsid w:val="00196C36"/>
    <w:rsid w:val="00197202"/>
    <w:rsid w:val="001975D8"/>
    <w:rsid w:val="001A1239"/>
    <w:rsid w:val="001A178E"/>
    <w:rsid w:val="001A182D"/>
    <w:rsid w:val="001A19E5"/>
    <w:rsid w:val="001A2476"/>
    <w:rsid w:val="001A3583"/>
    <w:rsid w:val="001A38E9"/>
    <w:rsid w:val="001A39D4"/>
    <w:rsid w:val="001A43FA"/>
    <w:rsid w:val="001A4603"/>
    <w:rsid w:val="001A47C5"/>
    <w:rsid w:val="001A521D"/>
    <w:rsid w:val="001A59FB"/>
    <w:rsid w:val="001A5A0A"/>
    <w:rsid w:val="001A5E9E"/>
    <w:rsid w:val="001A6203"/>
    <w:rsid w:val="001A6289"/>
    <w:rsid w:val="001A6354"/>
    <w:rsid w:val="001A6366"/>
    <w:rsid w:val="001A68E5"/>
    <w:rsid w:val="001A78CA"/>
    <w:rsid w:val="001A7905"/>
    <w:rsid w:val="001A7AE8"/>
    <w:rsid w:val="001B0303"/>
    <w:rsid w:val="001B086B"/>
    <w:rsid w:val="001B08C8"/>
    <w:rsid w:val="001B173C"/>
    <w:rsid w:val="001B204E"/>
    <w:rsid w:val="001B2372"/>
    <w:rsid w:val="001B2729"/>
    <w:rsid w:val="001B2A36"/>
    <w:rsid w:val="001B3443"/>
    <w:rsid w:val="001B46CF"/>
    <w:rsid w:val="001B4D20"/>
    <w:rsid w:val="001B4FA3"/>
    <w:rsid w:val="001B55D7"/>
    <w:rsid w:val="001B609C"/>
    <w:rsid w:val="001B65A4"/>
    <w:rsid w:val="001B68F7"/>
    <w:rsid w:val="001B6F47"/>
    <w:rsid w:val="001B74E5"/>
    <w:rsid w:val="001B7698"/>
    <w:rsid w:val="001B7A31"/>
    <w:rsid w:val="001B7F84"/>
    <w:rsid w:val="001C0394"/>
    <w:rsid w:val="001C0BC8"/>
    <w:rsid w:val="001C1F7D"/>
    <w:rsid w:val="001C22CA"/>
    <w:rsid w:val="001C2A9B"/>
    <w:rsid w:val="001C3DD6"/>
    <w:rsid w:val="001C4299"/>
    <w:rsid w:val="001C4874"/>
    <w:rsid w:val="001C4E6E"/>
    <w:rsid w:val="001C5657"/>
    <w:rsid w:val="001C5942"/>
    <w:rsid w:val="001C5F71"/>
    <w:rsid w:val="001C5F94"/>
    <w:rsid w:val="001C61DA"/>
    <w:rsid w:val="001C62BA"/>
    <w:rsid w:val="001C6E66"/>
    <w:rsid w:val="001C7B3F"/>
    <w:rsid w:val="001C7C86"/>
    <w:rsid w:val="001D0FF8"/>
    <w:rsid w:val="001D1100"/>
    <w:rsid w:val="001D1391"/>
    <w:rsid w:val="001D1A94"/>
    <w:rsid w:val="001D1B1B"/>
    <w:rsid w:val="001D2056"/>
    <w:rsid w:val="001D25C0"/>
    <w:rsid w:val="001D25D7"/>
    <w:rsid w:val="001D2A2E"/>
    <w:rsid w:val="001D2EEB"/>
    <w:rsid w:val="001D3EDC"/>
    <w:rsid w:val="001D49BC"/>
    <w:rsid w:val="001D50B2"/>
    <w:rsid w:val="001D60F0"/>
    <w:rsid w:val="001D71F4"/>
    <w:rsid w:val="001D7645"/>
    <w:rsid w:val="001D7656"/>
    <w:rsid w:val="001D7D69"/>
    <w:rsid w:val="001E0712"/>
    <w:rsid w:val="001E07DF"/>
    <w:rsid w:val="001E1308"/>
    <w:rsid w:val="001E13FD"/>
    <w:rsid w:val="001E1E86"/>
    <w:rsid w:val="001E238E"/>
    <w:rsid w:val="001E2483"/>
    <w:rsid w:val="001E2B1E"/>
    <w:rsid w:val="001E2CFF"/>
    <w:rsid w:val="001E2E9E"/>
    <w:rsid w:val="001E2F24"/>
    <w:rsid w:val="001E30D4"/>
    <w:rsid w:val="001E34DF"/>
    <w:rsid w:val="001E3C95"/>
    <w:rsid w:val="001E45AC"/>
    <w:rsid w:val="001E5131"/>
    <w:rsid w:val="001E52EB"/>
    <w:rsid w:val="001E56E8"/>
    <w:rsid w:val="001E57F7"/>
    <w:rsid w:val="001E61D2"/>
    <w:rsid w:val="001E66EE"/>
    <w:rsid w:val="001E6874"/>
    <w:rsid w:val="001E6E16"/>
    <w:rsid w:val="001E740C"/>
    <w:rsid w:val="001E7954"/>
    <w:rsid w:val="001E7BFA"/>
    <w:rsid w:val="001E7EA1"/>
    <w:rsid w:val="001F09F6"/>
    <w:rsid w:val="001F0AFF"/>
    <w:rsid w:val="001F1235"/>
    <w:rsid w:val="001F150C"/>
    <w:rsid w:val="001F16D4"/>
    <w:rsid w:val="001F1CB3"/>
    <w:rsid w:val="001F2591"/>
    <w:rsid w:val="001F25C9"/>
    <w:rsid w:val="001F2C82"/>
    <w:rsid w:val="001F2EA4"/>
    <w:rsid w:val="001F2EBF"/>
    <w:rsid w:val="001F38B5"/>
    <w:rsid w:val="001F3DFF"/>
    <w:rsid w:val="001F4081"/>
    <w:rsid w:val="001F49C4"/>
    <w:rsid w:val="001F52C7"/>
    <w:rsid w:val="001F5C27"/>
    <w:rsid w:val="001F5C7C"/>
    <w:rsid w:val="001F629E"/>
    <w:rsid w:val="001F6808"/>
    <w:rsid w:val="001F68A6"/>
    <w:rsid w:val="001F6CB3"/>
    <w:rsid w:val="001F6D5C"/>
    <w:rsid w:val="001F7361"/>
    <w:rsid w:val="0020032B"/>
    <w:rsid w:val="0020083E"/>
    <w:rsid w:val="002011B0"/>
    <w:rsid w:val="002013D1"/>
    <w:rsid w:val="00201BCB"/>
    <w:rsid w:val="00201F57"/>
    <w:rsid w:val="00202118"/>
    <w:rsid w:val="002027AC"/>
    <w:rsid w:val="00203181"/>
    <w:rsid w:val="002032BC"/>
    <w:rsid w:val="00203783"/>
    <w:rsid w:val="0020385F"/>
    <w:rsid w:val="002044DE"/>
    <w:rsid w:val="00204DC2"/>
    <w:rsid w:val="002068A0"/>
    <w:rsid w:val="00206F94"/>
    <w:rsid w:val="00207021"/>
    <w:rsid w:val="0020732F"/>
    <w:rsid w:val="0020736A"/>
    <w:rsid w:val="00207D00"/>
    <w:rsid w:val="002100FA"/>
    <w:rsid w:val="002105C1"/>
    <w:rsid w:val="0021091D"/>
    <w:rsid w:val="002116E3"/>
    <w:rsid w:val="002116FD"/>
    <w:rsid w:val="00211C02"/>
    <w:rsid w:val="00212393"/>
    <w:rsid w:val="00212614"/>
    <w:rsid w:val="00212874"/>
    <w:rsid w:val="002136E1"/>
    <w:rsid w:val="002137F9"/>
    <w:rsid w:val="00213EF5"/>
    <w:rsid w:val="0021581F"/>
    <w:rsid w:val="00216BF5"/>
    <w:rsid w:val="00217A8A"/>
    <w:rsid w:val="002206DB"/>
    <w:rsid w:val="002206F8"/>
    <w:rsid w:val="0022265D"/>
    <w:rsid w:val="002230EA"/>
    <w:rsid w:val="00223AFF"/>
    <w:rsid w:val="00223B49"/>
    <w:rsid w:val="00223D5A"/>
    <w:rsid w:val="00223D67"/>
    <w:rsid w:val="00224DD4"/>
    <w:rsid w:val="00225BCB"/>
    <w:rsid w:val="00225E68"/>
    <w:rsid w:val="0022635C"/>
    <w:rsid w:val="0022646D"/>
    <w:rsid w:val="002264F5"/>
    <w:rsid w:val="0022672D"/>
    <w:rsid w:val="0022740D"/>
    <w:rsid w:val="002276AB"/>
    <w:rsid w:val="002278A0"/>
    <w:rsid w:val="00227DAF"/>
    <w:rsid w:val="00230361"/>
    <w:rsid w:val="002309CC"/>
    <w:rsid w:val="00230C63"/>
    <w:rsid w:val="00230D2D"/>
    <w:rsid w:val="0023186F"/>
    <w:rsid w:val="00231A4C"/>
    <w:rsid w:val="00231A4F"/>
    <w:rsid w:val="00231BA9"/>
    <w:rsid w:val="0023209F"/>
    <w:rsid w:val="00232ABD"/>
    <w:rsid w:val="002330A2"/>
    <w:rsid w:val="0023359B"/>
    <w:rsid w:val="00233C01"/>
    <w:rsid w:val="00233E1B"/>
    <w:rsid w:val="00233FC1"/>
    <w:rsid w:val="0023413C"/>
    <w:rsid w:val="00234645"/>
    <w:rsid w:val="002346F0"/>
    <w:rsid w:val="00235208"/>
    <w:rsid w:val="0023629D"/>
    <w:rsid w:val="00236C3A"/>
    <w:rsid w:val="00237255"/>
    <w:rsid w:val="00237ED9"/>
    <w:rsid w:val="002419CA"/>
    <w:rsid w:val="00241AD1"/>
    <w:rsid w:val="002424AF"/>
    <w:rsid w:val="00242866"/>
    <w:rsid w:val="00242AD6"/>
    <w:rsid w:val="00243834"/>
    <w:rsid w:val="002439DC"/>
    <w:rsid w:val="00243D3E"/>
    <w:rsid w:val="002441D2"/>
    <w:rsid w:val="00244DC8"/>
    <w:rsid w:val="002456AC"/>
    <w:rsid w:val="002458BA"/>
    <w:rsid w:val="00245C27"/>
    <w:rsid w:val="00245CE9"/>
    <w:rsid w:val="0024636C"/>
    <w:rsid w:val="00246E70"/>
    <w:rsid w:val="00247925"/>
    <w:rsid w:val="00247956"/>
    <w:rsid w:val="00251006"/>
    <w:rsid w:val="00251277"/>
    <w:rsid w:val="00251574"/>
    <w:rsid w:val="00251614"/>
    <w:rsid w:val="00251EEC"/>
    <w:rsid w:val="002524D5"/>
    <w:rsid w:val="00252AC1"/>
    <w:rsid w:val="00252C6B"/>
    <w:rsid w:val="00252F7F"/>
    <w:rsid w:val="002533CE"/>
    <w:rsid w:val="0025358C"/>
    <w:rsid w:val="00253B1D"/>
    <w:rsid w:val="00253FBD"/>
    <w:rsid w:val="002541DE"/>
    <w:rsid w:val="0025451E"/>
    <w:rsid w:val="00254DCF"/>
    <w:rsid w:val="002551E2"/>
    <w:rsid w:val="0025534B"/>
    <w:rsid w:val="00255BB7"/>
    <w:rsid w:val="00256998"/>
    <w:rsid w:val="00257515"/>
    <w:rsid w:val="00257541"/>
    <w:rsid w:val="00257862"/>
    <w:rsid w:val="00257A39"/>
    <w:rsid w:val="00257AC4"/>
    <w:rsid w:val="00257BBE"/>
    <w:rsid w:val="00257FBD"/>
    <w:rsid w:val="00260F0A"/>
    <w:rsid w:val="00261566"/>
    <w:rsid w:val="00261EEF"/>
    <w:rsid w:val="00262462"/>
    <w:rsid w:val="00262A1A"/>
    <w:rsid w:val="00262A87"/>
    <w:rsid w:val="0026338A"/>
    <w:rsid w:val="00263C05"/>
    <w:rsid w:val="00264D26"/>
    <w:rsid w:val="00265753"/>
    <w:rsid w:val="002660ED"/>
    <w:rsid w:val="00267642"/>
    <w:rsid w:val="00267A18"/>
    <w:rsid w:val="00267AEA"/>
    <w:rsid w:val="002700E6"/>
    <w:rsid w:val="00271FF5"/>
    <w:rsid w:val="00272461"/>
    <w:rsid w:val="0027294B"/>
    <w:rsid w:val="00272A9B"/>
    <w:rsid w:val="00273EB4"/>
    <w:rsid w:val="00274435"/>
    <w:rsid w:val="00274682"/>
    <w:rsid w:val="00275158"/>
    <w:rsid w:val="002757B7"/>
    <w:rsid w:val="00275C5A"/>
    <w:rsid w:val="0027606C"/>
    <w:rsid w:val="0027719A"/>
    <w:rsid w:val="002775CB"/>
    <w:rsid w:val="00277A2F"/>
    <w:rsid w:val="00280F61"/>
    <w:rsid w:val="00281014"/>
    <w:rsid w:val="0028140A"/>
    <w:rsid w:val="00282EED"/>
    <w:rsid w:val="0028397E"/>
    <w:rsid w:val="0028567C"/>
    <w:rsid w:val="002856C6"/>
    <w:rsid w:val="00285BCE"/>
    <w:rsid w:val="00285D53"/>
    <w:rsid w:val="00286054"/>
    <w:rsid w:val="0028665D"/>
    <w:rsid w:val="00286708"/>
    <w:rsid w:val="00286C25"/>
    <w:rsid w:val="00286FBE"/>
    <w:rsid w:val="0028741F"/>
    <w:rsid w:val="00287A68"/>
    <w:rsid w:val="002918C7"/>
    <w:rsid w:val="00291AA8"/>
    <w:rsid w:val="00291EC4"/>
    <w:rsid w:val="0029207D"/>
    <w:rsid w:val="002921CD"/>
    <w:rsid w:val="00292B32"/>
    <w:rsid w:val="0029341B"/>
    <w:rsid w:val="00293C06"/>
    <w:rsid w:val="00294597"/>
    <w:rsid w:val="00294C33"/>
    <w:rsid w:val="0029581E"/>
    <w:rsid w:val="00295BAC"/>
    <w:rsid w:val="00295D46"/>
    <w:rsid w:val="002969FF"/>
    <w:rsid w:val="0029762C"/>
    <w:rsid w:val="00297DB1"/>
    <w:rsid w:val="00297FE8"/>
    <w:rsid w:val="002A012D"/>
    <w:rsid w:val="002A0818"/>
    <w:rsid w:val="002A085E"/>
    <w:rsid w:val="002A0D5D"/>
    <w:rsid w:val="002A14AB"/>
    <w:rsid w:val="002A2A81"/>
    <w:rsid w:val="002A2ADE"/>
    <w:rsid w:val="002A2F50"/>
    <w:rsid w:val="002A3427"/>
    <w:rsid w:val="002A347E"/>
    <w:rsid w:val="002A402C"/>
    <w:rsid w:val="002A529A"/>
    <w:rsid w:val="002A5715"/>
    <w:rsid w:val="002A5DAE"/>
    <w:rsid w:val="002A65B2"/>
    <w:rsid w:val="002A66F7"/>
    <w:rsid w:val="002A6CAA"/>
    <w:rsid w:val="002A6EA4"/>
    <w:rsid w:val="002A7943"/>
    <w:rsid w:val="002A7E1A"/>
    <w:rsid w:val="002B05A1"/>
    <w:rsid w:val="002B078C"/>
    <w:rsid w:val="002B09A4"/>
    <w:rsid w:val="002B0E0C"/>
    <w:rsid w:val="002B1207"/>
    <w:rsid w:val="002B12B9"/>
    <w:rsid w:val="002B1934"/>
    <w:rsid w:val="002B1C1F"/>
    <w:rsid w:val="002B1E15"/>
    <w:rsid w:val="002B1E99"/>
    <w:rsid w:val="002B24F9"/>
    <w:rsid w:val="002B25D4"/>
    <w:rsid w:val="002B284E"/>
    <w:rsid w:val="002B3DDC"/>
    <w:rsid w:val="002B432F"/>
    <w:rsid w:val="002B5362"/>
    <w:rsid w:val="002B5DE4"/>
    <w:rsid w:val="002B5E00"/>
    <w:rsid w:val="002B62B3"/>
    <w:rsid w:val="002B6754"/>
    <w:rsid w:val="002B6CCE"/>
    <w:rsid w:val="002B6D51"/>
    <w:rsid w:val="002B7720"/>
    <w:rsid w:val="002C07EB"/>
    <w:rsid w:val="002C11AA"/>
    <w:rsid w:val="002C120C"/>
    <w:rsid w:val="002C1E75"/>
    <w:rsid w:val="002C1F80"/>
    <w:rsid w:val="002C2510"/>
    <w:rsid w:val="002C2775"/>
    <w:rsid w:val="002C27C1"/>
    <w:rsid w:val="002C2C89"/>
    <w:rsid w:val="002C2F57"/>
    <w:rsid w:val="002C301D"/>
    <w:rsid w:val="002C36E3"/>
    <w:rsid w:val="002C4E06"/>
    <w:rsid w:val="002C4FD4"/>
    <w:rsid w:val="002C5099"/>
    <w:rsid w:val="002C5889"/>
    <w:rsid w:val="002C6B56"/>
    <w:rsid w:val="002C71CE"/>
    <w:rsid w:val="002C7958"/>
    <w:rsid w:val="002C7CAF"/>
    <w:rsid w:val="002C7CC4"/>
    <w:rsid w:val="002C7F75"/>
    <w:rsid w:val="002D08F8"/>
    <w:rsid w:val="002D09D6"/>
    <w:rsid w:val="002D17FB"/>
    <w:rsid w:val="002D1B05"/>
    <w:rsid w:val="002D1F60"/>
    <w:rsid w:val="002D2126"/>
    <w:rsid w:val="002D223B"/>
    <w:rsid w:val="002D2B41"/>
    <w:rsid w:val="002D2EC8"/>
    <w:rsid w:val="002D2FB2"/>
    <w:rsid w:val="002D3A9F"/>
    <w:rsid w:val="002D4AEE"/>
    <w:rsid w:val="002D4B10"/>
    <w:rsid w:val="002D577C"/>
    <w:rsid w:val="002D6540"/>
    <w:rsid w:val="002D6AB0"/>
    <w:rsid w:val="002D7187"/>
    <w:rsid w:val="002D7832"/>
    <w:rsid w:val="002D7C99"/>
    <w:rsid w:val="002E0C51"/>
    <w:rsid w:val="002E1071"/>
    <w:rsid w:val="002E15B9"/>
    <w:rsid w:val="002E2158"/>
    <w:rsid w:val="002E2254"/>
    <w:rsid w:val="002E27DC"/>
    <w:rsid w:val="002E2FE7"/>
    <w:rsid w:val="002E3CE5"/>
    <w:rsid w:val="002E4777"/>
    <w:rsid w:val="002E48D8"/>
    <w:rsid w:val="002E4DB5"/>
    <w:rsid w:val="002E4F02"/>
    <w:rsid w:val="002E5142"/>
    <w:rsid w:val="002E5A99"/>
    <w:rsid w:val="002E6CE0"/>
    <w:rsid w:val="002E7722"/>
    <w:rsid w:val="002F027A"/>
    <w:rsid w:val="002F0653"/>
    <w:rsid w:val="002F07BA"/>
    <w:rsid w:val="002F0DA9"/>
    <w:rsid w:val="002F1014"/>
    <w:rsid w:val="002F1801"/>
    <w:rsid w:val="002F1D84"/>
    <w:rsid w:val="002F1E3B"/>
    <w:rsid w:val="002F1F5C"/>
    <w:rsid w:val="002F2C8F"/>
    <w:rsid w:val="002F4374"/>
    <w:rsid w:val="002F45A1"/>
    <w:rsid w:val="002F4C8D"/>
    <w:rsid w:val="002F4F79"/>
    <w:rsid w:val="002F507A"/>
    <w:rsid w:val="002F5C81"/>
    <w:rsid w:val="002F643C"/>
    <w:rsid w:val="002F6D63"/>
    <w:rsid w:val="002F6E02"/>
    <w:rsid w:val="002F71C0"/>
    <w:rsid w:val="002F74F1"/>
    <w:rsid w:val="002F7907"/>
    <w:rsid w:val="003006C7"/>
    <w:rsid w:val="00300FC3"/>
    <w:rsid w:val="00301017"/>
    <w:rsid w:val="00301280"/>
    <w:rsid w:val="0030155F"/>
    <w:rsid w:val="003023AF"/>
    <w:rsid w:val="00303FAB"/>
    <w:rsid w:val="003046E9"/>
    <w:rsid w:val="0030531A"/>
    <w:rsid w:val="0030584E"/>
    <w:rsid w:val="0030587B"/>
    <w:rsid w:val="00306D98"/>
    <w:rsid w:val="0030786C"/>
    <w:rsid w:val="00307B81"/>
    <w:rsid w:val="00307E3C"/>
    <w:rsid w:val="0031031A"/>
    <w:rsid w:val="003105D4"/>
    <w:rsid w:val="00310981"/>
    <w:rsid w:val="003109FB"/>
    <w:rsid w:val="00311CBF"/>
    <w:rsid w:val="00311D9B"/>
    <w:rsid w:val="003124D9"/>
    <w:rsid w:val="00312594"/>
    <w:rsid w:val="003129B7"/>
    <w:rsid w:val="00313A9D"/>
    <w:rsid w:val="00314A0E"/>
    <w:rsid w:val="00314BDC"/>
    <w:rsid w:val="00315498"/>
    <w:rsid w:val="00315856"/>
    <w:rsid w:val="003158CC"/>
    <w:rsid w:val="00315B8B"/>
    <w:rsid w:val="0031602C"/>
    <w:rsid w:val="00316474"/>
    <w:rsid w:val="00316D2F"/>
    <w:rsid w:val="003175B3"/>
    <w:rsid w:val="003175F4"/>
    <w:rsid w:val="00317A75"/>
    <w:rsid w:val="00320013"/>
    <w:rsid w:val="003201CB"/>
    <w:rsid w:val="00320BE0"/>
    <w:rsid w:val="003210DE"/>
    <w:rsid w:val="00321863"/>
    <w:rsid w:val="00322107"/>
    <w:rsid w:val="00322355"/>
    <w:rsid w:val="0032255D"/>
    <w:rsid w:val="0032281F"/>
    <w:rsid w:val="00322846"/>
    <w:rsid w:val="00322F4C"/>
    <w:rsid w:val="003237E7"/>
    <w:rsid w:val="00324027"/>
    <w:rsid w:val="00324048"/>
    <w:rsid w:val="00324203"/>
    <w:rsid w:val="00325EA3"/>
    <w:rsid w:val="00325ED7"/>
    <w:rsid w:val="00326DA7"/>
    <w:rsid w:val="00326EE8"/>
    <w:rsid w:val="003270E4"/>
    <w:rsid w:val="003278D1"/>
    <w:rsid w:val="00330A1C"/>
    <w:rsid w:val="00330DAA"/>
    <w:rsid w:val="00330F5C"/>
    <w:rsid w:val="00331074"/>
    <w:rsid w:val="00331697"/>
    <w:rsid w:val="00331E45"/>
    <w:rsid w:val="00332ABA"/>
    <w:rsid w:val="00332EAC"/>
    <w:rsid w:val="00333589"/>
    <w:rsid w:val="00333F3F"/>
    <w:rsid w:val="0033409E"/>
    <w:rsid w:val="003348DE"/>
    <w:rsid w:val="00334BE4"/>
    <w:rsid w:val="00334C27"/>
    <w:rsid w:val="00335A61"/>
    <w:rsid w:val="003362C5"/>
    <w:rsid w:val="003366C9"/>
    <w:rsid w:val="00336BFF"/>
    <w:rsid w:val="0033710C"/>
    <w:rsid w:val="0033711B"/>
    <w:rsid w:val="003371B0"/>
    <w:rsid w:val="00337FE7"/>
    <w:rsid w:val="003402D8"/>
    <w:rsid w:val="00340645"/>
    <w:rsid w:val="00340DF1"/>
    <w:rsid w:val="00341147"/>
    <w:rsid w:val="00341CB4"/>
    <w:rsid w:val="00342422"/>
    <w:rsid w:val="0034245A"/>
    <w:rsid w:val="00342619"/>
    <w:rsid w:val="00342924"/>
    <w:rsid w:val="00342C69"/>
    <w:rsid w:val="00343794"/>
    <w:rsid w:val="00344542"/>
    <w:rsid w:val="00344996"/>
    <w:rsid w:val="0034548C"/>
    <w:rsid w:val="00345E19"/>
    <w:rsid w:val="003465FB"/>
    <w:rsid w:val="0034690B"/>
    <w:rsid w:val="003474D2"/>
    <w:rsid w:val="0035010A"/>
    <w:rsid w:val="00350B41"/>
    <w:rsid w:val="003517F9"/>
    <w:rsid w:val="00351BA9"/>
    <w:rsid w:val="00352EB4"/>
    <w:rsid w:val="00352EBB"/>
    <w:rsid w:val="0035315B"/>
    <w:rsid w:val="0035331D"/>
    <w:rsid w:val="0035419A"/>
    <w:rsid w:val="00354D06"/>
    <w:rsid w:val="00354E3A"/>
    <w:rsid w:val="00354EF4"/>
    <w:rsid w:val="00354F64"/>
    <w:rsid w:val="00355734"/>
    <w:rsid w:val="00355929"/>
    <w:rsid w:val="0035620E"/>
    <w:rsid w:val="00356656"/>
    <w:rsid w:val="003575BE"/>
    <w:rsid w:val="0035785B"/>
    <w:rsid w:val="003579E5"/>
    <w:rsid w:val="00357DE5"/>
    <w:rsid w:val="00360345"/>
    <w:rsid w:val="003603BE"/>
    <w:rsid w:val="0036065A"/>
    <w:rsid w:val="00360BE2"/>
    <w:rsid w:val="00360D1F"/>
    <w:rsid w:val="00360F54"/>
    <w:rsid w:val="00361802"/>
    <w:rsid w:val="00361A05"/>
    <w:rsid w:val="00361A07"/>
    <w:rsid w:val="003624C4"/>
    <w:rsid w:val="0036306C"/>
    <w:rsid w:val="00363B00"/>
    <w:rsid w:val="003645AB"/>
    <w:rsid w:val="003654AC"/>
    <w:rsid w:val="00365534"/>
    <w:rsid w:val="00365A0D"/>
    <w:rsid w:val="00365AE2"/>
    <w:rsid w:val="00365B22"/>
    <w:rsid w:val="00365BFD"/>
    <w:rsid w:val="00366843"/>
    <w:rsid w:val="00366A7E"/>
    <w:rsid w:val="00366B5D"/>
    <w:rsid w:val="00366E28"/>
    <w:rsid w:val="00367316"/>
    <w:rsid w:val="00367481"/>
    <w:rsid w:val="003676C8"/>
    <w:rsid w:val="00367B86"/>
    <w:rsid w:val="00367E6E"/>
    <w:rsid w:val="00367EAB"/>
    <w:rsid w:val="0037009A"/>
    <w:rsid w:val="00371092"/>
    <w:rsid w:val="003710CF"/>
    <w:rsid w:val="00371AFF"/>
    <w:rsid w:val="00371BFC"/>
    <w:rsid w:val="0037291E"/>
    <w:rsid w:val="00372A07"/>
    <w:rsid w:val="00372A85"/>
    <w:rsid w:val="003733C6"/>
    <w:rsid w:val="0037358A"/>
    <w:rsid w:val="003739B6"/>
    <w:rsid w:val="00374607"/>
    <w:rsid w:val="003750F6"/>
    <w:rsid w:val="0037565C"/>
    <w:rsid w:val="00375E17"/>
    <w:rsid w:val="003760FC"/>
    <w:rsid w:val="00376BD3"/>
    <w:rsid w:val="00377252"/>
    <w:rsid w:val="003772AE"/>
    <w:rsid w:val="0037732D"/>
    <w:rsid w:val="00380011"/>
    <w:rsid w:val="0038075C"/>
    <w:rsid w:val="003815B2"/>
    <w:rsid w:val="00381784"/>
    <w:rsid w:val="00381C77"/>
    <w:rsid w:val="00382785"/>
    <w:rsid w:val="0038310F"/>
    <w:rsid w:val="00383573"/>
    <w:rsid w:val="0038365C"/>
    <w:rsid w:val="0038369B"/>
    <w:rsid w:val="00383B78"/>
    <w:rsid w:val="003846C2"/>
    <w:rsid w:val="0038511E"/>
    <w:rsid w:val="003851AA"/>
    <w:rsid w:val="003858B2"/>
    <w:rsid w:val="00385A49"/>
    <w:rsid w:val="00385A9D"/>
    <w:rsid w:val="003861B1"/>
    <w:rsid w:val="00387121"/>
    <w:rsid w:val="00387F37"/>
    <w:rsid w:val="003902B1"/>
    <w:rsid w:val="0039102F"/>
    <w:rsid w:val="003912DB"/>
    <w:rsid w:val="0039157E"/>
    <w:rsid w:val="0039179C"/>
    <w:rsid w:val="00391AC9"/>
    <w:rsid w:val="00391BE2"/>
    <w:rsid w:val="00392701"/>
    <w:rsid w:val="00392B19"/>
    <w:rsid w:val="00392C95"/>
    <w:rsid w:val="00393AA3"/>
    <w:rsid w:val="00393D20"/>
    <w:rsid w:val="00393E69"/>
    <w:rsid w:val="00394130"/>
    <w:rsid w:val="00394325"/>
    <w:rsid w:val="003943ED"/>
    <w:rsid w:val="003945C5"/>
    <w:rsid w:val="00394F47"/>
    <w:rsid w:val="00395517"/>
    <w:rsid w:val="00395868"/>
    <w:rsid w:val="00396192"/>
    <w:rsid w:val="00396392"/>
    <w:rsid w:val="00396896"/>
    <w:rsid w:val="00396FD0"/>
    <w:rsid w:val="003A03EA"/>
    <w:rsid w:val="003A040A"/>
    <w:rsid w:val="003A08D6"/>
    <w:rsid w:val="003A09B4"/>
    <w:rsid w:val="003A1A7A"/>
    <w:rsid w:val="003A1E9C"/>
    <w:rsid w:val="003A2262"/>
    <w:rsid w:val="003A2392"/>
    <w:rsid w:val="003A26AB"/>
    <w:rsid w:val="003A2700"/>
    <w:rsid w:val="003A2831"/>
    <w:rsid w:val="003A2A28"/>
    <w:rsid w:val="003A2C3E"/>
    <w:rsid w:val="003A311F"/>
    <w:rsid w:val="003A37BE"/>
    <w:rsid w:val="003A3CB6"/>
    <w:rsid w:val="003A3ED1"/>
    <w:rsid w:val="003A44DB"/>
    <w:rsid w:val="003A4577"/>
    <w:rsid w:val="003A46E1"/>
    <w:rsid w:val="003A4BEB"/>
    <w:rsid w:val="003A4C14"/>
    <w:rsid w:val="003A667D"/>
    <w:rsid w:val="003A68DC"/>
    <w:rsid w:val="003A6F46"/>
    <w:rsid w:val="003B0141"/>
    <w:rsid w:val="003B06A7"/>
    <w:rsid w:val="003B09EA"/>
    <w:rsid w:val="003B11AF"/>
    <w:rsid w:val="003B17DB"/>
    <w:rsid w:val="003B1CF8"/>
    <w:rsid w:val="003B1E65"/>
    <w:rsid w:val="003B23E2"/>
    <w:rsid w:val="003B2BA0"/>
    <w:rsid w:val="003B3511"/>
    <w:rsid w:val="003B3701"/>
    <w:rsid w:val="003B3971"/>
    <w:rsid w:val="003B39D8"/>
    <w:rsid w:val="003B3B2B"/>
    <w:rsid w:val="003B4660"/>
    <w:rsid w:val="003B55D1"/>
    <w:rsid w:val="003B576B"/>
    <w:rsid w:val="003B5B61"/>
    <w:rsid w:val="003B6378"/>
    <w:rsid w:val="003B64B3"/>
    <w:rsid w:val="003B722F"/>
    <w:rsid w:val="003B7EED"/>
    <w:rsid w:val="003C0B9F"/>
    <w:rsid w:val="003C0FBD"/>
    <w:rsid w:val="003C0FE3"/>
    <w:rsid w:val="003C103F"/>
    <w:rsid w:val="003C1654"/>
    <w:rsid w:val="003C2D8B"/>
    <w:rsid w:val="003C2E7B"/>
    <w:rsid w:val="003C3ECE"/>
    <w:rsid w:val="003C3F79"/>
    <w:rsid w:val="003C531E"/>
    <w:rsid w:val="003C5542"/>
    <w:rsid w:val="003C5844"/>
    <w:rsid w:val="003C5C1D"/>
    <w:rsid w:val="003C6816"/>
    <w:rsid w:val="003C6991"/>
    <w:rsid w:val="003C6A93"/>
    <w:rsid w:val="003C7C15"/>
    <w:rsid w:val="003C7D19"/>
    <w:rsid w:val="003C7D2F"/>
    <w:rsid w:val="003D0C5A"/>
    <w:rsid w:val="003D14F4"/>
    <w:rsid w:val="003D1828"/>
    <w:rsid w:val="003D19FC"/>
    <w:rsid w:val="003D1DE4"/>
    <w:rsid w:val="003D1E9A"/>
    <w:rsid w:val="003D2116"/>
    <w:rsid w:val="003D21DF"/>
    <w:rsid w:val="003D2422"/>
    <w:rsid w:val="003D2C57"/>
    <w:rsid w:val="003D2D27"/>
    <w:rsid w:val="003D3447"/>
    <w:rsid w:val="003D39A1"/>
    <w:rsid w:val="003D3FBF"/>
    <w:rsid w:val="003D4A30"/>
    <w:rsid w:val="003D4FD5"/>
    <w:rsid w:val="003D5985"/>
    <w:rsid w:val="003D6C86"/>
    <w:rsid w:val="003D7048"/>
    <w:rsid w:val="003D7452"/>
    <w:rsid w:val="003D786B"/>
    <w:rsid w:val="003D79BB"/>
    <w:rsid w:val="003D7B9A"/>
    <w:rsid w:val="003D7C98"/>
    <w:rsid w:val="003D7D9D"/>
    <w:rsid w:val="003E0543"/>
    <w:rsid w:val="003E0CF9"/>
    <w:rsid w:val="003E17CE"/>
    <w:rsid w:val="003E1D9C"/>
    <w:rsid w:val="003E1E28"/>
    <w:rsid w:val="003E2503"/>
    <w:rsid w:val="003E26E8"/>
    <w:rsid w:val="003E3227"/>
    <w:rsid w:val="003E53E6"/>
    <w:rsid w:val="003E543A"/>
    <w:rsid w:val="003E5603"/>
    <w:rsid w:val="003E5926"/>
    <w:rsid w:val="003E5F91"/>
    <w:rsid w:val="003E63E3"/>
    <w:rsid w:val="003E706D"/>
    <w:rsid w:val="003E749E"/>
    <w:rsid w:val="003E7610"/>
    <w:rsid w:val="003E783E"/>
    <w:rsid w:val="003F00A5"/>
    <w:rsid w:val="003F1C53"/>
    <w:rsid w:val="003F2405"/>
    <w:rsid w:val="003F2CC2"/>
    <w:rsid w:val="003F323F"/>
    <w:rsid w:val="003F3599"/>
    <w:rsid w:val="003F3CFE"/>
    <w:rsid w:val="003F4156"/>
    <w:rsid w:val="003F4E22"/>
    <w:rsid w:val="003F51E9"/>
    <w:rsid w:val="003F5ADF"/>
    <w:rsid w:val="003F5D3F"/>
    <w:rsid w:val="0040023F"/>
    <w:rsid w:val="00400748"/>
    <w:rsid w:val="00400B29"/>
    <w:rsid w:val="00401D46"/>
    <w:rsid w:val="00401F16"/>
    <w:rsid w:val="00402812"/>
    <w:rsid w:val="00402941"/>
    <w:rsid w:val="00402E52"/>
    <w:rsid w:val="00402FEE"/>
    <w:rsid w:val="00403B16"/>
    <w:rsid w:val="00403EEE"/>
    <w:rsid w:val="0040504B"/>
    <w:rsid w:val="004059F4"/>
    <w:rsid w:val="004060E6"/>
    <w:rsid w:val="00407FE5"/>
    <w:rsid w:val="004101B0"/>
    <w:rsid w:val="00410326"/>
    <w:rsid w:val="00410708"/>
    <w:rsid w:val="00410EC7"/>
    <w:rsid w:val="00410F69"/>
    <w:rsid w:val="00411747"/>
    <w:rsid w:val="004119C9"/>
    <w:rsid w:val="00411B39"/>
    <w:rsid w:val="0041234B"/>
    <w:rsid w:val="004123D3"/>
    <w:rsid w:val="004123F4"/>
    <w:rsid w:val="004127A7"/>
    <w:rsid w:val="004127B6"/>
    <w:rsid w:val="0041305E"/>
    <w:rsid w:val="00413A1E"/>
    <w:rsid w:val="00414476"/>
    <w:rsid w:val="00414563"/>
    <w:rsid w:val="00414C2E"/>
    <w:rsid w:val="00414DC2"/>
    <w:rsid w:val="004151CF"/>
    <w:rsid w:val="00415B75"/>
    <w:rsid w:val="00415F54"/>
    <w:rsid w:val="00416364"/>
    <w:rsid w:val="0041676D"/>
    <w:rsid w:val="00417DD0"/>
    <w:rsid w:val="0042047F"/>
    <w:rsid w:val="00420AA6"/>
    <w:rsid w:val="00420B9F"/>
    <w:rsid w:val="004213C6"/>
    <w:rsid w:val="0042192C"/>
    <w:rsid w:val="00422260"/>
    <w:rsid w:val="00422393"/>
    <w:rsid w:val="00422558"/>
    <w:rsid w:val="004229FE"/>
    <w:rsid w:val="00422C48"/>
    <w:rsid w:val="00423198"/>
    <w:rsid w:val="004236C3"/>
    <w:rsid w:val="0042413F"/>
    <w:rsid w:val="0042471F"/>
    <w:rsid w:val="004247C1"/>
    <w:rsid w:val="00424900"/>
    <w:rsid w:val="004254E9"/>
    <w:rsid w:val="004255C5"/>
    <w:rsid w:val="00425F8C"/>
    <w:rsid w:val="004268E5"/>
    <w:rsid w:val="00426CDF"/>
    <w:rsid w:val="004273C3"/>
    <w:rsid w:val="00430F9D"/>
    <w:rsid w:val="004317A3"/>
    <w:rsid w:val="004319F8"/>
    <w:rsid w:val="00431E55"/>
    <w:rsid w:val="004321F6"/>
    <w:rsid w:val="00433044"/>
    <w:rsid w:val="0043320A"/>
    <w:rsid w:val="0043349E"/>
    <w:rsid w:val="0043386C"/>
    <w:rsid w:val="00433B2A"/>
    <w:rsid w:val="00434088"/>
    <w:rsid w:val="004340CB"/>
    <w:rsid w:val="00434235"/>
    <w:rsid w:val="00434A27"/>
    <w:rsid w:val="00434B62"/>
    <w:rsid w:val="004361C5"/>
    <w:rsid w:val="00436AB3"/>
    <w:rsid w:val="00436F09"/>
    <w:rsid w:val="004373CC"/>
    <w:rsid w:val="004375B9"/>
    <w:rsid w:val="00437D05"/>
    <w:rsid w:val="0044064F"/>
    <w:rsid w:val="004409EE"/>
    <w:rsid w:val="00440C06"/>
    <w:rsid w:val="00441C1B"/>
    <w:rsid w:val="00442755"/>
    <w:rsid w:val="004428D0"/>
    <w:rsid w:val="00442D67"/>
    <w:rsid w:val="0044315D"/>
    <w:rsid w:val="004439BB"/>
    <w:rsid w:val="00443DD2"/>
    <w:rsid w:val="00443E81"/>
    <w:rsid w:val="00444185"/>
    <w:rsid w:val="004443A7"/>
    <w:rsid w:val="0044442C"/>
    <w:rsid w:val="00444D43"/>
    <w:rsid w:val="00445448"/>
    <w:rsid w:val="00445465"/>
    <w:rsid w:val="004454A2"/>
    <w:rsid w:val="004455EE"/>
    <w:rsid w:val="0044562F"/>
    <w:rsid w:val="004458F7"/>
    <w:rsid w:val="00445941"/>
    <w:rsid w:val="00445C30"/>
    <w:rsid w:val="00445DCF"/>
    <w:rsid w:val="00445F3F"/>
    <w:rsid w:val="004464EB"/>
    <w:rsid w:val="00446AE1"/>
    <w:rsid w:val="00446C42"/>
    <w:rsid w:val="004473B4"/>
    <w:rsid w:val="00447B56"/>
    <w:rsid w:val="00447D26"/>
    <w:rsid w:val="00447DFC"/>
    <w:rsid w:val="004500FC"/>
    <w:rsid w:val="00451B61"/>
    <w:rsid w:val="00452802"/>
    <w:rsid w:val="00453370"/>
    <w:rsid w:val="00453444"/>
    <w:rsid w:val="00453675"/>
    <w:rsid w:val="0045375F"/>
    <w:rsid w:val="00453EF9"/>
    <w:rsid w:val="00454965"/>
    <w:rsid w:val="00454A56"/>
    <w:rsid w:val="0045500B"/>
    <w:rsid w:val="0045546C"/>
    <w:rsid w:val="00455D45"/>
    <w:rsid w:val="0045606D"/>
    <w:rsid w:val="00456AF2"/>
    <w:rsid w:val="004575E1"/>
    <w:rsid w:val="00457E3B"/>
    <w:rsid w:val="00457E5E"/>
    <w:rsid w:val="00457FC3"/>
    <w:rsid w:val="00461B33"/>
    <w:rsid w:val="00464595"/>
    <w:rsid w:val="00464604"/>
    <w:rsid w:val="00464820"/>
    <w:rsid w:val="004654EB"/>
    <w:rsid w:val="0046580F"/>
    <w:rsid w:val="004658B5"/>
    <w:rsid w:val="004660E0"/>
    <w:rsid w:val="00466824"/>
    <w:rsid w:val="00467999"/>
    <w:rsid w:val="00467B13"/>
    <w:rsid w:val="0047116C"/>
    <w:rsid w:val="0047144A"/>
    <w:rsid w:val="00471EA5"/>
    <w:rsid w:val="00472414"/>
    <w:rsid w:val="0047250F"/>
    <w:rsid w:val="00472A79"/>
    <w:rsid w:val="00473276"/>
    <w:rsid w:val="0047375A"/>
    <w:rsid w:val="004737AB"/>
    <w:rsid w:val="004738B2"/>
    <w:rsid w:val="00473ED0"/>
    <w:rsid w:val="00473F19"/>
    <w:rsid w:val="004745FE"/>
    <w:rsid w:val="00474751"/>
    <w:rsid w:val="004749C1"/>
    <w:rsid w:val="00474ADF"/>
    <w:rsid w:val="004754AC"/>
    <w:rsid w:val="00475A92"/>
    <w:rsid w:val="00475A9B"/>
    <w:rsid w:val="00475E22"/>
    <w:rsid w:val="00476664"/>
    <w:rsid w:val="00476C07"/>
    <w:rsid w:val="0048020A"/>
    <w:rsid w:val="0048073D"/>
    <w:rsid w:val="0048088E"/>
    <w:rsid w:val="00480F2B"/>
    <w:rsid w:val="004814B3"/>
    <w:rsid w:val="00481817"/>
    <w:rsid w:val="00481918"/>
    <w:rsid w:val="004821C6"/>
    <w:rsid w:val="00482720"/>
    <w:rsid w:val="00482E3D"/>
    <w:rsid w:val="00482FFF"/>
    <w:rsid w:val="004835E7"/>
    <w:rsid w:val="00483626"/>
    <w:rsid w:val="00483B00"/>
    <w:rsid w:val="00484899"/>
    <w:rsid w:val="00484EF5"/>
    <w:rsid w:val="00485643"/>
    <w:rsid w:val="004858C1"/>
    <w:rsid w:val="004859E1"/>
    <w:rsid w:val="004867E2"/>
    <w:rsid w:val="004876EB"/>
    <w:rsid w:val="00487CD9"/>
    <w:rsid w:val="00490B17"/>
    <w:rsid w:val="0049119B"/>
    <w:rsid w:val="004915EC"/>
    <w:rsid w:val="00491B20"/>
    <w:rsid w:val="00491B3A"/>
    <w:rsid w:val="004921F1"/>
    <w:rsid w:val="004926E1"/>
    <w:rsid w:val="00492CFD"/>
    <w:rsid w:val="004930A0"/>
    <w:rsid w:val="00493CC7"/>
    <w:rsid w:val="00494207"/>
    <w:rsid w:val="00494DD5"/>
    <w:rsid w:val="0049520F"/>
    <w:rsid w:val="004958A1"/>
    <w:rsid w:val="004962D2"/>
    <w:rsid w:val="00496C63"/>
    <w:rsid w:val="00497D2D"/>
    <w:rsid w:val="004A06A4"/>
    <w:rsid w:val="004A0A14"/>
    <w:rsid w:val="004A0DA1"/>
    <w:rsid w:val="004A0FD5"/>
    <w:rsid w:val="004A13C1"/>
    <w:rsid w:val="004A13D6"/>
    <w:rsid w:val="004A270E"/>
    <w:rsid w:val="004A28CF"/>
    <w:rsid w:val="004A37F2"/>
    <w:rsid w:val="004A50A9"/>
    <w:rsid w:val="004A52E9"/>
    <w:rsid w:val="004A5AEA"/>
    <w:rsid w:val="004A6040"/>
    <w:rsid w:val="004A62B1"/>
    <w:rsid w:val="004A6597"/>
    <w:rsid w:val="004A68DB"/>
    <w:rsid w:val="004A6B51"/>
    <w:rsid w:val="004A736B"/>
    <w:rsid w:val="004A768F"/>
    <w:rsid w:val="004A7848"/>
    <w:rsid w:val="004A7902"/>
    <w:rsid w:val="004A793B"/>
    <w:rsid w:val="004A797F"/>
    <w:rsid w:val="004A7BFC"/>
    <w:rsid w:val="004B074E"/>
    <w:rsid w:val="004B1479"/>
    <w:rsid w:val="004B1CB4"/>
    <w:rsid w:val="004B1EFD"/>
    <w:rsid w:val="004B22E9"/>
    <w:rsid w:val="004B2EC2"/>
    <w:rsid w:val="004B2F18"/>
    <w:rsid w:val="004B327E"/>
    <w:rsid w:val="004B3312"/>
    <w:rsid w:val="004B341C"/>
    <w:rsid w:val="004B3DDB"/>
    <w:rsid w:val="004B44FD"/>
    <w:rsid w:val="004B4DBD"/>
    <w:rsid w:val="004B52FA"/>
    <w:rsid w:val="004B5CFC"/>
    <w:rsid w:val="004B6010"/>
    <w:rsid w:val="004B60F7"/>
    <w:rsid w:val="004B6322"/>
    <w:rsid w:val="004B6DDF"/>
    <w:rsid w:val="004B6F4A"/>
    <w:rsid w:val="004B6F79"/>
    <w:rsid w:val="004B774D"/>
    <w:rsid w:val="004B7AED"/>
    <w:rsid w:val="004C1C59"/>
    <w:rsid w:val="004C24DF"/>
    <w:rsid w:val="004C2AC2"/>
    <w:rsid w:val="004C2E62"/>
    <w:rsid w:val="004C3930"/>
    <w:rsid w:val="004C3EEF"/>
    <w:rsid w:val="004C40DF"/>
    <w:rsid w:val="004C44FA"/>
    <w:rsid w:val="004C4A14"/>
    <w:rsid w:val="004C4AED"/>
    <w:rsid w:val="004C4CCD"/>
    <w:rsid w:val="004C4F87"/>
    <w:rsid w:val="004C54B8"/>
    <w:rsid w:val="004C5C85"/>
    <w:rsid w:val="004C5E04"/>
    <w:rsid w:val="004C6017"/>
    <w:rsid w:val="004C677A"/>
    <w:rsid w:val="004C69CA"/>
    <w:rsid w:val="004C7B0E"/>
    <w:rsid w:val="004D0244"/>
    <w:rsid w:val="004D091D"/>
    <w:rsid w:val="004D112D"/>
    <w:rsid w:val="004D28FF"/>
    <w:rsid w:val="004D2ABF"/>
    <w:rsid w:val="004D2C2D"/>
    <w:rsid w:val="004D348A"/>
    <w:rsid w:val="004D3A47"/>
    <w:rsid w:val="004D3A4F"/>
    <w:rsid w:val="004D5ECF"/>
    <w:rsid w:val="004D6244"/>
    <w:rsid w:val="004D683D"/>
    <w:rsid w:val="004D69B5"/>
    <w:rsid w:val="004D6EFF"/>
    <w:rsid w:val="004D7227"/>
    <w:rsid w:val="004D7B5E"/>
    <w:rsid w:val="004E0005"/>
    <w:rsid w:val="004E0462"/>
    <w:rsid w:val="004E0752"/>
    <w:rsid w:val="004E0807"/>
    <w:rsid w:val="004E0897"/>
    <w:rsid w:val="004E0E7F"/>
    <w:rsid w:val="004E0EB8"/>
    <w:rsid w:val="004E137B"/>
    <w:rsid w:val="004E18E9"/>
    <w:rsid w:val="004E1CFB"/>
    <w:rsid w:val="004E1E54"/>
    <w:rsid w:val="004E2810"/>
    <w:rsid w:val="004E2ADC"/>
    <w:rsid w:val="004E43B2"/>
    <w:rsid w:val="004E4569"/>
    <w:rsid w:val="004E4FA1"/>
    <w:rsid w:val="004E6AFC"/>
    <w:rsid w:val="004E6B2E"/>
    <w:rsid w:val="004F050D"/>
    <w:rsid w:val="004F0DC0"/>
    <w:rsid w:val="004F14AE"/>
    <w:rsid w:val="004F176B"/>
    <w:rsid w:val="004F1D02"/>
    <w:rsid w:val="004F1E51"/>
    <w:rsid w:val="004F2466"/>
    <w:rsid w:val="004F25DF"/>
    <w:rsid w:val="004F2679"/>
    <w:rsid w:val="004F2826"/>
    <w:rsid w:val="004F2C65"/>
    <w:rsid w:val="004F2F21"/>
    <w:rsid w:val="004F2F49"/>
    <w:rsid w:val="004F31B3"/>
    <w:rsid w:val="004F369C"/>
    <w:rsid w:val="004F3DE5"/>
    <w:rsid w:val="004F3FAA"/>
    <w:rsid w:val="004F497E"/>
    <w:rsid w:val="004F4F5B"/>
    <w:rsid w:val="004F5590"/>
    <w:rsid w:val="004F5DF0"/>
    <w:rsid w:val="004F64D6"/>
    <w:rsid w:val="004F6913"/>
    <w:rsid w:val="004F6B7A"/>
    <w:rsid w:val="004F6CC2"/>
    <w:rsid w:val="004F7585"/>
    <w:rsid w:val="004F76D1"/>
    <w:rsid w:val="004F7865"/>
    <w:rsid w:val="004F7C35"/>
    <w:rsid w:val="0050068E"/>
    <w:rsid w:val="0050174E"/>
    <w:rsid w:val="00501854"/>
    <w:rsid w:val="00501882"/>
    <w:rsid w:val="00501A8C"/>
    <w:rsid w:val="0050209C"/>
    <w:rsid w:val="0050219B"/>
    <w:rsid w:val="00502366"/>
    <w:rsid w:val="005028C2"/>
    <w:rsid w:val="00502D89"/>
    <w:rsid w:val="00502DA0"/>
    <w:rsid w:val="005036DB"/>
    <w:rsid w:val="00503D77"/>
    <w:rsid w:val="00503F17"/>
    <w:rsid w:val="00503F3A"/>
    <w:rsid w:val="00504450"/>
    <w:rsid w:val="005044BA"/>
    <w:rsid w:val="00504650"/>
    <w:rsid w:val="00504A88"/>
    <w:rsid w:val="00504F45"/>
    <w:rsid w:val="00504FE1"/>
    <w:rsid w:val="00505969"/>
    <w:rsid w:val="00505FB5"/>
    <w:rsid w:val="0050691A"/>
    <w:rsid w:val="00506928"/>
    <w:rsid w:val="005077EF"/>
    <w:rsid w:val="00510BC8"/>
    <w:rsid w:val="00510EA7"/>
    <w:rsid w:val="0051122A"/>
    <w:rsid w:val="00511340"/>
    <w:rsid w:val="00511388"/>
    <w:rsid w:val="00511AD5"/>
    <w:rsid w:val="00511DC7"/>
    <w:rsid w:val="0051208C"/>
    <w:rsid w:val="005121B1"/>
    <w:rsid w:val="00512478"/>
    <w:rsid w:val="00512B70"/>
    <w:rsid w:val="00512DCB"/>
    <w:rsid w:val="005136F5"/>
    <w:rsid w:val="005141B2"/>
    <w:rsid w:val="005142C5"/>
    <w:rsid w:val="005148C3"/>
    <w:rsid w:val="00514BE6"/>
    <w:rsid w:val="0051501B"/>
    <w:rsid w:val="005152B5"/>
    <w:rsid w:val="00515886"/>
    <w:rsid w:val="00515FD2"/>
    <w:rsid w:val="005164BC"/>
    <w:rsid w:val="0051657A"/>
    <w:rsid w:val="005172DD"/>
    <w:rsid w:val="005175BE"/>
    <w:rsid w:val="0051780F"/>
    <w:rsid w:val="0052076D"/>
    <w:rsid w:val="00520F02"/>
    <w:rsid w:val="0052123C"/>
    <w:rsid w:val="00521319"/>
    <w:rsid w:val="00521469"/>
    <w:rsid w:val="00521594"/>
    <w:rsid w:val="005224B1"/>
    <w:rsid w:val="00522BC8"/>
    <w:rsid w:val="00522E2F"/>
    <w:rsid w:val="005230FA"/>
    <w:rsid w:val="00523A4B"/>
    <w:rsid w:val="00523C28"/>
    <w:rsid w:val="00525E22"/>
    <w:rsid w:val="00526BA9"/>
    <w:rsid w:val="00527F77"/>
    <w:rsid w:val="00530135"/>
    <w:rsid w:val="005314F6"/>
    <w:rsid w:val="0053176B"/>
    <w:rsid w:val="00531A7E"/>
    <w:rsid w:val="00531C2A"/>
    <w:rsid w:val="00532081"/>
    <w:rsid w:val="00533702"/>
    <w:rsid w:val="005340C6"/>
    <w:rsid w:val="005341B3"/>
    <w:rsid w:val="0053453B"/>
    <w:rsid w:val="00535024"/>
    <w:rsid w:val="0053504B"/>
    <w:rsid w:val="0053507C"/>
    <w:rsid w:val="0053541A"/>
    <w:rsid w:val="00535F10"/>
    <w:rsid w:val="00535F38"/>
    <w:rsid w:val="0053611F"/>
    <w:rsid w:val="0053676D"/>
    <w:rsid w:val="0053683D"/>
    <w:rsid w:val="00536F42"/>
    <w:rsid w:val="00537182"/>
    <w:rsid w:val="00537546"/>
    <w:rsid w:val="00537630"/>
    <w:rsid w:val="00540518"/>
    <w:rsid w:val="00541114"/>
    <w:rsid w:val="00541140"/>
    <w:rsid w:val="0054187E"/>
    <w:rsid w:val="00541EDD"/>
    <w:rsid w:val="00541F51"/>
    <w:rsid w:val="00542092"/>
    <w:rsid w:val="005426C2"/>
    <w:rsid w:val="005426D4"/>
    <w:rsid w:val="00542743"/>
    <w:rsid w:val="00542A22"/>
    <w:rsid w:val="00542C2D"/>
    <w:rsid w:val="00542E0A"/>
    <w:rsid w:val="005437E9"/>
    <w:rsid w:val="00543C92"/>
    <w:rsid w:val="00544DD6"/>
    <w:rsid w:val="00544E49"/>
    <w:rsid w:val="00545118"/>
    <w:rsid w:val="00545181"/>
    <w:rsid w:val="00545275"/>
    <w:rsid w:val="00545665"/>
    <w:rsid w:val="00545769"/>
    <w:rsid w:val="00546703"/>
    <w:rsid w:val="00546E22"/>
    <w:rsid w:val="005478BD"/>
    <w:rsid w:val="005479E3"/>
    <w:rsid w:val="00547F80"/>
    <w:rsid w:val="00547FC0"/>
    <w:rsid w:val="00550048"/>
    <w:rsid w:val="00550A4A"/>
    <w:rsid w:val="00550F83"/>
    <w:rsid w:val="00551985"/>
    <w:rsid w:val="00551D14"/>
    <w:rsid w:val="005522E5"/>
    <w:rsid w:val="0055255A"/>
    <w:rsid w:val="00552873"/>
    <w:rsid w:val="00552BD3"/>
    <w:rsid w:val="00552E1F"/>
    <w:rsid w:val="00553150"/>
    <w:rsid w:val="005532A0"/>
    <w:rsid w:val="005539E9"/>
    <w:rsid w:val="005544A2"/>
    <w:rsid w:val="005544EF"/>
    <w:rsid w:val="00554914"/>
    <w:rsid w:val="00555109"/>
    <w:rsid w:val="00556B35"/>
    <w:rsid w:val="00556BF0"/>
    <w:rsid w:val="00556F1F"/>
    <w:rsid w:val="00556FE8"/>
    <w:rsid w:val="0055741A"/>
    <w:rsid w:val="005601D8"/>
    <w:rsid w:val="00560839"/>
    <w:rsid w:val="005611B7"/>
    <w:rsid w:val="005618D4"/>
    <w:rsid w:val="00561A20"/>
    <w:rsid w:val="00561F90"/>
    <w:rsid w:val="00562D29"/>
    <w:rsid w:val="00563E98"/>
    <w:rsid w:val="00564867"/>
    <w:rsid w:val="00564F7A"/>
    <w:rsid w:val="00564FCD"/>
    <w:rsid w:val="0056593A"/>
    <w:rsid w:val="00565C41"/>
    <w:rsid w:val="00565C79"/>
    <w:rsid w:val="00565DF0"/>
    <w:rsid w:val="00565EE7"/>
    <w:rsid w:val="005662A7"/>
    <w:rsid w:val="00566332"/>
    <w:rsid w:val="005664DB"/>
    <w:rsid w:val="005668E9"/>
    <w:rsid w:val="0056696F"/>
    <w:rsid w:val="00570361"/>
    <w:rsid w:val="0057160C"/>
    <w:rsid w:val="00572269"/>
    <w:rsid w:val="0057244A"/>
    <w:rsid w:val="00572BE8"/>
    <w:rsid w:val="00572F26"/>
    <w:rsid w:val="00573094"/>
    <w:rsid w:val="00573849"/>
    <w:rsid w:val="00574439"/>
    <w:rsid w:val="0057472A"/>
    <w:rsid w:val="0057493C"/>
    <w:rsid w:val="005750C5"/>
    <w:rsid w:val="005752DE"/>
    <w:rsid w:val="00575949"/>
    <w:rsid w:val="00575D60"/>
    <w:rsid w:val="00575D8D"/>
    <w:rsid w:val="00576972"/>
    <w:rsid w:val="00576D3A"/>
    <w:rsid w:val="0057723E"/>
    <w:rsid w:val="00577248"/>
    <w:rsid w:val="005774EC"/>
    <w:rsid w:val="005801D9"/>
    <w:rsid w:val="00580930"/>
    <w:rsid w:val="005821E1"/>
    <w:rsid w:val="00582479"/>
    <w:rsid w:val="00582617"/>
    <w:rsid w:val="00582FAB"/>
    <w:rsid w:val="00583327"/>
    <w:rsid w:val="00583699"/>
    <w:rsid w:val="00583E01"/>
    <w:rsid w:val="00583F5D"/>
    <w:rsid w:val="00584867"/>
    <w:rsid w:val="00584B9A"/>
    <w:rsid w:val="00584FE6"/>
    <w:rsid w:val="0058515A"/>
    <w:rsid w:val="00585A6C"/>
    <w:rsid w:val="00585CDD"/>
    <w:rsid w:val="00586581"/>
    <w:rsid w:val="00586EF6"/>
    <w:rsid w:val="00587058"/>
    <w:rsid w:val="00590422"/>
    <w:rsid w:val="00590504"/>
    <w:rsid w:val="005908C9"/>
    <w:rsid w:val="00590CE3"/>
    <w:rsid w:val="00591957"/>
    <w:rsid w:val="00592F89"/>
    <w:rsid w:val="00593624"/>
    <w:rsid w:val="00593F97"/>
    <w:rsid w:val="0059459F"/>
    <w:rsid w:val="00595927"/>
    <w:rsid w:val="005961DF"/>
    <w:rsid w:val="00596CE3"/>
    <w:rsid w:val="00597327"/>
    <w:rsid w:val="0059735A"/>
    <w:rsid w:val="0059744D"/>
    <w:rsid w:val="005976A7"/>
    <w:rsid w:val="00597BF9"/>
    <w:rsid w:val="005A05AE"/>
    <w:rsid w:val="005A06E8"/>
    <w:rsid w:val="005A0C11"/>
    <w:rsid w:val="005A110E"/>
    <w:rsid w:val="005A1E6D"/>
    <w:rsid w:val="005A2AFB"/>
    <w:rsid w:val="005A309A"/>
    <w:rsid w:val="005A373D"/>
    <w:rsid w:val="005A4BF4"/>
    <w:rsid w:val="005A4EF4"/>
    <w:rsid w:val="005A53D2"/>
    <w:rsid w:val="005A59F4"/>
    <w:rsid w:val="005A65A4"/>
    <w:rsid w:val="005A6C4F"/>
    <w:rsid w:val="005A7123"/>
    <w:rsid w:val="005A7F9F"/>
    <w:rsid w:val="005B085B"/>
    <w:rsid w:val="005B08BF"/>
    <w:rsid w:val="005B0B58"/>
    <w:rsid w:val="005B149C"/>
    <w:rsid w:val="005B14E1"/>
    <w:rsid w:val="005B21E2"/>
    <w:rsid w:val="005B2391"/>
    <w:rsid w:val="005B2799"/>
    <w:rsid w:val="005B2BB8"/>
    <w:rsid w:val="005B2EF8"/>
    <w:rsid w:val="005B30F9"/>
    <w:rsid w:val="005B3298"/>
    <w:rsid w:val="005B32AB"/>
    <w:rsid w:val="005B343A"/>
    <w:rsid w:val="005B3705"/>
    <w:rsid w:val="005B411D"/>
    <w:rsid w:val="005B49D4"/>
    <w:rsid w:val="005B4DB1"/>
    <w:rsid w:val="005B4E53"/>
    <w:rsid w:val="005B4F6E"/>
    <w:rsid w:val="005B52A0"/>
    <w:rsid w:val="005B5459"/>
    <w:rsid w:val="005B572C"/>
    <w:rsid w:val="005B5857"/>
    <w:rsid w:val="005B5AFB"/>
    <w:rsid w:val="005B5D8C"/>
    <w:rsid w:val="005B63C6"/>
    <w:rsid w:val="005B647B"/>
    <w:rsid w:val="005B684A"/>
    <w:rsid w:val="005B7088"/>
    <w:rsid w:val="005B7541"/>
    <w:rsid w:val="005C0625"/>
    <w:rsid w:val="005C07DD"/>
    <w:rsid w:val="005C0A0C"/>
    <w:rsid w:val="005C11C9"/>
    <w:rsid w:val="005C1647"/>
    <w:rsid w:val="005C16C5"/>
    <w:rsid w:val="005C19C4"/>
    <w:rsid w:val="005C1B83"/>
    <w:rsid w:val="005C25C5"/>
    <w:rsid w:val="005C25FF"/>
    <w:rsid w:val="005C2631"/>
    <w:rsid w:val="005C2A32"/>
    <w:rsid w:val="005C2D55"/>
    <w:rsid w:val="005C346B"/>
    <w:rsid w:val="005C3524"/>
    <w:rsid w:val="005C38D5"/>
    <w:rsid w:val="005C3E19"/>
    <w:rsid w:val="005C40C5"/>
    <w:rsid w:val="005C4FE3"/>
    <w:rsid w:val="005C538A"/>
    <w:rsid w:val="005C5ABC"/>
    <w:rsid w:val="005C61AD"/>
    <w:rsid w:val="005C654E"/>
    <w:rsid w:val="005C6837"/>
    <w:rsid w:val="005C76DB"/>
    <w:rsid w:val="005C7CD9"/>
    <w:rsid w:val="005D0013"/>
    <w:rsid w:val="005D018E"/>
    <w:rsid w:val="005D0287"/>
    <w:rsid w:val="005D034B"/>
    <w:rsid w:val="005D044D"/>
    <w:rsid w:val="005D05B7"/>
    <w:rsid w:val="005D05EA"/>
    <w:rsid w:val="005D0ABD"/>
    <w:rsid w:val="005D1303"/>
    <w:rsid w:val="005D18AD"/>
    <w:rsid w:val="005D26B4"/>
    <w:rsid w:val="005D4C92"/>
    <w:rsid w:val="005D4F17"/>
    <w:rsid w:val="005D60D4"/>
    <w:rsid w:val="005D6499"/>
    <w:rsid w:val="005D65FF"/>
    <w:rsid w:val="005D78FD"/>
    <w:rsid w:val="005D7AAF"/>
    <w:rsid w:val="005D7E8A"/>
    <w:rsid w:val="005E0EA6"/>
    <w:rsid w:val="005E10BC"/>
    <w:rsid w:val="005E14DF"/>
    <w:rsid w:val="005E1995"/>
    <w:rsid w:val="005E1E10"/>
    <w:rsid w:val="005E24DB"/>
    <w:rsid w:val="005E2939"/>
    <w:rsid w:val="005E386B"/>
    <w:rsid w:val="005E3BA8"/>
    <w:rsid w:val="005E3D78"/>
    <w:rsid w:val="005E47DF"/>
    <w:rsid w:val="005E6CBC"/>
    <w:rsid w:val="005E72FF"/>
    <w:rsid w:val="005E73C0"/>
    <w:rsid w:val="005F07ED"/>
    <w:rsid w:val="005F1E43"/>
    <w:rsid w:val="005F2056"/>
    <w:rsid w:val="005F2136"/>
    <w:rsid w:val="005F2706"/>
    <w:rsid w:val="005F3335"/>
    <w:rsid w:val="005F39E7"/>
    <w:rsid w:val="005F4017"/>
    <w:rsid w:val="005F4949"/>
    <w:rsid w:val="005F548F"/>
    <w:rsid w:val="005F577D"/>
    <w:rsid w:val="005F6869"/>
    <w:rsid w:val="005F6A8F"/>
    <w:rsid w:val="005F6BB7"/>
    <w:rsid w:val="005F73FC"/>
    <w:rsid w:val="005F7518"/>
    <w:rsid w:val="005F7588"/>
    <w:rsid w:val="005F778B"/>
    <w:rsid w:val="005F7A7A"/>
    <w:rsid w:val="005F7CAC"/>
    <w:rsid w:val="00601324"/>
    <w:rsid w:val="00602329"/>
    <w:rsid w:val="00602382"/>
    <w:rsid w:val="006028EC"/>
    <w:rsid w:val="006029C5"/>
    <w:rsid w:val="006033DA"/>
    <w:rsid w:val="006034A2"/>
    <w:rsid w:val="00603C9D"/>
    <w:rsid w:val="00603DB9"/>
    <w:rsid w:val="0060436E"/>
    <w:rsid w:val="00604536"/>
    <w:rsid w:val="00604588"/>
    <w:rsid w:val="00604987"/>
    <w:rsid w:val="0060588C"/>
    <w:rsid w:val="00605C3F"/>
    <w:rsid w:val="00605C81"/>
    <w:rsid w:val="006064C6"/>
    <w:rsid w:val="00606691"/>
    <w:rsid w:val="00606FBA"/>
    <w:rsid w:val="00607669"/>
    <w:rsid w:val="006076F4"/>
    <w:rsid w:val="00607AED"/>
    <w:rsid w:val="00607AFD"/>
    <w:rsid w:val="00610680"/>
    <w:rsid w:val="00611256"/>
    <w:rsid w:val="006116A7"/>
    <w:rsid w:val="00611B12"/>
    <w:rsid w:val="00612ADF"/>
    <w:rsid w:val="00612B13"/>
    <w:rsid w:val="00612DFD"/>
    <w:rsid w:val="00612F97"/>
    <w:rsid w:val="006132CF"/>
    <w:rsid w:val="0061345D"/>
    <w:rsid w:val="00614CA0"/>
    <w:rsid w:val="0061549B"/>
    <w:rsid w:val="0061557A"/>
    <w:rsid w:val="00615651"/>
    <w:rsid w:val="00615B6B"/>
    <w:rsid w:val="00615D9B"/>
    <w:rsid w:val="0061654F"/>
    <w:rsid w:val="00616802"/>
    <w:rsid w:val="00617E12"/>
    <w:rsid w:val="00617EB4"/>
    <w:rsid w:val="006200CA"/>
    <w:rsid w:val="00620734"/>
    <w:rsid w:val="00620C25"/>
    <w:rsid w:val="006213FA"/>
    <w:rsid w:val="00621477"/>
    <w:rsid w:val="006215E2"/>
    <w:rsid w:val="00621ADA"/>
    <w:rsid w:val="00621C25"/>
    <w:rsid w:val="00621E6A"/>
    <w:rsid w:val="00622020"/>
    <w:rsid w:val="0062317A"/>
    <w:rsid w:val="00623949"/>
    <w:rsid w:val="00623F7B"/>
    <w:rsid w:val="00623FA1"/>
    <w:rsid w:val="00624640"/>
    <w:rsid w:val="006246C9"/>
    <w:rsid w:val="00624BBB"/>
    <w:rsid w:val="00624BD4"/>
    <w:rsid w:val="0062514A"/>
    <w:rsid w:val="006255A3"/>
    <w:rsid w:val="0062568F"/>
    <w:rsid w:val="006273EC"/>
    <w:rsid w:val="00627E96"/>
    <w:rsid w:val="00630181"/>
    <w:rsid w:val="006302F1"/>
    <w:rsid w:val="00630A0B"/>
    <w:rsid w:val="00630A84"/>
    <w:rsid w:val="00631390"/>
    <w:rsid w:val="0063158F"/>
    <w:rsid w:val="00631914"/>
    <w:rsid w:val="00631D6B"/>
    <w:rsid w:val="00631EA3"/>
    <w:rsid w:val="00632183"/>
    <w:rsid w:val="00632A15"/>
    <w:rsid w:val="00632A64"/>
    <w:rsid w:val="006330A1"/>
    <w:rsid w:val="00633252"/>
    <w:rsid w:val="00633747"/>
    <w:rsid w:val="0063421B"/>
    <w:rsid w:val="0063479F"/>
    <w:rsid w:val="00634824"/>
    <w:rsid w:val="00634F50"/>
    <w:rsid w:val="006353F0"/>
    <w:rsid w:val="0063540C"/>
    <w:rsid w:val="00635743"/>
    <w:rsid w:val="006357B5"/>
    <w:rsid w:val="006364A1"/>
    <w:rsid w:val="00636555"/>
    <w:rsid w:val="0063661D"/>
    <w:rsid w:val="0063678E"/>
    <w:rsid w:val="00637582"/>
    <w:rsid w:val="00637885"/>
    <w:rsid w:val="0063795C"/>
    <w:rsid w:val="00637BFD"/>
    <w:rsid w:val="00637C5C"/>
    <w:rsid w:val="006405D9"/>
    <w:rsid w:val="0064156E"/>
    <w:rsid w:val="00641C4E"/>
    <w:rsid w:val="00641E98"/>
    <w:rsid w:val="00641FB3"/>
    <w:rsid w:val="00642177"/>
    <w:rsid w:val="00642A90"/>
    <w:rsid w:val="00642F81"/>
    <w:rsid w:val="00643493"/>
    <w:rsid w:val="00643ACC"/>
    <w:rsid w:val="00643BBD"/>
    <w:rsid w:val="00643EDE"/>
    <w:rsid w:val="00644007"/>
    <w:rsid w:val="0064434C"/>
    <w:rsid w:val="006449BA"/>
    <w:rsid w:val="00644C76"/>
    <w:rsid w:val="00644D33"/>
    <w:rsid w:val="006450A5"/>
    <w:rsid w:val="00645C1E"/>
    <w:rsid w:val="0064664A"/>
    <w:rsid w:val="006469B3"/>
    <w:rsid w:val="0064714C"/>
    <w:rsid w:val="006471CC"/>
    <w:rsid w:val="006472FE"/>
    <w:rsid w:val="00647430"/>
    <w:rsid w:val="006479F8"/>
    <w:rsid w:val="00647A29"/>
    <w:rsid w:val="006503BB"/>
    <w:rsid w:val="0065079F"/>
    <w:rsid w:val="0065083A"/>
    <w:rsid w:val="006509C1"/>
    <w:rsid w:val="00651E5F"/>
    <w:rsid w:val="00652690"/>
    <w:rsid w:val="00652A28"/>
    <w:rsid w:val="00652F65"/>
    <w:rsid w:val="0065379F"/>
    <w:rsid w:val="00653AA6"/>
    <w:rsid w:val="00653ADF"/>
    <w:rsid w:val="00653C8E"/>
    <w:rsid w:val="0065443C"/>
    <w:rsid w:val="00654B2F"/>
    <w:rsid w:val="00655D67"/>
    <w:rsid w:val="00656008"/>
    <w:rsid w:val="00656188"/>
    <w:rsid w:val="00656EA7"/>
    <w:rsid w:val="00657046"/>
    <w:rsid w:val="0065715A"/>
    <w:rsid w:val="0066048C"/>
    <w:rsid w:val="00660F9A"/>
    <w:rsid w:val="006610F1"/>
    <w:rsid w:val="00661641"/>
    <w:rsid w:val="00661C6B"/>
    <w:rsid w:val="00661D2A"/>
    <w:rsid w:val="00662D10"/>
    <w:rsid w:val="00662D3E"/>
    <w:rsid w:val="006640D3"/>
    <w:rsid w:val="006645FD"/>
    <w:rsid w:val="00664CB8"/>
    <w:rsid w:val="006653C7"/>
    <w:rsid w:val="00665ABC"/>
    <w:rsid w:val="006661CD"/>
    <w:rsid w:val="00666BAC"/>
    <w:rsid w:val="00667BE3"/>
    <w:rsid w:val="006703ED"/>
    <w:rsid w:val="00670EAE"/>
    <w:rsid w:val="00671004"/>
    <w:rsid w:val="00671C1E"/>
    <w:rsid w:val="00672646"/>
    <w:rsid w:val="00672F0B"/>
    <w:rsid w:val="00672FFB"/>
    <w:rsid w:val="006730AD"/>
    <w:rsid w:val="0067373A"/>
    <w:rsid w:val="00674E42"/>
    <w:rsid w:val="00675721"/>
    <w:rsid w:val="00675AE4"/>
    <w:rsid w:val="00675E3B"/>
    <w:rsid w:val="00676563"/>
    <w:rsid w:val="00676C68"/>
    <w:rsid w:val="00680169"/>
    <w:rsid w:val="0068059D"/>
    <w:rsid w:val="00681148"/>
    <w:rsid w:val="006813F8"/>
    <w:rsid w:val="0068142E"/>
    <w:rsid w:val="0068146F"/>
    <w:rsid w:val="00681EE7"/>
    <w:rsid w:val="0068203B"/>
    <w:rsid w:val="00682112"/>
    <w:rsid w:val="00682BA6"/>
    <w:rsid w:val="006840AB"/>
    <w:rsid w:val="00685899"/>
    <w:rsid w:val="00686724"/>
    <w:rsid w:val="00686957"/>
    <w:rsid w:val="00686976"/>
    <w:rsid w:val="006872BA"/>
    <w:rsid w:val="00687764"/>
    <w:rsid w:val="00687913"/>
    <w:rsid w:val="0069060E"/>
    <w:rsid w:val="00690795"/>
    <w:rsid w:val="00690C30"/>
    <w:rsid w:val="006915DF"/>
    <w:rsid w:val="00691648"/>
    <w:rsid w:val="006917D7"/>
    <w:rsid w:val="006932C8"/>
    <w:rsid w:val="00693A3D"/>
    <w:rsid w:val="0069434C"/>
    <w:rsid w:val="006943D9"/>
    <w:rsid w:val="00694E9B"/>
    <w:rsid w:val="00694EF3"/>
    <w:rsid w:val="00694F44"/>
    <w:rsid w:val="00695908"/>
    <w:rsid w:val="00696420"/>
    <w:rsid w:val="006964A5"/>
    <w:rsid w:val="006965E2"/>
    <w:rsid w:val="00696D96"/>
    <w:rsid w:val="00696EF9"/>
    <w:rsid w:val="00696F51"/>
    <w:rsid w:val="006979A5"/>
    <w:rsid w:val="00697CA7"/>
    <w:rsid w:val="006A016F"/>
    <w:rsid w:val="006A026D"/>
    <w:rsid w:val="006A0DF7"/>
    <w:rsid w:val="006A0EC8"/>
    <w:rsid w:val="006A29EC"/>
    <w:rsid w:val="006A3A4E"/>
    <w:rsid w:val="006A4321"/>
    <w:rsid w:val="006A43D9"/>
    <w:rsid w:val="006A4B95"/>
    <w:rsid w:val="006A518B"/>
    <w:rsid w:val="006A59F6"/>
    <w:rsid w:val="006A694F"/>
    <w:rsid w:val="006A6B99"/>
    <w:rsid w:val="006A72F2"/>
    <w:rsid w:val="006A74FE"/>
    <w:rsid w:val="006A7E5F"/>
    <w:rsid w:val="006B03D8"/>
    <w:rsid w:val="006B085E"/>
    <w:rsid w:val="006B0E8A"/>
    <w:rsid w:val="006B1012"/>
    <w:rsid w:val="006B12DA"/>
    <w:rsid w:val="006B19A5"/>
    <w:rsid w:val="006B1CD7"/>
    <w:rsid w:val="006B261B"/>
    <w:rsid w:val="006B279E"/>
    <w:rsid w:val="006B2C90"/>
    <w:rsid w:val="006B33C1"/>
    <w:rsid w:val="006B3521"/>
    <w:rsid w:val="006B35E6"/>
    <w:rsid w:val="006B3938"/>
    <w:rsid w:val="006B3BDA"/>
    <w:rsid w:val="006B3C0A"/>
    <w:rsid w:val="006B465A"/>
    <w:rsid w:val="006B4781"/>
    <w:rsid w:val="006B48B1"/>
    <w:rsid w:val="006B5335"/>
    <w:rsid w:val="006B5705"/>
    <w:rsid w:val="006B6DD0"/>
    <w:rsid w:val="006B72ED"/>
    <w:rsid w:val="006B776D"/>
    <w:rsid w:val="006C0399"/>
    <w:rsid w:val="006C0E14"/>
    <w:rsid w:val="006C0FEF"/>
    <w:rsid w:val="006C1207"/>
    <w:rsid w:val="006C132A"/>
    <w:rsid w:val="006C1427"/>
    <w:rsid w:val="006C17B9"/>
    <w:rsid w:val="006C19F2"/>
    <w:rsid w:val="006C1E32"/>
    <w:rsid w:val="006C2A24"/>
    <w:rsid w:val="006C2A8E"/>
    <w:rsid w:val="006C2D9D"/>
    <w:rsid w:val="006C3255"/>
    <w:rsid w:val="006C33E1"/>
    <w:rsid w:val="006C3F26"/>
    <w:rsid w:val="006C6323"/>
    <w:rsid w:val="006C6F86"/>
    <w:rsid w:val="006C752C"/>
    <w:rsid w:val="006D0D17"/>
    <w:rsid w:val="006D1583"/>
    <w:rsid w:val="006D1AA5"/>
    <w:rsid w:val="006D2426"/>
    <w:rsid w:val="006D2446"/>
    <w:rsid w:val="006D3C7D"/>
    <w:rsid w:val="006D3D16"/>
    <w:rsid w:val="006D4659"/>
    <w:rsid w:val="006D4CA6"/>
    <w:rsid w:val="006D5D5F"/>
    <w:rsid w:val="006D5ED9"/>
    <w:rsid w:val="006D68FB"/>
    <w:rsid w:val="006D7399"/>
    <w:rsid w:val="006D7AFA"/>
    <w:rsid w:val="006D7AFD"/>
    <w:rsid w:val="006D7F58"/>
    <w:rsid w:val="006E03BE"/>
    <w:rsid w:val="006E175C"/>
    <w:rsid w:val="006E2868"/>
    <w:rsid w:val="006E2985"/>
    <w:rsid w:val="006E2CAB"/>
    <w:rsid w:val="006E2FA6"/>
    <w:rsid w:val="006E335E"/>
    <w:rsid w:val="006E3BFF"/>
    <w:rsid w:val="006E4593"/>
    <w:rsid w:val="006E49C9"/>
    <w:rsid w:val="006E54C2"/>
    <w:rsid w:val="006E5810"/>
    <w:rsid w:val="006E6204"/>
    <w:rsid w:val="006E69ED"/>
    <w:rsid w:val="006F1954"/>
    <w:rsid w:val="006F298F"/>
    <w:rsid w:val="006F306C"/>
    <w:rsid w:val="006F34D9"/>
    <w:rsid w:val="006F4A99"/>
    <w:rsid w:val="006F53C2"/>
    <w:rsid w:val="006F5A49"/>
    <w:rsid w:val="006F5DC7"/>
    <w:rsid w:val="006F5F3A"/>
    <w:rsid w:val="006F6338"/>
    <w:rsid w:val="006F63A5"/>
    <w:rsid w:val="006F72A0"/>
    <w:rsid w:val="006F7A51"/>
    <w:rsid w:val="006F7AA0"/>
    <w:rsid w:val="00700DC6"/>
    <w:rsid w:val="0070105A"/>
    <w:rsid w:val="0070142B"/>
    <w:rsid w:val="00701A16"/>
    <w:rsid w:val="00701FC1"/>
    <w:rsid w:val="0070276E"/>
    <w:rsid w:val="0070293E"/>
    <w:rsid w:val="00702F8F"/>
    <w:rsid w:val="00703B2C"/>
    <w:rsid w:val="00703E96"/>
    <w:rsid w:val="00703F27"/>
    <w:rsid w:val="00703F49"/>
    <w:rsid w:val="00704F88"/>
    <w:rsid w:val="00705699"/>
    <w:rsid w:val="00706421"/>
    <w:rsid w:val="007079FC"/>
    <w:rsid w:val="007104CF"/>
    <w:rsid w:val="00710B18"/>
    <w:rsid w:val="00711672"/>
    <w:rsid w:val="00711A36"/>
    <w:rsid w:val="00711F5D"/>
    <w:rsid w:val="0071203B"/>
    <w:rsid w:val="007125D3"/>
    <w:rsid w:val="00712E59"/>
    <w:rsid w:val="00712FFE"/>
    <w:rsid w:val="00713301"/>
    <w:rsid w:val="007138D2"/>
    <w:rsid w:val="00713AFD"/>
    <w:rsid w:val="00713CC0"/>
    <w:rsid w:val="0071405F"/>
    <w:rsid w:val="00714C26"/>
    <w:rsid w:val="00714EE5"/>
    <w:rsid w:val="0071529C"/>
    <w:rsid w:val="00715B17"/>
    <w:rsid w:val="007170BA"/>
    <w:rsid w:val="007170DA"/>
    <w:rsid w:val="007172AD"/>
    <w:rsid w:val="00717546"/>
    <w:rsid w:val="007176DF"/>
    <w:rsid w:val="00720227"/>
    <w:rsid w:val="007203BC"/>
    <w:rsid w:val="0072076F"/>
    <w:rsid w:val="00720801"/>
    <w:rsid w:val="00720EB8"/>
    <w:rsid w:val="00720FB2"/>
    <w:rsid w:val="00721B02"/>
    <w:rsid w:val="00722B1B"/>
    <w:rsid w:val="0072302F"/>
    <w:rsid w:val="00723D15"/>
    <w:rsid w:val="0072416F"/>
    <w:rsid w:val="00724384"/>
    <w:rsid w:val="007245A7"/>
    <w:rsid w:val="0072614C"/>
    <w:rsid w:val="00726C32"/>
    <w:rsid w:val="00727B76"/>
    <w:rsid w:val="00727C94"/>
    <w:rsid w:val="00727D1E"/>
    <w:rsid w:val="0073027E"/>
    <w:rsid w:val="00730A2A"/>
    <w:rsid w:val="00730B54"/>
    <w:rsid w:val="0073109B"/>
    <w:rsid w:val="00731395"/>
    <w:rsid w:val="007314F9"/>
    <w:rsid w:val="00731645"/>
    <w:rsid w:val="00731B0A"/>
    <w:rsid w:val="00731EAE"/>
    <w:rsid w:val="00732770"/>
    <w:rsid w:val="00732E74"/>
    <w:rsid w:val="00733047"/>
    <w:rsid w:val="00733073"/>
    <w:rsid w:val="00733B4C"/>
    <w:rsid w:val="00734120"/>
    <w:rsid w:val="00734646"/>
    <w:rsid w:val="00734BAB"/>
    <w:rsid w:val="00735033"/>
    <w:rsid w:val="00735328"/>
    <w:rsid w:val="0073558B"/>
    <w:rsid w:val="007356BC"/>
    <w:rsid w:val="00735CA5"/>
    <w:rsid w:val="0073615E"/>
    <w:rsid w:val="0073685B"/>
    <w:rsid w:val="00737B6F"/>
    <w:rsid w:val="00737B82"/>
    <w:rsid w:val="00737FBB"/>
    <w:rsid w:val="00740978"/>
    <w:rsid w:val="007418B1"/>
    <w:rsid w:val="00741B10"/>
    <w:rsid w:val="007438C0"/>
    <w:rsid w:val="00743F52"/>
    <w:rsid w:val="00744129"/>
    <w:rsid w:val="00744423"/>
    <w:rsid w:val="007449BF"/>
    <w:rsid w:val="00744C74"/>
    <w:rsid w:val="00744F82"/>
    <w:rsid w:val="0074627F"/>
    <w:rsid w:val="007463FE"/>
    <w:rsid w:val="00746BC0"/>
    <w:rsid w:val="0074733D"/>
    <w:rsid w:val="00747A7B"/>
    <w:rsid w:val="00747A86"/>
    <w:rsid w:val="00747B8B"/>
    <w:rsid w:val="00750177"/>
    <w:rsid w:val="007505AA"/>
    <w:rsid w:val="007510B4"/>
    <w:rsid w:val="00751CE1"/>
    <w:rsid w:val="00752142"/>
    <w:rsid w:val="007523F9"/>
    <w:rsid w:val="00752901"/>
    <w:rsid w:val="00752918"/>
    <w:rsid w:val="00752E37"/>
    <w:rsid w:val="007531C7"/>
    <w:rsid w:val="00753364"/>
    <w:rsid w:val="0075357E"/>
    <w:rsid w:val="0075376B"/>
    <w:rsid w:val="007539A4"/>
    <w:rsid w:val="00753AB9"/>
    <w:rsid w:val="00753B29"/>
    <w:rsid w:val="007543DB"/>
    <w:rsid w:val="00754CC8"/>
    <w:rsid w:val="00754DB8"/>
    <w:rsid w:val="00754E85"/>
    <w:rsid w:val="00755428"/>
    <w:rsid w:val="00755676"/>
    <w:rsid w:val="007559E5"/>
    <w:rsid w:val="00755E07"/>
    <w:rsid w:val="00756A0E"/>
    <w:rsid w:val="00756C30"/>
    <w:rsid w:val="00756C7E"/>
    <w:rsid w:val="007573E8"/>
    <w:rsid w:val="007574D1"/>
    <w:rsid w:val="007579AD"/>
    <w:rsid w:val="00757EB2"/>
    <w:rsid w:val="007601A0"/>
    <w:rsid w:val="0076048D"/>
    <w:rsid w:val="007608C1"/>
    <w:rsid w:val="00760C4E"/>
    <w:rsid w:val="00760F9E"/>
    <w:rsid w:val="00761354"/>
    <w:rsid w:val="007616E6"/>
    <w:rsid w:val="00761729"/>
    <w:rsid w:val="0076206D"/>
    <w:rsid w:val="007627BE"/>
    <w:rsid w:val="00762B9F"/>
    <w:rsid w:val="007632C5"/>
    <w:rsid w:val="00763515"/>
    <w:rsid w:val="00763ACE"/>
    <w:rsid w:val="00763D4F"/>
    <w:rsid w:val="007641C8"/>
    <w:rsid w:val="007641DF"/>
    <w:rsid w:val="00764F03"/>
    <w:rsid w:val="007657A6"/>
    <w:rsid w:val="00765B1A"/>
    <w:rsid w:val="00765D63"/>
    <w:rsid w:val="00765DC1"/>
    <w:rsid w:val="007669F2"/>
    <w:rsid w:val="00766A88"/>
    <w:rsid w:val="00766F58"/>
    <w:rsid w:val="007677CE"/>
    <w:rsid w:val="0077004E"/>
    <w:rsid w:val="00770539"/>
    <w:rsid w:val="00770734"/>
    <w:rsid w:val="00770DE0"/>
    <w:rsid w:val="007710D8"/>
    <w:rsid w:val="00771484"/>
    <w:rsid w:val="00772694"/>
    <w:rsid w:val="0077288A"/>
    <w:rsid w:val="007741FB"/>
    <w:rsid w:val="00774BCE"/>
    <w:rsid w:val="00775AEC"/>
    <w:rsid w:val="00775FDF"/>
    <w:rsid w:val="007760C9"/>
    <w:rsid w:val="007768E2"/>
    <w:rsid w:val="00776F85"/>
    <w:rsid w:val="00777335"/>
    <w:rsid w:val="00780A78"/>
    <w:rsid w:val="00780B05"/>
    <w:rsid w:val="007811EA"/>
    <w:rsid w:val="007829A1"/>
    <w:rsid w:val="007831C5"/>
    <w:rsid w:val="0078371C"/>
    <w:rsid w:val="00783C23"/>
    <w:rsid w:val="007843F2"/>
    <w:rsid w:val="007846FA"/>
    <w:rsid w:val="00784C03"/>
    <w:rsid w:val="0078516B"/>
    <w:rsid w:val="00785A9F"/>
    <w:rsid w:val="007914B4"/>
    <w:rsid w:val="00791EBA"/>
    <w:rsid w:val="00792431"/>
    <w:rsid w:val="007925DF"/>
    <w:rsid w:val="00792E53"/>
    <w:rsid w:val="00793EE5"/>
    <w:rsid w:val="00794211"/>
    <w:rsid w:val="00794CB3"/>
    <w:rsid w:val="00794DD0"/>
    <w:rsid w:val="00795204"/>
    <w:rsid w:val="0079605F"/>
    <w:rsid w:val="00796A63"/>
    <w:rsid w:val="0079769E"/>
    <w:rsid w:val="007A08AA"/>
    <w:rsid w:val="007A0A12"/>
    <w:rsid w:val="007A132D"/>
    <w:rsid w:val="007A1345"/>
    <w:rsid w:val="007A1DE0"/>
    <w:rsid w:val="007A2B03"/>
    <w:rsid w:val="007A2DDB"/>
    <w:rsid w:val="007A32B4"/>
    <w:rsid w:val="007A35D6"/>
    <w:rsid w:val="007A3A3B"/>
    <w:rsid w:val="007A3CE4"/>
    <w:rsid w:val="007A49C7"/>
    <w:rsid w:val="007A5566"/>
    <w:rsid w:val="007A66C3"/>
    <w:rsid w:val="007A6B88"/>
    <w:rsid w:val="007A6C04"/>
    <w:rsid w:val="007A6FAC"/>
    <w:rsid w:val="007A70BA"/>
    <w:rsid w:val="007A79DA"/>
    <w:rsid w:val="007A7DE4"/>
    <w:rsid w:val="007A7F5A"/>
    <w:rsid w:val="007B096B"/>
    <w:rsid w:val="007B0973"/>
    <w:rsid w:val="007B0D68"/>
    <w:rsid w:val="007B12FC"/>
    <w:rsid w:val="007B2320"/>
    <w:rsid w:val="007B24AE"/>
    <w:rsid w:val="007B251D"/>
    <w:rsid w:val="007B3244"/>
    <w:rsid w:val="007B3533"/>
    <w:rsid w:val="007B41C5"/>
    <w:rsid w:val="007B4577"/>
    <w:rsid w:val="007B4F58"/>
    <w:rsid w:val="007B528D"/>
    <w:rsid w:val="007B5AA9"/>
    <w:rsid w:val="007B5BDF"/>
    <w:rsid w:val="007B63CA"/>
    <w:rsid w:val="007B726C"/>
    <w:rsid w:val="007B77D1"/>
    <w:rsid w:val="007C07C7"/>
    <w:rsid w:val="007C0CAD"/>
    <w:rsid w:val="007C160E"/>
    <w:rsid w:val="007C19F4"/>
    <w:rsid w:val="007C1CD9"/>
    <w:rsid w:val="007C1D8E"/>
    <w:rsid w:val="007C20FC"/>
    <w:rsid w:val="007C27C7"/>
    <w:rsid w:val="007C32EF"/>
    <w:rsid w:val="007C361D"/>
    <w:rsid w:val="007C3E7E"/>
    <w:rsid w:val="007C4184"/>
    <w:rsid w:val="007C46F9"/>
    <w:rsid w:val="007C4B84"/>
    <w:rsid w:val="007C5E1C"/>
    <w:rsid w:val="007C642A"/>
    <w:rsid w:val="007C686A"/>
    <w:rsid w:val="007C7004"/>
    <w:rsid w:val="007C70FF"/>
    <w:rsid w:val="007C727E"/>
    <w:rsid w:val="007C78D3"/>
    <w:rsid w:val="007C7C25"/>
    <w:rsid w:val="007C7DC1"/>
    <w:rsid w:val="007C7F8D"/>
    <w:rsid w:val="007D004F"/>
    <w:rsid w:val="007D035C"/>
    <w:rsid w:val="007D035F"/>
    <w:rsid w:val="007D06B2"/>
    <w:rsid w:val="007D0B38"/>
    <w:rsid w:val="007D1146"/>
    <w:rsid w:val="007D122B"/>
    <w:rsid w:val="007D2277"/>
    <w:rsid w:val="007D305F"/>
    <w:rsid w:val="007D3648"/>
    <w:rsid w:val="007D368C"/>
    <w:rsid w:val="007D3A10"/>
    <w:rsid w:val="007D3B4C"/>
    <w:rsid w:val="007D3C86"/>
    <w:rsid w:val="007D3FF0"/>
    <w:rsid w:val="007D4EEB"/>
    <w:rsid w:val="007D5440"/>
    <w:rsid w:val="007D5724"/>
    <w:rsid w:val="007D6702"/>
    <w:rsid w:val="007D69EB"/>
    <w:rsid w:val="007D73E7"/>
    <w:rsid w:val="007D7A7E"/>
    <w:rsid w:val="007E128F"/>
    <w:rsid w:val="007E1E5D"/>
    <w:rsid w:val="007E2028"/>
    <w:rsid w:val="007E23EF"/>
    <w:rsid w:val="007E2411"/>
    <w:rsid w:val="007E25E9"/>
    <w:rsid w:val="007E366C"/>
    <w:rsid w:val="007E503D"/>
    <w:rsid w:val="007E5B97"/>
    <w:rsid w:val="007E5C0E"/>
    <w:rsid w:val="007E6033"/>
    <w:rsid w:val="007E6E7A"/>
    <w:rsid w:val="007E716E"/>
    <w:rsid w:val="007E77D1"/>
    <w:rsid w:val="007E7F34"/>
    <w:rsid w:val="007F0283"/>
    <w:rsid w:val="007F077B"/>
    <w:rsid w:val="007F0800"/>
    <w:rsid w:val="007F0A17"/>
    <w:rsid w:val="007F1017"/>
    <w:rsid w:val="007F1A55"/>
    <w:rsid w:val="007F1A94"/>
    <w:rsid w:val="007F1C29"/>
    <w:rsid w:val="007F28D6"/>
    <w:rsid w:val="007F2CD2"/>
    <w:rsid w:val="007F4875"/>
    <w:rsid w:val="007F4910"/>
    <w:rsid w:val="007F4A3F"/>
    <w:rsid w:val="007F4A61"/>
    <w:rsid w:val="007F4D27"/>
    <w:rsid w:val="007F5255"/>
    <w:rsid w:val="007F56CC"/>
    <w:rsid w:val="007F5B37"/>
    <w:rsid w:val="007F61C2"/>
    <w:rsid w:val="007F6645"/>
    <w:rsid w:val="007F6654"/>
    <w:rsid w:val="007F6983"/>
    <w:rsid w:val="007F72D2"/>
    <w:rsid w:val="007F75C3"/>
    <w:rsid w:val="00800655"/>
    <w:rsid w:val="00800955"/>
    <w:rsid w:val="00800A20"/>
    <w:rsid w:val="0080103B"/>
    <w:rsid w:val="0080187E"/>
    <w:rsid w:val="00801EF8"/>
    <w:rsid w:val="008022C8"/>
    <w:rsid w:val="00802AAD"/>
    <w:rsid w:val="008041C5"/>
    <w:rsid w:val="00805142"/>
    <w:rsid w:val="00805637"/>
    <w:rsid w:val="00805C69"/>
    <w:rsid w:val="00805FCE"/>
    <w:rsid w:val="00805FF8"/>
    <w:rsid w:val="008073C2"/>
    <w:rsid w:val="00807A8B"/>
    <w:rsid w:val="008106C9"/>
    <w:rsid w:val="008109A2"/>
    <w:rsid w:val="008110DD"/>
    <w:rsid w:val="00811383"/>
    <w:rsid w:val="00811FB5"/>
    <w:rsid w:val="00812149"/>
    <w:rsid w:val="00812CAC"/>
    <w:rsid w:val="00812F84"/>
    <w:rsid w:val="0081321A"/>
    <w:rsid w:val="0081360E"/>
    <w:rsid w:val="008141C9"/>
    <w:rsid w:val="00814BA8"/>
    <w:rsid w:val="00815375"/>
    <w:rsid w:val="00815ADA"/>
    <w:rsid w:val="00815BA6"/>
    <w:rsid w:val="00816361"/>
    <w:rsid w:val="00816387"/>
    <w:rsid w:val="008163A4"/>
    <w:rsid w:val="0081646A"/>
    <w:rsid w:val="008166EF"/>
    <w:rsid w:val="00816FD1"/>
    <w:rsid w:val="00816FE1"/>
    <w:rsid w:val="00816FEF"/>
    <w:rsid w:val="00817BDE"/>
    <w:rsid w:val="00817ECD"/>
    <w:rsid w:val="008207E0"/>
    <w:rsid w:val="00820A8C"/>
    <w:rsid w:val="00820D6D"/>
    <w:rsid w:val="00820E69"/>
    <w:rsid w:val="00821486"/>
    <w:rsid w:val="00821525"/>
    <w:rsid w:val="008215FB"/>
    <w:rsid w:val="00821866"/>
    <w:rsid w:val="00821962"/>
    <w:rsid w:val="008220CC"/>
    <w:rsid w:val="00822220"/>
    <w:rsid w:val="00822861"/>
    <w:rsid w:val="00822A91"/>
    <w:rsid w:val="00822C42"/>
    <w:rsid w:val="00823174"/>
    <w:rsid w:val="00823B2F"/>
    <w:rsid w:val="00824129"/>
    <w:rsid w:val="008241A5"/>
    <w:rsid w:val="00825334"/>
    <w:rsid w:val="00825751"/>
    <w:rsid w:val="00825A2D"/>
    <w:rsid w:val="00825FB7"/>
    <w:rsid w:val="008260F5"/>
    <w:rsid w:val="008264EB"/>
    <w:rsid w:val="00826521"/>
    <w:rsid w:val="008268CE"/>
    <w:rsid w:val="00827C23"/>
    <w:rsid w:val="00830AB0"/>
    <w:rsid w:val="008311BE"/>
    <w:rsid w:val="00831CDD"/>
    <w:rsid w:val="008328FC"/>
    <w:rsid w:val="00833B05"/>
    <w:rsid w:val="00834698"/>
    <w:rsid w:val="008347A6"/>
    <w:rsid w:val="008356B6"/>
    <w:rsid w:val="008358C9"/>
    <w:rsid w:val="008362B4"/>
    <w:rsid w:val="00836472"/>
    <w:rsid w:val="00836614"/>
    <w:rsid w:val="0083670C"/>
    <w:rsid w:val="008374D6"/>
    <w:rsid w:val="008377F3"/>
    <w:rsid w:val="00837CB9"/>
    <w:rsid w:val="0084014F"/>
    <w:rsid w:val="00840CA2"/>
    <w:rsid w:val="00840CC1"/>
    <w:rsid w:val="008412B3"/>
    <w:rsid w:val="008421F3"/>
    <w:rsid w:val="008423D2"/>
    <w:rsid w:val="008428F3"/>
    <w:rsid w:val="00842D05"/>
    <w:rsid w:val="00842E05"/>
    <w:rsid w:val="00843053"/>
    <w:rsid w:val="0084315C"/>
    <w:rsid w:val="00843501"/>
    <w:rsid w:val="008436A5"/>
    <w:rsid w:val="0084374F"/>
    <w:rsid w:val="008442E6"/>
    <w:rsid w:val="008444A1"/>
    <w:rsid w:val="0084498E"/>
    <w:rsid w:val="00844A19"/>
    <w:rsid w:val="00844A22"/>
    <w:rsid w:val="00844B8A"/>
    <w:rsid w:val="008456BF"/>
    <w:rsid w:val="008456DE"/>
    <w:rsid w:val="008462D4"/>
    <w:rsid w:val="00847703"/>
    <w:rsid w:val="00847DF5"/>
    <w:rsid w:val="008502FF"/>
    <w:rsid w:val="00850761"/>
    <w:rsid w:val="008516DB"/>
    <w:rsid w:val="00851879"/>
    <w:rsid w:val="008522F4"/>
    <w:rsid w:val="00852E36"/>
    <w:rsid w:val="0085309D"/>
    <w:rsid w:val="008535B8"/>
    <w:rsid w:val="008539FE"/>
    <w:rsid w:val="00853F44"/>
    <w:rsid w:val="0085479A"/>
    <w:rsid w:val="008549D4"/>
    <w:rsid w:val="00854A43"/>
    <w:rsid w:val="00854BE8"/>
    <w:rsid w:val="00854FFB"/>
    <w:rsid w:val="00855265"/>
    <w:rsid w:val="0085531D"/>
    <w:rsid w:val="00855908"/>
    <w:rsid w:val="00856623"/>
    <w:rsid w:val="00856897"/>
    <w:rsid w:val="00856E9A"/>
    <w:rsid w:val="0086015C"/>
    <w:rsid w:val="008603B3"/>
    <w:rsid w:val="00860657"/>
    <w:rsid w:val="0086075D"/>
    <w:rsid w:val="00860D76"/>
    <w:rsid w:val="00861227"/>
    <w:rsid w:val="00861CC4"/>
    <w:rsid w:val="00861FB2"/>
    <w:rsid w:val="00862502"/>
    <w:rsid w:val="00862CC1"/>
    <w:rsid w:val="008634A0"/>
    <w:rsid w:val="008642A7"/>
    <w:rsid w:val="00864D74"/>
    <w:rsid w:val="008655AD"/>
    <w:rsid w:val="008656B1"/>
    <w:rsid w:val="00865896"/>
    <w:rsid w:val="00866067"/>
    <w:rsid w:val="008660D4"/>
    <w:rsid w:val="00867264"/>
    <w:rsid w:val="00867BA2"/>
    <w:rsid w:val="00867F3E"/>
    <w:rsid w:val="00867FE7"/>
    <w:rsid w:val="008710C5"/>
    <w:rsid w:val="008712A9"/>
    <w:rsid w:val="008713BD"/>
    <w:rsid w:val="00871A40"/>
    <w:rsid w:val="00871CAC"/>
    <w:rsid w:val="00871FA9"/>
    <w:rsid w:val="008728E9"/>
    <w:rsid w:val="00872BD1"/>
    <w:rsid w:val="00873BB0"/>
    <w:rsid w:val="0087412F"/>
    <w:rsid w:val="00874CD6"/>
    <w:rsid w:val="00874EC4"/>
    <w:rsid w:val="00874F1B"/>
    <w:rsid w:val="008750CA"/>
    <w:rsid w:val="00875372"/>
    <w:rsid w:val="0087556F"/>
    <w:rsid w:val="00876248"/>
    <w:rsid w:val="008802E2"/>
    <w:rsid w:val="00880B13"/>
    <w:rsid w:val="00880E00"/>
    <w:rsid w:val="00880F2C"/>
    <w:rsid w:val="008815EE"/>
    <w:rsid w:val="00881EFE"/>
    <w:rsid w:val="00881FDD"/>
    <w:rsid w:val="00882874"/>
    <w:rsid w:val="0088290A"/>
    <w:rsid w:val="00882E3C"/>
    <w:rsid w:val="0088308A"/>
    <w:rsid w:val="00883787"/>
    <w:rsid w:val="008839F3"/>
    <w:rsid w:val="008843CD"/>
    <w:rsid w:val="00884B60"/>
    <w:rsid w:val="00885583"/>
    <w:rsid w:val="008855E4"/>
    <w:rsid w:val="008855E6"/>
    <w:rsid w:val="00885885"/>
    <w:rsid w:val="00886B39"/>
    <w:rsid w:val="00886CD2"/>
    <w:rsid w:val="00886E6A"/>
    <w:rsid w:val="0088753D"/>
    <w:rsid w:val="00890414"/>
    <w:rsid w:val="0089083F"/>
    <w:rsid w:val="00891333"/>
    <w:rsid w:val="00891AAF"/>
    <w:rsid w:val="00891B7B"/>
    <w:rsid w:val="00891E6F"/>
    <w:rsid w:val="0089275D"/>
    <w:rsid w:val="00892A36"/>
    <w:rsid w:val="00893239"/>
    <w:rsid w:val="00893817"/>
    <w:rsid w:val="00893B7C"/>
    <w:rsid w:val="00894489"/>
    <w:rsid w:val="008946D4"/>
    <w:rsid w:val="00894CD6"/>
    <w:rsid w:val="008951CC"/>
    <w:rsid w:val="0089550A"/>
    <w:rsid w:val="008963A5"/>
    <w:rsid w:val="008969E5"/>
    <w:rsid w:val="00896D5D"/>
    <w:rsid w:val="00896E38"/>
    <w:rsid w:val="00896F9F"/>
    <w:rsid w:val="008976AA"/>
    <w:rsid w:val="008A081B"/>
    <w:rsid w:val="008A0FD3"/>
    <w:rsid w:val="008A1214"/>
    <w:rsid w:val="008A2D5F"/>
    <w:rsid w:val="008A2D81"/>
    <w:rsid w:val="008A2E6E"/>
    <w:rsid w:val="008A3158"/>
    <w:rsid w:val="008A324A"/>
    <w:rsid w:val="008A3363"/>
    <w:rsid w:val="008A3371"/>
    <w:rsid w:val="008A3855"/>
    <w:rsid w:val="008A3C3E"/>
    <w:rsid w:val="008A440B"/>
    <w:rsid w:val="008A445B"/>
    <w:rsid w:val="008A49F0"/>
    <w:rsid w:val="008A4CB7"/>
    <w:rsid w:val="008A57F9"/>
    <w:rsid w:val="008A6B11"/>
    <w:rsid w:val="008A79DE"/>
    <w:rsid w:val="008B0E90"/>
    <w:rsid w:val="008B0F5D"/>
    <w:rsid w:val="008B1472"/>
    <w:rsid w:val="008B1757"/>
    <w:rsid w:val="008B19AD"/>
    <w:rsid w:val="008B1C33"/>
    <w:rsid w:val="008B2188"/>
    <w:rsid w:val="008B22CA"/>
    <w:rsid w:val="008B454F"/>
    <w:rsid w:val="008B4B6F"/>
    <w:rsid w:val="008B5530"/>
    <w:rsid w:val="008B55FF"/>
    <w:rsid w:val="008B5FEC"/>
    <w:rsid w:val="008B6678"/>
    <w:rsid w:val="008B6A0A"/>
    <w:rsid w:val="008B705E"/>
    <w:rsid w:val="008B735F"/>
    <w:rsid w:val="008B7992"/>
    <w:rsid w:val="008B7D7E"/>
    <w:rsid w:val="008C0EDA"/>
    <w:rsid w:val="008C11C2"/>
    <w:rsid w:val="008C137C"/>
    <w:rsid w:val="008C1E49"/>
    <w:rsid w:val="008C258D"/>
    <w:rsid w:val="008C25F2"/>
    <w:rsid w:val="008C292F"/>
    <w:rsid w:val="008C2C19"/>
    <w:rsid w:val="008C2D30"/>
    <w:rsid w:val="008C2E43"/>
    <w:rsid w:val="008C364A"/>
    <w:rsid w:val="008C4499"/>
    <w:rsid w:val="008C47BB"/>
    <w:rsid w:val="008C49FF"/>
    <w:rsid w:val="008C55C4"/>
    <w:rsid w:val="008C5610"/>
    <w:rsid w:val="008C5739"/>
    <w:rsid w:val="008C5949"/>
    <w:rsid w:val="008C5B37"/>
    <w:rsid w:val="008C7282"/>
    <w:rsid w:val="008C749D"/>
    <w:rsid w:val="008C7D1B"/>
    <w:rsid w:val="008C7ECB"/>
    <w:rsid w:val="008D0165"/>
    <w:rsid w:val="008D1023"/>
    <w:rsid w:val="008D1041"/>
    <w:rsid w:val="008D1232"/>
    <w:rsid w:val="008D13A7"/>
    <w:rsid w:val="008D1B4B"/>
    <w:rsid w:val="008D3B86"/>
    <w:rsid w:val="008D43FD"/>
    <w:rsid w:val="008D46F9"/>
    <w:rsid w:val="008D4755"/>
    <w:rsid w:val="008D48FE"/>
    <w:rsid w:val="008D4C3D"/>
    <w:rsid w:val="008D4F4D"/>
    <w:rsid w:val="008D56F3"/>
    <w:rsid w:val="008D62A8"/>
    <w:rsid w:val="008D708D"/>
    <w:rsid w:val="008D743C"/>
    <w:rsid w:val="008D7675"/>
    <w:rsid w:val="008D76AA"/>
    <w:rsid w:val="008D7F5C"/>
    <w:rsid w:val="008E03B2"/>
    <w:rsid w:val="008E0A02"/>
    <w:rsid w:val="008E0D3C"/>
    <w:rsid w:val="008E0D68"/>
    <w:rsid w:val="008E1AB6"/>
    <w:rsid w:val="008E1B9E"/>
    <w:rsid w:val="008E20AD"/>
    <w:rsid w:val="008E32AB"/>
    <w:rsid w:val="008E55AB"/>
    <w:rsid w:val="008E5ECF"/>
    <w:rsid w:val="008E7780"/>
    <w:rsid w:val="008F0855"/>
    <w:rsid w:val="008F0DDD"/>
    <w:rsid w:val="008F120A"/>
    <w:rsid w:val="008F2324"/>
    <w:rsid w:val="008F27E0"/>
    <w:rsid w:val="008F3BF4"/>
    <w:rsid w:val="008F48EB"/>
    <w:rsid w:val="008F4F0B"/>
    <w:rsid w:val="008F5D58"/>
    <w:rsid w:val="008F5E5D"/>
    <w:rsid w:val="008F65DB"/>
    <w:rsid w:val="008F6D02"/>
    <w:rsid w:val="008F7578"/>
    <w:rsid w:val="008F79C0"/>
    <w:rsid w:val="008F7A37"/>
    <w:rsid w:val="0090073C"/>
    <w:rsid w:val="00900F9C"/>
    <w:rsid w:val="00901B01"/>
    <w:rsid w:val="0090296F"/>
    <w:rsid w:val="00903685"/>
    <w:rsid w:val="00903D35"/>
    <w:rsid w:val="009046C4"/>
    <w:rsid w:val="009047EA"/>
    <w:rsid w:val="009052D9"/>
    <w:rsid w:val="00905441"/>
    <w:rsid w:val="00905548"/>
    <w:rsid w:val="009062A5"/>
    <w:rsid w:val="00906996"/>
    <w:rsid w:val="00907699"/>
    <w:rsid w:val="0091092E"/>
    <w:rsid w:val="00910FA7"/>
    <w:rsid w:val="00911272"/>
    <w:rsid w:val="00911339"/>
    <w:rsid w:val="00911920"/>
    <w:rsid w:val="009119EB"/>
    <w:rsid w:val="00911E1C"/>
    <w:rsid w:val="00911F4C"/>
    <w:rsid w:val="009120C1"/>
    <w:rsid w:val="009123E8"/>
    <w:rsid w:val="00912591"/>
    <w:rsid w:val="00912BE3"/>
    <w:rsid w:val="009135D6"/>
    <w:rsid w:val="009143CA"/>
    <w:rsid w:val="00914B37"/>
    <w:rsid w:val="00914C77"/>
    <w:rsid w:val="00915EC0"/>
    <w:rsid w:val="0091770F"/>
    <w:rsid w:val="00917C6A"/>
    <w:rsid w:val="009202A0"/>
    <w:rsid w:val="00920692"/>
    <w:rsid w:val="00921498"/>
    <w:rsid w:val="00921ACB"/>
    <w:rsid w:val="00922DD3"/>
    <w:rsid w:val="0092309B"/>
    <w:rsid w:val="0092369B"/>
    <w:rsid w:val="00924205"/>
    <w:rsid w:val="0092541A"/>
    <w:rsid w:val="009254BC"/>
    <w:rsid w:val="00926A52"/>
    <w:rsid w:val="00926F40"/>
    <w:rsid w:val="00927368"/>
    <w:rsid w:val="0092755B"/>
    <w:rsid w:val="00927E31"/>
    <w:rsid w:val="00927F98"/>
    <w:rsid w:val="00930AD3"/>
    <w:rsid w:val="00931AEE"/>
    <w:rsid w:val="00932A91"/>
    <w:rsid w:val="00932CE2"/>
    <w:rsid w:val="00933409"/>
    <w:rsid w:val="00933DEE"/>
    <w:rsid w:val="0093468F"/>
    <w:rsid w:val="00934749"/>
    <w:rsid w:val="00934988"/>
    <w:rsid w:val="00934991"/>
    <w:rsid w:val="009349A1"/>
    <w:rsid w:val="009352ED"/>
    <w:rsid w:val="0093607C"/>
    <w:rsid w:val="009363B3"/>
    <w:rsid w:val="00937089"/>
    <w:rsid w:val="00937CBE"/>
    <w:rsid w:val="009404AF"/>
    <w:rsid w:val="0094072D"/>
    <w:rsid w:val="00940E7C"/>
    <w:rsid w:val="00941C91"/>
    <w:rsid w:val="00942AA8"/>
    <w:rsid w:val="00942C9D"/>
    <w:rsid w:val="00942F96"/>
    <w:rsid w:val="00943040"/>
    <w:rsid w:val="009434EC"/>
    <w:rsid w:val="009435F8"/>
    <w:rsid w:val="009443D8"/>
    <w:rsid w:val="00944759"/>
    <w:rsid w:val="009448DF"/>
    <w:rsid w:val="009448E4"/>
    <w:rsid w:val="00944F8A"/>
    <w:rsid w:val="00945EA1"/>
    <w:rsid w:val="00946AF1"/>
    <w:rsid w:val="00946D68"/>
    <w:rsid w:val="009473C6"/>
    <w:rsid w:val="009476DE"/>
    <w:rsid w:val="00947984"/>
    <w:rsid w:val="00950515"/>
    <w:rsid w:val="009510A2"/>
    <w:rsid w:val="0095184C"/>
    <w:rsid w:val="00951BFA"/>
    <w:rsid w:val="009525F3"/>
    <w:rsid w:val="00952B46"/>
    <w:rsid w:val="00953257"/>
    <w:rsid w:val="009540F2"/>
    <w:rsid w:val="00954344"/>
    <w:rsid w:val="0095474C"/>
    <w:rsid w:val="00954A5E"/>
    <w:rsid w:val="00955EE8"/>
    <w:rsid w:val="009565F8"/>
    <w:rsid w:val="0095799F"/>
    <w:rsid w:val="00957D92"/>
    <w:rsid w:val="00957E52"/>
    <w:rsid w:val="00957EC3"/>
    <w:rsid w:val="0096076C"/>
    <w:rsid w:val="00960DF3"/>
    <w:rsid w:val="009623D5"/>
    <w:rsid w:val="00962CB9"/>
    <w:rsid w:val="009636C9"/>
    <w:rsid w:val="00964312"/>
    <w:rsid w:val="0096522B"/>
    <w:rsid w:val="00965230"/>
    <w:rsid w:val="009652D4"/>
    <w:rsid w:val="009655F3"/>
    <w:rsid w:val="00965B8A"/>
    <w:rsid w:val="00966340"/>
    <w:rsid w:val="00966514"/>
    <w:rsid w:val="00967371"/>
    <w:rsid w:val="00970390"/>
    <w:rsid w:val="0097071F"/>
    <w:rsid w:val="00970F7B"/>
    <w:rsid w:val="0097102D"/>
    <w:rsid w:val="00971231"/>
    <w:rsid w:val="009717AC"/>
    <w:rsid w:val="00971C6A"/>
    <w:rsid w:val="00971E21"/>
    <w:rsid w:val="00972C97"/>
    <w:rsid w:val="0097371F"/>
    <w:rsid w:val="00974A7E"/>
    <w:rsid w:val="00974EA4"/>
    <w:rsid w:val="009751C1"/>
    <w:rsid w:val="00975976"/>
    <w:rsid w:val="00975F19"/>
    <w:rsid w:val="00976D46"/>
    <w:rsid w:val="0097719B"/>
    <w:rsid w:val="0097778D"/>
    <w:rsid w:val="00977CBC"/>
    <w:rsid w:val="00977FC6"/>
    <w:rsid w:val="009806D7"/>
    <w:rsid w:val="009811F1"/>
    <w:rsid w:val="009812BF"/>
    <w:rsid w:val="009815C7"/>
    <w:rsid w:val="0098160B"/>
    <w:rsid w:val="00982156"/>
    <w:rsid w:val="00982843"/>
    <w:rsid w:val="00983429"/>
    <w:rsid w:val="00983E57"/>
    <w:rsid w:val="00984403"/>
    <w:rsid w:val="009845D3"/>
    <w:rsid w:val="00984E9B"/>
    <w:rsid w:val="00985DE2"/>
    <w:rsid w:val="009860BC"/>
    <w:rsid w:val="009865B5"/>
    <w:rsid w:val="0098675D"/>
    <w:rsid w:val="00986CF1"/>
    <w:rsid w:val="009872E9"/>
    <w:rsid w:val="00987B0C"/>
    <w:rsid w:val="00987BA4"/>
    <w:rsid w:val="009919EF"/>
    <w:rsid w:val="00991A2D"/>
    <w:rsid w:val="00991B66"/>
    <w:rsid w:val="009926E0"/>
    <w:rsid w:val="009928CA"/>
    <w:rsid w:val="00992CB5"/>
    <w:rsid w:val="0099451E"/>
    <w:rsid w:val="00994588"/>
    <w:rsid w:val="009945B8"/>
    <w:rsid w:val="009948C4"/>
    <w:rsid w:val="00994ADA"/>
    <w:rsid w:val="00995946"/>
    <w:rsid w:val="00995EB9"/>
    <w:rsid w:val="00996B1A"/>
    <w:rsid w:val="00996BAA"/>
    <w:rsid w:val="0099727F"/>
    <w:rsid w:val="0099776F"/>
    <w:rsid w:val="009A03BB"/>
    <w:rsid w:val="009A06D2"/>
    <w:rsid w:val="009A0A2C"/>
    <w:rsid w:val="009A0D6B"/>
    <w:rsid w:val="009A116E"/>
    <w:rsid w:val="009A1844"/>
    <w:rsid w:val="009A18F6"/>
    <w:rsid w:val="009A272C"/>
    <w:rsid w:val="009A2A83"/>
    <w:rsid w:val="009A2DCC"/>
    <w:rsid w:val="009A2EA0"/>
    <w:rsid w:val="009A3EBC"/>
    <w:rsid w:val="009A5ABC"/>
    <w:rsid w:val="009A640D"/>
    <w:rsid w:val="009A6A1E"/>
    <w:rsid w:val="009A7F10"/>
    <w:rsid w:val="009B06A0"/>
    <w:rsid w:val="009B08A5"/>
    <w:rsid w:val="009B096D"/>
    <w:rsid w:val="009B10FB"/>
    <w:rsid w:val="009B14D1"/>
    <w:rsid w:val="009B2CD2"/>
    <w:rsid w:val="009B3A41"/>
    <w:rsid w:val="009B3E26"/>
    <w:rsid w:val="009B3FF6"/>
    <w:rsid w:val="009B4288"/>
    <w:rsid w:val="009B6052"/>
    <w:rsid w:val="009B6102"/>
    <w:rsid w:val="009B6282"/>
    <w:rsid w:val="009B6BB4"/>
    <w:rsid w:val="009B719D"/>
    <w:rsid w:val="009B75C3"/>
    <w:rsid w:val="009B7631"/>
    <w:rsid w:val="009B76A3"/>
    <w:rsid w:val="009B7D94"/>
    <w:rsid w:val="009C03C6"/>
    <w:rsid w:val="009C0CE3"/>
    <w:rsid w:val="009C1271"/>
    <w:rsid w:val="009C137F"/>
    <w:rsid w:val="009C238F"/>
    <w:rsid w:val="009C24FE"/>
    <w:rsid w:val="009C30EB"/>
    <w:rsid w:val="009C3706"/>
    <w:rsid w:val="009C39A9"/>
    <w:rsid w:val="009C3A3A"/>
    <w:rsid w:val="009C40D6"/>
    <w:rsid w:val="009C4501"/>
    <w:rsid w:val="009C5006"/>
    <w:rsid w:val="009C52BD"/>
    <w:rsid w:val="009C5698"/>
    <w:rsid w:val="009C56FB"/>
    <w:rsid w:val="009C69F6"/>
    <w:rsid w:val="009C6A78"/>
    <w:rsid w:val="009C6BF3"/>
    <w:rsid w:val="009C6CEA"/>
    <w:rsid w:val="009C7B85"/>
    <w:rsid w:val="009D0254"/>
    <w:rsid w:val="009D0839"/>
    <w:rsid w:val="009D0A16"/>
    <w:rsid w:val="009D0A87"/>
    <w:rsid w:val="009D1395"/>
    <w:rsid w:val="009D1A64"/>
    <w:rsid w:val="009D2F4D"/>
    <w:rsid w:val="009D3B99"/>
    <w:rsid w:val="009D3F23"/>
    <w:rsid w:val="009D4714"/>
    <w:rsid w:val="009D4791"/>
    <w:rsid w:val="009D4853"/>
    <w:rsid w:val="009D5004"/>
    <w:rsid w:val="009D537D"/>
    <w:rsid w:val="009D5B32"/>
    <w:rsid w:val="009D5B91"/>
    <w:rsid w:val="009D5CCD"/>
    <w:rsid w:val="009D60E8"/>
    <w:rsid w:val="009D62F8"/>
    <w:rsid w:val="009D6844"/>
    <w:rsid w:val="009D6D90"/>
    <w:rsid w:val="009D792E"/>
    <w:rsid w:val="009D7E37"/>
    <w:rsid w:val="009D7F84"/>
    <w:rsid w:val="009E0DFE"/>
    <w:rsid w:val="009E0EB3"/>
    <w:rsid w:val="009E1552"/>
    <w:rsid w:val="009E20AB"/>
    <w:rsid w:val="009E23CF"/>
    <w:rsid w:val="009E24F3"/>
    <w:rsid w:val="009E2937"/>
    <w:rsid w:val="009E31F6"/>
    <w:rsid w:val="009E32D3"/>
    <w:rsid w:val="009E3E1D"/>
    <w:rsid w:val="009E4C07"/>
    <w:rsid w:val="009E4D57"/>
    <w:rsid w:val="009E56C7"/>
    <w:rsid w:val="009E58C3"/>
    <w:rsid w:val="009E5B6E"/>
    <w:rsid w:val="009E5BB3"/>
    <w:rsid w:val="009E6161"/>
    <w:rsid w:val="009E7155"/>
    <w:rsid w:val="009E777F"/>
    <w:rsid w:val="009F05DC"/>
    <w:rsid w:val="009F2455"/>
    <w:rsid w:val="009F2A17"/>
    <w:rsid w:val="009F3B00"/>
    <w:rsid w:val="009F4000"/>
    <w:rsid w:val="009F43B5"/>
    <w:rsid w:val="009F4C5B"/>
    <w:rsid w:val="009F573D"/>
    <w:rsid w:val="009F59E1"/>
    <w:rsid w:val="009F6120"/>
    <w:rsid w:val="009F68F7"/>
    <w:rsid w:val="009F707D"/>
    <w:rsid w:val="009F74A4"/>
    <w:rsid w:val="00A00507"/>
    <w:rsid w:val="00A00C70"/>
    <w:rsid w:val="00A00D76"/>
    <w:rsid w:val="00A01184"/>
    <w:rsid w:val="00A01449"/>
    <w:rsid w:val="00A0157D"/>
    <w:rsid w:val="00A01F50"/>
    <w:rsid w:val="00A02594"/>
    <w:rsid w:val="00A02740"/>
    <w:rsid w:val="00A02782"/>
    <w:rsid w:val="00A0293C"/>
    <w:rsid w:val="00A029FD"/>
    <w:rsid w:val="00A029FF"/>
    <w:rsid w:val="00A02ACD"/>
    <w:rsid w:val="00A0354A"/>
    <w:rsid w:val="00A037C2"/>
    <w:rsid w:val="00A03D43"/>
    <w:rsid w:val="00A03EC3"/>
    <w:rsid w:val="00A040AD"/>
    <w:rsid w:val="00A04380"/>
    <w:rsid w:val="00A04786"/>
    <w:rsid w:val="00A05472"/>
    <w:rsid w:val="00A056C0"/>
    <w:rsid w:val="00A05AA6"/>
    <w:rsid w:val="00A05B61"/>
    <w:rsid w:val="00A05C32"/>
    <w:rsid w:val="00A061CC"/>
    <w:rsid w:val="00A062F2"/>
    <w:rsid w:val="00A0653F"/>
    <w:rsid w:val="00A06B53"/>
    <w:rsid w:val="00A07D21"/>
    <w:rsid w:val="00A07F59"/>
    <w:rsid w:val="00A105BD"/>
    <w:rsid w:val="00A10699"/>
    <w:rsid w:val="00A10DC0"/>
    <w:rsid w:val="00A11CD0"/>
    <w:rsid w:val="00A12198"/>
    <w:rsid w:val="00A13948"/>
    <w:rsid w:val="00A13DDA"/>
    <w:rsid w:val="00A1413F"/>
    <w:rsid w:val="00A14DFF"/>
    <w:rsid w:val="00A1555B"/>
    <w:rsid w:val="00A155C5"/>
    <w:rsid w:val="00A158EF"/>
    <w:rsid w:val="00A15B7F"/>
    <w:rsid w:val="00A16982"/>
    <w:rsid w:val="00A16AD8"/>
    <w:rsid w:val="00A16BB5"/>
    <w:rsid w:val="00A16EDC"/>
    <w:rsid w:val="00A17AC4"/>
    <w:rsid w:val="00A20087"/>
    <w:rsid w:val="00A200FF"/>
    <w:rsid w:val="00A2021E"/>
    <w:rsid w:val="00A2058B"/>
    <w:rsid w:val="00A21C57"/>
    <w:rsid w:val="00A21C95"/>
    <w:rsid w:val="00A21CF3"/>
    <w:rsid w:val="00A22BA2"/>
    <w:rsid w:val="00A22F8C"/>
    <w:rsid w:val="00A23723"/>
    <w:rsid w:val="00A24813"/>
    <w:rsid w:val="00A2491C"/>
    <w:rsid w:val="00A24CA4"/>
    <w:rsid w:val="00A254E0"/>
    <w:rsid w:val="00A27044"/>
    <w:rsid w:val="00A27895"/>
    <w:rsid w:val="00A27AEC"/>
    <w:rsid w:val="00A27F64"/>
    <w:rsid w:val="00A30557"/>
    <w:rsid w:val="00A305D1"/>
    <w:rsid w:val="00A319C8"/>
    <w:rsid w:val="00A31C87"/>
    <w:rsid w:val="00A31F1F"/>
    <w:rsid w:val="00A320DB"/>
    <w:rsid w:val="00A3285E"/>
    <w:rsid w:val="00A32C72"/>
    <w:rsid w:val="00A33985"/>
    <w:rsid w:val="00A34382"/>
    <w:rsid w:val="00A3515D"/>
    <w:rsid w:val="00A35CC7"/>
    <w:rsid w:val="00A35D16"/>
    <w:rsid w:val="00A35DDC"/>
    <w:rsid w:val="00A35EA8"/>
    <w:rsid w:val="00A360BF"/>
    <w:rsid w:val="00A36BC1"/>
    <w:rsid w:val="00A37309"/>
    <w:rsid w:val="00A37BCD"/>
    <w:rsid w:val="00A37F30"/>
    <w:rsid w:val="00A40368"/>
    <w:rsid w:val="00A40EE6"/>
    <w:rsid w:val="00A41689"/>
    <w:rsid w:val="00A424E9"/>
    <w:rsid w:val="00A42592"/>
    <w:rsid w:val="00A42C28"/>
    <w:rsid w:val="00A42DA5"/>
    <w:rsid w:val="00A436DA"/>
    <w:rsid w:val="00A43AD7"/>
    <w:rsid w:val="00A43C59"/>
    <w:rsid w:val="00A447DA"/>
    <w:rsid w:val="00A44831"/>
    <w:rsid w:val="00A448DB"/>
    <w:rsid w:val="00A4598C"/>
    <w:rsid w:val="00A45CFC"/>
    <w:rsid w:val="00A463F6"/>
    <w:rsid w:val="00A4738E"/>
    <w:rsid w:val="00A474F6"/>
    <w:rsid w:val="00A47B5B"/>
    <w:rsid w:val="00A50AA5"/>
    <w:rsid w:val="00A50D9E"/>
    <w:rsid w:val="00A50ECD"/>
    <w:rsid w:val="00A5149C"/>
    <w:rsid w:val="00A518F3"/>
    <w:rsid w:val="00A523FF"/>
    <w:rsid w:val="00A525F6"/>
    <w:rsid w:val="00A52729"/>
    <w:rsid w:val="00A52DF2"/>
    <w:rsid w:val="00A53675"/>
    <w:rsid w:val="00A538DD"/>
    <w:rsid w:val="00A53926"/>
    <w:rsid w:val="00A53AFC"/>
    <w:rsid w:val="00A55619"/>
    <w:rsid w:val="00A55860"/>
    <w:rsid w:val="00A55BD5"/>
    <w:rsid w:val="00A564D7"/>
    <w:rsid w:val="00A5669E"/>
    <w:rsid w:val="00A56B6A"/>
    <w:rsid w:val="00A56C02"/>
    <w:rsid w:val="00A56CA0"/>
    <w:rsid w:val="00A574F8"/>
    <w:rsid w:val="00A575CE"/>
    <w:rsid w:val="00A578DC"/>
    <w:rsid w:val="00A57C0D"/>
    <w:rsid w:val="00A600F1"/>
    <w:rsid w:val="00A6025C"/>
    <w:rsid w:val="00A60320"/>
    <w:rsid w:val="00A618DC"/>
    <w:rsid w:val="00A61A6F"/>
    <w:rsid w:val="00A61B27"/>
    <w:rsid w:val="00A62639"/>
    <w:rsid w:val="00A63049"/>
    <w:rsid w:val="00A6323E"/>
    <w:rsid w:val="00A64076"/>
    <w:rsid w:val="00A640E2"/>
    <w:rsid w:val="00A64D65"/>
    <w:rsid w:val="00A64D8E"/>
    <w:rsid w:val="00A64F4C"/>
    <w:rsid w:val="00A650C1"/>
    <w:rsid w:val="00A66E87"/>
    <w:rsid w:val="00A6725B"/>
    <w:rsid w:val="00A675DA"/>
    <w:rsid w:val="00A6796A"/>
    <w:rsid w:val="00A70203"/>
    <w:rsid w:val="00A7035B"/>
    <w:rsid w:val="00A70605"/>
    <w:rsid w:val="00A715F4"/>
    <w:rsid w:val="00A717D1"/>
    <w:rsid w:val="00A72A67"/>
    <w:rsid w:val="00A72E42"/>
    <w:rsid w:val="00A73134"/>
    <w:rsid w:val="00A73563"/>
    <w:rsid w:val="00A7365A"/>
    <w:rsid w:val="00A737FD"/>
    <w:rsid w:val="00A739D4"/>
    <w:rsid w:val="00A7408F"/>
    <w:rsid w:val="00A74AF8"/>
    <w:rsid w:val="00A75374"/>
    <w:rsid w:val="00A75ADC"/>
    <w:rsid w:val="00A75B33"/>
    <w:rsid w:val="00A75C8D"/>
    <w:rsid w:val="00A75F11"/>
    <w:rsid w:val="00A76001"/>
    <w:rsid w:val="00A762ED"/>
    <w:rsid w:val="00A769BC"/>
    <w:rsid w:val="00A776A6"/>
    <w:rsid w:val="00A77753"/>
    <w:rsid w:val="00A777B2"/>
    <w:rsid w:val="00A77BDC"/>
    <w:rsid w:val="00A80071"/>
    <w:rsid w:val="00A80403"/>
    <w:rsid w:val="00A8047C"/>
    <w:rsid w:val="00A81F01"/>
    <w:rsid w:val="00A825D4"/>
    <w:rsid w:val="00A8262A"/>
    <w:rsid w:val="00A8268E"/>
    <w:rsid w:val="00A828F6"/>
    <w:rsid w:val="00A82A9C"/>
    <w:rsid w:val="00A82B73"/>
    <w:rsid w:val="00A83081"/>
    <w:rsid w:val="00A83A86"/>
    <w:rsid w:val="00A84568"/>
    <w:rsid w:val="00A84C01"/>
    <w:rsid w:val="00A851D0"/>
    <w:rsid w:val="00A85819"/>
    <w:rsid w:val="00A8662F"/>
    <w:rsid w:val="00A867DC"/>
    <w:rsid w:val="00A86E8B"/>
    <w:rsid w:val="00A87164"/>
    <w:rsid w:val="00A871A9"/>
    <w:rsid w:val="00A872A7"/>
    <w:rsid w:val="00A876E2"/>
    <w:rsid w:val="00A87D04"/>
    <w:rsid w:val="00A907DD"/>
    <w:rsid w:val="00A90B3C"/>
    <w:rsid w:val="00A90BCF"/>
    <w:rsid w:val="00A90DA1"/>
    <w:rsid w:val="00A90DC5"/>
    <w:rsid w:val="00A915B2"/>
    <w:rsid w:val="00A91657"/>
    <w:rsid w:val="00A92E2F"/>
    <w:rsid w:val="00A93072"/>
    <w:rsid w:val="00A9345B"/>
    <w:rsid w:val="00A938BD"/>
    <w:rsid w:val="00A93953"/>
    <w:rsid w:val="00A93E9E"/>
    <w:rsid w:val="00A95883"/>
    <w:rsid w:val="00A959D8"/>
    <w:rsid w:val="00A964E0"/>
    <w:rsid w:val="00A96A19"/>
    <w:rsid w:val="00A96C2B"/>
    <w:rsid w:val="00A9761B"/>
    <w:rsid w:val="00AA0019"/>
    <w:rsid w:val="00AA027D"/>
    <w:rsid w:val="00AA0EAA"/>
    <w:rsid w:val="00AA113D"/>
    <w:rsid w:val="00AA150E"/>
    <w:rsid w:val="00AA15F4"/>
    <w:rsid w:val="00AA26B6"/>
    <w:rsid w:val="00AA28A6"/>
    <w:rsid w:val="00AA3637"/>
    <w:rsid w:val="00AA36C1"/>
    <w:rsid w:val="00AA3C7F"/>
    <w:rsid w:val="00AA4C11"/>
    <w:rsid w:val="00AA5894"/>
    <w:rsid w:val="00AA6114"/>
    <w:rsid w:val="00AA6451"/>
    <w:rsid w:val="00AA6BD5"/>
    <w:rsid w:val="00AA6BD8"/>
    <w:rsid w:val="00AA6C7D"/>
    <w:rsid w:val="00AA6C98"/>
    <w:rsid w:val="00AA759B"/>
    <w:rsid w:val="00AA7FD6"/>
    <w:rsid w:val="00AB0067"/>
    <w:rsid w:val="00AB042A"/>
    <w:rsid w:val="00AB051A"/>
    <w:rsid w:val="00AB0581"/>
    <w:rsid w:val="00AB11AD"/>
    <w:rsid w:val="00AB19EF"/>
    <w:rsid w:val="00AB2495"/>
    <w:rsid w:val="00AB28F9"/>
    <w:rsid w:val="00AB2D34"/>
    <w:rsid w:val="00AB3430"/>
    <w:rsid w:val="00AB37B9"/>
    <w:rsid w:val="00AB3A4F"/>
    <w:rsid w:val="00AB3C16"/>
    <w:rsid w:val="00AB410C"/>
    <w:rsid w:val="00AB447C"/>
    <w:rsid w:val="00AB44F1"/>
    <w:rsid w:val="00AB4AD1"/>
    <w:rsid w:val="00AB5125"/>
    <w:rsid w:val="00AB5E07"/>
    <w:rsid w:val="00AB626E"/>
    <w:rsid w:val="00AB6B85"/>
    <w:rsid w:val="00AB7042"/>
    <w:rsid w:val="00AB717F"/>
    <w:rsid w:val="00AB7CFA"/>
    <w:rsid w:val="00AC0081"/>
    <w:rsid w:val="00AC0638"/>
    <w:rsid w:val="00AC08A8"/>
    <w:rsid w:val="00AC1594"/>
    <w:rsid w:val="00AC1C5B"/>
    <w:rsid w:val="00AC1F51"/>
    <w:rsid w:val="00AC22A0"/>
    <w:rsid w:val="00AC22D5"/>
    <w:rsid w:val="00AC3AC6"/>
    <w:rsid w:val="00AC3FB4"/>
    <w:rsid w:val="00AC4176"/>
    <w:rsid w:val="00AC41B7"/>
    <w:rsid w:val="00AC4740"/>
    <w:rsid w:val="00AC4772"/>
    <w:rsid w:val="00AC4C2E"/>
    <w:rsid w:val="00AC5417"/>
    <w:rsid w:val="00AC5B42"/>
    <w:rsid w:val="00AC5B48"/>
    <w:rsid w:val="00AC604E"/>
    <w:rsid w:val="00AC62FA"/>
    <w:rsid w:val="00AC6CE0"/>
    <w:rsid w:val="00AC6F04"/>
    <w:rsid w:val="00AC7CE2"/>
    <w:rsid w:val="00AD09BF"/>
    <w:rsid w:val="00AD108D"/>
    <w:rsid w:val="00AD10AF"/>
    <w:rsid w:val="00AD1450"/>
    <w:rsid w:val="00AD15E8"/>
    <w:rsid w:val="00AD1640"/>
    <w:rsid w:val="00AD180D"/>
    <w:rsid w:val="00AD2918"/>
    <w:rsid w:val="00AD356D"/>
    <w:rsid w:val="00AD3D2A"/>
    <w:rsid w:val="00AD4AE3"/>
    <w:rsid w:val="00AD51F5"/>
    <w:rsid w:val="00AD6072"/>
    <w:rsid w:val="00AD63E2"/>
    <w:rsid w:val="00AD6502"/>
    <w:rsid w:val="00AD6E1F"/>
    <w:rsid w:val="00AD7282"/>
    <w:rsid w:val="00AE040A"/>
    <w:rsid w:val="00AE0695"/>
    <w:rsid w:val="00AE0C45"/>
    <w:rsid w:val="00AE105D"/>
    <w:rsid w:val="00AE19AC"/>
    <w:rsid w:val="00AE26B9"/>
    <w:rsid w:val="00AE3847"/>
    <w:rsid w:val="00AE3BA5"/>
    <w:rsid w:val="00AE3E7E"/>
    <w:rsid w:val="00AE47FB"/>
    <w:rsid w:val="00AE638E"/>
    <w:rsid w:val="00AE70B7"/>
    <w:rsid w:val="00AE7E53"/>
    <w:rsid w:val="00AF0473"/>
    <w:rsid w:val="00AF06A2"/>
    <w:rsid w:val="00AF0AD9"/>
    <w:rsid w:val="00AF1315"/>
    <w:rsid w:val="00AF1481"/>
    <w:rsid w:val="00AF1540"/>
    <w:rsid w:val="00AF19BF"/>
    <w:rsid w:val="00AF1ADC"/>
    <w:rsid w:val="00AF1B94"/>
    <w:rsid w:val="00AF2917"/>
    <w:rsid w:val="00AF2AA3"/>
    <w:rsid w:val="00AF2D83"/>
    <w:rsid w:val="00AF2DC3"/>
    <w:rsid w:val="00AF34BB"/>
    <w:rsid w:val="00AF3C8E"/>
    <w:rsid w:val="00AF43D5"/>
    <w:rsid w:val="00AF45BF"/>
    <w:rsid w:val="00AF502F"/>
    <w:rsid w:val="00AF602A"/>
    <w:rsid w:val="00AF77A5"/>
    <w:rsid w:val="00AF7BF6"/>
    <w:rsid w:val="00B002EA"/>
    <w:rsid w:val="00B006B5"/>
    <w:rsid w:val="00B00BE5"/>
    <w:rsid w:val="00B00C15"/>
    <w:rsid w:val="00B01414"/>
    <w:rsid w:val="00B017ED"/>
    <w:rsid w:val="00B024E6"/>
    <w:rsid w:val="00B02F7B"/>
    <w:rsid w:val="00B02FC0"/>
    <w:rsid w:val="00B033E5"/>
    <w:rsid w:val="00B035C3"/>
    <w:rsid w:val="00B03A63"/>
    <w:rsid w:val="00B03E54"/>
    <w:rsid w:val="00B045D0"/>
    <w:rsid w:val="00B04F68"/>
    <w:rsid w:val="00B054CD"/>
    <w:rsid w:val="00B079D0"/>
    <w:rsid w:val="00B07F4F"/>
    <w:rsid w:val="00B1007C"/>
    <w:rsid w:val="00B1012E"/>
    <w:rsid w:val="00B10796"/>
    <w:rsid w:val="00B10A77"/>
    <w:rsid w:val="00B10D50"/>
    <w:rsid w:val="00B10DE9"/>
    <w:rsid w:val="00B123D6"/>
    <w:rsid w:val="00B12625"/>
    <w:rsid w:val="00B126F2"/>
    <w:rsid w:val="00B129A4"/>
    <w:rsid w:val="00B1308A"/>
    <w:rsid w:val="00B134DB"/>
    <w:rsid w:val="00B13965"/>
    <w:rsid w:val="00B142B3"/>
    <w:rsid w:val="00B14ACD"/>
    <w:rsid w:val="00B157F9"/>
    <w:rsid w:val="00B16926"/>
    <w:rsid w:val="00B16ABC"/>
    <w:rsid w:val="00B171BC"/>
    <w:rsid w:val="00B17ED5"/>
    <w:rsid w:val="00B201A4"/>
    <w:rsid w:val="00B201D1"/>
    <w:rsid w:val="00B207EE"/>
    <w:rsid w:val="00B20B9A"/>
    <w:rsid w:val="00B213A6"/>
    <w:rsid w:val="00B21CB2"/>
    <w:rsid w:val="00B228DE"/>
    <w:rsid w:val="00B235B0"/>
    <w:rsid w:val="00B23E2D"/>
    <w:rsid w:val="00B23F1B"/>
    <w:rsid w:val="00B24DF6"/>
    <w:rsid w:val="00B27A61"/>
    <w:rsid w:val="00B27C01"/>
    <w:rsid w:val="00B30365"/>
    <w:rsid w:val="00B30902"/>
    <w:rsid w:val="00B30AEA"/>
    <w:rsid w:val="00B312F8"/>
    <w:rsid w:val="00B317F0"/>
    <w:rsid w:val="00B31A17"/>
    <w:rsid w:val="00B31D59"/>
    <w:rsid w:val="00B33679"/>
    <w:rsid w:val="00B33A14"/>
    <w:rsid w:val="00B34A9B"/>
    <w:rsid w:val="00B34FE2"/>
    <w:rsid w:val="00B35166"/>
    <w:rsid w:val="00B357C1"/>
    <w:rsid w:val="00B357D8"/>
    <w:rsid w:val="00B35A35"/>
    <w:rsid w:val="00B360F4"/>
    <w:rsid w:val="00B36A00"/>
    <w:rsid w:val="00B36A28"/>
    <w:rsid w:val="00B37611"/>
    <w:rsid w:val="00B3792B"/>
    <w:rsid w:val="00B37BFC"/>
    <w:rsid w:val="00B37E87"/>
    <w:rsid w:val="00B40358"/>
    <w:rsid w:val="00B41614"/>
    <w:rsid w:val="00B42447"/>
    <w:rsid w:val="00B42851"/>
    <w:rsid w:val="00B42F80"/>
    <w:rsid w:val="00B4302B"/>
    <w:rsid w:val="00B4308A"/>
    <w:rsid w:val="00B435CB"/>
    <w:rsid w:val="00B4397C"/>
    <w:rsid w:val="00B44216"/>
    <w:rsid w:val="00B446ED"/>
    <w:rsid w:val="00B4550D"/>
    <w:rsid w:val="00B465EC"/>
    <w:rsid w:val="00B46626"/>
    <w:rsid w:val="00B46729"/>
    <w:rsid w:val="00B46C15"/>
    <w:rsid w:val="00B47401"/>
    <w:rsid w:val="00B477E1"/>
    <w:rsid w:val="00B502B9"/>
    <w:rsid w:val="00B505C8"/>
    <w:rsid w:val="00B50ADA"/>
    <w:rsid w:val="00B50DB8"/>
    <w:rsid w:val="00B51037"/>
    <w:rsid w:val="00B51232"/>
    <w:rsid w:val="00B522C2"/>
    <w:rsid w:val="00B52CFE"/>
    <w:rsid w:val="00B52ECA"/>
    <w:rsid w:val="00B53654"/>
    <w:rsid w:val="00B53905"/>
    <w:rsid w:val="00B53BB6"/>
    <w:rsid w:val="00B541AC"/>
    <w:rsid w:val="00B545AF"/>
    <w:rsid w:val="00B546DB"/>
    <w:rsid w:val="00B548D6"/>
    <w:rsid w:val="00B54B5B"/>
    <w:rsid w:val="00B54CB4"/>
    <w:rsid w:val="00B54F63"/>
    <w:rsid w:val="00B5562E"/>
    <w:rsid w:val="00B55862"/>
    <w:rsid w:val="00B55D65"/>
    <w:rsid w:val="00B56305"/>
    <w:rsid w:val="00B56ADE"/>
    <w:rsid w:val="00B57000"/>
    <w:rsid w:val="00B576F8"/>
    <w:rsid w:val="00B57FB7"/>
    <w:rsid w:val="00B60688"/>
    <w:rsid w:val="00B60939"/>
    <w:rsid w:val="00B60AFD"/>
    <w:rsid w:val="00B61223"/>
    <w:rsid w:val="00B61FF4"/>
    <w:rsid w:val="00B62715"/>
    <w:rsid w:val="00B637C3"/>
    <w:rsid w:val="00B638DC"/>
    <w:rsid w:val="00B64601"/>
    <w:rsid w:val="00B64EB8"/>
    <w:rsid w:val="00B65611"/>
    <w:rsid w:val="00B65B71"/>
    <w:rsid w:val="00B65F90"/>
    <w:rsid w:val="00B66111"/>
    <w:rsid w:val="00B6727D"/>
    <w:rsid w:val="00B67355"/>
    <w:rsid w:val="00B67C40"/>
    <w:rsid w:val="00B70E8E"/>
    <w:rsid w:val="00B72093"/>
    <w:rsid w:val="00B72F79"/>
    <w:rsid w:val="00B7366A"/>
    <w:rsid w:val="00B73E92"/>
    <w:rsid w:val="00B73F34"/>
    <w:rsid w:val="00B73FC4"/>
    <w:rsid w:val="00B747D0"/>
    <w:rsid w:val="00B7566D"/>
    <w:rsid w:val="00B759B4"/>
    <w:rsid w:val="00B764A1"/>
    <w:rsid w:val="00B76C92"/>
    <w:rsid w:val="00B76D5E"/>
    <w:rsid w:val="00B76D91"/>
    <w:rsid w:val="00B77063"/>
    <w:rsid w:val="00B773C9"/>
    <w:rsid w:val="00B80E57"/>
    <w:rsid w:val="00B80EFD"/>
    <w:rsid w:val="00B8173A"/>
    <w:rsid w:val="00B818A4"/>
    <w:rsid w:val="00B81CAC"/>
    <w:rsid w:val="00B81E7A"/>
    <w:rsid w:val="00B83200"/>
    <w:rsid w:val="00B834E8"/>
    <w:rsid w:val="00B83739"/>
    <w:rsid w:val="00B837C3"/>
    <w:rsid w:val="00B84041"/>
    <w:rsid w:val="00B840A0"/>
    <w:rsid w:val="00B84117"/>
    <w:rsid w:val="00B84A7F"/>
    <w:rsid w:val="00B858F0"/>
    <w:rsid w:val="00B85AA2"/>
    <w:rsid w:val="00B8642A"/>
    <w:rsid w:val="00B8649C"/>
    <w:rsid w:val="00B8695D"/>
    <w:rsid w:val="00B86D72"/>
    <w:rsid w:val="00B86F8F"/>
    <w:rsid w:val="00B8793A"/>
    <w:rsid w:val="00B87E6B"/>
    <w:rsid w:val="00B87F0A"/>
    <w:rsid w:val="00B909DC"/>
    <w:rsid w:val="00B91B38"/>
    <w:rsid w:val="00B91D75"/>
    <w:rsid w:val="00B92D0B"/>
    <w:rsid w:val="00B93253"/>
    <w:rsid w:val="00B9337B"/>
    <w:rsid w:val="00B93445"/>
    <w:rsid w:val="00B939CC"/>
    <w:rsid w:val="00B93DA7"/>
    <w:rsid w:val="00B94945"/>
    <w:rsid w:val="00B94A46"/>
    <w:rsid w:val="00B94DD6"/>
    <w:rsid w:val="00B96773"/>
    <w:rsid w:val="00B96D14"/>
    <w:rsid w:val="00B9759D"/>
    <w:rsid w:val="00B97CF2"/>
    <w:rsid w:val="00BA0136"/>
    <w:rsid w:val="00BA08F5"/>
    <w:rsid w:val="00BA0A2D"/>
    <w:rsid w:val="00BA0A7C"/>
    <w:rsid w:val="00BA13B5"/>
    <w:rsid w:val="00BA251F"/>
    <w:rsid w:val="00BA2CF3"/>
    <w:rsid w:val="00BA322D"/>
    <w:rsid w:val="00BA37DD"/>
    <w:rsid w:val="00BA3A4D"/>
    <w:rsid w:val="00BA47C0"/>
    <w:rsid w:val="00BA4854"/>
    <w:rsid w:val="00BA4FC8"/>
    <w:rsid w:val="00BA508B"/>
    <w:rsid w:val="00BA5814"/>
    <w:rsid w:val="00BA5B61"/>
    <w:rsid w:val="00BA5E93"/>
    <w:rsid w:val="00BA6137"/>
    <w:rsid w:val="00BA6257"/>
    <w:rsid w:val="00BA6274"/>
    <w:rsid w:val="00BA63A4"/>
    <w:rsid w:val="00BA63FA"/>
    <w:rsid w:val="00BA6561"/>
    <w:rsid w:val="00BA6D87"/>
    <w:rsid w:val="00BA78C0"/>
    <w:rsid w:val="00BA7D4B"/>
    <w:rsid w:val="00BB00B3"/>
    <w:rsid w:val="00BB0B5C"/>
    <w:rsid w:val="00BB0BDD"/>
    <w:rsid w:val="00BB0EA1"/>
    <w:rsid w:val="00BB16EB"/>
    <w:rsid w:val="00BB176C"/>
    <w:rsid w:val="00BB1888"/>
    <w:rsid w:val="00BB197A"/>
    <w:rsid w:val="00BB1DEE"/>
    <w:rsid w:val="00BB2330"/>
    <w:rsid w:val="00BB2A73"/>
    <w:rsid w:val="00BB2A7E"/>
    <w:rsid w:val="00BB3A45"/>
    <w:rsid w:val="00BB4421"/>
    <w:rsid w:val="00BB4ACC"/>
    <w:rsid w:val="00BB4BDF"/>
    <w:rsid w:val="00BB5067"/>
    <w:rsid w:val="00BB59B9"/>
    <w:rsid w:val="00BB59C2"/>
    <w:rsid w:val="00BB5BE4"/>
    <w:rsid w:val="00BB5FFD"/>
    <w:rsid w:val="00BB703E"/>
    <w:rsid w:val="00BB732D"/>
    <w:rsid w:val="00BB7405"/>
    <w:rsid w:val="00BB7F07"/>
    <w:rsid w:val="00BB7F4B"/>
    <w:rsid w:val="00BC10FE"/>
    <w:rsid w:val="00BC1130"/>
    <w:rsid w:val="00BC1606"/>
    <w:rsid w:val="00BC1D21"/>
    <w:rsid w:val="00BC3631"/>
    <w:rsid w:val="00BC37F1"/>
    <w:rsid w:val="00BC38CF"/>
    <w:rsid w:val="00BC47B3"/>
    <w:rsid w:val="00BC591F"/>
    <w:rsid w:val="00BC5B8D"/>
    <w:rsid w:val="00BC5C69"/>
    <w:rsid w:val="00BC6AEF"/>
    <w:rsid w:val="00BC6F7D"/>
    <w:rsid w:val="00BC7D6D"/>
    <w:rsid w:val="00BD04B8"/>
    <w:rsid w:val="00BD1440"/>
    <w:rsid w:val="00BD1587"/>
    <w:rsid w:val="00BD1AE4"/>
    <w:rsid w:val="00BD1B38"/>
    <w:rsid w:val="00BD2108"/>
    <w:rsid w:val="00BD2C8F"/>
    <w:rsid w:val="00BD3640"/>
    <w:rsid w:val="00BD4179"/>
    <w:rsid w:val="00BD47B0"/>
    <w:rsid w:val="00BD5597"/>
    <w:rsid w:val="00BD5B35"/>
    <w:rsid w:val="00BD6027"/>
    <w:rsid w:val="00BD6079"/>
    <w:rsid w:val="00BD68A3"/>
    <w:rsid w:val="00BD6938"/>
    <w:rsid w:val="00BD6B48"/>
    <w:rsid w:val="00BD6CF3"/>
    <w:rsid w:val="00BD7F72"/>
    <w:rsid w:val="00BE09C7"/>
    <w:rsid w:val="00BE0ECA"/>
    <w:rsid w:val="00BE1A31"/>
    <w:rsid w:val="00BE1B40"/>
    <w:rsid w:val="00BE2180"/>
    <w:rsid w:val="00BE21F2"/>
    <w:rsid w:val="00BE2493"/>
    <w:rsid w:val="00BE282F"/>
    <w:rsid w:val="00BE2E66"/>
    <w:rsid w:val="00BE3B2A"/>
    <w:rsid w:val="00BE4275"/>
    <w:rsid w:val="00BE436A"/>
    <w:rsid w:val="00BE538B"/>
    <w:rsid w:val="00BE562E"/>
    <w:rsid w:val="00BE67AF"/>
    <w:rsid w:val="00BE6F01"/>
    <w:rsid w:val="00BE77CC"/>
    <w:rsid w:val="00BE7986"/>
    <w:rsid w:val="00BE7B47"/>
    <w:rsid w:val="00BE7BC2"/>
    <w:rsid w:val="00BE7BFC"/>
    <w:rsid w:val="00BF0120"/>
    <w:rsid w:val="00BF0668"/>
    <w:rsid w:val="00BF06AE"/>
    <w:rsid w:val="00BF0F95"/>
    <w:rsid w:val="00BF1750"/>
    <w:rsid w:val="00BF1AB1"/>
    <w:rsid w:val="00BF21C9"/>
    <w:rsid w:val="00BF2239"/>
    <w:rsid w:val="00BF2433"/>
    <w:rsid w:val="00BF25B5"/>
    <w:rsid w:val="00BF25D3"/>
    <w:rsid w:val="00BF264C"/>
    <w:rsid w:val="00BF2E6E"/>
    <w:rsid w:val="00BF2FA0"/>
    <w:rsid w:val="00BF3A70"/>
    <w:rsid w:val="00BF4A01"/>
    <w:rsid w:val="00BF5864"/>
    <w:rsid w:val="00BF61C9"/>
    <w:rsid w:val="00BF6330"/>
    <w:rsid w:val="00BF650F"/>
    <w:rsid w:val="00BF6737"/>
    <w:rsid w:val="00BF6C94"/>
    <w:rsid w:val="00BF6E3A"/>
    <w:rsid w:val="00BF702B"/>
    <w:rsid w:val="00BF7030"/>
    <w:rsid w:val="00BF7BEC"/>
    <w:rsid w:val="00BF7D3F"/>
    <w:rsid w:val="00C00287"/>
    <w:rsid w:val="00C00424"/>
    <w:rsid w:val="00C00918"/>
    <w:rsid w:val="00C00BB0"/>
    <w:rsid w:val="00C01786"/>
    <w:rsid w:val="00C021E4"/>
    <w:rsid w:val="00C02C32"/>
    <w:rsid w:val="00C032A5"/>
    <w:rsid w:val="00C039AD"/>
    <w:rsid w:val="00C03A69"/>
    <w:rsid w:val="00C03DA4"/>
    <w:rsid w:val="00C03DB0"/>
    <w:rsid w:val="00C050DB"/>
    <w:rsid w:val="00C056B8"/>
    <w:rsid w:val="00C05A52"/>
    <w:rsid w:val="00C06EFA"/>
    <w:rsid w:val="00C07393"/>
    <w:rsid w:val="00C07B98"/>
    <w:rsid w:val="00C10080"/>
    <w:rsid w:val="00C10370"/>
    <w:rsid w:val="00C1049A"/>
    <w:rsid w:val="00C1179F"/>
    <w:rsid w:val="00C11EE1"/>
    <w:rsid w:val="00C127B9"/>
    <w:rsid w:val="00C128FA"/>
    <w:rsid w:val="00C12C14"/>
    <w:rsid w:val="00C12F30"/>
    <w:rsid w:val="00C13410"/>
    <w:rsid w:val="00C1365C"/>
    <w:rsid w:val="00C13872"/>
    <w:rsid w:val="00C139CE"/>
    <w:rsid w:val="00C13A01"/>
    <w:rsid w:val="00C1441F"/>
    <w:rsid w:val="00C14733"/>
    <w:rsid w:val="00C149CE"/>
    <w:rsid w:val="00C14D7C"/>
    <w:rsid w:val="00C1512A"/>
    <w:rsid w:val="00C15C46"/>
    <w:rsid w:val="00C15F04"/>
    <w:rsid w:val="00C16195"/>
    <w:rsid w:val="00C161DD"/>
    <w:rsid w:val="00C161EF"/>
    <w:rsid w:val="00C1626C"/>
    <w:rsid w:val="00C163D1"/>
    <w:rsid w:val="00C16530"/>
    <w:rsid w:val="00C165A2"/>
    <w:rsid w:val="00C16BE6"/>
    <w:rsid w:val="00C16F35"/>
    <w:rsid w:val="00C179B3"/>
    <w:rsid w:val="00C17E3F"/>
    <w:rsid w:val="00C200AA"/>
    <w:rsid w:val="00C205CA"/>
    <w:rsid w:val="00C210AD"/>
    <w:rsid w:val="00C21270"/>
    <w:rsid w:val="00C22C58"/>
    <w:rsid w:val="00C237ED"/>
    <w:rsid w:val="00C239AC"/>
    <w:rsid w:val="00C23AE3"/>
    <w:rsid w:val="00C24035"/>
    <w:rsid w:val="00C24159"/>
    <w:rsid w:val="00C24632"/>
    <w:rsid w:val="00C246F7"/>
    <w:rsid w:val="00C24987"/>
    <w:rsid w:val="00C2531E"/>
    <w:rsid w:val="00C25418"/>
    <w:rsid w:val="00C2570E"/>
    <w:rsid w:val="00C25D9C"/>
    <w:rsid w:val="00C25F22"/>
    <w:rsid w:val="00C25FA8"/>
    <w:rsid w:val="00C2605A"/>
    <w:rsid w:val="00C275B8"/>
    <w:rsid w:val="00C275E1"/>
    <w:rsid w:val="00C275FA"/>
    <w:rsid w:val="00C2778B"/>
    <w:rsid w:val="00C27C0B"/>
    <w:rsid w:val="00C27E5F"/>
    <w:rsid w:val="00C3150E"/>
    <w:rsid w:val="00C31560"/>
    <w:rsid w:val="00C31649"/>
    <w:rsid w:val="00C317A9"/>
    <w:rsid w:val="00C31BE2"/>
    <w:rsid w:val="00C31EBB"/>
    <w:rsid w:val="00C329B3"/>
    <w:rsid w:val="00C32AA4"/>
    <w:rsid w:val="00C32B11"/>
    <w:rsid w:val="00C32EF5"/>
    <w:rsid w:val="00C332F1"/>
    <w:rsid w:val="00C333AC"/>
    <w:rsid w:val="00C33648"/>
    <w:rsid w:val="00C33C43"/>
    <w:rsid w:val="00C3434C"/>
    <w:rsid w:val="00C34989"/>
    <w:rsid w:val="00C35E03"/>
    <w:rsid w:val="00C36DD4"/>
    <w:rsid w:val="00C36E9E"/>
    <w:rsid w:val="00C3704A"/>
    <w:rsid w:val="00C37249"/>
    <w:rsid w:val="00C37847"/>
    <w:rsid w:val="00C40385"/>
    <w:rsid w:val="00C40657"/>
    <w:rsid w:val="00C40CA7"/>
    <w:rsid w:val="00C40FE9"/>
    <w:rsid w:val="00C41768"/>
    <w:rsid w:val="00C4199E"/>
    <w:rsid w:val="00C427D0"/>
    <w:rsid w:val="00C44117"/>
    <w:rsid w:val="00C4419D"/>
    <w:rsid w:val="00C44468"/>
    <w:rsid w:val="00C44E92"/>
    <w:rsid w:val="00C45281"/>
    <w:rsid w:val="00C4545F"/>
    <w:rsid w:val="00C46450"/>
    <w:rsid w:val="00C46803"/>
    <w:rsid w:val="00C475AA"/>
    <w:rsid w:val="00C476B1"/>
    <w:rsid w:val="00C47BE5"/>
    <w:rsid w:val="00C47C70"/>
    <w:rsid w:val="00C500AF"/>
    <w:rsid w:val="00C504A8"/>
    <w:rsid w:val="00C50815"/>
    <w:rsid w:val="00C509AB"/>
    <w:rsid w:val="00C51AF3"/>
    <w:rsid w:val="00C5226B"/>
    <w:rsid w:val="00C524FD"/>
    <w:rsid w:val="00C5251B"/>
    <w:rsid w:val="00C52567"/>
    <w:rsid w:val="00C527C7"/>
    <w:rsid w:val="00C52A88"/>
    <w:rsid w:val="00C53C07"/>
    <w:rsid w:val="00C53C98"/>
    <w:rsid w:val="00C53E5A"/>
    <w:rsid w:val="00C5562F"/>
    <w:rsid w:val="00C55B98"/>
    <w:rsid w:val="00C55BD2"/>
    <w:rsid w:val="00C5621F"/>
    <w:rsid w:val="00C56904"/>
    <w:rsid w:val="00C56D06"/>
    <w:rsid w:val="00C56FCF"/>
    <w:rsid w:val="00C57B6C"/>
    <w:rsid w:val="00C60889"/>
    <w:rsid w:val="00C60943"/>
    <w:rsid w:val="00C60DBB"/>
    <w:rsid w:val="00C61A59"/>
    <w:rsid w:val="00C628A6"/>
    <w:rsid w:val="00C63D19"/>
    <w:rsid w:val="00C640E7"/>
    <w:rsid w:val="00C64344"/>
    <w:rsid w:val="00C643CB"/>
    <w:rsid w:val="00C64FEE"/>
    <w:rsid w:val="00C65108"/>
    <w:rsid w:val="00C65576"/>
    <w:rsid w:val="00C66165"/>
    <w:rsid w:val="00C66657"/>
    <w:rsid w:val="00C67EB7"/>
    <w:rsid w:val="00C7060A"/>
    <w:rsid w:val="00C7095D"/>
    <w:rsid w:val="00C7151A"/>
    <w:rsid w:val="00C717D7"/>
    <w:rsid w:val="00C717E3"/>
    <w:rsid w:val="00C71F60"/>
    <w:rsid w:val="00C72241"/>
    <w:rsid w:val="00C72520"/>
    <w:rsid w:val="00C7333A"/>
    <w:rsid w:val="00C74119"/>
    <w:rsid w:val="00C750C8"/>
    <w:rsid w:val="00C7560F"/>
    <w:rsid w:val="00C75631"/>
    <w:rsid w:val="00C758EB"/>
    <w:rsid w:val="00C767CB"/>
    <w:rsid w:val="00C76E0B"/>
    <w:rsid w:val="00C77657"/>
    <w:rsid w:val="00C77B86"/>
    <w:rsid w:val="00C77BE0"/>
    <w:rsid w:val="00C77F81"/>
    <w:rsid w:val="00C80489"/>
    <w:rsid w:val="00C80A0E"/>
    <w:rsid w:val="00C80AD1"/>
    <w:rsid w:val="00C80D13"/>
    <w:rsid w:val="00C8139F"/>
    <w:rsid w:val="00C81513"/>
    <w:rsid w:val="00C8213F"/>
    <w:rsid w:val="00C8303F"/>
    <w:rsid w:val="00C8353E"/>
    <w:rsid w:val="00C83B7A"/>
    <w:rsid w:val="00C848FA"/>
    <w:rsid w:val="00C84D6E"/>
    <w:rsid w:val="00C85154"/>
    <w:rsid w:val="00C85723"/>
    <w:rsid w:val="00C85A70"/>
    <w:rsid w:val="00C865C9"/>
    <w:rsid w:val="00C869C8"/>
    <w:rsid w:val="00C8797A"/>
    <w:rsid w:val="00C87C60"/>
    <w:rsid w:val="00C900B8"/>
    <w:rsid w:val="00C90197"/>
    <w:rsid w:val="00C90C71"/>
    <w:rsid w:val="00C91ADB"/>
    <w:rsid w:val="00C91EDB"/>
    <w:rsid w:val="00C91F31"/>
    <w:rsid w:val="00C91F79"/>
    <w:rsid w:val="00C91FD1"/>
    <w:rsid w:val="00C92511"/>
    <w:rsid w:val="00C92F0A"/>
    <w:rsid w:val="00C93059"/>
    <w:rsid w:val="00C931CF"/>
    <w:rsid w:val="00C938CF"/>
    <w:rsid w:val="00C93A5C"/>
    <w:rsid w:val="00C94053"/>
    <w:rsid w:val="00C943DE"/>
    <w:rsid w:val="00C94B78"/>
    <w:rsid w:val="00C960A4"/>
    <w:rsid w:val="00C960BF"/>
    <w:rsid w:val="00C9624D"/>
    <w:rsid w:val="00C962DF"/>
    <w:rsid w:val="00C96715"/>
    <w:rsid w:val="00C969DA"/>
    <w:rsid w:val="00C96BA2"/>
    <w:rsid w:val="00C97C65"/>
    <w:rsid w:val="00CA0E91"/>
    <w:rsid w:val="00CA24C1"/>
    <w:rsid w:val="00CA2741"/>
    <w:rsid w:val="00CA2C77"/>
    <w:rsid w:val="00CA3D84"/>
    <w:rsid w:val="00CA3EE8"/>
    <w:rsid w:val="00CA408C"/>
    <w:rsid w:val="00CA444F"/>
    <w:rsid w:val="00CA47E9"/>
    <w:rsid w:val="00CA50B8"/>
    <w:rsid w:val="00CA50D1"/>
    <w:rsid w:val="00CA5245"/>
    <w:rsid w:val="00CA52E9"/>
    <w:rsid w:val="00CA543D"/>
    <w:rsid w:val="00CA5487"/>
    <w:rsid w:val="00CA57E1"/>
    <w:rsid w:val="00CA5A51"/>
    <w:rsid w:val="00CA5EC7"/>
    <w:rsid w:val="00CA71F4"/>
    <w:rsid w:val="00CA7406"/>
    <w:rsid w:val="00CA783D"/>
    <w:rsid w:val="00CA7AE5"/>
    <w:rsid w:val="00CA7B09"/>
    <w:rsid w:val="00CB0913"/>
    <w:rsid w:val="00CB12A5"/>
    <w:rsid w:val="00CB1CAC"/>
    <w:rsid w:val="00CB2496"/>
    <w:rsid w:val="00CB24DA"/>
    <w:rsid w:val="00CB2525"/>
    <w:rsid w:val="00CB2F2A"/>
    <w:rsid w:val="00CB3358"/>
    <w:rsid w:val="00CB3958"/>
    <w:rsid w:val="00CB3E93"/>
    <w:rsid w:val="00CB4566"/>
    <w:rsid w:val="00CB49E0"/>
    <w:rsid w:val="00CB4A29"/>
    <w:rsid w:val="00CB5565"/>
    <w:rsid w:val="00CB5B1A"/>
    <w:rsid w:val="00CB5F1D"/>
    <w:rsid w:val="00CB66A4"/>
    <w:rsid w:val="00CB66F5"/>
    <w:rsid w:val="00CB6B22"/>
    <w:rsid w:val="00CB6C0A"/>
    <w:rsid w:val="00CB6FD9"/>
    <w:rsid w:val="00CB7870"/>
    <w:rsid w:val="00CB7CCC"/>
    <w:rsid w:val="00CB7F5F"/>
    <w:rsid w:val="00CC0194"/>
    <w:rsid w:val="00CC1419"/>
    <w:rsid w:val="00CC1B39"/>
    <w:rsid w:val="00CC1BFA"/>
    <w:rsid w:val="00CC200A"/>
    <w:rsid w:val="00CC24D8"/>
    <w:rsid w:val="00CC2547"/>
    <w:rsid w:val="00CC2787"/>
    <w:rsid w:val="00CC2E9F"/>
    <w:rsid w:val="00CC3256"/>
    <w:rsid w:val="00CC34F3"/>
    <w:rsid w:val="00CC35EA"/>
    <w:rsid w:val="00CC3848"/>
    <w:rsid w:val="00CC3994"/>
    <w:rsid w:val="00CC4048"/>
    <w:rsid w:val="00CC4462"/>
    <w:rsid w:val="00CC5089"/>
    <w:rsid w:val="00CC6154"/>
    <w:rsid w:val="00CC6D5E"/>
    <w:rsid w:val="00CC6EF2"/>
    <w:rsid w:val="00CC75A9"/>
    <w:rsid w:val="00CD0200"/>
    <w:rsid w:val="00CD0C70"/>
    <w:rsid w:val="00CD0D35"/>
    <w:rsid w:val="00CD282B"/>
    <w:rsid w:val="00CD2D11"/>
    <w:rsid w:val="00CD3701"/>
    <w:rsid w:val="00CD3B36"/>
    <w:rsid w:val="00CD3E15"/>
    <w:rsid w:val="00CD3F77"/>
    <w:rsid w:val="00CD41BC"/>
    <w:rsid w:val="00CD47B5"/>
    <w:rsid w:val="00CD4B9A"/>
    <w:rsid w:val="00CD63C0"/>
    <w:rsid w:val="00CD6569"/>
    <w:rsid w:val="00CD6ADC"/>
    <w:rsid w:val="00CD6E0C"/>
    <w:rsid w:val="00CD7193"/>
    <w:rsid w:val="00CD7387"/>
    <w:rsid w:val="00CD7642"/>
    <w:rsid w:val="00CD78D1"/>
    <w:rsid w:val="00CD7DAA"/>
    <w:rsid w:val="00CE002A"/>
    <w:rsid w:val="00CE0284"/>
    <w:rsid w:val="00CE034B"/>
    <w:rsid w:val="00CE077F"/>
    <w:rsid w:val="00CE11D8"/>
    <w:rsid w:val="00CE22CA"/>
    <w:rsid w:val="00CE28A7"/>
    <w:rsid w:val="00CE38C8"/>
    <w:rsid w:val="00CE524F"/>
    <w:rsid w:val="00CE54BB"/>
    <w:rsid w:val="00CE5822"/>
    <w:rsid w:val="00CE58CC"/>
    <w:rsid w:val="00CE600E"/>
    <w:rsid w:val="00CE6057"/>
    <w:rsid w:val="00CE61E7"/>
    <w:rsid w:val="00CE6274"/>
    <w:rsid w:val="00CE672F"/>
    <w:rsid w:val="00CE70D8"/>
    <w:rsid w:val="00CE77B6"/>
    <w:rsid w:val="00CE7E47"/>
    <w:rsid w:val="00CF0857"/>
    <w:rsid w:val="00CF129B"/>
    <w:rsid w:val="00CF1F08"/>
    <w:rsid w:val="00CF1F39"/>
    <w:rsid w:val="00CF2231"/>
    <w:rsid w:val="00CF23C2"/>
    <w:rsid w:val="00CF27A3"/>
    <w:rsid w:val="00CF2A8E"/>
    <w:rsid w:val="00CF2B8D"/>
    <w:rsid w:val="00CF3A1B"/>
    <w:rsid w:val="00CF456B"/>
    <w:rsid w:val="00CF4E9E"/>
    <w:rsid w:val="00CF562F"/>
    <w:rsid w:val="00CF5A22"/>
    <w:rsid w:val="00CF5CAD"/>
    <w:rsid w:val="00CF6928"/>
    <w:rsid w:val="00CF6D77"/>
    <w:rsid w:val="00CF70FF"/>
    <w:rsid w:val="00CF7F2E"/>
    <w:rsid w:val="00D00B76"/>
    <w:rsid w:val="00D00DF5"/>
    <w:rsid w:val="00D01276"/>
    <w:rsid w:val="00D016B4"/>
    <w:rsid w:val="00D01D54"/>
    <w:rsid w:val="00D0262E"/>
    <w:rsid w:val="00D02644"/>
    <w:rsid w:val="00D03679"/>
    <w:rsid w:val="00D03C6D"/>
    <w:rsid w:val="00D03C7B"/>
    <w:rsid w:val="00D052B0"/>
    <w:rsid w:val="00D0536E"/>
    <w:rsid w:val="00D0551D"/>
    <w:rsid w:val="00D056BA"/>
    <w:rsid w:val="00D05E3D"/>
    <w:rsid w:val="00D06139"/>
    <w:rsid w:val="00D06821"/>
    <w:rsid w:val="00D06DF9"/>
    <w:rsid w:val="00D0746E"/>
    <w:rsid w:val="00D07C38"/>
    <w:rsid w:val="00D07EC9"/>
    <w:rsid w:val="00D107C5"/>
    <w:rsid w:val="00D110BD"/>
    <w:rsid w:val="00D11F82"/>
    <w:rsid w:val="00D13675"/>
    <w:rsid w:val="00D138FB"/>
    <w:rsid w:val="00D13A39"/>
    <w:rsid w:val="00D141E1"/>
    <w:rsid w:val="00D14E12"/>
    <w:rsid w:val="00D14F16"/>
    <w:rsid w:val="00D14F61"/>
    <w:rsid w:val="00D15314"/>
    <w:rsid w:val="00D154A1"/>
    <w:rsid w:val="00D156F4"/>
    <w:rsid w:val="00D15B48"/>
    <w:rsid w:val="00D1609F"/>
    <w:rsid w:val="00D169F3"/>
    <w:rsid w:val="00D16B60"/>
    <w:rsid w:val="00D176B1"/>
    <w:rsid w:val="00D17AED"/>
    <w:rsid w:val="00D17D6C"/>
    <w:rsid w:val="00D201EF"/>
    <w:rsid w:val="00D2040F"/>
    <w:rsid w:val="00D20ED3"/>
    <w:rsid w:val="00D2155B"/>
    <w:rsid w:val="00D22305"/>
    <w:rsid w:val="00D229F2"/>
    <w:rsid w:val="00D22EA8"/>
    <w:rsid w:val="00D235AD"/>
    <w:rsid w:val="00D23D11"/>
    <w:rsid w:val="00D23DE3"/>
    <w:rsid w:val="00D24360"/>
    <w:rsid w:val="00D244B6"/>
    <w:rsid w:val="00D24877"/>
    <w:rsid w:val="00D25EE0"/>
    <w:rsid w:val="00D2615A"/>
    <w:rsid w:val="00D267D4"/>
    <w:rsid w:val="00D2682F"/>
    <w:rsid w:val="00D2754D"/>
    <w:rsid w:val="00D2780E"/>
    <w:rsid w:val="00D278D4"/>
    <w:rsid w:val="00D27B27"/>
    <w:rsid w:val="00D27B32"/>
    <w:rsid w:val="00D303DE"/>
    <w:rsid w:val="00D30D5B"/>
    <w:rsid w:val="00D30FEE"/>
    <w:rsid w:val="00D3102B"/>
    <w:rsid w:val="00D310A1"/>
    <w:rsid w:val="00D31769"/>
    <w:rsid w:val="00D318A5"/>
    <w:rsid w:val="00D31A4C"/>
    <w:rsid w:val="00D31FA1"/>
    <w:rsid w:val="00D320F9"/>
    <w:rsid w:val="00D32669"/>
    <w:rsid w:val="00D33485"/>
    <w:rsid w:val="00D33BE9"/>
    <w:rsid w:val="00D33F93"/>
    <w:rsid w:val="00D34696"/>
    <w:rsid w:val="00D357FF"/>
    <w:rsid w:val="00D366BB"/>
    <w:rsid w:val="00D36987"/>
    <w:rsid w:val="00D40059"/>
    <w:rsid w:val="00D401A0"/>
    <w:rsid w:val="00D405E6"/>
    <w:rsid w:val="00D407E0"/>
    <w:rsid w:val="00D41B86"/>
    <w:rsid w:val="00D4202E"/>
    <w:rsid w:val="00D424C7"/>
    <w:rsid w:val="00D42611"/>
    <w:rsid w:val="00D42B81"/>
    <w:rsid w:val="00D42C99"/>
    <w:rsid w:val="00D437FC"/>
    <w:rsid w:val="00D43B2A"/>
    <w:rsid w:val="00D43CF1"/>
    <w:rsid w:val="00D43D83"/>
    <w:rsid w:val="00D4450F"/>
    <w:rsid w:val="00D4543B"/>
    <w:rsid w:val="00D45638"/>
    <w:rsid w:val="00D456E7"/>
    <w:rsid w:val="00D45A3C"/>
    <w:rsid w:val="00D467E1"/>
    <w:rsid w:val="00D46C66"/>
    <w:rsid w:val="00D47575"/>
    <w:rsid w:val="00D5035B"/>
    <w:rsid w:val="00D50D0B"/>
    <w:rsid w:val="00D517B5"/>
    <w:rsid w:val="00D51BC0"/>
    <w:rsid w:val="00D51F13"/>
    <w:rsid w:val="00D52176"/>
    <w:rsid w:val="00D5243B"/>
    <w:rsid w:val="00D52C1D"/>
    <w:rsid w:val="00D53067"/>
    <w:rsid w:val="00D533EC"/>
    <w:rsid w:val="00D541F3"/>
    <w:rsid w:val="00D55420"/>
    <w:rsid w:val="00D564D8"/>
    <w:rsid w:val="00D56A95"/>
    <w:rsid w:val="00D56E8C"/>
    <w:rsid w:val="00D57126"/>
    <w:rsid w:val="00D57282"/>
    <w:rsid w:val="00D600C0"/>
    <w:rsid w:val="00D6013C"/>
    <w:rsid w:val="00D6076C"/>
    <w:rsid w:val="00D6076E"/>
    <w:rsid w:val="00D60B69"/>
    <w:rsid w:val="00D60DA8"/>
    <w:rsid w:val="00D610C6"/>
    <w:rsid w:val="00D611A5"/>
    <w:rsid w:val="00D61268"/>
    <w:rsid w:val="00D6166D"/>
    <w:rsid w:val="00D62146"/>
    <w:rsid w:val="00D62DEF"/>
    <w:rsid w:val="00D645A5"/>
    <w:rsid w:val="00D6543F"/>
    <w:rsid w:val="00D66F80"/>
    <w:rsid w:val="00D6762D"/>
    <w:rsid w:val="00D67892"/>
    <w:rsid w:val="00D67DAC"/>
    <w:rsid w:val="00D70F16"/>
    <w:rsid w:val="00D713BF"/>
    <w:rsid w:val="00D71469"/>
    <w:rsid w:val="00D725B8"/>
    <w:rsid w:val="00D72617"/>
    <w:rsid w:val="00D72F57"/>
    <w:rsid w:val="00D72FDC"/>
    <w:rsid w:val="00D732E2"/>
    <w:rsid w:val="00D73521"/>
    <w:rsid w:val="00D73FA7"/>
    <w:rsid w:val="00D74221"/>
    <w:rsid w:val="00D7462D"/>
    <w:rsid w:val="00D74A13"/>
    <w:rsid w:val="00D75A6C"/>
    <w:rsid w:val="00D76A44"/>
    <w:rsid w:val="00D76DB7"/>
    <w:rsid w:val="00D773EB"/>
    <w:rsid w:val="00D77B00"/>
    <w:rsid w:val="00D77F40"/>
    <w:rsid w:val="00D804B2"/>
    <w:rsid w:val="00D815EF"/>
    <w:rsid w:val="00D815F5"/>
    <w:rsid w:val="00D81949"/>
    <w:rsid w:val="00D81F26"/>
    <w:rsid w:val="00D822E2"/>
    <w:rsid w:val="00D82816"/>
    <w:rsid w:val="00D833F9"/>
    <w:rsid w:val="00D838F2"/>
    <w:rsid w:val="00D839D8"/>
    <w:rsid w:val="00D83B34"/>
    <w:rsid w:val="00D843F2"/>
    <w:rsid w:val="00D850A2"/>
    <w:rsid w:val="00D85124"/>
    <w:rsid w:val="00D853F7"/>
    <w:rsid w:val="00D86231"/>
    <w:rsid w:val="00D86B59"/>
    <w:rsid w:val="00D86EC7"/>
    <w:rsid w:val="00D8764B"/>
    <w:rsid w:val="00D87B95"/>
    <w:rsid w:val="00D901C3"/>
    <w:rsid w:val="00D90275"/>
    <w:rsid w:val="00D907CA"/>
    <w:rsid w:val="00D90881"/>
    <w:rsid w:val="00D90FB6"/>
    <w:rsid w:val="00D912AB"/>
    <w:rsid w:val="00D91923"/>
    <w:rsid w:val="00D91CF6"/>
    <w:rsid w:val="00D92484"/>
    <w:rsid w:val="00D92DF7"/>
    <w:rsid w:val="00D92FBD"/>
    <w:rsid w:val="00D93753"/>
    <w:rsid w:val="00D949C1"/>
    <w:rsid w:val="00D94CB7"/>
    <w:rsid w:val="00D94F71"/>
    <w:rsid w:val="00D95BCC"/>
    <w:rsid w:val="00D96061"/>
    <w:rsid w:val="00D9653C"/>
    <w:rsid w:val="00D96820"/>
    <w:rsid w:val="00D96D8E"/>
    <w:rsid w:val="00D979CF"/>
    <w:rsid w:val="00D97D99"/>
    <w:rsid w:val="00DA0333"/>
    <w:rsid w:val="00DA0434"/>
    <w:rsid w:val="00DA1EDC"/>
    <w:rsid w:val="00DA281A"/>
    <w:rsid w:val="00DA2A40"/>
    <w:rsid w:val="00DA2D66"/>
    <w:rsid w:val="00DA3167"/>
    <w:rsid w:val="00DA4DA7"/>
    <w:rsid w:val="00DA4DC3"/>
    <w:rsid w:val="00DA51D9"/>
    <w:rsid w:val="00DA5362"/>
    <w:rsid w:val="00DA55A4"/>
    <w:rsid w:val="00DA68EC"/>
    <w:rsid w:val="00DA70B7"/>
    <w:rsid w:val="00DA77A5"/>
    <w:rsid w:val="00DA77DB"/>
    <w:rsid w:val="00DB038E"/>
    <w:rsid w:val="00DB090A"/>
    <w:rsid w:val="00DB0E36"/>
    <w:rsid w:val="00DB2370"/>
    <w:rsid w:val="00DB319D"/>
    <w:rsid w:val="00DB3822"/>
    <w:rsid w:val="00DB3DBF"/>
    <w:rsid w:val="00DB44E8"/>
    <w:rsid w:val="00DB484F"/>
    <w:rsid w:val="00DB48EA"/>
    <w:rsid w:val="00DB757E"/>
    <w:rsid w:val="00DB7F2A"/>
    <w:rsid w:val="00DC04F6"/>
    <w:rsid w:val="00DC0690"/>
    <w:rsid w:val="00DC07E7"/>
    <w:rsid w:val="00DC0C0C"/>
    <w:rsid w:val="00DC0D4F"/>
    <w:rsid w:val="00DC14CC"/>
    <w:rsid w:val="00DC1D65"/>
    <w:rsid w:val="00DC2B9E"/>
    <w:rsid w:val="00DC3A91"/>
    <w:rsid w:val="00DC3C57"/>
    <w:rsid w:val="00DC3D1D"/>
    <w:rsid w:val="00DC3D8C"/>
    <w:rsid w:val="00DC4FAD"/>
    <w:rsid w:val="00DC5416"/>
    <w:rsid w:val="00DC5501"/>
    <w:rsid w:val="00DC5744"/>
    <w:rsid w:val="00DC578A"/>
    <w:rsid w:val="00DC5CF2"/>
    <w:rsid w:val="00DC5DE4"/>
    <w:rsid w:val="00DC60B3"/>
    <w:rsid w:val="00DC7154"/>
    <w:rsid w:val="00DC7885"/>
    <w:rsid w:val="00DC78E5"/>
    <w:rsid w:val="00DC7E8A"/>
    <w:rsid w:val="00DD0F78"/>
    <w:rsid w:val="00DD1F40"/>
    <w:rsid w:val="00DD24B5"/>
    <w:rsid w:val="00DD26C3"/>
    <w:rsid w:val="00DD273C"/>
    <w:rsid w:val="00DD3D9B"/>
    <w:rsid w:val="00DD3EB0"/>
    <w:rsid w:val="00DD3F28"/>
    <w:rsid w:val="00DD4446"/>
    <w:rsid w:val="00DD4537"/>
    <w:rsid w:val="00DD4DC0"/>
    <w:rsid w:val="00DD4E15"/>
    <w:rsid w:val="00DD4F2D"/>
    <w:rsid w:val="00DD5ADC"/>
    <w:rsid w:val="00DD61D5"/>
    <w:rsid w:val="00DD72E2"/>
    <w:rsid w:val="00DD7B76"/>
    <w:rsid w:val="00DD7E77"/>
    <w:rsid w:val="00DE058E"/>
    <w:rsid w:val="00DE1939"/>
    <w:rsid w:val="00DE19F5"/>
    <w:rsid w:val="00DE21C0"/>
    <w:rsid w:val="00DE2304"/>
    <w:rsid w:val="00DE2704"/>
    <w:rsid w:val="00DE2720"/>
    <w:rsid w:val="00DE2AF2"/>
    <w:rsid w:val="00DE2C5B"/>
    <w:rsid w:val="00DE2F78"/>
    <w:rsid w:val="00DE3138"/>
    <w:rsid w:val="00DE37F8"/>
    <w:rsid w:val="00DE3801"/>
    <w:rsid w:val="00DE3C0B"/>
    <w:rsid w:val="00DE402F"/>
    <w:rsid w:val="00DE4273"/>
    <w:rsid w:val="00DE4608"/>
    <w:rsid w:val="00DE4FCB"/>
    <w:rsid w:val="00DE553C"/>
    <w:rsid w:val="00DE5D07"/>
    <w:rsid w:val="00DE60E6"/>
    <w:rsid w:val="00DE6C9C"/>
    <w:rsid w:val="00DE6E25"/>
    <w:rsid w:val="00DE72A7"/>
    <w:rsid w:val="00DE7832"/>
    <w:rsid w:val="00DF01D9"/>
    <w:rsid w:val="00DF0BF7"/>
    <w:rsid w:val="00DF109B"/>
    <w:rsid w:val="00DF1473"/>
    <w:rsid w:val="00DF1642"/>
    <w:rsid w:val="00DF18FC"/>
    <w:rsid w:val="00DF19FF"/>
    <w:rsid w:val="00DF1D96"/>
    <w:rsid w:val="00DF1DB0"/>
    <w:rsid w:val="00DF2AF7"/>
    <w:rsid w:val="00DF3132"/>
    <w:rsid w:val="00DF38CC"/>
    <w:rsid w:val="00DF3BC8"/>
    <w:rsid w:val="00DF43B1"/>
    <w:rsid w:val="00DF5D2B"/>
    <w:rsid w:val="00DF5D8D"/>
    <w:rsid w:val="00DF5FFE"/>
    <w:rsid w:val="00DF6341"/>
    <w:rsid w:val="00DF664E"/>
    <w:rsid w:val="00DF7937"/>
    <w:rsid w:val="00DF7AB4"/>
    <w:rsid w:val="00E000FB"/>
    <w:rsid w:val="00E006A8"/>
    <w:rsid w:val="00E007C9"/>
    <w:rsid w:val="00E00B36"/>
    <w:rsid w:val="00E00B6F"/>
    <w:rsid w:val="00E00E8E"/>
    <w:rsid w:val="00E00F3D"/>
    <w:rsid w:val="00E01050"/>
    <w:rsid w:val="00E01878"/>
    <w:rsid w:val="00E01D0F"/>
    <w:rsid w:val="00E01ED6"/>
    <w:rsid w:val="00E03009"/>
    <w:rsid w:val="00E038BF"/>
    <w:rsid w:val="00E0425B"/>
    <w:rsid w:val="00E0482E"/>
    <w:rsid w:val="00E04950"/>
    <w:rsid w:val="00E0554A"/>
    <w:rsid w:val="00E05630"/>
    <w:rsid w:val="00E05FCF"/>
    <w:rsid w:val="00E06DBB"/>
    <w:rsid w:val="00E0785C"/>
    <w:rsid w:val="00E07AB3"/>
    <w:rsid w:val="00E07C26"/>
    <w:rsid w:val="00E07D3D"/>
    <w:rsid w:val="00E10149"/>
    <w:rsid w:val="00E11293"/>
    <w:rsid w:val="00E11340"/>
    <w:rsid w:val="00E11B41"/>
    <w:rsid w:val="00E122A1"/>
    <w:rsid w:val="00E12945"/>
    <w:rsid w:val="00E13611"/>
    <w:rsid w:val="00E13651"/>
    <w:rsid w:val="00E1377C"/>
    <w:rsid w:val="00E14972"/>
    <w:rsid w:val="00E14C9D"/>
    <w:rsid w:val="00E157D8"/>
    <w:rsid w:val="00E16372"/>
    <w:rsid w:val="00E16416"/>
    <w:rsid w:val="00E164BA"/>
    <w:rsid w:val="00E16AD8"/>
    <w:rsid w:val="00E1720C"/>
    <w:rsid w:val="00E17246"/>
    <w:rsid w:val="00E173F0"/>
    <w:rsid w:val="00E174A0"/>
    <w:rsid w:val="00E178C1"/>
    <w:rsid w:val="00E179F3"/>
    <w:rsid w:val="00E17A3A"/>
    <w:rsid w:val="00E17AB4"/>
    <w:rsid w:val="00E17FFA"/>
    <w:rsid w:val="00E20976"/>
    <w:rsid w:val="00E20D0E"/>
    <w:rsid w:val="00E20E4D"/>
    <w:rsid w:val="00E20ED6"/>
    <w:rsid w:val="00E21358"/>
    <w:rsid w:val="00E216F1"/>
    <w:rsid w:val="00E22445"/>
    <w:rsid w:val="00E2249B"/>
    <w:rsid w:val="00E22A0D"/>
    <w:rsid w:val="00E232EF"/>
    <w:rsid w:val="00E234ED"/>
    <w:rsid w:val="00E23B21"/>
    <w:rsid w:val="00E23EC2"/>
    <w:rsid w:val="00E243FC"/>
    <w:rsid w:val="00E244F6"/>
    <w:rsid w:val="00E245F5"/>
    <w:rsid w:val="00E258DB"/>
    <w:rsid w:val="00E25E1B"/>
    <w:rsid w:val="00E2771E"/>
    <w:rsid w:val="00E31096"/>
    <w:rsid w:val="00E311EF"/>
    <w:rsid w:val="00E319AB"/>
    <w:rsid w:val="00E32180"/>
    <w:rsid w:val="00E33641"/>
    <w:rsid w:val="00E33A0A"/>
    <w:rsid w:val="00E34948"/>
    <w:rsid w:val="00E34E02"/>
    <w:rsid w:val="00E359C6"/>
    <w:rsid w:val="00E3628E"/>
    <w:rsid w:val="00E366E4"/>
    <w:rsid w:val="00E368DE"/>
    <w:rsid w:val="00E36C01"/>
    <w:rsid w:val="00E36F38"/>
    <w:rsid w:val="00E37569"/>
    <w:rsid w:val="00E37D0A"/>
    <w:rsid w:val="00E401B2"/>
    <w:rsid w:val="00E402F5"/>
    <w:rsid w:val="00E41E30"/>
    <w:rsid w:val="00E42178"/>
    <w:rsid w:val="00E42A7B"/>
    <w:rsid w:val="00E42F73"/>
    <w:rsid w:val="00E4374F"/>
    <w:rsid w:val="00E43758"/>
    <w:rsid w:val="00E43C22"/>
    <w:rsid w:val="00E43D70"/>
    <w:rsid w:val="00E4449C"/>
    <w:rsid w:val="00E448E3"/>
    <w:rsid w:val="00E44AEF"/>
    <w:rsid w:val="00E44AF8"/>
    <w:rsid w:val="00E45128"/>
    <w:rsid w:val="00E45B81"/>
    <w:rsid w:val="00E466F3"/>
    <w:rsid w:val="00E47029"/>
    <w:rsid w:val="00E471DA"/>
    <w:rsid w:val="00E47B2C"/>
    <w:rsid w:val="00E5021D"/>
    <w:rsid w:val="00E5046C"/>
    <w:rsid w:val="00E51560"/>
    <w:rsid w:val="00E51821"/>
    <w:rsid w:val="00E51F7E"/>
    <w:rsid w:val="00E52381"/>
    <w:rsid w:val="00E52CDE"/>
    <w:rsid w:val="00E53BCB"/>
    <w:rsid w:val="00E53EA6"/>
    <w:rsid w:val="00E53FC8"/>
    <w:rsid w:val="00E54171"/>
    <w:rsid w:val="00E54347"/>
    <w:rsid w:val="00E55424"/>
    <w:rsid w:val="00E55512"/>
    <w:rsid w:val="00E557A6"/>
    <w:rsid w:val="00E55915"/>
    <w:rsid w:val="00E559FB"/>
    <w:rsid w:val="00E55BB5"/>
    <w:rsid w:val="00E55D8E"/>
    <w:rsid w:val="00E55F87"/>
    <w:rsid w:val="00E564F4"/>
    <w:rsid w:val="00E5657C"/>
    <w:rsid w:val="00E570A6"/>
    <w:rsid w:val="00E57A76"/>
    <w:rsid w:val="00E60A41"/>
    <w:rsid w:val="00E60A94"/>
    <w:rsid w:val="00E611DF"/>
    <w:rsid w:val="00E61CD6"/>
    <w:rsid w:val="00E62000"/>
    <w:rsid w:val="00E62011"/>
    <w:rsid w:val="00E62BFD"/>
    <w:rsid w:val="00E63540"/>
    <w:rsid w:val="00E6447B"/>
    <w:rsid w:val="00E647DC"/>
    <w:rsid w:val="00E64FEA"/>
    <w:rsid w:val="00E650B3"/>
    <w:rsid w:val="00E65AB7"/>
    <w:rsid w:val="00E65E79"/>
    <w:rsid w:val="00E66657"/>
    <w:rsid w:val="00E66960"/>
    <w:rsid w:val="00E66BA2"/>
    <w:rsid w:val="00E6711D"/>
    <w:rsid w:val="00E67416"/>
    <w:rsid w:val="00E70D0C"/>
    <w:rsid w:val="00E7118D"/>
    <w:rsid w:val="00E718B6"/>
    <w:rsid w:val="00E71FAB"/>
    <w:rsid w:val="00E72289"/>
    <w:rsid w:val="00E723BA"/>
    <w:rsid w:val="00E73074"/>
    <w:rsid w:val="00E73468"/>
    <w:rsid w:val="00E73581"/>
    <w:rsid w:val="00E74727"/>
    <w:rsid w:val="00E74A21"/>
    <w:rsid w:val="00E74AFE"/>
    <w:rsid w:val="00E74E72"/>
    <w:rsid w:val="00E7507D"/>
    <w:rsid w:val="00E7578B"/>
    <w:rsid w:val="00E758EB"/>
    <w:rsid w:val="00E7637A"/>
    <w:rsid w:val="00E772C5"/>
    <w:rsid w:val="00E80351"/>
    <w:rsid w:val="00E80515"/>
    <w:rsid w:val="00E8099B"/>
    <w:rsid w:val="00E809EA"/>
    <w:rsid w:val="00E81EA6"/>
    <w:rsid w:val="00E82201"/>
    <w:rsid w:val="00E82358"/>
    <w:rsid w:val="00E833F7"/>
    <w:rsid w:val="00E83BDF"/>
    <w:rsid w:val="00E842B0"/>
    <w:rsid w:val="00E847D2"/>
    <w:rsid w:val="00E84D94"/>
    <w:rsid w:val="00E854D8"/>
    <w:rsid w:val="00E85BEB"/>
    <w:rsid w:val="00E86F5F"/>
    <w:rsid w:val="00E86FCC"/>
    <w:rsid w:val="00E87805"/>
    <w:rsid w:val="00E87A1D"/>
    <w:rsid w:val="00E87F1F"/>
    <w:rsid w:val="00E90673"/>
    <w:rsid w:val="00E9094A"/>
    <w:rsid w:val="00E912D9"/>
    <w:rsid w:val="00E9190F"/>
    <w:rsid w:val="00E91D35"/>
    <w:rsid w:val="00E926A5"/>
    <w:rsid w:val="00E92A26"/>
    <w:rsid w:val="00E92CC1"/>
    <w:rsid w:val="00E945CB"/>
    <w:rsid w:val="00E94957"/>
    <w:rsid w:val="00E95A7A"/>
    <w:rsid w:val="00E962CC"/>
    <w:rsid w:val="00E97137"/>
    <w:rsid w:val="00E97496"/>
    <w:rsid w:val="00E97D50"/>
    <w:rsid w:val="00EA02F9"/>
    <w:rsid w:val="00EA17C3"/>
    <w:rsid w:val="00EA1BBB"/>
    <w:rsid w:val="00EA200B"/>
    <w:rsid w:val="00EA25C7"/>
    <w:rsid w:val="00EA2CAA"/>
    <w:rsid w:val="00EA365A"/>
    <w:rsid w:val="00EA3864"/>
    <w:rsid w:val="00EA3870"/>
    <w:rsid w:val="00EA3990"/>
    <w:rsid w:val="00EA3BC8"/>
    <w:rsid w:val="00EA437A"/>
    <w:rsid w:val="00EA4FAA"/>
    <w:rsid w:val="00EA544A"/>
    <w:rsid w:val="00EA6AF3"/>
    <w:rsid w:val="00EA7574"/>
    <w:rsid w:val="00EA7F1C"/>
    <w:rsid w:val="00EB02D3"/>
    <w:rsid w:val="00EB09D8"/>
    <w:rsid w:val="00EB0BA2"/>
    <w:rsid w:val="00EB0D4A"/>
    <w:rsid w:val="00EB0E61"/>
    <w:rsid w:val="00EB14D0"/>
    <w:rsid w:val="00EB15B6"/>
    <w:rsid w:val="00EB2F0F"/>
    <w:rsid w:val="00EB3949"/>
    <w:rsid w:val="00EB3C93"/>
    <w:rsid w:val="00EB3D06"/>
    <w:rsid w:val="00EB4916"/>
    <w:rsid w:val="00EB4F67"/>
    <w:rsid w:val="00EB68D9"/>
    <w:rsid w:val="00EC00C9"/>
    <w:rsid w:val="00EC00E8"/>
    <w:rsid w:val="00EC03F1"/>
    <w:rsid w:val="00EC0817"/>
    <w:rsid w:val="00EC0A36"/>
    <w:rsid w:val="00EC0DD9"/>
    <w:rsid w:val="00EC119B"/>
    <w:rsid w:val="00EC174B"/>
    <w:rsid w:val="00EC1AC4"/>
    <w:rsid w:val="00EC2649"/>
    <w:rsid w:val="00EC2CE7"/>
    <w:rsid w:val="00EC31ED"/>
    <w:rsid w:val="00EC3964"/>
    <w:rsid w:val="00EC426A"/>
    <w:rsid w:val="00EC4A5F"/>
    <w:rsid w:val="00EC5836"/>
    <w:rsid w:val="00EC5AD3"/>
    <w:rsid w:val="00EC6518"/>
    <w:rsid w:val="00EC688C"/>
    <w:rsid w:val="00EC68CF"/>
    <w:rsid w:val="00EC6D96"/>
    <w:rsid w:val="00EC6FA3"/>
    <w:rsid w:val="00EC710A"/>
    <w:rsid w:val="00EC717B"/>
    <w:rsid w:val="00EC742A"/>
    <w:rsid w:val="00ED00B8"/>
    <w:rsid w:val="00ED0A01"/>
    <w:rsid w:val="00ED0C24"/>
    <w:rsid w:val="00ED0E2D"/>
    <w:rsid w:val="00ED12E3"/>
    <w:rsid w:val="00ED143A"/>
    <w:rsid w:val="00ED172C"/>
    <w:rsid w:val="00ED1B00"/>
    <w:rsid w:val="00ED1D73"/>
    <w:rsid w:val="00ED255F"/>
    <w:rsid w:val="00ED3563"/>
    <w:rsid w:val="00ED3976"/>
    <w:rsid w:val="00ED399F"/>
    <w:rsid w:val="00ED40DE"/>
    <w:rsid w:val="00ED4B04"/>
    <w:rsid w:val="00ED4BA2"/>
    <w:rsid w:val="00ED4E9F"/>
    <w:rsid w:val="00ED54B5"/>
    <w:rsid w:val="00ED57EA"/>
    <w:rsid w:val="00ED5AA0"/>
    <w:rsid w:val="00ED5BD4"/>
    <w:rsid w:val="00ED6598"/>
    <w:rsid w:val="00ED724C"/>
    <w:rsid w:val="00ED7777"/>
    <w:rsid w:val="00EE0188"/>
    <w:rsid w:val="00EE02F4"/>
    <w:rsid w:val="00EE07D3"/>
    <w:rsid w:val="00EE0D2C"/>
    <w:rsid w:val="00EE1996"/>
    <w:rsid w:val="00EE1C01"/>
    <w:rsid w:val="00EE22AF"/>
    <w:rsid w:val="00EE2783"/>
    <w:rsid w:val="00EE2806"/>
    <w:rsid w:val="00EE3880"/>
    <w:rsid w:val="00EE3942"/>
    <w:rsid w:val="00EE49F4"/>
    <w:rsid w:val="00EE4C71"/>
    <w:rsid w:val="00EE4D59"/>
    <w:rsid w:val="00EE556C"/>
    <w:rsid w:val="00EE57CB"/>
    <w:rsid w:val="00EE5E17"/>
    <w:rsid w:val="00EE6443"/>
    <w:rsid w:val="00EF002C"/>
    <w:rsid w:val="00EF0171"/>
    <w:rsid w:val="00EF03C9"/>
    <w:rsid w:val="00EF07B8"/>
    <w:rsid w:val="00EF0971"/>
    <w:rsid w:val="00EF1B25"/>
    <w:rsid w:val="00EF1DA0"/>
    <w:rsid w:val="00EF1F83"/>
    <w:rsid w:val="00EF2CFD"/>
    <w:rsid w:val="00EF2FE5"/>
    <w:rsid w:val="00EF38D9"/>
    <w:rsid w:val="00EF3AF5"/>
    <w:rsid w:val="00EF4747"/>
    <w:rsid w:val="00EF4BF8"/>
    <w:rsid w:val="00EF58A0"/>
    <w:rsid w:val="00EF6D5A"/>
    <w:rsid w:val="00EF6E3F"/>
    <w:rsid w:val="00EF6EA4"/>
    <w:rsid w:val="00F011AC"/>
    <w:rsid w:val="00F02253"/>
    <w:rsid w:val="00F024C5"/>
    <w:rsid w:val="00F0288C"/>
    <w:rsid w:val="00F0308A"/>
    <w:rsid w:val="00F038D0"/>
    <w:rsid w:val="00F03C2E"/>
    <w:rsid w:val="00F03D1B"/>
    <w:rsid w:val="00F0414A"/>
    <w:rsid w:val="00F04A66"/>
    <w:rsid w:val="00F04B4B"/>
    <w:rsid w:val="00F04BAF"/>
    <w:rsid w:val="00F0516C"/>
    <w:rsid w:val="00F06668"/>
    <w:rsid w:val="00F067A2"/>
    <w:rsid w:val="00F068DF"/>
    <w:rsid w:val="00F068FF"/>
    <w:rsid w:val="00F06D2C"/>
    <w:rsid w:val="00F06FF2"/>
    <w:rsid w:val="00F07A8E"/>
    <w:rsid w:val="00F07B9E"/>
    <w:rsid w:val="00F10958"/>
    <w:rsid w:val="00F10F6C"/>
    <w:rsid w:val="00F1109C"/>
    <w:rsid w:val="00F110DC"/>
    <w:rsid w:val="00F1116F"/>
    <w:rsid w:val="00F11F92"/>
    <w:rsid w:val="00F122A6"/>
    <w:rsid w:val="00F1263A"/>
    <w:rsid w:val="00F12BCE"/>
    <w:rsid w:val="00F12D39"/>
    <w:rsid w:val="00F13289"/>
    <w:rsid w:val="00F135FE"/>
    <w:rsid w:val="00F136AC"/>
    <w:rsid w:val="00F137FA"/>
    <w:rsid w:val="00F139C5"/>
    <w:rsid w:val="00F14430"/>
    <w:rsid w:val="00F14F50"/>
    <w:rsid w:val="00F15B77"/>
    <w:rsid w:val="00F162D8"/>
    <w:rsid w:val="00F16BD4"/>
    <w:rsid w:val="00F175BC"/>
    <w:rsid w:val="00F21236"/>
    <w:rsid w:val="00F216AF"/>
    <w:rsid w:val="00F21AF8"/>
    <w:rsid w:val="00F239DF"/>
    <w:rsid w:val="00F24173"/>
    <w:rsid w:val="00F242B3"/>
    <w:rsid w:val="00F24837"/>
    <w:rsid w:val="00F255CF"/>
    <w:rsid w:val="00F2575F"/>
    <w:rsid w:val="00F25A4E"/>
    <w:rsid w:val="00F25F25"/>
    <w:rsid w:val="00F25FAF"/>
    <w:rsid w:val="00F261D0"/>
    <w:rsid w:val="00F27553"/>
    <w:rsid w:val="00F27565"/>
    <w:rsid w:val="00F27B2C"/>
    <w:rsid w:val="00F27F2B"/>
    <w:rsid w:val="00F30B7E"/>
    <w:rsid w:val="00F310D4"/>
    <w:rsid w:val="00F31D5A"/>
    <w:rsid w:val="00F32DD3"/>
    <w:rsid w:val="00F32F01"/>
    <w:rsid w:val="00F334D1"/>
    <w:rsid w:val="00F33975"/>
    <w:rsid w:val="00F33DE9"/>
    <w:rsid w:val="00F33E5A"/>
    <w:rsid w:val="00F33FA1"/>
    <w:rsid w:val="00F34EFA"/>
    <w:rsid w:val="00F35053"/>
    <w:rsid w:val="00F35202"/>
    <w:rsid w:val="00F3588B"/>
    <w:rsid w:val="00F35917"/>
    <w:rsid w:val="00F35E6D"/>
    <w:rsid w:val="00F3619A"/>
    <w:rsid w:val="00F3688A"/>
    <w:rsid w:val="00F36B16"/>
    <w:rsid w:val="00F37B78"/>
    <w:rsid w:val="00F4018F"/>
    <w:rsid w:val="00F409D5"/>
    <w:rsid w:val="00F40AAA"/>
    <w:rsid w:val="00F40AC5"/>
    <w:rsid w:val="00F40BA7"/>
    <w:rsid w:val="00F40F9D"/>
    <w:rsid w:val="00F41ACD"/>
    <w:rsid w:val="00F41C31"/>
    <w:rsid w:val="00F41DD7"/>
    <w:rsid w:val="00F41F4A"/>
    <w:rsid w:val="00F42B5E"/>
    <w:rsid w:val="00F42F1F"/>
    <w:rsid w:val="00F434EC"/>
    <w:rsid w:val="00F43B53"/>
    <w:rsid w:val="00F44245"/>
    <w:rsid w:val="00F44267"/>
    <w:rsid w:val="00F44E6F"/>
    <w:rsid w:val="00F45246"/>
    <w:rsid w:val="00F45AE1"/>
    <w:rsid w:val="00F46CB6"/>
    <w:rsid w:val="00F474E8"/>
    <w:rsid w:val="00F4756D"/>
    <w:rsid w:val="00F47B4D"/>
    <w:rsid w:val="00F47DE8"/>
    <w:rsid w:val="00F47FB2"/>
    <w:rsid w:val="00F5086B"/>
    <w:rsid w:val="00F5126D"/>
    <w:rsid w:val="00F5155E"/>
    <w:rsid w:val="00F526AB"/>
    <w:rsid w:val="00F52781"/>
    <w:rsid w:val="00F528F3"/>
    <w:rsid w:val="00F5397B"/>
    <w:rsid w:val="00F53CEB"/>
    <w:rsid w:val="00F542C1"/>
    <w:rsid w:val="00F550E3"/>
    <w:rsid w:val="00F55D60"/>
    <w:rsid w:val="00F55E73"/>
    <w:rsid w:val="00F55EDA"/>
    <w:rsid w:val="00F55F19"/>
    <w:rsid w:val="00F568B0"/>
    <w:rsid w:val="00F56C80"/>
    <w:rsid w:val="00F572CC"/>
    <w:rsid w:val="00F5796C"/>
    <w:rsid w:val="00F60092"/>
    <w:rsid w:val="00F60C0E"/>
    <w:rsid w:val="00F618A3"/>
    <w:rsid w:val="00F61C18"/>
    <w:rsid w:val="00F62040"/>
    <w:rsid w:val="00F6223B"/>
    <w:rsid w:val="00F62A6D"/>
    <w:rsid w:val="00F63477"/>
    <w:rsid w:val="00F643B1"/>
    <w:rsid w:val="00F64B20"/>
    <w:rsid w:val="00F64EB3"/>
    <w:rsid w:val="00F650E7"/>
    <w:rsid w:val="00F6568A"/>
    <w:rsid w:val="00F6569D"/>
    <w:rsid w:val="00F65E6E"/>
    <w:rsid w:val="00F65F4B"/>
    <w:rsid w:val="00F66005"/>
    <w:rsid w:val="00F66427"/>
    <w:rsid w:val="00F6663C"/>
    <w:rsid w:val="00F67966"/>
    <w:rsid w:val="00F67A69"/>
    <w:rsid w:val="00F67B5B"/>
    <w:rsid w:val="00F706A8"/>
    <w:rsid w:val="00F706DD"/>
    <w:rsid w:val="00F70BFF"/>
    <w:rsid w:val="00F70C9D"/>
    <w:rsid w:val="00F70D7C"/>
    <w:rsid w:val="00F7160B"/>
    <w:rsid w:val="00F716DB"/>
    <w:rsid w:val="00F72424"/>
    <w:rsid w:val="00F7248A"/>
    <w:rsid w:val="00F727D2"/>
    <w:rsid w:val="00F72F31"/>
    <w:rsid w:val="00F73859"/>
    <w:rsid w:val="00F73BD4"/>
    <w:rsid w:val="00F73E08"/>
    <w:rsid w:val="00F74CD9"/>
    <w:rsid w:val="00F74E22"/>
    <w:rsid w:val="00F74E3F"/>
    <w:rsid w:val="00F7515E"/>
    <w:rsid w:val="00F753B8"/>
    <w:rsid w:val="00F75A28"/>
    <w:rsid w:val="00F75B78"/>
    <w:rsid w:val="00F767F9"/>
    <w:rsid w:val="00F80237"/>
    <w:rsid w:val="00F80A7B"/>
    <w:rsid w:val="00F80E5D"/>
    <w:rsid w:val="00F813D2"/>
    <w:rsid w:val="00F81D66"/>
    <w:rsid w:val="00F81E78"/>
    <w:rsid w:val="00F82DB0"/>
    <w:rsid w:val="00F83692"/>
    <w:rsid w:val="00F83916"/>
    <w:rsid w:val="00F83E9E"/>
    <w:rsid w:val="00F8450F"/>
    <w:rsid w:val="00F84CAD"/>
    <w:rsid w:val="00F8513F"/>
    <w:rsid w:val="00F851CE"/>
    <w:rsid w:val="00F86C67"/>
    <w:rsid w:val="00F86DEF"/>
    <w:rsid w:val="00F8714F"/>
    <w:rsid w:val="00F906E1"/>
    <w:rsid w:val="00F91219"/>
    <w:rsid w:val="00F91453"/>
    <w:rsid w:val="00F9151F"/>
    <w:rsid w:val="00F92152"/>
    <w:rsid w:val="00F92444"/>
    <w:rsid w:val="00F937E3"/>
    <w:rsid w:val="00F9393E"/>
    <w:rsid w:val="00F94B48"/>
    <w:rsid w:val="00F9507F"/>
    <w:rsid w:val="00F953C7"/>
    <w:rsid w:val="00F959B8"/>
    <w:rsid w:val="00F959C2"/>
    <w:rsid w:val="00F95C21"/>
    <w:rsid w:val="00F95E4B"/>
    <w:rsid w:val="00F96FD0"/>
    <w:rsid w:val="00F9737E"/>
    <w:rsid w:val="00F9737F"/>
    <w:rsid w:val="00F97A78"/>
    <w:rsid w:val="00F97AF8"/>
    <w:rsid w:val="00FA05AA"/>
    <w:rsid w:val="00FA0B20"/>
    <w:rsid w:val="00FA0CCE"/>
    <w:rsid w:val="00FA24E7"/>
    <w:rsid w:val="00FA2E5F"/>
    <w:rsid w:val="00FA3751"/>
    <w:rsid w:val="00FA39C7"/>
    <w:rsid w:val="00FA42A6"/>
    <w:rsid w:val="00FA42E4"/>
    <w:rsid w:val="00FA49DF"/>
    <w:rsid w:val="00FA4FD1"/>
    <w:rsid w:val="00FA59EF"/>
    <w:rsid w:val="00FA5EE6"/>
    <w:rsid w:val="00FA656A"/>
    <w:rsid w:val="00FA695D"/>
    <w:rsid w:val="00FA747A"/>
    <w:rsid w:val="00FA74D7"/>
    <w:rsid w:val="00FA7517"/>
    <w:rsid w:val="00FA76B0"/>
    <w:rsid w:val="00FA76CA"/>
    <w:rsid w:val="00FA7956"/>
    <w:rsid w:val="00FA7DC4"/>
    <w:rsid w:val="00FB054A"/>
    <w:rsid w:val="00FB0824"/>
    <w:rsid w:val="00FB115C"/>
    <w:rsid w:val="00FB1399"/>
    <w:rsid w:val="00FB1740"/>
    <w:rsid w:val="00FB29AD"/>
    <w:rsid w:val="00FB2FCB"/>
    <w:rsid w:val="00FB46FF"/>
    <w:rsid w:val="00FB4C83"/>
    <w:rsid w:val="00FB4C9C"/>
    <w:rsid w:val="00FB5436"/>
    <w:rsid w:val="00FB5BBB"/>
    <w:rsid w:val="00FB63C4"/>
    <w:rsid w:val="00FB6C7A"/>
    <w:rsid w:val="00FB7AAD"/>
    <w:rsid w:val="00FB7C55"/>
    <w:rsid w:val="00FB7ECE"/>
    <w:rsid w:val="00FB7EF8"/>
    <w:rsid w:val="00FC02C2"/>
    <w:rsid w:val="00FC037E"/>
    <w:rsid w:val="00FC06A5"/>
    <w:rsid w:val="00FC1074"/>
    <w:rsid w:val="00FC12CE"/>
    <w:rsid w:val="00FC156E"/>
    <w:rsid w:val="00FC1884"/>
    <w:rsid w:val="00FC1DAE"/>
    <w:rsid w:val="00FC26A7"/>
    <w:rsid w:val="00FC3172"/>
    <w:rsid w:val="00FC371D"/>
    <w:rsid w:val="00FC3A16"/>
    <w:rsid w:val="00FC3EFE"/>
    <w:rsid w:val="00FC4D01"/>
    <w:rsid w:val="00FC4DB9"/>
    <w:rsid w:val="00FC4F36"/>
    <w:rsid w:val="00FC4FB9"/>
    <w:rsid w:val="00FC532C"/>
    <w:rsid w:val="00FC53DC"/>
    <w:rsid w:val="00FC57D7"/>
    <w:rsid w:val="00FC595E"/>
    <w:rsid w:val="00FC5A2C"/>
    <w:rsid w:val="00FC5F0B"/>
    <w:rsid w:val="00FC681B"/>
    <w:rsid w:val="00FC74A0"/>
    <w:rsid w:val="00FC7629"/>
    <w:rsid w:val="00FD014B"/>
    <w:rsid w:val="00FD06D4"/>
    <w:rsid w:val="00FD106D"/>
    <w:rsid w:val="00FD1445"/>
    <w:rsid w:val="00FD18DD"/>
    <w:rsid w:val="00FD2100"/>
    <w:rsid w:val="00FD2710"/>
    <w:rsid w:val="00FD273D"/>
    <w:rsid w:val="00FD4243"/>
    <w:rsid w:val="00FD424C"/>
    <w:rsid w:val="00FD436C"/>
    <w:rsid w:val="00FD446D"/>
    <w:rsid w:val="00FD4F2C"/>
    <w:rsid w:val="00FD5020"/>
    <w:rsid w:val="00FD6394"/>
    <w:rsid w:val="00FD6A78"/>
    <w:rsid w:val="00FE081D"/>
    <w:rsid w:val="00FE0E6C"/>
    <w:rsid w:val="00FE19D7"/>
    <w:rsid w:val="00FE1CDC"/>
    <w:rsid w:val="00FE2283"/>
    <w:rsid w:val="00FE246D"/>
    <w:rsid w:val="00FE39B4"/>
    <w:rsid w:val="00FE45CC"/>
    <w:rsid w:val="00FE467B"/>
    <w:rsid w:val="00FE4E24"/>
    <w:rsid w:val="00FE5158"/>
    <w:rsid w:val="00FE60C7"/>
    <w:rsid w:val="00FE67CC"/>
    <w:rsid w:val="00FE70C3"/>
    <w:rsid w:val="00FE7F66"/>
    <w:rsid w:val="00FF04A2"/>
    <w:rsid w:val="00FF07EB"/>
    <w:rsid w:val="00FF0922"/>
    <w:rsid w:val="00FF1A8B"/>
    <w:rsid w:val="00FF21D5"/>
    <w:rsid w:val="00FF2703"/>
    <w:rsid w:val="00FF2AD9"/>
    <w:rsid w:val="00FF2DE0"/>
    <w:rsid w:val="00FF2EBB"/>
    <w:rsid w:val="00FF359F"/>
    <w:rsid w:val="00FF39DB"/>
    <w:rsid w:val="00FF3DCF"/>
    <w:rsid w:val="00FF46E1"/>
    <w:rsid w:val="00FF47B2"/>
    <w:rsid w:val="00FF492C"/>
    <w:rsid w:val="00FF4A21"/>
    <w:rsid w:val="00FF4C72"/>
    <w:rsid w:val="00FF508C"/>
    <w:rsid w:val="00FF5AA3"/>
    <w:rsid w:val="00FF5AD8"/>
    <w:rsid w:val="00FF6EB9"/>
    <w:rsid w:val="00FF7A2E"/>
    <w:rsid w:val="00FF7A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4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8"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68F"/>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Header Table,NICE instructions,Source table_,Lash Style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C52567"/>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0E278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iPriority w:val="8"/>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PBACTblFignote">
    <w:name w:val="PBAC Tbl/Fig note"/>
    <w:qFormat/>
    <w:rsid w:val="00CA50D1"/>
    <w:pPr>
      <w:keepLines/>
      <w:widowControl w:val="0"/>
      <w:spacing w:after="360"/>
      <w:contextualSpacing/>
      <w:textboxTightWrap w:val="allLines"/>
    </w:pPr>
    <w:rPr>
      <w:rFonts w:asciiTheme="minorHAnsi" w:hAnsiTheme="minorHAnsi" w:cstheme="minorHAnsi"/>
      <w:sz w:val="16"/>
      <w:szCs w:val="16"/>
      <w:lang w:val="en-US" w:eastAsia="en-GB"/>
    </w:rPr>
  </w:style>
  <w:style w:type="character" w:styleId="FootnoteReference">
    <w:name w:val="footnote reference"/>
    <w:basedOn w:val="DefaultParagraphFont"/>
    <w:uiPriority w:val="99"/>
    <w:unhideWhenUsed/>
    <w:rsid w:val="00445C30"/>
    <w:rPr>
      <w:vertAlign w:val="superscript"/>
    </w:rPr>
  </w:style>
  <w:style w:type="paragraph" w:styleId="FootnoteText">
    <w:name w:val="footnote text"/>
    <w:aliases w:val="Char"/>
    <w:basedOn w:val="Normal"/>
    <w:link w:val="FootnoteTextChar"/>
    <w:uiPriority w:val="99"/>
    <w:rsid w:val="00445C30"/>
    <w:pPr>
      <w:spacing w:line="276" w:lineRule="auto"/>
    </w:pPr>
    <w:rPr>
      <w:rFonts w:ascii="Times New Roman" w:hAnsi="Times New Roman" w:cs="Times New Roman"/>
      <w:sz w:val="20"/>
      <w:szCs w:val="20"/>
      <w:lang w:eastAsia="en-US"/>
    </w:rPr>
  </w:style>
  <w:style w:type="character" w:customStyle="1" w:styleId="FootnoteTextChar">
    <w:name w:val="Footnote Text Char"/>
    <w:aliases w:val="Char Char"/>
    <w:basedOn w:val="DefaultParagraphFont"/>
    <w:link w:val="FootnoteText"/>
    <w:uiPriority w:val="99"/>
    <w:rsid w:val="00445C30"/>
    <w:rPr>
      <w:lang w:eastAsia="en-US"/>
    </w:rPr>
  </w:style>
  <w:style w:type="paragraph" w:customStyle="1" w:styleId="PBACH5">
    <w:name w:val="PBAC H5"/>
    <w:basedOn w:val="Heading5"/>
    <w:next w:val="Normal"/>
    <w:qFormat/>
    <w:rsid w:val="0096522B"/>
    <w:pPr>
      <w:spacing w:after="120"/>
      <w:jc w:val="left"/>
    </w:pPr>
    <w:rPr>
      <w:bCs w:val="0"/>
      <w:i/>
      <w:iCs w:val="0"/>
      <w:sz w:val="24"/>
      <w:szCs w:val="24"/>
      <w:lang w:eastAsia="en-GB"/>
    </w:rPr>
  </w:style>
  <w:style w:type="paragraph" w:customStyle="1" w:styleId="PBACTabletext">
    <w:name w:val="PBAC Table text"/>
    <w:qFormat/>
    <w:rsid w:val="006B12DA"/>
    <w:pPr>
      <w:keepNext/>
      <w:keepLines/>
      <w:suppressLineNumbers/>
      <w:spacing w:before="20" w:after="20"/>
      <w:ind w:left="57" w:right="57"/>
      <w:textboxTightWrap w:val="allLines"/>
    </w:pPr>
    <w:rPr>
      <w:rFonts w:asciiTheme="minorHAnsi" w:hAnsiTheme="minorHAnsi" w:cstheme="minorHAnsi"/>
      <w:sz w:val="18"/>
      <w:szCs w:val="18"/>
      <w:lang w:eastAsia="en-GB"/>
    </w:rPr>
  </w:style>
  <w:style w:type="character" w:customStyle="1" w:styleId="Heading1Char">
    <w:name w:val="Heading 1 Char"/>
    <w:basedOn w:val="DefaultParagraphFont"/>
    <w:link w:val="Heading1"/>
    <w:uiPriority w:val="9"/>
    <w:rsid w:val="006B12DA"/>
    <w:rPr>
      <w:rFonts w:ascii="Calibri" w:hAnsi="Calibri" w:cs="Arial"/>
      <w:b/>
      <w:caps/>
      <w:sz w:val="32"/>
      <w:szCs w:val="24"/>
    </w:rPr>
  </w:style>
  <w:style w:type="table" w:customStyle="1" w:styleId="TableGrid42">
    <w:name w:val="Table Grid42"/>
    <w:basedOn w:val="TableNormal"/>
    <w:next w:val="TableGrid"/>
    <w:uiPriority w:val="59"/>
    <w:rsid w:val="002A5D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rsid w:val="00A22F8C"/>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07742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Tablenotes">
    <w:name w:val="Tablenotes"/>
    <w:basedOn w:val="Normal"/>
    <w:link w:val="TablenotesChar"/>
    <w:qFormat/>
    <w:rsid w:val="00A5149C"/>
    <w:pPr>
      <w:widowControl w:val="0"/>
      <w:spacing w:before="20" w:after="360" w:line="269" w:lineRule="auto"/>
      <w:contextualSpacing/>
      <w:jc w:val="left"/>
    </w:pPr>
    <w:rPr>
      <w:rFonts w:ascii="Angsana New" w:eastAsia="Cordia New" w:hAnsi="Angsana New" w:cs="SimSun"/>
      <w:snapToGrid w:val="0"/>
      <w:sz w:val="18"/>
      <w:szCs w:val="20"/>
      <w:lang w:eastAsia="en-US"/>
    </w:rPr>
  </w:style>
  <w:style w:type="character" w:customStyle="1" w:styleId="TablenotesChar">
    <w:name w:val="Tablenotes Char"/>
    <w:basedOn w:val="DefaultParagraphFont"/>
    <w:link w:val="Tablenotes"/>
    <w:rsid w:val="00A5149C"/>
    <w:rPr>
      <w:rFonts w:ascii="Angsana New" w:eastAsia="Cordia New" w:hAnsi="Angsana New" w:cs="SimSun"/>
      <w:snapToGrid w:val="0"/>
      <w:sz w:val="18"/>
      <w:lang w:eastAsia="en-US"/>
    </w:rPr>
  </w:style>
  <w:style w:type="character" w:styleId="UnresolvedMention">
    <w:name w:val="Unresolved Mention"/>
    <w:basedOn w:val="DefaultParagraphFont"/>
    <w:uiPriority w:val="99"/>
    <w:semiHidden/>
    <w:unhideWhenUsed/>
    <w:rsid w:val="00BE67AF"/>
    <w:rPr>
      <w:color w:val="605E5C"/>
      <w:shd w:val="clear" w:color="auto" w:fill="E1DFDD"/>
    </w:rPr>
  </w:style>
  <w:style w:type="paragraph" w:customStyle="1" w:styleId="Tableheadingrow">
    <w:name w:val="Table heading row"/>
    <w:qFormat/>
    <w:rsid w:val="0025451E"/>
    <w:pPr>
      <w:keepNext/>
    </w:pPr>
    <w:rPr>
      <w:rFonts w:ascii="Arial Narrow" w:eastAsiaTheme="majorEastAsia" w:hAnsi="Arial Narrow"/>
      <w:b/>
      <w:szCs w:val="24"/>
      <w:lang w:val="en-US"/>
    </w:rPr>
  </w:style>
  <w:style w:type="paragraph" w:customStyle="1" w:styleId="3-SubsectionHeading">
    <w:name w:val="3-Subsection Heading"/>
    <w:basedOn w:val="Heading2"/>
    <w:next w:val="ExecSumBodyText"/>
    <w:link w:val="3-SubsectionHeadingChar"/>
    <w:qFormat/>
    <w:rsid w:val="00E43758"/>
    <w:pPr>
      <w:keepNext/>
      <w:spacing w:before="120" w:after="120"/>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43758"/>
    <w:rPr>
      <w:rFonts w:asciiTheme="minorHAnsi" w:eastAsiaTheme="majorEastAsia" w:hAnsiTheme="minorHAnsi" w:cstheme="majorBidi"/>
      <w:b/>
      <w:i/>
      <w:snapToGrid/>
      <w:spacing w:val="5"/>
      <w:kern w:val="28"/>
      <w:sz w:val="28"/>
      <w:szCs w:val="36"/>
      <w:lang w:eastAsia="en-US"/>
    </w:rPr>
  </w:style>
  <w:style w:type="table" w:customStyle="1" w:styleId="Summarybox21">
    <w:name w:val="Summary box21"/>
    <w:basedOn w:val="TableNormal"/>
    <w:next w:val="TableGrid"/>
    <w:uiPriority w:val="59"/>
    <w:rsid w:val="006526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B6F4A"/>
  </w:style>
  <w:style w:type="paragraph" w:customStyle="1" w:styleId="TabletextBold">
    <w:name w:val="Table text +Bold"/>
    <w:basedOn w:val="Normal"/>
    <w:link w:val="TabletextBoldChar"/>
    <w:qFormat/>
    <w:rsid w:val="001754D8"/>
    <w:pPr>
      <w:keepNext/>
      <w:spacing w:after="20"/>
      <w:ind w:left="113" w:right="113"/>
      <w:jc w:val="left"/>
    </w:pPr>
    <w:rPr>
      <w:rFonts w:eastAsia="Calibri" w:cs="Calibri"/>
      <w:b/>
      <w:sz w:val="18"/>
      <w:szCs w:val="16"/>
      <w:lang w:eastAsia="en-US"/>
    </w:rPr>
  </w:style>
  <w:style w:type="character" w:customStyle="1" w:styleId="TabletextBoldChar">
    <w:name w:val="Table text +Bold Char"/>
    <w:basedOn w:val="DefaultParagraphFont"/>
    <w:link w:val="TabletextBold"/>
    <w:rsid w:val="001754D8"/>
    <w:rPr>
      <w:rFonts w:ascii="Calibri" w:eastAsia="Calibri" w:hAnsi="Calibri" w:cs="Calibri"/>
      <w:b/>
      <w:sz w:val="18"/>
      <w:szCs w:val="16"/>
      <w:lang w:eastAsia="en-US"/>
    </w:rPr>
  </w:style>
  <w:style w:type="paragraph" w:customStyle="1" w:styleId="1-MainHeading0">
    <w:name w:val="1- Main Heading"/>
    <w:link w:val="1-MainHeadingChar0"/>
    <w:qFormat/>
    <w:rsid w:val="005B647B"/>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 Main Heading Char"/>
    <w:basedOn w:val="DefaultParagraphFont"/>
    <w:link w:val="1-MainHeading0"/>
    <w:rsid w:val="005B647B"/>
    <w:rPr>
      <w:rFonts w:asciiTheme="minorHAnsi" w:eastAsiaTheme="majorEastAsia" w:hAnsiTheme="minorHAnsi" w:cstheme="majorBidi"/>
      <w:b/>
      <w:spacing w:val="5"/>
      <w:kern w:val="28"/>
      <w:sz w:val="36"/>
      <w:szCs w:val="36"/>
    </w:rPr>
  </w:style>
  <w:style w:type="table" w:customStyle="1" w:styleId="TableGrid141">
    <w:name w:val="Table Grid141"/>
    <w:basedOn w:val="TableNormal"/>
    <w:next w:val="TableGrid"/>
    <w:rsid w:val="002419C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PBACESText">
    <w:name w:val="PBAC ES Text"/>
    <w:basedOn w:val="Normal"/>
    <w:qFormat/>
    <w:rsid w:val="00FF2DE0"/>
    <w:pPr>
      <w:spacing w:before="60" w:after="160"/>
    </w:pPr>
    <w:rPr>
      <w:sz w:val="22"/>
      <w:lang w:eastAsia="en-GB"/>
    </w:rPr>
  </w:style>
  <w:style w:type="character" w:customStyle="1" w:styleId="apple-converted-space">
    <w:name w:val="apple-converted-space"/>
    <w:basedOn w:val="DefaultParagraphFont"/>
    <w:rsid w:val="00D517B5"/>
  </w:style>
  <w:style w:type="character" w:customStyle="1" w:styleId="TableFigureFooterChar">
    <w:name w:val="Table/Figure Footer Char"/>
    <w:link w:val="TableFigureFooter"/>
    <w:locked/>
    <w:rsid w:val="0025358C"/>
    <w:rPr>
      <w:rFonts w:ascii="Arial Narrow" w:hAnsi="Arial Narrow" w:cs="Arial"/>
      <w:sz w:val="18"/>
      <w:szCs w:val="22"/>
    </w:rPr>
  </w:style>
  <w:style w:type="paragraph" w:customStyle="1" w:styleId="TableFigureFooter">
    <w:name w:val="Table/Figure Footer"/>
    <w:basedOn w:val="Normal"/>
    <w:link w:val="TableFigureFooterChar"/>
    <w:qFormat/>
    <w:rsid w:val="0025358C"/>
    <w:pPr>
      <w:snapToGrid w:val="0"/>
      <w:spacing w:after="120"/>
      <w:contextualSpacing/>
      <w:jc w:val="left"/>
    </w:pPr>
    <w:rPr>
      <w:rFonts w:ascii="Arial Narrow" w:hAnsi="Arial Narrow"/>
      <w:sz w:val="18"/>
      <w:szCs w:val="22"/>
    </w:rPr>
  </w:style>
  <w:style w:type="paragraph" w:customStyle="1" w:styleId="Tabletextbold0">
    <w:name w:val="Table text bold"/>
    <w:basedOn w:val="Normal"/>
    <w:qFormat/>
    <w:rsid w:val="0025358C"/>
    <w:pPr>
      <w:spacing w:before="20" w:after="20"/>
      <w:ind w:left="57" w:right="57"/>
      <w:jc w:val="left"/>
    </w:pPr>
    <w:rPr>
      <w:rFonts w:asciiTheme="minorHAnsi" w:eastAsia="Arial" w:hAnsiTheme="minorHAnsi" w:cs="Times New Roman"/>
      <w:b/>
      <w:bCs/>
      <w:sz w:val="18"/>
      <w:szCs w:val="20"/>
      <w:lang w:val="de-DE"/>
    </w:rPr>
  </w:style>
  <w:style w:type="paragraph" w:customStyle="1" w:styleId="KMC16-TableHeading">
    <w:name w:val="KMC16 - Table Heading"/>
    <w:basedOn w:val="Normal"/>
    <w:qFormat/>
    <w:rsid w:val="0025358C"/>
    <w:pPr>
      <w:spacing w:before="40" w:after="40"/>
      <w:jc w:val="center"/>
    </w:pPr>
    <w:rPr>
      <w:rFonts w:ascii="Arial Narrow" w:hAnsi="Arial Narrow"/>
      <w:b/>
      <w:color w:val="000000"/>
      <w:sz w:val="20"/>
    </w:rPr>
  </w:style>
  <w:style w:type="character" w:customStyle="1" w:styleId="Heading3Char">
    <w:name w:val="Heading 3 Char"/>
    <w:basedOn w:val="DefaultParagraphFont"/>
    <w:link w:val="Heading3"/>
    <w:uiPriority w:val="9"/>
    <w:rsid w:val="0025358C"/>
    <w:rPr>
      <w:rFonts w:ascii="Calibri" w:hAnsi="Calibri" w:cs="Arial"/>
      <w:sz w:val="24"/>
      <w:szCs w:val="24"/>
      <w:u w:val="single"/>
    </w:rPr>
  </w:style>
  <w:style w:type="character" w:customStyle="1" w:styleId="Heading4Char">
    <w:name w:val="Heading 4 Char"/>
    <w:basedOn w:val="DefaultParagraphFont"/>
    <w:link w:val="Heading4"/>
    <w:uiPriority w:val="9"/>
    <w:rsid w:val="0025358C"/>
    <w:rPr>
      <w:rFonts w:ascii="Calibri" w:hAnsi="Calibri" w:cs="Arial"/>
      <w:b/>
      <w:bCs/>
      <w:i/>
      <w:sz w:val="26"/>
      <w:szCs w:val="28"/>
    </w:rPr>
  </w:style>
  <w:style w:type="character" w:customStyle="1" w:styleId="Heading5Char">
    <w:name w:val="Heading 5 Char"/>
    <w:basedOn w:val="DefaultParagraphFont"/>
    <w:link w:val="Heading5"/>
    <w:uiPriority w:val="9"/>
    <w:rsid w:val="0025358C"/>
    <w:rPr>
      <w:rFonts w:ascii="Calibri" w:hAnsi="Calibri" w:cs="Arial"/>
      <w:b/>
      <w:bCs/>
      <w:iCs/>
      <w:sz w:val="26"/>
      <w:szCs w:val="26"/>
    </w:rPr>
  </w:style>
  <w:style w:type="character" w:customStyle="1" w:styleId="Heading6Char">
    <w:name w:val="Heading 6 Char"/>
    <w:basedOn w:val="DefaultParagraphFont"/>
    <w:link w:val="Heading6"/>
    <w:uiPriority w:val="9"/>
    <w:rsid w:val="0025358C"/>
    <w:rPr>
      <w:rFonts w:ascii="Calibri" w:hAnsi="Calibri" w:cs="Arial"/>
      <w:b/>
      <w:bCs/>
      <w:i/>
      <w:sz w:val="24"/>
      <w:szCs w:val="24"/>
    </w:rPr>
  </w:style>
  <w:style w:type="paragraph" w:styleId="ListNumber2">
    <w:name w:val="List Number 2"/>
    <w:basedOn w:val="Normal"/>
    <w:uiPriority w:val="99"/>
    <w:semiHidden/>
    <w:rsid w:val="0025358C"/>
    <w:pPr>
      <w:numPr>
        <w:numId w:val="18"/>
      </w:numPr>
      <w:tabs>
        <w:tab w:val="clear" w:pos="643"/>
      </w:tabs>
      <w:spacing w:after="240" w:line="276" w:lineRule="auto"/>
      <w:ind w:left="720"/>
      <w:contextualSpacing/>
    </w:pPr>
    <w:rPr>
      <w:sz w:val="22"/>
      <w:lang w:eastAsia="en-GB"/>
    </w:rPr>
  </w:style>
  <w:style w:type="numbering" w:customStyle="1" w:styleId="Style1">
    <w:name w:val="Style1"/>
    <w:uiPriority w:val="99"/>
    <w:rsid w:val="0025358C"/>
    <w:pPr>
      <w:numPr>
        <w:numId w:val="9"/>
      </w:numPr>
    </w:pPr>
  </w:style>
  <w:style w:type="numbering" w:customStyle="1" w:styleId="SectionBii">
    <w:name w:val="Section Bii"/>
    <w:uiPriority w:val="99"/>
    <w:rsid w:val="0025358C"/>
    <w:pPr>
      <w:numPr>
        <w:numId w:val="20"/>
      </w:numPr>
    </w:pPr>
  </w:style>
  <w:style w:type="table" w:styleId="LightShading">
    <w:name w:val="Light Shading"/>
    <w:basedOn w:val="TableNormal"/>
    <w:uiPriority w:val="60"/>
    <w:rsid w:val="0025358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ashtag1">
    <w:name w:val="Hashtag1"/>
    <w:basedOn w:val="DefaultParagraphFont"/>
    <w:uiPriority w:val="99"/>
    <w:semiHidden/>
    <w:rsid w:val="0025358C"/>
    <w:rPr>
      <w:color w:val="2B579A"/>
      <w:shd w:val="clear" w:color="auto" w:fill="E1DFDD"/>
    </w:rPr>
  </w:style>
  <w:style w:type="paragraph" w:customStyle="1" w:styleId="PBACH1">
    <w:name w:val="PBAC H1#"/>
    <w:basedOn w:val="Normal"/>
    <w:next w:val="Normal"/>
    <w:qFormat/>
    <w:rsid w:val="0025358C"/>
    <w:pPr>
      <w:keepNext/>
      <w:pageBreakBefore/>
      <w:pBdr>
        <w:bottom w:val="single" w:sz="4" w:space="1" w:color="auto"/>
      </w:pBdr>
      <w:tabs>
        <w:tab w:val="num" w:pos="1195"/>
      </w:tabs>
      <w:spacing w:after="200" w:line="276" w:lineRule="auto"/>
      <w:jc w:val="left"/>
      <w:outlineLvl w:val="0"/>
    </w:pPr>
    <w:rPr>
      <w:rFonts w:asciiTheme="minorHAnsi" w:eastAsiaTheme="minorHAnsi" w:hAnsiTheme="minorHAnsi" w:cstheme="minorHAnsi"/>
      <w:sz w:val="40"/>
      <w:szCs w:val="22"/>
      <w:lang w:eastAsia="en-US"/>
    </w:rPr>
  </w:style>
  <w:style w:type="paragraph" w:customStyle="1" w:styleId="PBACH2">
    <w:name w:val="PBAC H2#"/>
    <w:basedOn w:val="Heading2"/>
    <w:next w:val="Normal"/>
    <w:autoRedefine/>
    <w:qFormat/>
    <w:rsid w:val="0025358C"/>
    <w:pPr>
      <w:keepNext/>
      <w:keepLines/>
      <w:tabs>
        <w:tab w:val="num" w:pos="1195"/>
      </w:tabs>
      <w:spacing w:after="200"/>
      <w:ind w:left="1196" w:hanging="1196"/>
      <w:contextualSpacing/>
    </w:pPr>
    <w:rPr>
      <w:rFonts w:asciiTheme="minorHAnsi" w:eastAsiaTheme="majorEastAsia" w:hAnsiTheme="minorHAnsi" w:cstheme="majorBidi"/>
      <w:b w:val="0"/>
      <w:bCs/>
      <w:i w:val="0"/>
      <w:sz w:val="32"/>
      <w:szCs w:val="26"/>
      <w:lang w:val="en-US" w:eastAsia="en-GB"/>
    </w:rPr>
  </w:style>
  <w:style w:type="table" w:customStyle="1" w:styleId="TableGrid1">
    <w:name w:val="Table Grid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
    <w:name w:val="Table Grid15"/>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
    <w:name w:val="Table Grid16"/>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
    <w:name w:val="Table Grid5"/>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3">
    <w:name w:val="PBAC H3"/>
    <w:basedOn w:val="Heading3"/>
    <w:next w:val="Normal"/>
    <w:qFormat/>
    <w:rsid w:val="0025358C"/>
    <w:pPr>
      <w:spacing w:before="360" w:after="120"/>
      <w:jc w:val="left"/>
    </w:pPr>
    <w:rPr>
      <w:b/>
      <w:sz w:val="28"/>
      <w:u w:val="none"/>
      <w:lang w:eastAsia="en-GB"/>
    </w:rPr>
  </w:style>
  <w:style w:type="table" w:customStyle="1" w:styleId="TableGrid6">
    <w:name w:val="Table Grid6"/>
    <w:basedOn w:val="TableNormal"/>
    <w:rsid w:val="0025358C"/>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4">
    <w:name w:val="PBAC H4 #"/>
    <w:basedOn w:val="Heading4"/>
    <w:next w:val="Normal"/>
    <w:qFormat/>
    <w:rsid w:val="0025358C"/>
    <w:pPr>
      <w:keepLines/>
      <w:tabs>
        <w:tab w:val="num" w:pos="1656"/>
      </w:tabs>
      <w:spacing w:before="0" w:after="200" w:line="276" w:lineRule="auto"/>
      <w:ind w:left="1656" w:hanging="1656"/>
      <w:jc w:val="left"/>
    </w:pPr>
    <w:rPr>
      <w:rFonts w:eastAsiaTheme="majorEastAsia" w:cstheme="majorBidi"/>
      <w:b w:val="0"/>
      <w:i w:val="0"/>
      <w:iCs/>
      <w:sz w:val="24"/>
      <w:szCs w:val="24"/>
      <w:lang w:eastAsia="en-GB"/>
    </w:rPr>
  </w:style>
  <w:style w:type="table" w:customStyle="1" w:styleId="TableGrid401">
    <w:name w:val="Table Grid40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semiHidden/>
    <w:rsid w:val="0025358C"/>
    <w:pPr>
      <w:spacing w:after="240" w:line="276" w:lineRule="auto"/>
      <w:jc w:val="center"/>
    </w:pPr>
    <w:rPr>
      <w:noProof/>
      <w:sz w:val="22"/>
      <w:lang w:eastAsia="en-GB"/>
    </w:rPr>
  </w:style>
  <w:style w:type="character" w:customStyle="1" w:styleId="EndNoteBibliographyTitleChar">
    <w:name w:val="EndNote Bibliography Title Char"/>
    <w:basedOn w:val="DefaultParagraphFont"/>
    <w:link w:val="EndNoteBibliographyTitle"/>
    <w:semiHidden/>
    <w:rsid w:val="0025358C"/>
    <w:rPr>
      <w:rFonts w:ascii="Calibri" w:hAnsi="Calibri" w:cs="Arial"/>
      <w:noProof/>
      <w:sz w:val="22"/>
      <w:szCs w:val="24"/>
      <w:lang w:eastAsia="en-GB"/>
    </w:rPr>
  </w:style>
  <w:style w:type="paragraph" w:customStyle="1" w:styleId="PBACH20">
    <w:name w:val="PBAC H2"/>
    <w:basedOn w:val="Heading2"/>
    <w:next w:val="Normal"/>
    <w:qFormat/>
    <w:rsid w:val="0025358C"/>
    <w:pPr>
      <w:keepNext/>
      <w:keepLines/>
      <w:spacing w:before="360" w:after="200"/>
      <w:jc w:val="left"/>
    </w:pPr>
    <w:rPr>
      <w:rFonts w:eastAsiaTheme="majorEastAsia" w:cstheme="majorBidi"/>
      <w:bCs/>
      <w:i w:val="0"/>
      <w:sz w:val="32"/>
      <w:szCs w:val="26"/>
      <w:lang w:eastAsia="en-GB"/>
    </w:rPr>
  </w:style>
  <w:style w:type="table" w:customStyle="1" w:styleId="TableGrid482">
    <w:name w:val="Table Grid482"/>
    <w:basedOn w:val="TableNormal"/>
    <w:next w:val="TableGrid"/>
    <w:rsid w:val="0025358C"/>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5358C"/>
    <w:pPr>
      <w:spacing w:after="240" w:line="276" w:lineRule="auto"/>
    </w:pPr>
    <w:rPr>
      <w:sz w:val="20"/>
      <w:szCs w:val="20"/>
      <w:lang w:eastAsia="en-GB"/>
    </w:rPr>
  </w:style>
  <w:style w:type="character" w:customStyle="1" w:styleId="EndnoteTextChar">
    <w:name w:val="Endnote Text Char"/>
    <w:basedOn w:val="DefaultParagraphFont"/>
    <w:link w:val="EndnoteText"/>
    <w:uiPriority w:val="99"/>
    <w:semiHidden/>
    <w:rsid w:val="0025358C"/>
    <w:rPr>
      <w:rFonts w:ascii="Calibri" w:hAnsi="Calibri" w:cs="Arial"/>
      <w:lang w:eastAsia="en-GB"/>
    </w:rPr>
  </w:style>
  <w:style w:type="character" w:styleId="EndnoteReference">
    <w:name w:val="endnote reference"/>
    <w:basedOn w:val="DefaultParagraphFont"/>
    <w:uiPriority w:val="99"/>
    <w:semiHidden/>
    <w:unhideWhenUsed/>
    <w:rsid w:val="0025358C"/>
    <w:rPr>
      <w:vertAlign w:val="superscript"/>
    </w:rPr>
  </w:style>
  <w:style w:type="numbering" w:customStyle="1" w:styleId="SectionBi">
    <w:name w:val="Section Bi"/>
    <w:uiPriority w:val="99"/>
    <w:rsid w:val="0025358C"/>
    <w:pPr>
      <w:numPr>
        <w:numId w:val="10"/>
      </w:numPr>
    </w:pPr>
  </w:style>
  <w:style w:type="table" w:customStyle="1" w:styleId="TableGrid11">
    <w:name w:val="Table Grid1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25358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30">
    <w:name w:val="PBAC H3#"/>
    <w:basedOn w:val="Heading3"/>
    <w:next w:val="Normal"/>
    <w:qFormat/>
    <w:rsid w:val="0025358C"/>
    <w:pPr>
      <w:tabs>
        <w:tab w:val="num" w:pos="1195"/>
      </w:tabs>
      <w:spacing w:after="200"/>
      <w:ind w:left="1196" w:hanging="1196"/>
      <w:jc w:val="left"/>
    </w:pPr>
    <w:rPr>
      <w:sz w:val="28"/>
      <w:u w:val="none"/>
      <w:lang w:eastAsia="en-GB"/>
    </w:rPr>
  </w:style>
  <w:style w:type="table" w:customStyle="1" w:styleId="LightShading1">
    <w:name w:val="Light Shading1"/>
    <w:basedOn w:val="TableNormal"/>
    <w:next w:val="LightShading"/>
    <w:uiPriority w:val="60"/>
    <w:rsid w:val="0025358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2">
    <w:name w:val="Summary box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1">
    <w:name w:val="Table Grid161"/>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1">
    <w:name w:val="Table Grid51"/>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25358C"/>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
    <w:name w:val="Table Grid402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58C"/>
    <w:rPr>
      <w:b/>
      <w:bCs/>
    </w:rPr>
  </w:style>
  <w:style w:type="table" w:customStyle="1" w:styleId="Summarybox11">
    <w:name w:val="Summary box11"/>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5358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4">
    <w:name w:val="Summary box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2">
    <w:name w:val="Table Grid162"/>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2">
    <w:name w:val="Table Grid52"/>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25358C"/>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rsid w:val="0025358C"/>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
    <w:name w:val="Table Grid402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
    <w:name w:val="Summary box1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25358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5">
    <w:name w:val="Summary box5"/>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3">
    <w:name w:val="Table Grid153"/>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3">
    <w:name w:val="Table Grid163"/>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3">
    <w:name w:val="Table Grid53"/>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25358C"/>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3">
    <w:name w:val="Table Grid401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3">
    <w:name w:val="Table Grid4823"/>
    <w:basedOn w:val="TableNormal"/>
    <w:next w:val="TableGrid"/>
    <w:rsid w:val="0025358C"/>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3">
    <w:name w:val="Table Grid402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
    <w:name w:val="Summary box1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2">
    <w:name w:val="Summary box22"/>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25358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6">
    <w:name w:val="Summary box6"/>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4">
    <w:name w:val="Table Grid154"/>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4">
    <w:name w:val="Table Grid164"/>
    <w:basedOn w:val="TableNormal"/>
    <w:next w:val="TableGrid"/>
    <w:rsid w:val="002535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4">
    <w:name w:val="Table Grid54"/>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25358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25358C"/>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4">
    <w:name w:val="Table Grid401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4">
    <w:name w:val="Table Grid4824"/>
    <w:basedOn w:val="TableNormal"/>
    <w:next w:val="TableGrid"/>
    <w:rsid w:val="0025358C"/>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4">
    <w:name w:val="Table Grid402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
    <w:name w:val="Summary box14"/>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3">
    <w:name w:val="Summary box23"/>
    <w:basedOn w:val="TableNormal"/>
    <w:next w:val="TableGrid"/>
    <w:uiPriority w:val="5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uiPriority w:val="99"/>
    <w:rsid w:val="0025358C"/>
    <w:pPr>
      <w:numPr>
        <w:numId w:val="19"/>
      </w:numPr>
    </w:pPr>
  </w:style>
  <w:style w:type="paragraph" w:customStyle="1" w:styleId="Company">
    <w:name w:val="Company"/>
    <w:basedOn w:val="Normal"/>
    <w:uiPriority w:val="8"/>
    <w:semiHidden/>
    <w:rsid w:val="0025358C"/>
    <w:pPr>
      <w:jc w:val="center"/>
    </w:pPr>
    <w:rPr>
      <w:rFonts w:ascii="Tahoma" w:hAnsi="Tahoma" w:cs="Times New Roman"/>
      <w:b/>
      <w:bCs/>
      <w:szCs w:val="28"/>
      <w:lang w:eastAsia="en-GB"/>
    </w:rPr>
  </w:style>
  <w:style w:type="paragraph" w:styleId="Date">
    <w:name w:val="Date"/>
    <w:basedOn w:val="Normal"/>
    <w:next w:val="Normal"/>
    <w:link w:val="DateChar"/>
    <w:uiPriority w:val="6"/>
    <w:rsid w:val="0025358C"/>
    <w:pPr>
      <w:jc w:val="right"/>
    </w:pPr>
    <w:rPr>
      <w:rFonts w:ascii="Helvetica" w:hAnsi="Helvetica" w:cs="Times New Roman"/>
      <w:bCs/>
      <w:sz w:val="22"/>
      <w:szCs w:val="28"/>
      <w:lang w:eastAsia="en-GB"/>
    </w:rPr>
  </w:style>
  <w:style w:type="character" w:customStyle="1" w:styleId="DateChar">
    <w:name w:val="Date Char"/>
    <w:basedOn w:val="DefaultParagraphFont"/>
    <w:link w:val="Date"/>
    <w:uiPriority w:val="6"/>
    <w:rsid w:val="0025358C"/>
    <w:rPr>
      <w:rFonts w:ascii="Helvetica" w:hAnsi="Helvetica"/>
      <w:bCs/>
      <w:sz w:val="22"/>
      <w:szCs w:val="28"/>
      <w:lang w:eastAsia="en-GB"/>
    </w:rPr>
  </w:style>
  <w:style w:type="paragraph" w:customStyle="1" w:styleId="PBACESH2">
    <w:name w:val="PBAC ES H2"/>
    <w:basedOn w:val="PBACESText"/>
    <w:next w:val="PBACESText"/>
    <w:qFormat/>
    <w:rsid w:val="0025358C"/>
    <w:pPr>
      <w:spacing w:before="240" w:after="120" w:line="220" w:lineRule="exact"/>
    </w:pPr>
    <w:rPr>
      <w:rFonts w:eastAsiaTheme="majorEastAsia"/>
      <w:b/>
      <w:bCs/>
    </w:rPr>
  </w:style>
  <w:style w:type="paragraph" w:customStyle="1" w:styleId="BodyText1">
    <w:name w:val="Body Text1"/>
    <w:basedOn w:val="Normal"/>
    <w:link w:val="BodytextChar0"/>
    <w:semiHidden/>
    <w:rsid w:val="0025358C"/>
    <w:pPr>
      <w:spacing w:after="240" w:line="300" w:lineRule="auto"/>
    </w:pPr>
    <w:rPr>
      <w:rFonts w:ascii="Arial" w:hAnsi="Arial" w:cs="Times New Roman"/>
      <w:sz w:val="22"/>
      <w:lang w:eastAsia="en-GB"/>
    </w:rPr>
  </w:style>
  <w:style w:type="character" w:customStyle="1" w:styleId="BodytextChar0">
    <w:name w:val="Body text Char"/>
    <w:link w:val="BodyText1"/>
    <w:semiHidden/>
    <w:locked/>
    <w:rsid w:val="0025358C"/>
    <w:rPr>
      <w:rFonts w:ascii="Arial" w:hAnsi="Arial"/>
      <w:sz w:val="22"/>
      <w:szCs w:val="24"/>
      <w:lang w:eastAsia="en-GB"/>
    </w:rPr>
  </w:style>
  <w:style w:type="paragraph" w:customStyle="1" w:styleId="PBACH10">
    <w:name w:val="PBAC H1"/>
    <w:basedOn w:val="Heading1"/>
    <w:next w:val="Normal"/>
    <w:qFormat/>
    <w:rsid w:val="0025358C"/>
    <w:pPr>
      <w:keepNext/>
      <w:pageBreakBefore/>
      <w:pBdr>
        <w:bottom w:val="single" w:sz="4" w:space="1" w:color="000000" w:themeColor="text1"/>
      </w:pBdr>
      <w:spacing w:before="240" w:after="200"/>
      <w:ind w:left="0" w:firstLine="0"/>
      <w:jc w:val="left"/>
    </w:pPr>
    <w:rPr>
      <w:rFonts w:ascii="Tahoma" w:eastAsiaTheme="minorHAnsi" w:hAnsi="Tahoma" w:cstheme="minorHAnsi"/>
      <w:b w:val="0"/>
      <w:kern w:val="32"/>
      <w:sz w:val="40"/>
      <w:szCs w:val="32"/>
      <w:lang w:eastAsia="en-US"/>
    </w:rPr>
  </w:style>
  <w:style w:type="paragraph" w:styleId="Bibliography">
    <w:name w:val="Bibliography"/>
    <w:basedOn w:val="Normal"/>
    <w:next w:val="Normal"/>
    <w:uiPriority w:val="37"/>
    <w:semiHidden/>
    <w:rsid w:val="0025358C"/>
    <w:pPr>
      <w:spacing w:after="240" w:line="276" w:lineRule="auto"/>
    </w:pPr>
    <w:rPr>
      <w:sz w:val="22"/>
      <w:lang w:eastAsia="en-GB"/>
    </w:rPr>
  </w:style>
  <w:style w:type="numbering" w:customStyle="1" w:styleId="PBACstandardnumberstyle">
    <w:name w:val="PBAC standard number style"/>
    <w:uiPriority w:val="99"/>
    <w:rsid w:val="0025358C"/>
    <w:pPr>
      <w:numPr>
        <w:numId w:val="11"/>
      </w:numPr>
    </w:pPr>
  </w:style>
  <w:style w:type="paragraph" w:customStyle="1" w:styleId="Tableheading0">
    <w:name w:val="Table heading"/>
    <w:basedOn w:val="Normal"/>
    <w:link w:val="TableheadingChar0"/>
    <w:semiHidden/>
    <w:rsid w:val="0025358C"/>
    <w:pPr>
      <w:keepNext/>
      <w:keepLines/>
      <w:spacing w:before="60" w:after="60"/>
      <w:jc w:val="left"/>
    </w:pPr>
    <w:rPr>
      <w:rFonts w:ascii="Arial Narrow" w:hAnsi="Arial Narrow" w:cs="Times New Roman"/>
      <w:b/>
      <w:sz w:val="20"/>
      <w:szCs w:val="20"/>
      <w:lang w:eastAsia="en-US"/>
    </w:rPr>
  </w:style>
  <w:style w:type="character" w:customStyle="1" w:styleId="TableheadingChar0">
    <w:name w:val="Table heading Char"/>
    <w:link w:val="Tableheading0"/>
    <w:semiHidden/>
    <w:locked/>
    <w:rsid w:val="0025358C"/>
    <w:rPr>
      <w:rFonts w:ascii="Arial Narrow" w:hAnsi="Arial Narrow"/>
      <w:b/>
      <w:lang w:eastAsia="en-US"/>
    </w:rPr>
  </w:style>
  <w:style w:type="table" w:customStyle="1" w:styleId="OPTUMTableNormal">
    <w:name w:val="OPTUM Table Normal"/>
    <w:basedOn w:val="TableNormal"/>
    <w:rsid w:val="0025358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ableHeadingChar">
    <w:name w:val="TableHeading Char"/>
    <w:link w:val="TableHeading"/>
    <w:locked/>
    <w:rsid w:val="0025358C"/>
    <w:rPr>
      <w:rFonts w:ascii="Arial Narrow" w:hAnsi="Arial Narrow" w:cs="Arial Narrow"/>
      <w:b/>
      <w:bCs/>
      <w:snapToGrid w:val="0"/>
      <w:szCs w:val="24"/>
    </w:rPr>
  </w:style>
  <w:style w:type="table" w:customStyle="1" w:styleId="MSDAustralia">
    <w:name w:val="MSD Australia"/>
    <w:basedOn w:val="TableGrid"/>
    <w:uiPriority w:val="99"/>
    <w:rsid w:val="0025358C"/>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ASDTable1">
    <w:name w:val="ASD Table1"/>
    <w:basedOn w:val="TableNormal"/>
    <w:next w:val="TableGrid"/>
    <w:uiPriority w:val="3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semiHidden/>
    <w:unhideWhenUsed/>
    <w:rsid w:val="0025358C"/>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5">
    <w:name w:val="Table Grid155"/>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5">
    <w:name w:val="Table Grid165"/>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5">
    <w:name w:val="Table Grid55"/>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25358C"/>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5">
    <w:name w:val="Table Grid4015"/>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5">
    <w:name w:val="Table Grid4825"/>
    <w:basedOn w:val="TableNormal"/>
    <w:rsid w:val="0025358C"/>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5">
    <w:name w:val="Table Grid4025"/>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5">
    <w:name w:val="Summary box15"/>
    <w:basedOn w:val="TableNormal"/>
    <w:uiPriority w:val="59"/>
    <w:rsid w:val="0025358C"/>
    <w:pPr>
      <w:spacing w:line="36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5358C"/>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24">
    <w:name w:val="Summary box24"/>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11">
    <w:name w:val="Table Grid151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11">
    <w:name w:val="Table Grid161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11">
    <w:name w:val="Table Grid51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25358C"/>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1">
    <w:name w:val="Table Grid401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1">
    <w:name w:val="Table Grid48211"/>
    <w:basedOn w:val="TableNormal"/>
    <w:rsid w:val="0025358C"/>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1">
    <w:name w:val="Table Grid402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1">
    <w:name w:val="Summary box1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1">
    <w:name w:val="Summary box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25358C"/>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41">
    <w:name w:val="Summary box41"/>
    <w:basedOn w:val="TableNormal"/>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21">
    <w:name w:val="Table Grid152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21">
    <w:name w:val="Table Grid162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1">
    <w:name w:val="Table Grid52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25358C"/>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1">
    <w:name w:val="Table Grid401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1">
    <w:name w:val="Table Grid48221"/>
    <w:basedOn w:val="TableNormal"/>
    <w:rsid w:val="0025358C"/>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1">
    <w:name w:val="Table Grid402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1">
    <w:name w:val="Summary box1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1">
    <w:name w:val="Summary box21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1">
    <w:name w:val="Light Shading31"/>
    <w:basedOn w:val="TableNormal"/>
    <w:uiPriority w:val="60"/>
    <w:rsid w:val="0025358C"/>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51">
    <w:name w:val="Summary box51"/>
    <w:basedOn w:val="TableNormal"/>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31">
    <w:name w:val="Table Grid153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31">
    <w:name w:val="Table Grid163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31">
    <w:name w:val="Table Grid53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25358C"/>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31">
    <w:name w:val="Table Grid401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31">
    <w:name w:val="Table Grid48231"/>
    <w:basedOn w:val="TableNormal"/>
    <w:rsid w:val="0025358C"/>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31">
    <w:name w:val="Table Grid402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1">
    <w:name w:val="Summary box1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21">
    <w:name w:val="Summary box22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1">
    <w:name w:val="Light Shading41"/>
    <w:basedOn w:val="TableNormal"/>
    <w:uiPriority w:val="60"/>
    <w:rsid w:val="0025358C"/>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61">
    <w:name w:val="Summary box61"/>
    <w:basedOn w:val="TableNormal"/>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41">
    <w:name w:val="Table Grid154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41">
    <w:name w:val="Table Grid1641"/>
    <w:basedOn w:val="TableNormal"/>
    <w:rsid w:val="0025358C"/>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41">
    <w:name w:val="Table Grid54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25358C"/>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25358C"/>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41">
    <w:name w:val="Table Grid401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41">
    <w:name w:val="Table Grid48241"/>
    <w:basedOn w:val="TableNormal"/>
    <w:rsid w:val="0025358C"/>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41">
    <w:name w:val="Table Grid402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1">
    <w:name w:val="Summary box14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31">
    <w:name w:val="Summary box231"/>
    <w:basedOn w:val="TableNormal"/>
    <w:uiPriority w:val="59"/>
    <w:rsid w:val="00253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TUMTableNormal1">
    <w:name w:val="OPTUM Table Normal1"/>
    <w:basedOn w:val="TableNormal"/>
    <w:rsid w:val="0025358C"/>
    <w:pPr>
      <w:spacing w:before="40" w:after="20"/>
    </w:pPr>
    <w:rPr>
      <w:rFonts w:ascii="Calibri" w:hAnsi="Calibri"/>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MSDAustralia1">
    <w:name w:val="MSD Australia1"/>
    <w:basedOn w:val="TableGrid"/>
    <w:uiPriority w:val="99"/>
    <w:rsid w:val="0025358C"/>
    <w:pPr>
      <w:spacing w:before="57"/>
      <w:ind w:left="57" w:right="57"/>
    </w:pPr>
    <w:rPr>
      <w:rFonts w:ascii="Arial" w:eastAsia="Calibri" w:hAnsi="Arial"/>
      <w:lang w:eastAsia="en-US"/>
    </w:rPr>
    <w:tblPr>
      <w:tblInd w:w="0" w:type="nil"/>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Style13">
    <w:name w:val="Style13"/>
    <w:uiPriority w:val="99"/>
    <w:rsid w:val="0025358C"/>
    <w:pPr>
      <w:numPr>
        <w:numId w:val="12"/>
      </w:numPr>
    </w:pPr>
  </w:style>
  <w:style w:type="numbering" w:customStyle="1" w:styleId="SectionBi3">
    <w:name w:val="Section Bi3"/>
    <w:uiPriority w:val="99"/>
    <w:rsid w:val="0025358C"/>
    <w:pPr>
      <w:numPr>
        <w:numId w:val="13"/>
      </w:numPr>
    </w:pPr>
  </w:style>
  <w:style w:type="numbering" w:customStyle="1" w:styleId="SectionBii1">
    <w:name w:val="Section Bii1"/>
    <w:uiPriority w:val="99"/>
    <w:rsid w:val="0025358C"/>
    <w:pPr>
      <w:numPr>
        <w:numId w:val="14"/>
      </w:numPr>
    </w:pPr>
  </w:style>
  <w:style w:type="numbering" w:customStyle="1" w:styleId="PBACstandardnumberstyle1">
    <w:name w:val="PBAC standard number style1"/>
    <w:uiPriority w:val="99"/>
    <w:rsid w:val="0025358C"/>
    <w:pPr>
      <w:numPr>
        <w:numId w:val="15"/>
      </w:numPr>
    </w:pPr>
  </w:style>
  <w:style w:type="table" w:customStyle="1" w:styleId="Icon">
    <w:name w:val="~Icon"/>
    <w:basedOn w:val="TableNormal"/>
    <w:uiPriority w:val="99"/>
    <w:rsid w:val="0025358C"/>
    <w:pPr>
      <w:spacing w:before="180" w:line="276" w:lineRule="auto"/>
    </w:pPr>
    <w:rPr>
      <w:rFonts w:asciiTheme="minorHAnsi" w:eastAsiaTheme="minorEastAsia" w:hAnsiTheme="minorHAnsi" w:cs="System"/>
      <w:color w:val="000000" w:themeColor="text1"/>
      <w:sz w:val="21"/>
      <w:szCs w:val="21"/>
      <w:lang w:val="en-GB" w:eastAsia="en-US"/>
    </w:rPr>
    <w:tblPr>
      <w:tblStyleRowBandSize w:val="1"/>
      <w:tblInd w:w="0" w:type="nil"/>
      <w:tblBorders>
        <w:top w:val="single" w:sz="2" w:space="0" w:color="000000" w:themeColor="text1"/>
        <w:bottom w:val="single" w:sz="2" w:space="0" w:color="000000" w:themeColor="text1"/>
      </w:tblBorders>
      <w:tblCellMar>
        <w:left w:w="28" w:type="dxa"/>
        <w:right w:w="28" w:type="dxa"/>
      </w:tblCellMar>
    </w:tblPr>
    <w:tblStylePr w:type="firstRow">
      <w:tblPr/>
      <w:tcPr>
        <w:tcBorders>
          <w:top w:val="single" w:sz="2" w:space="0" w:color="000000" w:themeColor="text1"/>
          <w:left w:val="nil"/>
          <w:bottom w:val="single" w:sz="2" w:space="0" w:color="000000" w:themeColor="text1"/>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FootnoteTextChar1">
    <w:name w:val="Footnote Text Char1"/>
    <w:aliases w:val="Char Char1"/>
    <w:basedOn w:val="DefaultParagraphFont"/>
    <w:semiHidden/>
    <w:rsid w:val="0025358C"/>
    <w:rPr>
      <w:rFonts w:ascii="Calibri" w:hAnsi="Calibri"/>
      <w:sz w:val="20"/>
      <w:szCs w:val="20"/>
    </w:rPr>
  </w:style>
  <w:style w:type="character" w:customStyle="1" w:styleId="NoteHeadingChar1">
    <w:name w:val="Note Heading Char1"/>
    <w:aliases w:val="Notes Char1"/>
    <w:basedOn w:val="DefaultParagraphFont"/>
    <w:uiPriority w:val="99"/>
    <w:semiHidden/>
    <w:rsid w:val="0025358C"/>
    <w:rPr>
      <w:rFonts w:ascii="Calibri" w:hAnsi="Calibri"/>
    </w:rPr>
  </w:style>
  <w:style w:type="table" w:customStyle="1" w:styleId="TableGrid7">
    <w:name w:val="Table Grid7"/>
    <w:basedOn w:val="TableNormal"/>
    <w:rsid w:val="0025358C"/>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25358C"/>
    <w:pPr>
      <w:numPr>
        <w:numId w:val="16"/>
      </w:numPr>
      <w:tabs>
        <w:tab w:val="clear" w:pos="360"/>
      </w:tabs>
      <w:spacing w:after="240"/>
      <w:ind w:left="720"/>
    </w:pPr>
    <w:rPr>
      <w:rFonts w:ascii="Arial" w:hAnsi="Arial" w:cs="Times New Roman"/>
      <w:sz w:val="20"/>
      <w:szCs w:val="20"/>
      <w:lang w:val="en-GB" w:eastAsia="en-US"/>
    </w:rPr>
  </w:style>
  <w:style w:type="character" w:styleId="Emphasis">
    <w:name w:val="Emphasis"/>
    <w:basedOn w:val="DefaultParagraphFont"/>
    <w:uiPriority w:val="20"/>
    <w:qFormat/>
    <w:rsid w:val="0025358C"/>
    <w:rPr>
      <w:i/>
      <w:iCs/>
    </w:rPr>
  </w:style>
  <w:style w:type="paragraph" w:customStyle="1" w:styleId="PBACH6">
    <w:name w:val="PBAC H6"/>
    <w:basedOn w:val="Heading6"/>
    <w:next w:val="Normal"/>
    <w:qFormat/>
    <w:rsid w:val="0025358C"/>
    <w:pPr>
      <w:keepNext/>
      <w:keepLines/>
      <w:spacing w:after="120"/>
      <w:jc w:val="left"/>
    </w:pPr>
    <w:rPr>
      <w:rFonts w:eastAsiaTheme="majorEastAsia" w:cstheme="majorBidi"/>
      <w:b w:val="0"/>
      <w:iCs/>
      <w:szCs w:val="28"/>
      <w:lang w:eastAsia="en-GB"/>
    </w:rPr>
  </w:style>
  <w:style w:type="paragraph" w:customStyle="1" w:styleId="PBACH7">
    <w:name w:val="PBAC H7"/>
    <w:basedOn w:val="Heading7"/>
    <w:next w:val="Normal"/>
    <w:qFormat/>
    <w:rsid w:val="0025358C"/>
    <w:pPr>
      <w:keepLines/>
      <w:spacing w:before="240" w:after="120"/>
      <w:jc w:val="left"/>
    </w:pPr>
    <w:rPr>
      <w:rFonts w:eastAsiaTheme="majorEastAsia" w:cstheme="majorBidi"/>
      <w:b w:val="0"/>
      <w:sz w:val="22"/>
      <w:szCs w:val="26"/>
      <w:u w:val="single"/>
      <w:lang w:eastAsia="en-GB"/>
    </w:rPr>
  </w:style>
  <w:style w:type="paragraph" w:customStyle="1" w:styleId="PBACTablebullet">
    <w:name w:val="PBAC Table bullet"/>
    <w:basedOn w:val="PBACTabletext"/>
    <w:next w:val="PBACTabletext"/>
    <w:qFormat/>
    <w:rsid w:val="0025358C"/>
    <w:pPr>
      <w:numPr>
        <w:numId w:val="17"/>
      </w:numPr>
      <w:tabs>
        <w:tab w:val="num" w:pos="360"/>
      </w:tabs>
      <w:ind w:left="360"/>
    </w:pPr>
  </w:style>
  <w:style w:type="paragraph" w:styleId="TableofFigures">
    <w:name w:val="table of figures"/>
    <w:basedOn w:val="Normal"/>
    <w:next w:val="Normal"/>
    <w:uiPriority w:val="99"/>
    <w:unhideWhenUsed/>
    <w:rsid w:val="0025358C"/>
    <w:pPr>
      <w:spacing w:line="276" w:lineRule="auto"/>
    </w:pPr>
    <w:rPr>
      <w:sz w:val="22"/>
      <w:lang w:eastAsia="en-GB"/>
    </w:rPr>
  </w:style>
  <w:style w:type="table" w:customStyle="1" w:styleId="ASDTable19">
    <w:name w:val="ASD Table19"/>
    <w:basedOn w:val="TableNormal"/>
    <w:next w:val="TableGrid"/>
    <w:uiPriority w:val="39"/>
    <w:rsid w:val="0025358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8">
    <w:name w:val="ASD Table8"/>
    <w:basedOn w:val="TableNormal"/>
    <w:next w:val="TableGrid"/>
    <w:uiPriority w:val="39"/>
    <w:rsid w:val="0025358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ESH1">
    <w:name w:val="PBAC ES H1"/>
    <w:basedOn w:val="PBACH10"/>
    <w:next w:val="PBACESText"/>
    <w:qFormat/>
    <w:rsid w:val="0025358C"/>
    <w:pPr>
      <w:spacing w:after="120"/>
    </w:pPr>
  </w:style>
  <w:style w:type="table" w:customStyle="1" w:styleId="ASDTable2">
    <w:name w:val="ASD Table2"/>
    <w:basedOn w:val="TableNormal"/>
    <w:next w:val="TableGrid"/>
    <w:uiPriority w:val="3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
    <w:name w:val="new style1"/>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2">
    <w:name w:val="new style2"/>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4">
    <w:name w:val="new style4"/>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
    <w:name w:val="PBAC table1"/>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7">
    <w:name w:val="new style7"/>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2">
    <w:name w:val="PBAC table2"/>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1">
    <w:name w:val="ASD Table21"/>
    <w:basedOn w:val="TableNormal"/>
    <w:next w:val="TableGrid"/>
    <w:uiPriority w:val="3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2">
    <w:name w:val="ASD Table22"/>
    <w:basedOn w:val="TableNormal"/>
    <w:next w:val="TableGrid"/>
    <w:uiPriority w:val="3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3">
    <w:name w:val="ASD Table23"/>
    <w:basedOn w:val="TableNormal"/>
    <w:next w:val="TableGrid"/>
    <w:uiPriority w:val="3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5">
    <w:name w:val="new style5"/>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39"/>
    <w:rsid w:val="00253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5358C"/>
    <w:pPr>
      <w:spacing w:before="36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6">
    <w:name w:val="new style6"/>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3">
    <w:name w:val="new style3"/>
    <w:basedOn w:val="TableNormal"/>
    <w:next w:val="TableGrid"/>
    <w:uiPriority w:val="59"/>
    <w:rsid w:val="0025358C"/>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358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5358C"/>
    <w:rPr>
      <w:color w:val="605E5C"/>
      <w:shd w:val="clear" w:color="auto" w:fill="E1DFDD"/>
    </w:rPr>
  </w:style>
  <w:style w:type="table" w:customStyle="1" w:styleId="CMATableTemplate1">
    <w:name w:val="CMA Table Template1"/>
    <w:basedOn w:val="TableNormal"/>
    <w:rsid w:val="0025358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358C"/>
  </w:style>
  <w:style w:type="numbering" w:customStyle="1" w:styleId="SectionBi1">
    <w:name w:val="Section Bi1"/>
    <w:uiPriority w:val="99"/>
    <w:rsid w:val="0025358C"/>
  </w:style>
  <w:style w:type="numbering" w:customStyle="1" w:styleId="Style11">
    <w:name w:val="Style11"/>
    <w:uiPriority w:val="99"/>
    <w:rsid w:val="0025358C"/>
  </w:style>
  <w:style w:type="numbering" w:customStyle="1" w:styleId="NoList2">
    <w:name w:val="No List2"/>
    <w:next w:val="NoList"/>
    <w:uiPriority w:val="99"/>
    <w:semiHidden/>
    <w:unhideWhenUsed/>
    <w:rsid w:val="0025358C"/>
  </w:style>
  <w:style w:type="numbering" w:customStyle="1" w:styleId="SectionBi2">
    <w:name w:val="Section Bi2"/>
    <w:uiPriority w:val="99"/>
    <w:rsid w:val="0025358C"/>
  </w:style>
  <w:style w:type="numbering" w:customStyle="1" w:styleId="Style12">
    <w:name w:val="Style12"/>
    <w:uiPriority w:val="99"/>
    <w:rsid w:val="0025358C"/>
  </w:style>
  <w:style w:type="numbering" w:customStyle="1" w:styleId="NoList3">
    <w:name w:val="No List3"/>
    <w:next w:val="NoList"/>
    <w:uiPriority w:val="99"/>
    <w:semiHidden/>
    <w:unhideWhenUsed/>
    <w:rsid w:val="0025358C"/>
  </w:style>
  <w:style w:type="numbering" w:customStyle="1" w:styleId="NoList11">
    <w:name w:val="No List11"/>
    <w:next w:val="NoList"/>
    <w:uiPriority w:val="99"/>
    <w:semiHidden/>
    <w:unhideWhenUsed/>
    <w:rsid w:val="0025358C"/>
  </w:style>
  <w:style w:type="numbering" w:customStyle="1" w:styleId="SectionBi11">
    <w:name w:val="Section Bi11"/>
    <w:uiPriority w:val="99"/>
    <w:rsid w:val="0025358C"/>
  </w:style>
  <w:style w:type="numbering" w:customStyle="1" w:styleId="Style111">
    <w:name w:val="Style111"/>
    <w:uiPriority w:val="99"/>
    <w:rsid w:val="0025358C"/>
  </w:style>
  <w:style w:type="numbering" w:customStyle="1" w:styleId="NoList21">
    <w:name w:val="No List21"/>
    <w:next w:val="NoList"/>
    <w:uiPriority w:val="99"/>
    <w:semiHidden/>
    <w:unhideWhenUsed/>
    <w:rsid w:val="0025358C"/>
  </w:style>
  <w:style w:type="numbering" w:customStyle="1" w:styleId="SectionBi21">
    <w:name w:val="Section Bi21"/>
    <w:uiPriority w:val="99"/>
    <w:rsid w:val="0025358C"/>
  </w:style>
  <w:style w:type="numbering" w:customStyle="1" w:styleId="Style121">
    <w:name w:val="Style121"/>
    <w:uiPriority w:val="99"/>
    <w:rsid w:val="0025358C"/>
  </w:style>
  <w:style w:type="numbering" w:customStyle="1" w:styleId="NoList4">
    <w:name w:val="No List4"/>
    <w:next w:val="NoList"/>
    <w:uiPriority w:val="99"/>
    <w:semiHidden/>
    <w:unhideWhenUsed/>
    <w:rsid w:val="0025358C"/>
  </w:style>
  <w:style w:type="numbering" w:customStyle="1" w:styleId="NoList12">
    <w:name w:val="No List12"/>
    <w:next w:val="NoList"/>
    <w:uiPriority w:val="99"/>
    <w:semiHidden/>
    <w:unhideWhenUsed/>
    <w:rsid w:val="0025358C"/>
  </w:style>
  <w:style w:type="numbering" w:customStyle="1" w:styleId="SectionBi12">
    <w:name w:val="Section Bi12"/>
    <w:uiPriority w:val="99"/>
    <w:rsid w:val="0025358C"/>
  </w:style>
  <w:style w:type="numbering" w:customStyle="1" w:styleId="Style112">
    <w:name w:val="Style112"/>
    <w:uiPriority w:val="99"/>
    <w:rsid w:val="0025358C"/>
  </w:style>
  <w:style w:type="numbering" w:customStyle="1" w:styleId="NoList22">
    <w:name w:val="No List22"/>
    <w:next w:val="NoList"/>
    <w:uiPriority w:val="99"/>
    <w:semiHidden/>
    <w:unhideWhenUsed/>
    <w:rsid w:val="0025358C"/>
  </w:style>
  <w:style w:type="numbering" w:customStyle="1" w:styleId="SectionBi22">
    <w:name w:val="Section Bi22"/>
    <w:uiPriority w:val="99"/>
    <w:rsid w:val="0025358C"/>
  </w:style>
  <w:style w:type="numbering" w:customStyle="1" w:styleId="Style122">
    <w:name w:val="Style122"/>
    <w:uiPriority w:val="99"/>
    <w:rsid w:val="0025358C"/>
  </w:style>
  <w:style w:type="numbering" w:customStyle="1" w:styleId="NoList5">
    <w:name w:val="No List5"/>
    <w:next w:val="NoList"/>
    <w:uiPriority w:val="99"/>
    <w:semiHidden/>
    <w:unhideWhenUsed/>
    <w:rsid w:val="0025358C"/>
  </w:style>
  <w:style w:type="numbering" w:customStyle="1" w:styleId="NoList13">
    <w:name w:val="No List13"/>
    <w:next w:val="NoList"/>
    <w:uiPriority w:val="99"/>
    <w:semiHidden/>
    <w:unhideWhenUsed/>
    <w:rsid w:val="0025358C"/>
  </w:style>
  <w:style w:type="numbering" w:customStyle="1" w:styleId="SectionBi13">
    <w:name w:val="Section Bi13"/>
    <w:uiPriority w:val="99"/>
    <w:rsid w:val="0025358C"/>
  </w:style>
  <w:style w:type="numbering" w:customStyle="1" w:styleId="Style113">
    <w:name w:val="Style113"/>
    <w:uiPriority w:val="99"/>
    <w:rsid w:val="0025358C"/>
  </w:style>
  <w:style w:type="numbering" w:customStyle="1" w:styleId="NoList23">
    <w:name w:val="No List23"/>
    <w:next w:val="NoList"/>
    <w:uiPriority w:val="99"/>
    <w:semiHidden/>
    <w:unhideWhenUsed/>
    <w:rsid w:val="0025358C"/>
  </w:style>
  <w:style w:type="numbering" w:customStyle="1" w:styleId="SectionBi23">
    <w:name w:val="Section Bi23"/>
    <w:uiPriority w:val="99"/>
    <w:rsid w:val="0025358C"/>
  </w:style>
  <w:style w:type="numbering" w:customStyle="1" w:styleId="Style123">
    <w:name w:val="Style123"/>
    <w:uiPriority w:val="99"/>
    <w:rsid w:val="0025358C"/>
  </w:style>
  <w:style w:type="numbering" w:customStyle="1" w:styleId="NoList6">
    <w:name w:val="No List6"/>
    <w:next w:val="NoList"/>
    <w:uiPriority w:val="99"/>
    <w:semiHidden/>
    <w:unhideWhenUsed/>
    <w:rsid w:val="0025358C"/>
  </w:style>
  <w:style w:type="numbering" w:customStyle="1" w:styleId="NoList14">
    <w:name w:val="No List14"/>
    <w:next w:val="NoList"/>
    <w:uiPriority w:val="99"/>
    <w:semiHidden/>
    <w:unhideWhenUsed/>
    <w:rsid w:val="0025358C"/>
  </w:style>
  <w:style w:type="numbering" w:customStyle="1" w:styleId="SectionBi14">
    <w:name w:val="Section Bi14"/>
    <w:uiPriority w:val="99"/>
    <w:rsid w:val="0025358C"/>
  </w:style>
  <w:style w:type="numbering" w:customStyle="1" w:styleId="Style114">
    <w:name w:val="Style114"/>
    <w:uiPriority w:val="99"/>
    <w:rsid w:val="0025358C"/>
  </w:style>
  <w:style w:type="numbering" w:customStyle="1" w:styleId="NoList24">
    <w:name w:val="No List24"/>
    <w:next w:val="NoList"/>
    <w:uiPriority w:val="99"/>
    <w:semiHidden/>
    <w:unhideWhenUsed/>
    <w:rsid w:val="0025358C"/>
  </w:style>
  <w:style w:type="numbering" w:customStyle="1" w:styleId="SectionBi24">
    <w:name w:val="Section Bi24"/>
    <w:uiPriority w:val="99"/>
    <w:rsid w:val="0025358C"/>
  </w:style>
  <w:style w:type="numbering" w:customStyle="1" w:styleId="Style124">
    <w:name w:val="Style124"/>
    <w:uiPriority w:val="99"/>
    <w:rsid w:val="0025358C"/>
  </w:style>
  <w:style w:type="numbering" w:customStyle="1" w:styleId="NoList7">
    <w:name w:val="No List7"/>
    <w:next w:val="NoList"/>
    <w:uiPriority w:val="99"/>
    <w:semiHidden/>
    <w:unhideWhenUsed/>
    <w:rsid w:val="0025358C"/>
  </w:style>
  <w:style w:type="paragraph" w:styleId="ListNumber3">
    <w:name w:val="List Number 3"/>
    <w:basedOn w:val="Normal"/>
    <w:uiPriority w:val="99"/>
    <w:semiHidden/>
    <w:unhideWhenUsed/>
    <w:rsid w:val="0025358C"/>
    <w:pPr>
      <w:numPr>
        <w:numId w:val="21"/>
      </w:numPr>
      <w:spacing w:after="240"/>
      <w:ind w:left="720"/>
      <w:contextualSpacing/>
    </w:pPr>
    <w:rPr>
      <w:rFonts w:cs="Times New Roman"/>
      <w:sz w:val="22"/>
      <w:lang w:val="en-US" w:eastAsia="en-US"/>
    </w:rPr>
  </w:style>
  <w:style w:type="paragraph" w:customStyle="1" w:styleId="PBACH40">
    <w:name w:val="PBAC H4"/>
    <w:basedOn w:val="PBACH4"/>
    <w:next w:val="Normal"/>
    <w:qFormat/>
    <w:rsid w:val="0025358C"/>
    <w:pPr>
      <w:tabs>
        <w:tab w:val="clear" w:pos="1656"/>
      </w:tabs>
      <w:ind w:left="0" w:firstLine="0"/>
    </w:pPr>
  </w:style>
  <w:style w:type="paragraph" w:customStyle="1" w:styleId="msonormal0">
    <w:name w:val="msonormal"/>
    <w:basedOn w:val="Normal"/>
    <w:uiPriority w:val="99"/>
    <w:semiHidden/>
    <w:rsid w:val="0025358C"/>
    <w:pPr>
      <w:spacing w:before="100" w:beforeAutospacing="1" w:after="100" w:afterAutospacing="1"/>
      <w:jc w:val="left"/>
    </w:pPr>
    <w:rPr>
      <w:rFonts w:ascii="Times New Roman" w:hAnsi="Times New Roman" w:cs="Times New Roman"/>
    </w:rPr>
  </w:style>
  <w:style w:type="character" w:customStyle="1" w:styleId="CommentTextChar1">
    <w:name w:val="Comment Text Char1"/>
    <w:aliases w:val="Comment Text Char Char Char Char1,Comment Text Char Char Char2,- H19 Char1"/>
    <w:basedOn w:val="DefaultParagraphFont"/>
    <w:uiPriority w:val="99"/>
    <w:semiHidden/>
    <w:rsid w:val="0025358C"/>
    <w:rPr>
      <w:rFonts w:ascii="Calibri" w:eastAsia="Times New Roman" w:hAnsi="Calibri" w:cs="Arial"/>
      <w:sz w:val="20"/>
      <w:szCs w:val="20"/>
      <w:lang w:eastAsia="en-GB"/>
    </w:rPr>
  </w:style>
  <w:style w:type="character" w:styleId="Hashtag">
    <w:name w:val="Hashtag"/>
    <w:basedOn w:val="DefaultParagraphFont"/>
    <w:uiPriority w:val="99"/>
    <w:semiHidden/>
    <w:rsid w:val="0025358C"/>
    <w:rPr>
      <w:color w:val="2B579A"/>
      <w:shd w:val="clear" w:color="auto" w:fill="E1DFDD"/>
    </w:rPr>
  </w:style>
  <w:style w:type="paragraph" w:customStyle="1" w:styleId="EndNoteBibliography">
    <w:name w:val="EndNote Bibliography"/>
    <w:basedOn w:val="Normal"/>
    <w:link w:val="EndNoteBibliographyChar"/>
    <w:semiHidden/>
    <w:rsid w:val="0025358C"/>
    <w:pPr>
      <w:spacing w:after="240" w:line="276" w:lineRule="auto"/>
    </w:pPr>
    <w:rPr>
      <w:noProof/>
      <w:sz w:val="22"/>
      <w:lang w:eastAsia="en-GB"/>
    </w:rPr>
  </w:style>
  <w:style w:type="character" w:customStyle="1" w:styleId="EndNoteBibliographyChar">
    <w:name w:val="EndNote Bibliography Char"/>
    <w:basedOn w:val="DefaultParagraphFont"/>
    <w:link w:val="EndNoteBibliography"/>
    <w:semiHidden/>
    <w:rsid w:val="0025358C"/>
    <w:rPr>
      <w:rFonts w:ascii="Calibri" w:hAnsi="Calibri" w:cs="Arial"/>
      <w:noProof/>
      <w:sz w:val="22"/>
      <w:szCs w:val="24"/>
      <w:lang w:eastAsia="en-GB"/>
    </w:rPr>
  </w:style>
  <w:style w:type="table" w:customStyle="1" w:styleId="HTATableshaded">
    <w:name w:val="HTA Table shaded"/>
    <w:basedOn w:val="TableNormal"/>
    <w:rsid w:val="0025358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BodyText"/>
    <w:next w:val="BodyText"/>
    <w:link w:val="TableFigNotes18Char"/>
    <w:uiPriority w:val="4"/>
    <w:qFormat/>
    <w:rsid w:val="0025358C"/>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25358C"/>
    <w:rPr>
      <w:rFonts w:asciiTheme="minorHAnsi" w:eastAsiaTheme="minorHAnsi" w:hAnsiTheme="minorHAnsi" w:cs="Tahoma"/>
      <w:color w:val="000000"/>
      <w:sz w:val="16"/>
      <w:szCs w:val="18"/>
    </w:rPr>
  </w:style>
  <w:style w:type="paragraph" w:customStyle="1" w:styleId="Tablefootnote">
    <w:name w:val="Table footnote"/>
    <w:basedOn w:val="Normal"/>
    <w:link w:val="TablefootnoteChar"/>
    <w:qFormat/>
    <w:rsid w:val="0025358C"/>
    <w:pPr>
      <w:keepNext/>
      <w:keepLines/>
      <w:spacing w:before="120" w:after="12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25358C"/>
    <w:rPr>
      <w:rFonts w:ascii="Arial Narrow" w:hAnsi="Arial Narrow"/>
      <w:sz w:val="18"/>
      <w:szCs w:val="22"/>
      <w:lang w:eastAsia="en-US"/>
    </w:rPr>
  </w:style>
  <w:style w:type="character" w:customStyle="1" w:styleId="FooterChar1">
    <w:name w:val="Footer Char1"/>
    <w:aliases w:val="Page Footer Char1"/>
    <w:basedOn w:val="DefaultParagraphFont"/>
    <w:uiPriority w:val="99"/>
    <w:semiHidden/>
    <w:rsid w:val="0025358C"/>
    <w:rPr>
      <w:rFonts w:ascii="Calibri" w:eastAsia="Times New Roman" w:hAnsi="Calibri" w:cs="Arial"/>
      <w:szCs w:val="24"/>
      <w:lang w:eastAsia="en-GB"/>
    </w:rPr>
  </w:style>
  <w:style w:type="table" w:customStyle="1" w:styleId="CMATableTemplate2">
    <w:name w:val="CMA Table Template2"/>
    <w:basedOn w:val="TableNormal"/>
    <w:rsid w:val="0025358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
    <w:basedOn w:val="Normal"/>
    <w:next w:val="Normal"/>
    <w:link w:val="Heading4Char0"/>
    <w:autoRedefine/>
    <w:qFormat/>
    <w:rsid w:val="0025358C"/>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0">
    <w:name w:val="Heading4 Char"/>
    <w:link w:val="Heading40"/>
    <w:locked/>
    <w:rsid w:val="0025358C"/>
    <w:rPr>
      <w:rFonts w:ascii="Arial" w:hAnsi="Arial"/>
      <w:b/>
      <w:sz w:val="22"/>
      <w:szCs w:val="24"/>
      <w:lang w:eastAsia="en-GB"/>
    </w:rPr>
  </w:style>
  <w:style w:type="paragraph" w:customStyle="1" w:styleId="Heading50">
    <w:name w:val="Heading5"/>
    <w:basedOn w:val="Normal"/>
    <w:next w:val="Normal"/>
    <w:autoRedefine/>
    <w:uiPriority w:val="99"/>
    <w:qFormat/>
    <w:rsid w:val="0025358C"/>
    <w:pPr>
      <w:keepNext/>
      <w:widowControl w:val="0"/>
      <w:spacing w:before="240" w:after="120"/>
      <w:jc w:val="left"/>
      <w:outlineLvl w:val="4"/>
    </w:pPr>
    <w:rPr>
      <w:rFonts w:ascii="Arial" w:hAnsi="Arial" w:cs="Times New Roman"/>
      <w:b/>
      <w:bCs/>
      <w:i/>
      <w:sz w:val="22"/>
      <w:lang w:eastAsia="en-GB"/>
    </w:rPr>
  </w:style>
  <w:style w:type="character" w:styleId="Mention">
    <w:name w:val="Mention"/>
    <w:basedOn w:val="DefaultParagraphFont"/>
    <w:uiPriority w:val="99"/>
    <w:unhideWhenUsed/>
    <w:rsid w:val="0025358C"/>
    <w:rPr>
      <w:color w:val="2B579A"/>
      <w:shd w:val="clear" w:color="auto" w:fill="E1DFDD"/>
    </w:rPr>
  </w:style>
  <w:style w:type="character" w:customStyle="1" w:styleId="PBACTableTextChar">
    <w:name w:val="PBAC Table Text Char"/>
    <w:basedOn w:val="DefaultParagraphFont"/>
    <w:link w:val="PBACTableText0"/>
    <w:locked/>
    <w:rsid w:val="0025358C"/>
    <w:rPr>
      <w:rFonts w:ascii="Arial Narrow" w:hAnsi="Arial Narrow"/>
    </w:rPr>
  </w:style>
  <w:style w:type="paragraph" w:customStyle="1" w:styleId="PBACTableText0">
    <w:name w:val="PBAC Table Text"/>
    <w:basedOn w:val="Normal"/>
    <w:link w:val="PBACTableTextChar"/>
    <w:qFormat/>
    <w:rsid w:val="0025358C"/>
    <w:pPr>
      <w:spacing w:before="40" w:after="40"/>
      <w:jc w:val="left"/>
    </w:pPr>
    <w:rPr>
      <w:rFonts w:ascii="Arial Narrow" w:hAnsi="Arial Narrow" w:cs="Times New Roman"/>
      <w:sz w:val="20"/>
      <w:szCs w:val="20"/>
    </w:rPr>
  </w:style>
  <w:style w:type="character" w:customStyle="1" w:styleId="cf01">
    <w:name w:val="cf01"/>
    <w:basedOn w:val="DefaultParagraphFont"/>
    <w:rsid w:val="008073C2"/>
    <w:rPr>
      <w:rFonts w:ascii="Segoe UI" w:hAnsi="Segoe UI" w:cs="Segoe UI" w:hint="default"/>
      <w:sz w:val="18"/>
      <w:szCs w:val="18"/>
    </w:rPr>
  </w:style>
  <w:style w:type="numbering" w:customStyle="1" w:styleId="CurrentList1">
    <w:name w:val="Current List1"/>
    <w:uiPriority w:val="99"/>
    <w:rsid w:val="00AE47F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2773">
      <w:bodyDiv w:val="1"/>
      <w:marLeft w:val="0"/>
      <w:marRight w:val="0"/>
      <w:marTop w:val="0"/>
      <w:marBottom w:val="0"/>
      <w:divBdr>
        <w:top w:val="none" w:sz="0" w:space="0" w:color="auto"/>
        <w:left w:val="none" w:sz="0" w:space="0" w:color="auto"/>
        <w:bottom w:val="none" w:sz="0" w:space="0" w:color="auto"/>
        <w:right w:val="none" w:sz="0" w:space="0" w:color="auto"/>
      </w:divBdr>
      <w:divsChild>
        <w:div w:id="1895695510">
          <w:marLeft w:val="0"/>
          <w:marRight w:val="0"/>
          <w:marTop w:val="0"/>
          <w:marBottom w:val="0"/>
          <w:divBdr>
            <w:top w:val="none" w:sz="0" w:space="0" w:color="auto"/>
            <w:left w:val="none" w:sz="0" w:space="0" w:color="auto"/>
            <w:bottom w:val="none" w:sz="0" w:space="0" w:color="auto"/>
            <w:right w:val="none" w:sz="0" w:space="0" w:color="auto"/>
          </w:divBdr>
          <w:divsChild>
            <w:div w:id="724648557">
              <w:marLeft w:val="0"/>
              <w:marRight w:val="0"/>
              <w:marTop w:val="0"/>
              <w:marBottom w:val="0"/>
              <w:divBdr>
                <w:top w:val="none" w:sz="0" w:space="0" w:color="auto"/>
                <w:left w:val="none" w:sz="0" w:space="0" w:color="auto"/>
                <w:bottom w:val="none" w:sz="0" w:space="0" w:color="auto"/>
                <w:right w:val="none" w:sz="0" w:space="0" w:color="auto"/>
              </w:divBdr>
              <w:divsChild>
                <w:div w:id="12484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3545933">
      <w:bodyDiv w:val="1"/>
      <w:marLeft w:val="0"/>
      <w:marRight w:val="0"/>
      <w:marTop w:val="0"/>
      <w:marBottom w:val="0"/>
      <w:divBdr>
        <w:top w:val="none" w:sz="0" w:space="0" w:color="auto"/>
        <w:left w:val="none" w:sz="0" w:space="0" w:color="auto"/>
        <w:bottom w:val="none" w:sz="0" w:space="0" w:color="auto"/>
        <w:right w:val="none" w:sz="0" w:space="0" w:color="auto"/>
      </w:divBdr>
      <w:divsChild>
        <w:div w:id="1333949778">
          <w:marLeft w:val="0"/>
          <w:marRight w:val="0"/>
          <w:marTop w:val="0"/>
          <w:marBottom w:val="0"/>
          <w:divBdr>
            <w:top w:val="none" w:sz="0" w:space="0" w:color="auto"/>
            <w:left w:val="none" w:sz="0" w:space="0" w:color="auto"/>
            <w:bottom w:val="none" w:sz="0" w:space="0" w:color="auto"/>
            <w:right w:val="none" w:sz="0" w:space="0" w:color="auto"/>
          </w:divBdr>
          <w:divsChild>
            <w:div w:id="2126803104">
              <w:marLeft w:val="0"/>
              <w:marRight w:val="0"/>
              <w:marTop w:val="0"/>
              <w:marBottom w:val="0"/>
              <w:divBdr>
                <w:top w:val="none" w:sz="0" w:space="0" w:color="auto"/>
                <w:left w:val="none" w:sz="0" w:space="0" w:color="auto"/>
                <w:bottom w:val="none" w:sz="0" w:space="0" w:color="auto"/>
                <w:right w:val="none" w:sz="0" w:space="0" w:color="auto"/>
              </w:divBdr>
              <w:divsChild>
                <w:div w:id="1445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1762">
      <w:bodyDiv w:val="1"/>
      <w:marLeft w:val="0"/>
      <w:marRight w:val="0"/>
      <w:marTop w:val="0"/>
      <w:marBottom w:val="0"/>
      <w:divBdr>
        <w:top w:val="none" w:sz="0" w:space="0" w:color="auto"/>
        <w:left w:val="none" w:sz="0" w:space="0" w:color="auto"/>
        <w:bottom w:val="none" w:sz="0" w:space="0" w:color="auto"/>
        <w:right w:val="none" w:sz="0" w:space="0" w:color="auto"/>
      </w:divBdr>
      <w:divsChild>
        <w:div w:id="1116867368">
          <w:marLeft w:val="0"/>
          <w:marRight w:val="0"/>
          <w:marTop w:val="0"/>
          <w:marBottom w:val="0"/>
          <w:divBdr>
            <w:top w:val="none" w:sz="0" w:space="0" w:color="auto"/>
            <w:left w:val="none" w:sz="0" w:space="0" w:color="auto"/>
            <w:bottom w:val="none" w:sz="0" w:space="0" w:color="auto"/>
            <w:right w:val="none" w:sz="0" w:space="0" w:color="auto"/>
          </w:divBdr>
          <w:divsChild>
            <w:div w:id="1572157012">
              <w:marLeft w:val="0"/>
              <w:marRight w:val="0"/>
              <w:marTop w:val="0"/>
              <w:marBottom w:val="0"/>
              <w:divBdr>
                <w:top w:val="none" w:sz="0" w:space="0" w:color="auto"/>
                <w:left w:val="none" w:sz="0" w:space="0" w:color="auto"/>
                <w:bottom w:val="none" w:sz="0" w:space="0" w:color="auto"/>
                <w:right w:val="none" w:sz="0" w:space="0" w:color="auto"/>
              </w:divBdr>
              <w:divsChild>
                <w:div w:id="3390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4919">
      <w:bodyDiv w:val="1"/>
      <w:marLeft w:val="0"/>
      <w:marRight w:val="0"/>
      <w:marTop w:val="0"/>
      <w:marBottom w:val="0"/>
      <w:divBdr>
        <w:top w:val="none" w:sz="0" w:space="0" w:color="auto"/>
        <w:left w:val="none" w:sz="0" w:space="0" w:color="auto"/>
        <w:bottom w:val="none" w:sz="0" w:space="0" w:color="auto"/>
        <w:right w:val="none" w:sz="0" w:space="0" w:color="auto"/>
      </w:divBdr>
      <w:divsChild>
        <w:div w:id="1992169661">
          <w:marLeft w:val="0"/>
          <w:marRight w:val="0"/>
          <w:marTop w:val="0"/>
          <w:marBottom w:val="0"/>
          <w:divBdr>
            <w:top w:val="none" w:sz="0" w:space="0" w:color="auto"/>
            <w:left w:val="none" w:sz="0" w:space="0" w:color="auto"/>
            <w:bottom w:val="none" w:sz="0" w:space="0" w:color="auto"/>
            <w:right w:val="none" w:sz="0" w:space="0" w:color="auto"/>
          </w:divBdr>
          <w:divsChild>
            <w:div w:id="1230119668">
              <w:marLeft w:val="0"/>
              <w:marRight w:val="0"/>
              <w:marTop w:val="0"/>
              <w:marBottom w:val="0"/>
              <w:divBdr>
                <w:top w:val="none" w:sz="0" w:space="0" w:color="auto"/>
                <w:left w:val="none" w:sz="0" w:space="0" w:color="auto"/>
                <w:bottom w:val="none" w:sz="0" w:space="0" w:color="auto"/>
                <w:right w:val="none" w:sz="0" w:space="0" w:color="auto"/>
              </w:divBdr>
              <w:divsChild>
                <w:div w:id="14529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0137">
      <w:bodyDiv w:val="1"/>
      <w:marLeft w:val="0"/>
      <w:marRight w:val="0"/>
      <w:marTop w:val="0"/>
      <w:marBottom w:val="0"/>
      <w:divBdr>
        <w:top w:val="none" w:sz="0" w:space="0" w:color="auto"/>
        <w:left w:val="none" w:sz="0" w:space="0" w:color="auto"/>
        <w:bottom w:val="none" w:sz="0" w:space="0" w:color="auto"/>
        <w:right w:val="none" w:sz="0" w:space="0" w:color="auto"/>
      </w:divBdr>
      <w:divsChild>
        <w:div w:id="1033387336">
          <w:marLeft w:val="0"/>
          <w:marRight w:val="0"/>
          <w:marTop w:val="0"/>
          <w:marBottom w:val="0"/>
          <w:divBdr>
            <w:top w:val="none" w:sz="0" w:space="0" w:color="auto"/>
            <w:left w:val="none" w:sz="0" w:space="0" w:color="auto"/>
            <w:bottom w:val="none" w:sz="0" w:space="0" w:color="auto"/>
            <w:right w:val="none" w:sz="0" w:space="0" w:color="auto"/>
          </w:divBdr>
          <w:divsChild>
            <w:div w:id="57171339">
              <w:marLeft w:val="0"/>
              <w:marRight w:val="0"/>
              <w:marTop w:val="0"/>
              <w:marBottom w:val="0"/>
              <w:divBdr>
                <w:top w:val="none" w:sz="0" w:space="0" w:color="auto"/>
                <w:left w:val="none" w:sz="0" w:space="0" w:color="auto"/>
                <w:bottom w:val="none" w:sz="0" w:space="0" w:color="auto"/>
                <w:right w:val="none" w:sz="0" w:space="0" w:color="auto"/>
              </w:divBdr>
              <w:divsChild>
                <w:div w:id="10157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5886">
      <w:bodyDiv w:val="1"/>
      <w:marLeft w:val="0"/>
      <w:marRight w:val="0"/>
      <w:marTop w:val="0"/>
      <w:marBottom w:val="0"/>
      <w:divBdr>
        <w:top w:val="none" w:sz="0" w:space="0" w:color="auto"/>
        <w:left w:val="none" w:sz="0" w:space="0" w:color="auto"/>
        <w:bottom w:val="none" w:sz="0" w:space="0" w:color="auto"/>
        <w:right w:val="none" w:sz="0" w:space="0" w:color="auto"/>
      </w:divBdr>
      <w:divsChild>
        <w:div w:id="927422440">
          <w:marLeft w:val="0"/>
          <w:marRight w:val="0"/>
          <w:marTop w:val="0"/>
          <w:marBottom w:val="0"/>
          <w:divBdr>
            <w:top w:val="none" w:sz="0" w:space="0" w:color="auto"/>
            <w:left w:val="none" w:sz="0" w:space="0" w:color="auto"/>
            <w:bottom w:val="none" w:sz="0" w:space="0" w:color="auto"/>
            <w:right w:val="none" w:sz="0" w:space="0" w:color="auto"/>
          </w:divBdr>
          <w:divsChild>
            <w:div w:id="1443496331">
              <w:marLeft w:val="0"/>
              <w:marRight w:val="0"/>
              <w:marTop w:val="0"/>
              <w:marBottom w:val="0"/>
              <w:divBdr>
                <w:top w:val="none" w:sz="0" w:space="0" w:color="auto"/>
                <w:left w:val="none" w:sz="0" w:space="0" w:color="auto"/>
                <w:bottom w:val="none" w:sz="0" w:space="0" w:color="auto"/>
                <w:right w:val="none" w:sz="0" w:space="0" w:color="auto"/>
              </w:divBdr>
              <w:divsChild>
                <w:div w:id="1456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7191">
      <w:bodyDiv w:val="1"/>
      <w:marLeft w:val="0"/>
      <w:marRight w:val="0"/>
      <w:marTop w:val="0"/>
      <w:marBottom w:val="0"/>
      <w:divBdr>
        <w:top w:val="none" w:sz="0" w:space="0" w:color="auto"/>
        <w:left w:val="none" w:sz="0" w:space="0" w:color="auto"/>
        <w:bottom w:val="none" w:sz="0" w:space="0" w:color="auto"/>
        <w:right w:val="none" w:sz="0" w:space="0" w:color="auto"/>
      </w:divBdr>
      <w:divsChild>
        <w:div w:id="1416785544">
          <w:marLeft w:val="0"/>
          <w:marRight w:val="0"/>
          <w:marTop w:val="0"/>
          <w:marBottom w:val="0"/>
          <w:divBdr>
            <w:top w:val="none" w:sz="0" w:space="0" w:color="auto"/>
            <w:left w:val="none" w:sz="0" w:space="0" w:color="auto"/>
            <w:bottom w:val="none" w:sz="0" w:space="0" w:color="auto"/>
            <w:right w:val="none" w:sz="0" w:space="0" w:color="auto"/>
          </w:divBdr>
          <w:divsChild>
            <w:div w:id="453134583">
              <w:marLeft w:val="0"/>
              <w:marRight w:val="0"/>
              <w:marTop w:val="0"/>
              <w:marBottom w:val="0"/>
              <w:divBdr>
                <w:top w:val="none" w:sz="0" w:space="0" w:color="auto"/>
                <w:left w:val="none" w:sz="0" w:space="0" w:color="auto"/>
                <w:bottom w:val="none" w:sz="0" w:space="0" w:color="auto"/>
                <w:right w:val="none" w:sz="0" w:space="0" w:color="auto"/>
              </w:divBdr>
              <w:divsChild>
                <w:div w:id="42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5617491">
      <w:bodyDiv w:val="1"/>
      <w:marLeft w:val="0"/>
      <w:marRight w:val="0"/>
      <w:marTop w:val="0"/>
      <w:marBottom w:val="0"/>
      <w:divBdr>
        <w:top w:val="none" w:sz="0" w:space="0" w:color="auto"/>
        <w:left w:val="none" w:sz="0" w:space="0" w:color="auto"/>
        <w:bottom w:val="none" w:sz="0" w:space="0" w:color="auto"/>
        <w:right w:val="none" w:sz="0" w:space="0" w:color="auto"/>
      </w:divBdr>
    </w:div>
    <w:div w:id="463277446">
      <w:bodyDiv w:val="1"/>
      <w:marLeft w:val="0"/>
      <w:marRight w:val="0"/>
      <w:marTop w:val="0"/>
      <w:marBottom w:val="0"/>
      <w:divBdr>
        <w:top w:val="none" w:sz="0" w:space="0" w:color="auto"/>
        <w:left w:val="none" w:sz="0" w:space="0" w:color="auto"/>
        <w:bottom w:val="none" w:sz="0" w:space="0" w:color="auto"/>
        <w:right w:val="none" w:sz="0" w:space="0" w:color="auto"/>
      </w:divBdr>
      <w:divsChild>
        <w:div w:id="1234662662">
          <w:marLeft w:val="0"/>
          <w:marRight w:val="0"/>
          <w:marTop w:val="0"/>
          <w:marBottom w:val="0"/>
          <w:divBdr>
            <w:top w:val="none" w:sz="0" w:space="0" w:color="auto"/>
            <w:left w:val="none" w:sz="0" w:space="0" w:color="auto"/>
            <w:bottom w:val="none" w:sz="0" w:space="0" w:color="auto"/>
            <w:right w:val="none" w:sz="0" w:space="0" w:color="auto"/>
          </w:divBdr>
          <w:divsChild>
            <w:div w:id="128402552">
              <w:marLeft w:val="0"/>
              <w:marRight w:val="0"/>
              <w:marTop w:val="0"/>
              <w:marBottom w:val="0"/>
              <w:divBdr>
                <w:top w:val="none" w:sz="0" w:space="0" w:color="auto"/>
                <w:left w:val="none" w:sz="0" w:space="0" w:color="auto"/>
                <w:bottom w:val="none" w:sz="0" w:space="0" w:color="auto"/>
                <w:right w:val="none" w:sz="0" w:space="0" w:color="auto"/>
              </w:divBdr>
              <w:divsChild>
                <w:div w:id="15863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3771">
      <w:bodyDiv w:val="1"/>
      <w:marLeft w:val="0"/>
      <w:marRight w:val="0"/>
      <w:marTop w:val="0"/>
      <w:marBottom w:val="0"/>
      <w:divBdr>
        <w:top w:val="none" w:sz="0" w:space="0" w:color="auto"/>
        <w:left w:val="none" w:sz="0" w:space="0" w:color="auto"/>
        <w:bottom w:val="none" w:sz="0" w:space="0" w:color="auto"/>
        <w:right w:val="none" w:sz="0" w:space="0" w:color="auto"/>
      </w:divBdr>
      <w:divsChild>
        <w:div w:id="1958104544">
          <w:marLeft w:val="0"/>
          <w:marRight w:val="0"/>
          <w:marTop w:val="0"/>
          <w:marBottom w:val="0"/>
          <w:divBdr>
            <w:top w:val="none" w:sz="0" w:space="0" w:color="auto"/>
            <w:left w:val="none" w:sz="0" w:space="0" w:color="auto"/>
            <w:bottom w:val="none" w:sz="0" w:space="0" w:color="auto"/>
            <w:right w:val="none" w:sz="0" w:space="0" w:color="auto"/>
          </w:divBdr>
          <w:divsChild>
            <w:div w:id="349650871">
              <w:marLeft w:val="0"/>
              <w:marRight w:val="0"/>
              <w:marTop w:val="0"/>
              <w:marBottom w:val="0"/>
              <w:divBdr>
                <w:top w:val="none" w:sz="0" w:space="0" w:color="auto"/>
                <w:left w:val="none" w:sz="0" w:space="0" w:color="auto"/>
                <w:bottom w:val="none" w:sz="0" w:space="0" w:color="auto"/>
                <w:right w:val="none" w:sz="0" w:space="0" w:color="auto"/>
              </w:divBdr>
              <w:divsChild>
                <w:div w:id="7026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297">
      <w:bodyDiv w:val="1"/>
      <w:marLeft w:val="0"/>
      <w:marRight w:val="0"/>
      <w:marTop w:val="0"/>
      <w:marBottom w:val="0"/>
      <w:divBdr>
        <w:top w:val="none" w:sz="0" w:space="0" w:color="auto"/>
        <w:left w:val="none" w:sz="0" w:space="0" w:color="auto"/>
        <w:bottom w:val="none" w:sz="0" w:space="0" w:color="auto"/>
        <w:right w:val="none" w:sz="0" w:space="0" w:color="auto"/>
      </w:divBdr>
      <w:divsChild>
        <w:div w:id="1312905990">
          <w:marLeft w:val="0"/>
          <w:marRight w:val="0"/>
          <w:marTop w:val="0"/>
          <w:marBottom w:val="0"/>
          <w:divBdr>
            <w:top w:val="none" w:sz="0" w:space="0" w:color="auto"/>
            <w:left w:val="none" w:sz="0" w:space="0" w:color="auto"/>
            <w:bottom w:val="none" w:sz="0" w:space="0" w:color="auto"/>
            <w:right w:val="none" w:sz="0" w:space="0" w:color="auto"/>
          </w:divBdr>
          <w:divsChild>
            <w:div w:id="389886221">
              <w:marLeft w:val="0"/>
              <w:marRight w:val="0"/>
              <w:marTop w:val="0"/>
              <w:marBottom w:val="0"/>
              <w:divBdr>
                <w:top w:val="none" w:sz="0" w:space="0" w:color="auto"/>
                <w:left w:val="none" w:sz="0" w:space="0" w:color="auto"/>
                <w:bottom w:val="none" w:sz="0" w:space="0" w:color="auto"/>
                <w:right w:val="none" w:sz="0" w:space="0" w:color="auto"/>
              </w:divBdr>
              <w:divsChild>
                <w:div w:id="20045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8214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82470231">
      <w:bodyDiv w:val="1"/>
      <w:marLeft w:val="0"/>
      <w:marRight w:val="0"/>
      <w:marTop w:val="0"/>
      <w:marBottom w:val="0"/>
      <w:divBdr>
        <w:top w:val="none" w:sz="0" w:space="0" w:color="auto"/>
        <w:left w:val="none" w:sz="0" w:space="0" w:color="auto"/>
        <w:bottom w:val="none" w:sz="0" w:space="0" w:color="auto"/>
        <w:right w:val="none" w:sz="0" w:space="0" w:color="auto"/>
      </w:divBdr>
      <w:divsChild>
        <w:div w:id="1845823804">
          <w:marLeft w:val="0"/>
          <w:marRight w:val="0"/>
          <w:marTop w:val="0"/>
          <w:marBottom w:val="0"/>
          <w:divBdr>
            <w:top w:val="none" w:sz="0" w:space="0" w:color="auto"/>
            <w:left w:val="none" w:sz="0" w:space="0" w:color="auto"/>
            <w:bottom w:val="none" w:sz="0" w:space="0" w:color="auto"/>
            <w:right w:val="none" w:sz="0" w:space="0" w:color="auto"/>
          </w:divBdr>
          <w:divsChild>
            <w:div w:id="1491675418">
              <w:marLeft w:val="0"/>
              <w:marRight w:val="0"/>
              <w:marTop w:val="0"/>
              <w:marBottom w:val="0"/>
              <w:divBdr>
                <w:top w:val="none" w:sz="0" w:space="0" w:color="auto"/>
                <w:left w:val="none" w:sz="0" w:space="0" w:color="auto"/>
                <w:bottom w:val="none" w:sz="0" w:space="0" w:color="auto"/>
                <w:right w:val="none" w:sz="0" w:space="0" w:color="auto"/>
              </w:divBdr>
              <w:divsChild>
                <w:div w:id="6420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45708">
      <w:bodyDiv w:val="1"/>
      <w:marLeft w:val="0"/>
      <w:marRight w:val="0"/>
      <w:marTop w:val="0"/>
      <w:marBottom w:val="0"/>
      <w:divBdr>
        <w:top w:val="none" w:sz="0" w:space="0" w:color="auto"/>
        <w:left w:val="none" w:sz="0" w:space="0" w:color="auto"/>
        <w:bottom w:val="none" w:sz="0" w:space="0" w:color="auto"/>
        <w:right w:val="none" w:sz="0" w:space="0" w:color="auto"/>
      </w:divBdr>
      <w:divsChild>
        <w:div w:id="1646395777">
          <w:marLeft w:val="0"/>
          <w:marRight w:val="0"/>
          <w:marTop w:val="0"/>
          <w:marBottom w:val="0"/>
          <w:divBdr>
            <w:top w:val="none" w:sz="0" w:space="0" w:color="auto"/>
            <w:left w:val="none" w:sz="0" w:space="0" w:color="auto"/>
            <w:bottom w:val="none" w:sz="0" w:space="0" w:color="auto"/>
            <w:right w:val="none" w:sz="0" w:space="0" w:color="auto"/>
          </w:divBdr>
          <w:divsChild>
            <w:div w:id="1288857546">
              <w:marLeft w:val="0"/>
              <w:marRight w:val="0"/>
              <w:marTop w:val="0"/>
              <w:marBottom w:val="0"/>
              <w:divBdr>
                <w:top w:val="none" w:sz="0" w:space="0" w:color="auto"/>
                <w:left w:val="none" w:sz="0" w:space="0" w:color="auto"/>
                <w:bottom w:val="none" w:sz="0" w:space="0" w:color="auto"/>
                <w:right w:val="none" w:sz="0" w:space="0" w:color="auto"/>
              </w:divBdr>
              <w:divsChild>
                <w:div w:id="18515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9290098">
      <w:bodyDiv w:val="1"/>
      <w:marLeft w:val="0"/>
      <w:marRight w:val="0"/>
      <w:marTop w:val="0"/>
      <w:marBottom w:val="0"/>
      <w:divBdr>
        <w:top w:val="none" w:sz="0" w:space="0" w:color="auto"/>
        <w:left w:val="none" w:sz="0" w:space="0" w:color="auto"/>
        <w:bottom w:val="none" w:sz="0" w:space="0" w:color="auto"/>
        <w:right w:val="none" w:sz="0" w:space="0" w:color="auto"/>
      </w:divBdr>
      <w:divsChild>
        <w:div w:id="1788045351">
          <w:marLeft w:val="0"/>
          <w:marRight w:val="0"/>
          <w:marTop w:val="0"/>
          <w:marBottom w:val="0"/>
          <w:divBdr>
            <w:top w:val="none" w:sz="0" w:space="0" w:color="auto"/>
            <w:left w:val="none" w:sz="0" w:space="0" w:color="auto"/>
            <w:bottom w:val="none" w:sz="0" w:space="0" w:color="auto"/>
            <w:right w:val="none" w:sz="0" w:space="0" w:color="auto"/>
          </w:divBdr>
          <w:divsChild>
            <w:div w:id="1900238246">
              <w:marLeft w:val="0"/>
              <w:marRight w:val="0"/>
              <w:marTop w:val="0"/>
              <w:marBottom w:val="0"/>
              <w:divBdr>
                <w:top w:val="none" w:sz="0" w:space="0" w:color="auto"/>
                <w:left w:val="none" w:sz="0" w:space="0" w:color="auto"/>
                <w:bottom w:val="none" w:sz="0" w:space="0" w:color="auto"/>
                <w:right w:val="none" w:sz="0" w:space="0" w:color="auto"/>
              </w:divBdr>
              <w:divsChild>
                <w:div w:id="9840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4687">
      <w:bodyDiv w:val="1"/>
      <w:marLeft w:val="0"/>
      <w:marRight w:val="0"/>
      <w:marTop w:val="0"/>
      <w:marBottom w:val="0"/>
      <w:divBdr>
        <w:top w:val="none" w:sz="0" w:space="0" w:color="auto"/>
        <w:left w:val="none" w:sz="0" w:space="0" w:color="auto"/>
        <w:bottom w:val="none" w:sz="0" w:space="0" w:color="auto"/>
        <w:right w:val="none" w:sz="0" w:space="0" w:color="auto"/>
      </w:divBdr>
      <w:divsChild>
        <w:div w:id="390889446">
          <w:marLeft w:val="0"/>
          <w:marRight w:val="0"/>
          <w:marTop w:val="0"/>
          <w:marBottom w:val="0"/>
          <w:divBdr>
            <w:top w:val="none" w:sz="0" w:space="0" w:color="auto"/>
            <w:left w:val="none" w:sz="0" w:space="0" w:color="auto"/>
            <w:bottom w:val="none" w:sz="0" w:space="0" w:color="auto"/>
            <w:right w:val="none" w:sz="0" w:space="0" w:color="auto"/>
          </w:divBdr>
          <w:divsChild>
            <w:div w:id="583270490">
              <w:marLeft w:val="0"/>
              <w:marRight w:val="0"/>
              <w:marTop w:val="0"/>
              <w:marBottom w:val="0"/>
              <w:divBdr>
                <w:top w:val="none" w:sz="0" w:space="0" w:color="auto"/>
                <w:left w:val="none" w:sz="0" w:space="0" w:color="auto"/>
                <w:bottom w:val="none" w:sz="0" w:space="0" w:color="auto"/>
                <w:right w:val="none" w:sz="0" w:space="0" w:color="auto"/>
              </w:divBdr>
              <w:divsChild>
                <w:div w:id="619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80484">
      <w:bodyDiv w:val="1"/>
      <w:marLeft w:val="0"/>
      <w:marRight w:val="0"/>
      <w:marTop w:val="0"/>
      <w:marBottom w:val="0"/>
      <w:divBdr>
        <w:top w:val="none" w:sz="0" w:space="0" w:color="auto"/>
        <w:left w:val="none" w:sz="0" w:space="0" w:color="auto"/>
        <w:bottom w:val="none" w:sz="0" w:space="0" w:color="auto"/>
        <w:right w:val="none" w:sz="0" w:space="0" w:color="auto"/>
      </w:divBdr>
    </w:div>
    <w:div w:id="1404448571">
      <w:bodyDiv w:val="1"/>
      <w:marLeft w:val="0"/>
      <w:marRight w:val="0"/>
      <w:marTop w:val="0"/>
      <w:marBottom w:val="0"/>
      <w:divBdr>
        <w:top w:val="none" w:sz="0" w:space="0" w:color="auto"/>
        <w:left w:val="none" w:sz="0" w:space="0" w:color="auto"/>
        <w:bottom w:val="none" w:sz="0" w:space="0" w:color="auto"/>
        <w:right w:val="none" w:sz="0" w:space="0" w:color="auto"/>
      </w:divBdr>
      <w:divsChild>
        <w:div w:id="1764646257">
          <w:marLeft w:val="0"/>
          <w:marRight w:val="0"/>
          <w:marTop w:val="0"/>
          <w:marBottom w:val="0"/>
          <w:divBdr>
            <w:top w:val="none" w:sz="0" w:space="0" w:color="auto"/>
            <w:left w:val="none" w:sz="0" w:space="0" w:color="auto"/>
            <w:bottom w:val="none" w:sz="0" w:space="0" w:color="auto"/>
            <w:right w:val="none" w:sz="0" w:space="0" w:color="auto"/>
          </w:divBdr>
          <w:divsChild>
            <w:div w:id="563415847">
              <w:marLeft w:val="0"/>
              <w:marRight w:val="0"/>
              <w:marTop w:val="0"/>
              <w:marBottom w:val="0"/>
              <w:divBdr>
                <w:top w:val="none" w:sz="0" w:space="0" w:color="auto"/>
                <w:left w:val="none" w:sz="0" w:space="0" w:color="auto"/>
                <w:bottom w:val="none" w:sz="0" w:space="0" w:color="auto"/>
                <w:right w:val="none" w:sz="0" w:space="0" w:color="auto"/>
              </w:divBdr>
              <w:divsChild>
                <w:div w:id="1739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2803590">
      <w:bodyDiv w:val="1"/>
      <w:marLeft w:val="0"/>
      <w:marRight w:val="0"/>
      <w:marTop w:val="0"/>
      <w:marBottom w:val="0"/>
      <w:divBdr>
        <w:top w:val="none" w:sz="0" w:space="0" w:color="auto"/>
        <w:left w:val="none" w:sz="0" w:space="0" w:color="auto"/>
        <w:bottom w:val="none" w:sz="0" w:space="0" w:color="auto"/>
        <w:right w:val="none" w:sz="0" w:space="0" w:color="auto"/>
      </w:divBdr>
      <w:divsChild>
        <w:div w:id="985888873">
          <w:marLeft w:val="0"/>
          <w:marRight w:val="0"/>
          <w:marTop w:val="0"/>
          <w:marBottom w:val="0"/>
          <w:divBdr>
            <w:top w:val="none" w:sz="0" w:space="0" w:color="auto"/>
            <w:left w:val="none" w:sz="0" w:space="0" w:color="auto"/>
            <w:bottom w:val="none" w:sz="0" w:space="0" w:color="auto"/>
            <w:right w:val="none" w:sz="0" w:space="0" w:color="auto"/>
          </w:divBdr>
          <w:divsChild>
            <w:div w:id="1576403052">
              <w:marLeft w:val="0"/>
              <w:marRight w:val="0"/>
              <w:marTop w:val="0"/>
              <w:marBottom w:val="0"/>
              <w:divBdr>
                <w:top w:val="none" w:sz="0" w:space="0" w:color="auto"/>
                <w:left w:val="none" w:sz="0" w:space="0" w:color="auto"/>
                <w:bottom w:val="none" w:sz="0" w:space="0" w:color="auto"/>
                <w:right w:val="none" w:sz="0" w:space="0" w:color="auto"/>
              </w:divBdr>
              <w:divsChild>
                <w:div w:id="11857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hyperlink" Target="http://www.servicesaustralia.gov.au/hpos" TargetMode="External"/><Relationship Id="rId10" Type="http://schemas.openxmlformats.org/officeDocument/2006/relationships/hyperlink" Target="http://www.servicesaustrali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vicesaustralia.gov.au/h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922D-95D5-4489-B2F8-2DD3CAB3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12363</Words>
  <Characters>70473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2024-07-04T08:09:00Z</dcterms:created>
  <dcterms:modified xsi:type="dcterms:W3CDTF">2024-08-22T03:28:00Z</dcterms:modified>
</cp:coreProperties>
</file>