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9F16" w14:textId="77777777" w:rsidR="00906BF9" w:rsidRPr="00F03F4C" w:rsidRDefault="00906BF9" w:rsidP="00F03F4C">
      <w:pPr>
        <w:pStyle w:val="1-MainHeading"/>
      </w:pPr>
      <w:bookmarkStart w:id="0" w:name="_Toc167199640"/>
      <w:r w:rsidRPr="00F03F4C">
        <w:t>5.14</w:t>
      </w:r>
      <w:r w:rsidRPr="00F03F4C">
        <w:tab/>
      </w:r>
      <w:r w:rsidRPr="00F03F4C">
        <w:rPr>
          <w:rStyle w:val="1-MainHeadingChar"/>
          <w:b/>
        </w:rPr>
        <w:t>ZILUCOPLAN,</w:t>
      </w:r>
      <w:r w:rsidRPr="00F03F4C">
        <w:rPr>
          <w:rStyle w:val="1-MainHeadingChar"/>
          <w:b/>
        </w:rPr>
        <w:br/>
        <w:t xml:space="preserve">Solution for injection 16.6 mg in 0.416 mL (as tetrasodium) pre-filled syringe, </w:t>
      </w:r>
      <w:r w:rsidRPr="00F03F4C">
        <w:rPr>
          <w:rStyle w:val="1-MainHeadingChar"/>
          <w:b/>
        </w:rPr>
        <w:br/>
        <w:t xml:space="preserve">Solution for injection 23 mg in 0.574 mL (as tetrasodium) pre-filled syringe, </w:t>
      </w:r>
      <w:r w:rsidRPr="00F03F4C">
        <w:rPr>
          <w:rStyle w:val="1-MainHeadingChar"/>
          <w:b/>
        </w:rPr>
        <w:br/>
        <w:t>Solution for injection 32.4 mg in 0.810 mL (as tetrasodium) pre-filled syringe,</w:t>
      </w:r>
      <w:r w:rsidRPr="00F03F4C">
        <w:rPr>
          <w:rStyle w:val="1-MainHeadingChar"/>
          <w:b/>
        </w:rPr>
        <w:br/>
        <w:t>Zilbrysq®,</w:t>
      </w:r>
      <w:r w:rsidRPr="00F03F4C">
        <w:rPr>
          <w:rStyle w:val="1-MainHeadingChar"/>
          <w:b/>
        </w:rPr>
        <w:br/>
        <w:t>UCB AUSTRALIA PROPRIETARY LIMITED</w:t>
      </w:r>
      <w:r w:rsidRPr="00F03F4C">
        <w:t xml:space="preserve"> </w:t>
      </w:r>
    </w:p>
    <w:p w14:paraId="48776DB9" w14:textId="6F684B2A" w:rsidR="00E3369E" w:rsidRPr="00B162C2" w:rsidRDefault="00B50DB8" w:rsidP="00F03F4C">
      <w:pPr>
        <w:pStyle w:val="2-SectionHeading"/>
      </w:pPr>
      <w:r w:rsidRPr="00B162C2">
        <w:t xml:space="preserve">Purpose of </w:t>
      </w:r>
      <w:r w:rsidR="00CD7193" w:rsidRPr="00B162C2">
        <w:t>s</w:t>
      </w:r>
      <w:r w:rsidR="00BB3A45" w:rsidRPr="00B162C2">
        <w:t>ubmission</w:t>
      </w:r>
      <w:bookmarkEnd w:id="0"/>
    </w:p>
    <w:p w14:paraId="24707B0C" w14:textId="34A4710F" w:rsidR="00E3369E" w:rsidRPr="00B162C2" w:rsidRDefault="00E3369E" w:rsidP="00F03F4C">
      <w:pPr>
        <w:pStyle w:val="3-BodyText"/>
      </w:pPr>
      <w:r w:rsidRPr="00B162C2">
        <w:t>The Category 1 submission requested a Section 100 (Highly Specialised Drugs Program) Authority Required (Written) listing for treatment initiation and a Section 85 Authority Required (Written) listing for treatment continuation with zilucoplan in adult patients with generalised myasthenia gravis who are anti-acetylcholine receptor (AChR) antibody positive.</w:t>
      </w:r>
    </w:p>
    <w:p w14:paraId="5925055C" w14:textId="3C214F2D" w:rsidR="00BB17E0" w:rsidRDefault="00E3369E" w:rsidP="00F03F4C">
      <w:pPr>
        <w:pStyle w:val="3-BodyText"/>
      </w:pPr>
      <w:r w:rsidRPr="00B162C2">
        <w:t>The submission claimed that there is an unmet clinical need for additional treatment options for the management of myasthenia gravis, given the limitations of current treatments, including inadequate symptom control, slow onset of action, high treatment burden as well as significant side effects and risk of developing comorbidities.</w:t>
      </w:r>
    </w:p>
    <w:p w14:paraId="64E7421E" w14:textId="134400D2" w:rsidR="00BB17E0" w:rsidRPr="00B162C2" w:rsidRDefault="00BB17E0" w:rsidP="00F03F4C">
      <w:pPr>
        <w:pStyle w:val="3-BodyText"/>
      </w:pPr>
      <w:r>
        <w:t>The submission proposed a broad PBS listing for zilucoplan to allow it to be used as a second-line therapy and as an option for treatment-refractory disease.</w:t>
      </w:r>
    </w:p>
    <w:p w14:paraId="181041F8" w14:textId="010CBD28" w:rsidR="00072F1F" w:rsidRPr="00B162C2" w:rsidRDefault="00E3369E" w:rsidP="00F03F4C">
      <w:pPr>
        <w:pStyle w:val="3-BodyText"/>
      </w:pPr>
      <w:r w:rsidRPr="00B162C2">
        <w:t xml:space="preserve">Listing was requested </w:t>
      </w:r>
      <w:proofErr w:type="gramStart"/>
      <w:r w:rsidRPr="00B162C2">
        <w:t>on the basis of</w:t>
      </w:r>
      <w:proofErr w:type="gramEnd"/>
      <w:r w:rsidRPr="00B162C2">
        <w:t xml:space="preserve"> a cost-effectiveness analysis versus placebo</w:t>
      </w:r>
      <w:r w:rsidR="00874261">
        <w:t xml:space="preserve"> (</w:t>
      </w:r>
      <w:r w:rsidR="00874261">
        <w:fldChar w:fldCharType="begin" w:fldLock="1"/>
      </w:r>
      <w:r w:rsidR="00874261">
        <w:instrText xml:space="preserve"> REF _Ref170135704 \h </w:instrText>
      </w:r>
      <w:r w:rsidR="00F03F4C">
        <w:instrText xml:space="preserve"> \* MERGEFORMAT </w:instrText>
      </w:r>
      <w:r w:rsidR="00874261">
        <w:fldChar w:fldCharType="separate"/>
      </w:r>
      <w:r w:rsidR="00FC355E" w:rsidRPr="00B162C2">
        <w:t xml:space="preserve">Table </w:t>
      </w:r>
      <w:r w:rsidR="00FC355E">
        <w:rPr>
          <w:noProof/>
        </w:rPr>
        <w:t>1</w:t>
      </w:r>
      <w:r w:rsidR="00874261">
        <w:fldChar w:fldCharType="end"/>
      </w:r>
      <w:r w:rsidR="00874261">
        <w:t>)</w:t>
      </w:r>
      <w:r w:rsidRPr="00B162C2">
        <w:t xml:space="preserve">. </w:t>
      </w:r>
    </w:p>
    <w:p w14:paraId="05777B41" w14:textId="3340DA04" w:rsidR="00072F1F" w:rsidRPr="00B162C2" w:rsidRDefault="00072F1F" w:rsidP="00EC0F97">
      <w:pPr>
        <w:pStyle w:val="TableFigureHeading"/>
      </w:pPr>
      <w:bookmarkStart w:id="1" w:name="_Ref170135704"/>
      <w:r w:rsidRPr="00B162C2">
        <w:lastRenderedPageBreak/>
        <w:t>Tab</w:t>
      </w:r>
      <w:bookmarkStart w:id="2" w:name="_Hlk173398006"/>
      <w:r w:rsidRPr="00B162C2">
        <w:t xml:space="preserve">le </w:t>
      </w:r>
      <w:r w:rsidR="002F23E8">
        <w:fldChar w:fldCharType="begin" w:fldLock="1"/>
      </w:r>
      <w:r w:rsidR="002F23E8">
        <w:instrText xml:space="preserve"> SEQ Table \* ARABIC </w:instrText>
      </w:r>
      <w:r w:rsidR="002F23E8">
        <w:fldChar w:fldCharType="separate"/>
      </w:r>
      <w:r w:rsidR="00FC355E">
        <w:rPr>
          <w:noProof/>
        </w:rPr>
        <w:t>1</w:t>
      </w:r>
      <w:r w:rsidR="002F23E8">
        <w:rPr>
          <w:noProof/>
        </w:rPr>
        <w:fldChar w:fldCharType="end"/>
      </w:r>
      <w:bookmarkEnd w:id="1"/>
      <w:r w:rsidRPr="00B162C2">
        <w:t>: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315"/>
        <w:gridCol w:w="7841"/>
      </w:tblGrid>
      <w:tr w:rsidR="00072F1F" w:rsidRPr="00B162C2" w14:paraId="51FE2D30" w14:textId="77777777" w:rsidTr="00BB17E0">
        <w:tc>
          <w:tcPr>
            <w:tcW w:w="1315" w:type="dxa"/>
            <w:vAlign w:val="center"/>
          </w:tcPr>
          <w:p w14:paraId="53C00EC8" w14:textId="77777777" w:rsidR="00072F1F" w:rsidRPr="00B162C2" w:rsidRDefault="00072F1F" w:rsidP="00EC0F97">
            <w:pPr>
              <w:pStyle w:val="In-tableHeading"/>
            </w:pPr>
            <w:r w:rsidRPr="00B162C2">
              <w:t>Component</w:t>
            </w:r>
          </w:p>
        </w:tc>
        <w:tc>
          <w:tcPr>
            <w:tcW w:w="7841" w:type="dxa"/>
            <w:vAlign w:val="center"/>
          </w:tcPr>
          <w:p w14:paraId="0A03E1E8" w14:textId="77777777" w:rsidR="00072F1F" w:rsidRPr="00B162C2" w:rsidRDefault="00072F1F" w:rsidP="00EC0F97">
            <w:pPr>
              <w:pStyle w:val="In-tableHeading"/>
            </w:pPr>
            <w:r w:rsidRPr="00B162C2">
              <w:t>Description</w:t>
            </w:r>
          </w:p>
        </w:tc>
      </w:tr>
      <w:tr w:rsidR="00072F1F" w:rsidRPr="00B162C2" w14:paraId="50262EE9" w14:textId="77777777" w:rsidTr="00BB17E0">
        <w:tc>
          <w:tcPr>
            <w:tcW w:w="1315" w:type="dxa"/>
            <w:vAlign w:val="center"/>
          </w:tcPr>
          <w:p w14:paraId="1F187536" w14:textId="77777777" w:rsidR="00072F1F" w:rsidRPr="00B162C2" w:rsidRDefault="00072F1F" w:rsidP="0017174D">
            <w:pPr>
              <w:pStyle w:val="TableText"/>
            </w:pPr>
            <w:r w:rsidRPr="00B162C2">
              <w:t>Population</w:t>
            </w:r>
          </w:p>
        </w:tc>
        <w:tc>
          <w:tcPr>
            <w:tcW w:w="7841" w:type="dxa"/>
            <w:vAlign w:val="center"/>
          </w:tcPr>
          <w:p w14:paraId="08556C3E" w14:textId="77777777" w:rsidR="00072F1F" w:rsidRPr="00B162C2" w:rsidRDefault="00072F1F" w:rsidP="0017174D">
            <w:pPr>
              <w:pStyle w:val="TableText"/>
            </w:pPr>
            <w:r w:rsidRPr="00B162C2">
              <w:t>Adult patients with generalised myasthenia gravis who are AChR-positive and remain symptomatic despite standard therapy.</w:t>
            </w:r>
          </w:p>
        </w:tc>
      </w:tr>
      <w:tr w:rsidR="00072F1F" w:rsidRPr="00B162C2" w14:paraId="2A1DFF98" w14:textId="77777777" w:rsidTr="00BB17E0">
        <w:tc>
          <w:tcPr>
            <w:tcW w:w="1315" w:type="dxa"/>
            <w:vAlign w:val="center"/>
          </w:tcPr>
          <w:p w14:paraId="63E276CF" w14:textId="77777777" w:rsidR="00072F1F" w:rsidRPr="00B162C2" w:rsidRDefault="00072F1F" w:rsidP="0017174D">
            <w:pPr>
              <w:pStyle w:val="TableText"/>
            </w:pPr>
            <w:r w:rsidRPr="00B162C2">
              <w:t>Intervention</w:t>
            </w:r>
          </w:p>
        </w:tc>
        <w:tc>
          <w:tcPr>
            <w:tcW w:w="7841" w:type="dxa"/>
            <w:vAlign w:val="center"/>
          </w:tcPr>
          <w:p w14:paraId="01F4DF0F" w14:textId="77777777" w:rsidR="00072F1F" w:rsidRPr="00B162C2" w:rsidRDefault="00072F1F" w:rsidP="0017174D">
            <w:pPr>
              <w:pStyle w:val="TableText"/>
            </w:pPr>
            <w:r w:rsidRPr="00B162C2">
              <w:t>Zilucoplan subcutaneous injection daily (weight-based dosing 16.6-32.4 mg); in combination with standard therapy (including anticholinesterases, corticosteroids and other immunosuppressive agents such as mycophenolate mofetil, azathioprine, methotrexate, tacrolimus, ciclosporin).</w:t>
            </w:r>
          </w:p>
        </w:tc>
      </w:tr>
      <w:tr w:rsidR="00072F1F" w:rsidRPr="00B162C2" w14:paraId="1FD49299" w14:textId="77777777" w:rsidTr="00BB17E0">
        <w:tc>
          <w:tcPr>
            <w:tcW w:w="1315" w:type="dxa"/>
            <w:vAlign w:val="center"/>
          </w:tcPr>
          <w:p w14:paraId="5BE32616" w14:textId="77777777" w:rsidR="00072F1F" w:rsidRPr="00B162C2" w:rsidRDefault="00072F1F" w:rsidP="0017174D">
            <w:pPr>
              <w:pStyle w:val="TableText"/>
            </w:pPr>
            <w:r w:rsidRPr="00B162C2">
              <w:t>Comparator</w:t>
            </w:r>
          </w:p>
        </w:tc>
        <w:tc>
          <w:tcPr>
            <w:tcW w:w="7841" w:type="dxa"/>
            <w:vAlign w:val="center"/>
          </w:tcPr>
          <w:p w14:paraId="34390FDB" w14:textId="77777777" w:rsidR="00072F1F" w:rsidRPr="00B162C2" w:rsidRDefault="00072F1F" w:rsidP="006E33F4">
            <w:pPr>
              <w:pStyle w:val="TableText"/>
              <w:spacing w:after="120"/>
            </w:pPr>
            <w:r w:rsidRPr="00B162C2">
              <w:rPr>
                <w:u w:val="single"/>
              </w:rPr>
              <w:t>Primary</w:t>
            </w:r>
            <w:r w:rsidRPr="00B162C2">
              <w:t>: Placebo in combination with standard therapy (including anticholinesterases, corticosteroids and other immunosuppressive agents such as mycophenolate mofetil, azathioprine, methotrexate, tacrolimus, ciclosporin).</w:t>
            </w:r>
          </w:p>
          <w:p w14:paraId="0C2213B0" w14:textId="37207665" w:rsidR="00072F1F" w:rsidRPr="00B162C2" w:rsidRDefault="00072F1F" w:rsidP="006E33F4">
            <w:pPr>
              <w:pStyle w:val="TableText"/>
              <w:spacing w:after="120"/>
            </w:pPr>
            <w:r w:rsidRPr="00B162C2">
              <w:rPr>
                <w:u w:val="single"/>
              </w:rPr>
              <w:t>Secondary</w:t>
            </w:r>
            <w:r w:rsidRPr="00B162C2">
              <w:t>: Chronic intravenous immunoglobulin (IVIg) and chronic plasma exchange (PLEX) in patients with treatment refractory disease.</w:t>
            </w:r>
          </w:p>
          <w:p w14:paraId="1259F339" w14:textId="61EF7331" w:rsidR="00072F1F" w:rsidRPr="00B162C2" w:rsidRDefault="00072F1F" w:rsidP="0017174D">
            <w:pPr>
              <w:pStyle w:val="TableText"/>
            </w:pPr>
            <w:r w:rsidRPr="00B162C2">
              <w:rPr>
                <w:u w:val="single"/>
              </w:rPr>
              <w:t>Near-market</w:t>
            </w:r>
            <w:r w:rsidRPr="00B162C2">
              <w:t xml:space="preserve">: Ravulizumab intravenous infusion on Day 1 (weight-based dosing 2,400-3,000 mg) followed by a second dose on Day 15 and then every 8 weeks (weight-based dosing 3,000-3,600 mg) in patients with </w:t>
            </w:r>
            <w:r w:rsidR="00ED19D0" w:rsidRPr="0069051D">
              <w:t>treatment-</w:t>
            </w:r>
            <w:r w:rsidR="00271620" w:rsidRPr="0069051D">
              <w:t xml:space="preserve">resistance </w:t>
            </w:r>
            <w:r w:rsidR="00ED19D0" w:rsidRPr="0069051D">
              <w:t>disease;</w:t>
            </w:r>
            <w:r w:rsidRPr="00B162C2">
              <w:t xml:space="preserve"> in combination with standard therapy (including anticholinesterases, corticosteroids and other immunosuppressive agents such as mycophenolate mofetil, azathioprine, methotrexate, tacrolimus, ciclosporin).</w:t>
            </w:r>
          </w:p>
        </w:tc>
      </w:tr>
      <w:tr w:rsidR="00072F1F" w:rsidRPr="00B162C2" w14:paraId="4579A1D0" w14:textId="77777777" w:rsidTr="00BB17E0">
        <w:tc>
          <w:tcPr>
            <w:tcW w:w="1315" w:type="dxa"/>
            <w:vAlign w:val="center"/>
          </w:tcPr>
          <w:p w14:paraId="3908B699" w14:textId="77777777" w:rsidR="00072F1F" w:rsidRPr="00B162C2" w:rsidRDefault="00072F1F" w:rsidP="0017174D">
            <w:pPr>
              <w:pStyle w:val="TableText"/>
            </w:pPr>
            <w:r w:rsidRPr="00B162C2">
              <w:t>Outcomes</w:t>
            </w:r>
          </w:p>
        </w:tc>
        <w:tc>
          <w:tcPr>
            <w:tcW w:w="7841" w:type="dxa"/>
            <w:vAlign w:val="center"/>
          </w:tcPr>
          <w:p w14:paraId="1E51DC35" w14:textId="2A9BB577" w:rsidR="00072F1F" w:rsidRPr="00B162C2" w:rsidRDefault="00072F1F" w:rsidP="0017174D">
            <w:pPr>
              <w:pStyle w:val="TableText"/>
            </w:pPr>
            <w:r w:rsidRPr="00B162C2">
              <w:t>Reduction in functional impairments</w:t>
            </w:r>
            <w:r w:rsidR="008823F0">
              <w:t>*</w:t>
            </w:r>
            <w:r w:rsidRPr="00B162C2">
              <w:t xml:space="preserve">, reduction in clinical exacerbations and myasthenic crisis events, improvements in quality of life. </w:t>
            </w:r>
          </w:p>
        </w:tc>
      </w:tr>
      <w:tr w:rsidR="00072F1F" w:rsidRPr="00B162C2" w14:paraId="4A5DDCCB" w14:textId="77777777" w:rsidTr="00BB17E0">
        <w:tc>
          <w:tcPr>
            <w:tcW w:w="1315" w:type="dxa"/>
            <w:vAlign w:val="center"/>
          </w:tcPr>
          <w:p w14:paraId="66418A1E" w14:textId="77777777" w:rsidR="00072F1F" w:rsidRPr="00B162C2" w:rsidRDefault="00072F1F" w:rsidP="0017174D">
            <w:pPr>
              <w:pStyle w:val="TableText"/>
            </w:pPr>
            <w:r w:rsidRPr="00B162C2">
              <w:t>Clinical claim</w:t>
            </w:r>
          </w:p>
        </w:tc>
        <w:tc>
          <w:tcPr>
            <w:tcW w:w="7841" w:type="dxa"/>
            <w:vAlign w:val="center"/>
          </w:tcPr>
          <w:p w14:paraId="7B5C8DC4" w14:textId="77777777" w:rsidR="00072F1F" w:rsidRPr="00B162C2" w:rsidRDefault="00072F1F" w:rsidP="006E33F4">
            <w:pPr>
              <w:pStyle w:val="TableText"/>
              <w:spacing w:after="120"/>
            </w:pPr>
            <w:r w:rsidRPr="00B162C2">
              <w:t>Zilucoplan in combination with standard therapy is superior in terms of efficacy and non-inferior in terms of safety compared to placebo in combination with standard therapy.</w:t>
            </w:r>
          </w:p>
          <w:p w14:paraId="28B7957C" w14:textId="77777777" w:rsidR="00072F1F" w:rsidRPr="00B162C2" w:rsidRDefault="00072F1F" w:rsidP="00852D4D">
            <w:pPr>
              <w:pStyle w:val="TableText"/>
              <w:spacing w:after="120"/>
            </w:pPr>
            <w:r w:rsidRPr="00B162C2">
              <w:t xml:space="preserve">The submission claimed the limited evidence base available for chronic IVIg/PLEX precludes any robust clinical conclusion on the comparative efficacy and safety of treatments. However, the submission </w:t>
            </w:r>
            <w:bookmarkStart w:id="3" w:name="_Hlk171429443"/>
            <w:r w:rsidRPr="00B162C2">
              <w:t>considered that it is likely that zilucoplan is at least non-inferior in terms of efficacy and safety compared to chronic IVIg/PLEX.</w:t>
            </w:r>
            <w:bookmarkEnd w:id="3"/>
          </w:p>
          <w:p w14:paraId="25EE8480" w14:textId="77777777" w:rsidR="00072F1F" w:rsidRPr="00B162C2" w:rsidRDefault="00072F1F" w:rsidP="0017174D">
            <w:pPr>
              <w:pStyle w:val="TableText"/>
            </w:pPr>
            <w:r w:rsidRPr="00B162C2">
              <w:t>Zilucoplan in combination with standard therapy is non-inferior in terms of efficacy and safety compared to ravulizumab in combination with standard therapy.</w:t>
            </w:r>
          </w:p>
        </w:tc>
      </w:tr>
    </w:tbl>
    <w:bookmarkEnd w:id="2"/>
    <w:p w14:paraId="0DEC3DBA" w14:textId="77777777" w:rsidR="00072F1F" w:rsidRPr="00B162C2" w:rsidRDefault="00072F1F" w:rsidP="00852D4D">
      <w:pPr>
        <w:pStyle w:val="TableFigureFooter"/>
        <w:keepNext/>
      </w:pPr>
      <w:r w:rsidRPr="00B162C2">
        <w:t>Source: Table 1.1-1, p7 of the submission</w:t>
      </w:r>
    </w:p>
    <w:p w14:paraId="16625949" w14:textId="77777777" w:rsidR="008823F0" w:rsidRDefault="00072F1F" w:rsidP="00852D4D">
      <w:pPr>
        <w:pStyle w:val="TableFigureFooter"/>
        <w:keepNext/>
      </w:pPr>
      <w:r w:rsidRPr="00B162C2">
        <w:t>Abbreviations: AChR, acetylcholine receptor antibody</w:t>
      </w:r>
      <w:r w:rsidR="008823F0">
        <w:t xml:space="preserve"> </w:t>
      </w:r>
    </w:p>
    <w:p w14:paraId="46D65C6E" w14:textId="0A486B8F" w:rsidR="00072F1F" w:rsidRPr="00B162C2" w:rsidRDefault="008823F0" w:rsidP="00852D4D">
      <w:pPr>
        <w:pStyle w:val="TableFigureFooter"/>
      </w:pPr>
      <w:r w:rsidRPr="008823F0">
        <w:t>*</w:t>
      </w:r>
      <w:r>
        <w:t xml:space="preserve"> Measured as change in</w:t>
      </w:r>
      <w:r w:rsidR="00896F1E">
        <w:t>:</w:t>
      </w:r>
      <w:r>
        <w:t xml:space="preserve"> </w:t>
      </w:r>
      <w:r w:rsidRPr="008823F0">
        <w:t>Myasthenia Gravis Activities of Daily Living (MG-ADL) score</w:t>
      </w:r>
      <w:r>
        <w:t xml:space="preserve">; </w:t>
      </w:r>
      <w:r w:rsidRPr="008823F0">
        <w:t>Quantitative Myasthenia Gravis (QMG) score</w:t>
      </w:r>
      <w:r>
        <w:t xml:space="preserve">; </w:t>
      </w:r>
      <w:r w:rsidRPr="008823F0">
        <w:t>Myasthenia Gravis Composite (MGC) score</w:t>
      </w:r>
    </w:p>
    <w:p w14:paraId="6B4AB6C2" w14:textId="483817F5" w:rsidR="005C25FF" w:rsidRPr="00B162C2" w:rsidRDefault="005C25FF" w:rsidP="00852D4D">
      <w:pPr>
        <w:pStyle w:val="2-SectionHeading"/>
      </w:pPr>
      <w:bookmarkStart w:id="4" w:name="_Toc167199641"/>
      <w:r w:rsidRPr="00B162C2">
        <w:t>Background</w:t>
      </w:r>
      <w:bookmarkEnd w:id="4"/>
    </w:p>
    <w:p w14:paraId="55AF494D" w14:textId="5733C2E1" w:rsidR="00434511" w:rsidRPr="00B162C2" w:rsidRDefault="005C25FF" w:rsidP="00852D4D">
      <w:pPr>
        <w:pStyle w:val="4-SubsectionHeading"/>
      </w:pPr>
      <w:bookmarkStart w:id="5" w:name="_Toc22897638"/>
      <w:bookmarkStart w:id="6" w:name="_Toc167199642"/>
      <w:r w:rsidRPr="00B162C2">
        <w:t>Registration status</w:t>
      </w:r>
      <w:bookmarkEnd w:id="5"/>
      <w:bookmarkEnd w:id="6"/>
    </w:p>
    <w:p w14:paraId="6A3F2EAB" w14:textId="36883FF2" w:rsidR="00434511" w:rsidRPr="00B162C2" w:rsidRDefault="00906ED7" w:rsidP="00A10F29">
      <w:pPr>
        <w:pStyle w:val="3-BodyText"/>
      </w:pPr>
      <w:bookmarkStart w:id="7" w:name="_Hlk169599780"/>
      <w:r w:rsidRPr="427BC440">
        <w:rPr>
          <w:b/>
          <w:bCs/>
        </w:rPr>
        <w:t xml:space="preserve">TGA status at time of </w:t>
      </w:r>
      <w:bookmarkEnd w:id="7"/>
      <w:r w:rsidR="008225BC" w:rsidRPr="427BC440">
        <w:rPr>
          <w:b/>
          <w:bCs/>
        </w:rPr>
        <w:t>PBAC consideration</w:t>
      </w:r>
      <w:r>
        <w:t xml:space="preserve">: </w:t>
      </w:r>
      <w:bookmarkStart w:id="8" w:name="_Hlk169600271"/>
      <w:r w:rsidR="00C2386B">
        <w:t>T</w:t>
      </w:r>
      <w:r w:rsidR="00BC0A02">
        <w:t>he Delegate’s Overview was received on 7 May 2024</w:t>
      </w:r>
      <w:r w:rsidR="008225BC">
        <w:t>. Zilucoplan was discussed at the Advisory Committee on Medicines (ACM) meeting on 5 to 6 June 2024</w:t>
      </w:r>
      <w:r w:rsidR="00BC0A02">
        <w:t xml:space="preserve">, </w:t>
      </w:r>
      <w:r w:rsidR="008225BC">
        <w:t>with</w:t>
      </w:r>
      <w:r w:rsidR="00BC0A02">
        <w:t xml:space="preserve"> the Delegate’s decision expected on 19 July 2024.</w:t>
      </w:r>
      <w:r w:rsidR="00BC0A02" w:rsidRPr="427BC440">
        <w:rPr>
          <w:i/>
          <w:iCs/>
        </w:rPr>
        <w:t xml:space="preserve"> </w:t>
      </w:r>
      <w:bookmarkEnd w:id="8"/>
      <w:r w:rsidR="00434511">
        <w:t xml:space="preserve">The </w:t>
      </w:r>
      <w:r w:rsidR="00BC0A02">
        <w:t xml:space="preserve">sponsor’s </w:t>
      </w:r>
      <w:r w:rsidR="00434511">
        <w:t xml:space="preserve">proposed TGA indication </w:t>
      </w:r>
      <w:r w:rsidR="00A05A71">
        <w:t xml:space="preserve">was </w:t>
      </w:r>
      <w:r w:rsidR="00434511">
        <w:t>for the treatment of generalised myasthenia gravis (gMG) in adult patients who are anti-acetylcholine receptor (AChR) antibody positive.</w:t>
      </w:r>
    </w:p>
    <w:p w14:paraId="1AAF33F7" w14:textId="04AAB86E" w:rsidR="003923E5" w:rsidRDefault="008225BC" w:rsidP="00A10F29">
      <w:pPr>
        <w:pStyle w:val="3-BodyText"/>
        <w:rPr>
          <w:iCs/>
        </w:rPr>
      </w:pPr>
      <w:r>
        <w:rPr>
          <w:iCs/>
        </w:rPr>
        <w:t>T</w:t>
      </w:r>
      <w:r w:rsidR="003923E5" w:rsidRPr="007F52A5">
        <w:rPr>
          <w:iCs/>
        </w:rPr>
        <w:t>he Delegate’s Overview</w:t>
      </w:r>
      <w:r>
        <w:rPr>
          <w:iCs/>
        </w:rPr>
        <w:t xml:space="preserve"> stated that t</w:t>
      </w:r>
      <w:r w:rsidR="00387349" w:rsidRPr="007F52A5">
        <w:rPr>
          <w:iCs/>
        </w:rPr>
        <w:t xml:space="preserve">he Delegate was inclined to approve the registration of zilucoplan, contingent on advice from the ACM regarding the wording of the proposed indication (whether zilucoplan should be restricted to </w:t>
      </w:r>
      <w:r w:rsidR="000671CD" w:rsidRPr="007F52A5">
        <w:rPr>
          <w:iCs/>
        </w:rPr>
        <w:t>patients with an inadequate response to standard immunosuppressive therapies</w:t>
      </w:r>
      <w:r w:rsidR="001D09CA" w:rsidRPr="007F52A5">
        <w:rPr>
          <w:iCs/>
        </w:rPr>
        <w:t>, which the ESC noted would be narrower that the proposed PBS restriction</w:t>
      </w:r>
      <w:r w:rsidR="00387349" w:rsidRPr="007F52A5">
        <w:rPr>
          <w:iCs/>
        </w:rPr>
        <w:t xml:space="preserve">) and safety signals for zilucoplan in non-clinical and clinical data sets (particularly morphea and pancreas related events). The Delegate also noted that there were ongoing unresolved issues </w:t>
      </w:r>
      <w:r w:rsidR="00387349" w:rsidRPr="007F52A5">
        <w:rPr>
          <w:iCs/>
        </w:rPr>
        <w:lastRenderedPageBreak/>
        <w:t>regarding the wording of the product information (including use in pregnancy) and quality control issues that could impact on the final decision.</w:t>
      </w:r>
      <w:r w:rsidR="001D09CA" w:rsidRPr="007F52A5">
        <w:rPr>
          <w:iCs/>
        </w:rPr>
        <w:t xml:space="preserve"> The Delegate’s Overview stated “currently, the risk-benefit, in an appropriately targeted population of patients with refractory myasthenia gravis, remains positive”.</w:t>
      </w:r>
    </w:p>
    <w:p w14:paraId="36E35DF3" w14:textId="6061C8C3" w:rsidR="008225BC" w:rsidRPr="008225BC" w:rsidRDefault="008225BC" w:rsidP="00A10F29">
      <w:pPr>
        <w:pStyle w:val="3-BodyText"/>
        <w:rPr>
          <w:iCs/>
        </w:rPr>
      </w:pPr>
      <w:r w:rsidRPr="008225BC">
        <w:rPr>
          <w:iCs/>
        </w:rPr>
        <w:t>The ACM considered that zilucoplan would have an overall positive benefit-risk profile for the indication: “as an add-on to standard therapy for the treatment of generalized myasthe</w:t>
      </w:r>
      <w:r w:rsidR="00C2433B">
        <w:rPr>
          <w:iCs/>
        </w:rPr>
        <w:t>n</w:t>
      </w:r>
      <w:r w:rsidRPr="008225BC">
        <w:rPr>
          <w:iCs/>
        </w:rPr>
        <w:t>ia gravis (gMG) in adult patients who are anti-acetylcholine receptor (AChR) antibody positive.</w:t>
      </w:r>
      <w:r>
        <w:rPr>
          <w:iCs/>
        </w:rPr>
        <w:t>”</w:t>
      </w:r>
    </w:p>
    <w:p w14:paraId="6ED7B320" w14:textId="3DDA5C85" w:rsidR="009101C2" w:rsidRPr="00A10F29" w:rsidRDefault="009101C2" w:rsidP="00A10F29">
      <w:pPr>
        <w:pStyle w:val="4-SubsectionHeading"/>
      </w:pPr>
      <w:r w:rsidRPr="00A10F29">
        <w:t xml:space="preserve">Stakeholder meeting for generalised Myasthenia Gravis </w:t>
      </w:r>
      <w:r w:rsidR="00CC73F5" w:rsidRPr="00A10F29">
        <w:t>(AChR+)</w:t>
      </w:r>
    </w:p>
    <w:p w14:paraId="30291B41" w14:textId="76CE5D03" w:rsidR="004E1D44" w:rsidRPr="007F52A5" w:rsidRDefault="004E1D44" w:rsidP="00A10F29">
      <w:pPr>
        <w:pStyle w:val="3-BodyText"/>
      </w:pPr>
      <w:bookmarkStart w:id="9" w:name="_Ref173847455"/>
      <w:r w:rsidRPr="007F52A5">
        <w:t xml:space="preserve">A stakeholder meeting was held on 3 May 2024 </w:t>
      </w:r>
      <w:r w:rsidR="00D55F2D" w:rsidRPr="007F52A5">
        <w:t>to discuss</w:t>
      </w:r>
      <w:r w:rsidRPr="007F52A5">
        <w:t xml:space="preserve"> the current clinical management of gMG and the role of emerging new treatments.</w:t>
      </w:r>
      <w:bookmarkEnd w:id="9"/>
      <w:r w:rsidRPr="007F52A5">
        <w:t xml:space="preserve"> </w:t>
      </w:r>
    </w:p>
    <w:p w14:paraId="63E617AA" w14:textId="72ACD773" w:rsidR="004E1D44" w:rsidRPr="007F52A5" w:rsidRDefault="004E1D44" w:rsidP="00A10F29">
      <w:pPr>
        <w:pStyle w:val="3-BodyText"/>
      </w:pPr>
      <w:bookmarkStart w:id="10" w:name="_Ref169170181"/>
      <w:r w:rsidRPr="007F52A5">
        <w:t>The ESC noted that at the stakeholder meeting:</w:t>
      </w:r>
      <w:bookmarkEnd w:id="10"/>
    </w:p>
    <w:p w14:paraId="0BE63D69" w14:textId="40814387" w:rsidR="004E1D44" w:rsidRPr="00A10F29" w:rsidRDefault="004E1D44" w:rsidP="00A10F29">
      <w:pPr>
        <w:pStyle w:val="ListParagraph"/>
      </w:pPr>
      <w:r w:rsidRPr="00A10F29">
        <w:t xml:space="preserve">the consumer representatives outlined that gMG places a substantial burden on patients particularly when symptoms are not well-controlled </w:t>
      </w:r>
      <w:r w:rsidR="00465794" w:rsidRPr="00A10F29">
        <w:t>e.g.</w:t>
      </w:r>
      <w:r w:rsidRPr="00A10F29">
        <w:t xml:space="preserve"> during disease fluctuations. Current treatment regimens can be intrusive, time-consuming, and can have a range of adverse events. </w:t>
      </w:r>
      <w:r w:rsidR="00D55F2D" w:rsidRPr="00A10F29">
        <w:t>Q</w:t>
      </w:r>
      <w:r w:rsidRPr="00A10F29">
        <w:t>uality of life and participation in the workforce and society can be significantly impacted and this impact can extend to a patient’s family.</w:t>
      </w:r>
    </w:p>
    <w:p w14:paraId="2C484A01" w14:textId="29AE51B3" w:rsidR="004E1D44" w:rsidRPr="00A10F29" w:rsidRDefault="004E1D44" w:rsidP="00A10F29">
      <w:pPr>
        <w:pStyle w:val="ListParagraph"/>
      </w:pPr>
      <w:r w:rsidRPr="00A10F29">
        <w:t xml:space="preserve">The consumer representatives highlighted that ideally clinicians would be able to offer access to newer medications based on individual patient needs and benefits, for all disease severities and for all disease </w:t>
      </w:r>
      <w:r w:rsidR="00465794" w:rsidRPr="00A10F29">
        <w:t>settings</w:t>
      </w:r>
      <w:r w:rsidRPr="00A10F29">
        <w:t>.</w:t>
      </w:r>
    </w:p>
    <w:p w14:paraId="4D43F800" w14:textId="4ADC7057" w:rsidR="00CC73F5" w:rsidRPr="00A10F29" w:rsidRDefault="00CC73F5" w:rsidP="00A10F29">
      <w:pPr>
        <w:pStyle w:val="ListParagraph"/>
      </w:pPr>
      <w:r w:rsidRPr="00A10F29">
        <w:t xml:space="preserve">Although there are ongoing complexities for patients, the clinicians </w:t>
      </w:r>
      <w:r w:rsidR="00D55F2D" w:rsidRPr="00A10F29">
        <w:t xml:space="preserve">present at the stakeholder meeting </w:t>
      </w:r>
      <w:r w:rsidRPr="00A10F29">
        <w:t xml:space="preserve">noted that at present approximately 70% of patients experience on-treatment remission, </w:t>
      </w:r>
      <w:r w:rsidR="00D55F2D" w:rsidRPr="00A10F29">
        <w:t>while</w:t>
      </w:r>
      <w:r w:rsidRPr="00A10F29">
        <w:t xml:space="preserve"> 30% are treatment refractory. </w:t>
      </w:r>
      <w:r w:rsidR="00D55F2D" w:rsidRPr="00A10F29">
        <w:t xml:space="preserve">The clinicians outlined </w:t>
      </w:r>
      <w:r w:rsidRPr="00A10F29">
        <w:t xml:space="preserve">that </w:t>
      </w:r>
      <w:proofErr w:type="gramStart"/>
      <w:r w:rsidRPr="00A10F29">
        <w:t>the majority of</w:t>
      </w:r>
      <w:proofErr w:type="gramEnd"/>
      <w:r w:rsidRPr="00A10F29">
        <w:t xml:space="preserve"> patients will respond/achieve remission with the classic treatment options (i.e. pyridostigmine and/or corticosteroids and/or non-steroid immunosuppressants)</w:t>
      </w:r>
      <w:r w:rsidR="00D55F2D" w:rsidRPr="00A10F29">
        <w:t>, a</w:t>
      </w:r>
      <w:r w:rsidRPr="00A10F29">
        <w:t>lthough some patients require high doses of steroids to achieve remission.</w:t>
      </w:r>
    </w:p>
    <w:p w14:paraId="3A8ACE0C" w14:textId="1985BC2E" w:rsidR="00CC73F5" w:rsidRPr="00A10F29" w:rsidRDefault="00CC73F5" w:rsidP="00A10F29">
      <w:pPr>
        <w:pStyle w:val="ListParagraph"/>
      </w:pPr>
      <w:r w:rsidRPr="00A10F29">
        <w:t xml:space="preserve">Some patients require combination therapy </w:t>
      </w:r>
      <w:r w:rsidR="00465794" w:rsidRPr="00A10F29">
        <w:t>with</w:t>
      </w:r>
      <w:r w:rsidRPr="00A10F29">
        <w:t xml:space="preserve"> the classic treatment options from early on and, often, bridging therapies to provide relief from symptoms whilst remission induction occurs. It was stated that it can take up to two years for the non-steroid immunosuppressants to induce remission.</w:t>
      </w:r>
    </w:p>
    <w:p w14:paraId="3BD859B0" w14:textId="0C21A699" w:rsidR="00C5543B" w:rsidRPr="00A10F29" w:rsidRDefault="00C5543B" w:rsidP="00A10F29">
      <w:pPr>
        <w:pStyle w:val="ListParagraph"/>
      </w:pPr>
      <w:r w:rsidRPr="00A10F29">
        <w:t>It was noted that at present, the only bridging therapies available are intravenous immunoglobulin (IVIg) and plasma exchange (PLEX). The evidence for rituximab in this setting is poor. Clinicians advised that the availability of PLEX was not equitable as it is available mostly in metropolitan hospitals across Australia. In addition, PLEX treatment is very intensive. For IVIg, there is only limited long-term evidence of its benefit, the dosing schedule is demanding, it is expensive, and it is associated with safety issues and side effects.</w:t>
      </w:r>
    </w:p>
    <w:p w14:paraId="33DBD43B" w14:textId="108414AA" w:rsidR="00CC73F5" w:rsidRPr="00A10F29" w:rsidRDefault="00D55F2D" w:rsidP="00A10F29">
      <w:pPr>
        <w:pStyle w:val="ListParagraph"/>
      </w:pPr>
      <w:r w:rsidRPr="00A10F29">
        <w:t xml:space="preserve">The newer agents (ravulizumab and zilucoplan, also known as complement inhibitors, along with the </w:t>
      </w:r>
      <w:r w:rsidR="002C55CC" w:rsidRPr="00A10F29">
        <w:t xml:space="preserve">neonatal fragment crystallizable (Fc) receptor (also </w:t>
      </w:r>
      <w:r w:rsidR="006110FC" w:rsidRPr="00A10F29">
        <w:t xml:space="preserve">known as </w:t>
      </w:r>
      <w:r w:rsidRPr="00A10F29">
        <w:t>FcRn</w:t>
      </w:r>
      <w:r w:rsidR="002C55CC" w:rsidRPr="00A10F29">
        <w:t>)</w:t>
      </w:r>
      <w:r w:rsidRPr="00A10F29">
        <w:t>-targe</w:t>
      </w:r>
      <w:r w:rsidR="00874261" w:rsidRPr="00A10F29">
        <w:t>t</w:t>
      </w:r>
      <w:r w:rsidRPr="00A10F29">
        <w:t>ed immunosuppressive therapies, efgartigimod and rosanolixizumb) have not yet been incorporated into key treatment guidelines</w:t>
      </w:r>
      <w:r w:rsidR="00465794" w:rsidRPr="00A10F29">
        <w:t>.</w:t>
      </w:r>
    </w:p>
    <w:p w14:paraId="2CFC97A9" w14:textId="5E0EBB2E" w:rsidR="009101C2" w:rsidRPr="00A10F29" w:rsidRDefault="00D55F2D" w:rsidP="00A10F29">
      <w:pPr>
        <w:pStyle w:val="ListParagraph"/>
      </w:pPr>
      <w:r w:rsidRPr="00A10F29">
        <w:t>The clinicians present at the meeting stated that the n</w:t>
      </w:r>
      <w:r w:rsidR="009101C2" w:rsidRPr="00A10F29">
        <w:t>ew treatments have rapid onset</w:t>
      </w:r>
      <w:r w:rsidRPr="00A10F29">
        <w:t>s</w:t>
      </w:r>
      <w:r w:rsidR="009101C2" w:rsidRPr="00A10F29">
        <w:t xml:space="preserve"> of action and considered that complement inhibitors should be available to be used early in combination with standard therapy</w:t>
      </w:r>
      <w:r w:rsidRPr="00A10F29">
        <w:t xml:space="preserve"> i.e. as a bridging therapy with </w:t>
      </w:r>
      <w:bookmarkStart w:id="11" w:name="_Hlk167351175"/>
      <w:r w:rsidRPr="00A10F29">
        <w:t>specific patient criteria to be determined</w:t>
      </w:r>
      <w:bookmarkEnd w:id="11"/>
      <w:r w:rsidRPr="00A10F29">
        <w:t xml:space="preserve"> (e.g. a hypothetical case study of a typical patient who could benefit from the new therapies was discussed which took into account the patient’s response to standard therapy). The clinicians noted that there is also a role for complement inhibitors later in the disease course in refractory patients and in patients requiring rescue therapy for myasthenic crisis.</w:t>
      </w:r>
    </w:p>
    <w:p w14:paraId="3CA2AD82" w14:textId="77777777" w:rsidR="00D55F2D" w:rsidRPr="00A10F29" w:rsidRDefault="00D55F2D" w:rsidP="00A10F29">
      <w:pPr>
        <w:pStyle w:val="ListParagraph"/>
      </w:pPr>
      <w:r w:rsidRPr="00A10F29">
        <w:t>The clinicians considered there should be robust stopping rules to prevent ongoing use. It was noted that it would be harder to cease treatment in refractory patients.</w:t>
      </w:r>
    </w:p>
    <w:p w14:paraId="47E73841" w14:textId="77777777" w:rsidR="00D55F2D" w:rsidRPr="00A10F29" w:rsidRDefault="00D55F2D" w:rsidP="00A10F29">
      <w:pPr>
        <w:pStyle w:val="ListParagraph"/>
      </w:pPr>
      <w:r w:rsidRPr="00A10F29">
        <w:t>The clinicians outlined the following potential stopping rules when used early in disease:</w:t>
      </w:r>
    </w:p>
    <w:p w14:paraId="0C660243" w14:textId="77777777" w:rsidR="00D55F2D" w:rsidRPr="007F52A5" w:rsidRDefault="00D55F2D" w:rsidP="00B80FE1">
      <w:pPr>
        <w:pStyle w:val="ListParagraph"/>
        <w:numPr>
          <w:ilvl w:val="1"/>
          <w:numId w:val="5"/>
        </w:numPr>
        <w:ind w:left="1560"/>
      </w:pPr>
      <w:r w:rsidRPr="007F52A5">
        <w:t>Given that it appears that these agents work quickly, it was stated that it would be possible to determine whether they were having an effect within 12 weeks.</w:t>
      </w:r>
    </w:p>
    <w:p w14:paraId="4071865A" w14:textId="7398A032" w:rsidR="00D55F2D" w:rsidRPr="007F52A5" w:rsidRDefault="00D55F2D" w:rsidP="00B80FE1">
      <w:pPr>
        <w:pStyle w:val="ListParagraph"/>
        <w:numPr>
          <w:ilvl w:val="1"/>
          <w:numId w:val="5"/>
        </w:numPr>
        <w:ind w:left="1560"/>
      </w:pPr>
      <w:r w:rsidRPr="007F52A5">
        <w:t>If it was established that an agent was effective in improving symptoms, patients could remain on treatment for 12 months, as it usually takes at least 12 to 24 months for the standard disease modifying agents to have an effect.</w:t>
      </w:r>
    </w:p>
    <w:p w14:paraId="5E3C0582" w14:textId="1A503E03" w:rsidR="00D55F2D" w:rsidRPr="007F52A5" w:rsidRDefault="00D55F2D" w:rsidP="00B80FE1">
      <w:pPr>
        <w:pStyle w:val="ListParagraph"/>
        <w:numPr>
          <w:ilvl w:val="1"/>
          <w:numId w:val="5"/>
        </w:numPr>
        <w:ind w:left="1560"/>
      </w:pPr>
      <w:r w:rsidRPr="007F52A5">
        <w:t xml:space="preserve">At 12 months, treatment with the complement inhibitor should be ceased. If the patient deteriorated, the complement inhibitor </w:t>
      </w:r>
      <w:r w:rsidR="00F91D93" w:rsidRPr="007F52A5">
        <w:t>c</w:t>
      </w:r>
      <w:r w:rsidRPr="007F52A5">
        <w:t>ould be restarted, with 6-monthly rechallenges up to 2 years of total treatment. At that point treatment with the complement inhibitor would cease.</w:t>
      </w:r>
    </w:p>
    <w:p w14:paraId="0078B812" w14:textId="58D3D5FB" w:rsidR="009101C2" w:rsidRDefault="00D55F2D" w:rsidP="00A10F29">
      <w:pPr>
        <w:pStyle w:val="ListParagraph"/>
      </w:pPr>
      <w:r w:rsidRPr="007F52A5">
        <w:t>The clinicians proposed that patients may access re-treatment with a complement inhibitor if the disease is refractory, or if the patient experiences an exacerbation or is at risk of a myasthenia crisis.</w:t>
      </w:r>
    </w:p>
    <w:p w14:paraId="735556E2" w14:textId="5B66B203" w:rsidR="007F52A5" w:rsidRPr="007F52A5" w:rsidRDefault="004A5C59" w:rsidP="00A10F29">
      <w:pPr>
        <w:pStyle w:val="ListParagraph"/>
      </w:pPr>
      <w:bookmarkStart w:id="12" w:name="_Hlk174015199"/>
      <w:r>
        <w:t>In all disease settings, the clinicians and consumer representatives stated that patients would have to be assessed for treatment response via measures that provided a robust, yet wholistic reflection, of the disease state. It was suggested that this would likely consist of the Myasthenia Gravis-Activities of Daily Living (MG-ADL) and/or Myasthenia Gravis Composite (MGC) score tools.</w:t>
      </w:r>
    </w:p>
    <w:p w14:paraId="3376A38F" w14:textId="42766E6C" w:rsidR="007F52A5" w:rsidRPr="007F52A5" w:rsidRDefault="007F52A5" w:rsidP="007F52A5">
      <w:pPr>
        <w:pStyle w:val="ListBullet"/>
        <w:numPr>
          <w:ilvl w:val="0"/>
          <w:numId w:val="0"/>
        </w:numPr>
        <w:ind w:left="720"/>
        <w:rPr>
          <w:i/>
          <w:iCs/>
        </w:rPr>
      </w:pPr>
      <w:r w:rsidRPr="007F52A5">
        <w:rPr>
          <w:i/>
          <w:iCs/>
        </w:rPr>
        <w:t>For more detail on PBAC’s view, see section 7 PBAC outcome.</w:t>
      </w:r>
    </w:p>
    <w:p w14:paraId="71DEC37D" w14:textId="19467B75" w:rsidR="00906ED7" w:rsidRDefault="00B50DB8" w:rsidP="00A10F29">
      <w:pPr>
        <w:pStyle w:val="2-SectionHeading"/>
      </w:pPr>
      <w:bookmarkStart w:id="13" w:name="_Toc107902078"/>
      <w:bookmarkStart w:id="14" w:name="_Toc167199643"/>
      <w:bookmarkEnd w:id="12"/>
      <w:bookmarkEnd w:id="13"/>
      <w:r w:rsidRPr="00B162C2">
        <w:t>Requested listing</w:t>
      </w:r>
      <w:bookmarkEnd w:id="14"/>
    </w:p>
    <w:p w14:paraId="4272C84C" w14:textId="070E6EE2" w:rsidR="00906ED7" w:rsidRPr="00C6452A" w:rsidRDefault="00C6452A" w:rsidP="00A10F29">
      <w:pPr>
        <w:pStyle w:val="3-BodyText"/>
        <w:rPr>
          <w:iCs/>
        </w:rPr>
      </w:pPr>
      <w:r w:rsidRPr="00C6452A">
        <w:rPr>
          <w:iCs/>
        </w:rPr>
        <w:t xml:space="preserve">The restriction </w:t>
      </w:r>
      <w:r>
        <w:rPr>
          <w:iCs/>
        </w:rPr>
        <w:t>requested in the submission is outlined below.</w:t>
      </w:r>
      <w:r w:rsidR="00A1418F">
        <w:rPr>
          <w:iCs/>
        </w:rPr>
        <w:t xml:space="preserve"> </w:t>
      </w:r>
      <w:r w:rsidR="00A1418F" w:rsidRPr="002421D1">
        <w:t>Suggestions and additions proposed by the Secretariat are added in italics and suggested deletions are crossed out with strikethrough</w:t>
      </w:r>
      <w:r w:rsidR="00A1418F">
        <w:t xml:space="preserve"> (noting these changes are administrative in nature only)</w:t>
      </w:r>
      <w:r w:rsidR="00A1418F" w:rsidRPr="002421D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2094"/>
        <w:gridCol w:w="1802"/>
        <w:gridCol w:w="959"/>
        <w:gridCol w:w="961"/>
        <w:gridCol w:w="959"/>
        <w:gridCol w:w="1221"/>
      </w:tblGrid>
      <w:tr w:rsidR="00A1418F" w:rsidRPr="009D62DE" w14:paraId="73C5FDF4" w14:textId="77777777" w:rsidTr="00763EB8">
        <w:trPr>
          <w:cantSplit/>
          <w:trHeight w:val="454"/>
        </w:trPr>
        <w:tc>
          <w:tcPr>
            <w:tcW w:w="1727" w:type="pct"/>
            <w:gridSpan w:val="2"/>
            <w:vAlign w:val="center"/>
          </w:tcPr>
          <w:p w14:paraId="2D1AB911" w14:textId="77777777" w:rsidR="00A1418F" w:rsidRPr="009D62DE" w:rsidRDefault="00A1418F" w:rsidP="00763EB8">
            <w:pPr>
              <w:pStyle w:val="In-tableHeading"/>
            </w:pPr>
            <w:r w:rsidRPr="009D62DE">
              <w:t>MEDICINAL PRODUCT</w:t>
            </w:r>
          </w:p>
          <w:p w14:paraId="753A80B7" w14:textId="77777777" w:rsidR="00A1418F" w:rsidRPr="009D62DE" w:rsidRDefault="00A1418F" w:rsidP="00763EB8">
            <w:pPr>
              <w:pStyle w:val="In-tableHeading"/>
            </w:pPr>
            <w:r w:rsidRPr="009D62DE">
              <w:t>medicinal product pack</w:t>
            </w:r>
          </w:p>
        </w:tc>
        <w:tc>
          <w:tcPr>
            <w:tcW w:w="999" w:type="pct"/>
            <w:vAlign w:val="center"/>
          </w:tcPr>
          <w:p w14:paraId="6068DE85" w14:textId="77777777" w:rsidR="00A1418F" w:rsidRPr="009D62DE" w:rsidRDefault="00A1418F" w:rsidP="00763EB8">
            <w:pPr>
              <w:pStyle w:val="In-tableHeading"/>
              <w:jc w:val="center"/>
              <w:rPr>
                <w:snapToGrid w:val="0"/>
              </w:rPr>
            </w:pPr>
            <w:r w:rsidRPr="009D62DE">
              <w:rPr>
                <w:snapToGrid w:val="0"/>
              </w:rPr>
              <w:t>PBS item code</w:t>
            </w:r>
          </w:p>
        </w:tc>
        <w:tc>
          <w:tcPr>
            <w:tcW w:w="532" w:type="pct"/>
            <w:vAlign w:val="center"/>
          </w:tcPr>
          <w:p w14:paraId="322D7FD7" w14:textId="77777777" w:rsidR="00A1418F" w:rsidRPr="009D62DE" w:rsidRDefault="00A1418F" w:rsidP="00763EB8">
            <w:pPr>
              <w:pStyle w:val="In-tableHeading"/>
              <w:jc w:val="center"/>
            </w:pPr>
            <w:r w:rsidRPr="009D62DE">
              <w:t>Max. qty packs</w:t>
            </w:r>
          </w:p>
        </w:tc>
        <w:tc>
          <w:tcPr>
            <w:tcW w:w="533" w:type="pct"/>
            <w:vAlign w:val="center"/>
          </w:tcPr>
          <w:p w14:paraId="168E27AF" w14:textId="77777777" w:rsidR="00A1418F" w:rsidRPr="009D62DE" w:rsidRDefault="00A1418F" w:rsidP="00763EB8">
            <w:pPr>
              <w:pStyle w:val="In-tableHeading"/>
              <w:jc w:val="center"/>
            </w:pPr>
            <w:r w:rsidRPr="009D62DE">
              <w:t>Max. qty units</w:t>
            </w:r>
          </w:p>
        </w:tc>
        <w:tc>
          <w:tcPr>
            <w:tcW w:w="532" w:type="pct"/>
            <w:vAlign w:val="center"/>
          </w:tcPr>
          <w:p w14:paraId="66953079" w14:textId="77777777" w:rsidR="00A1418F" w:rsidRPr="009D62DE" w:rsidRDefault="00A1418F" w:rsidP="00763EB8">
            <w:pPr>
              <w:pStyle w:val="In-tableHeading"/>
              <w:jc w:val="center"/>
            </w:pPr>
            <w:r w:rsidRPr="009D62DE">
              <w:t>№.of</w:t>
            </w:r>
          </w:p>
          <w:p w14:paraId="0471923D" w14:textId="77777777" w:rsidR="00A1418F" w:rsidRPr="009D62DE" w:rsidRDefault="00A1418F" w:rsidP="00763EB8">
            <w:pPr>
              <w:pStyle w:val="In-tableHeading"/>
              <w:jc w:val="center"/>
            </w:pPr>
            <w:r w:rsidRPr="009D62DE">
              <w:t>Rpts</w:t>
            </w:r>
          </w:p>
        </w:tc>
        <w:tc>
          <w:tcPr>
            <w:tcW w:w="677" w:type="pct"/>
            <w:vAlign w:val="center"/>
          </w:tcPr>
          <w:p w14:paraId="1403E071" w14:textId="77777777" w:rsidR="00A1418F" w:rsidRPr="009D62DE" w:rsidRDefault="00A1418F" w:rsidP="00763EB8">
            <w:pPr>
              <w:pStyle w:val="In-tableHeading"/>
              <w:jc w:val="center"/>
            </w:pPr>
            <w:r w:rsidRPr="009D62DE">
              <w:t>Available brands</w:t>
            </w:r>
          </w:p>
        </w:tc>
      </w:tr>
      <w:tr w:rsidR="00A1418F" w:rsidRPr="009D62DE" w14:paraId="2B1BF89E" w14:textId="77777777" w:rsidTr="00763EB8">
        <w:trPr>
          <w:cantSplit/>
          <w:trHeight w:val="20"/>
        </w:trPr>
        <w:tc>
          <w:tcPr>
            <w:tcW w:w="5000" w:type="pct"/>
            <w:gridSpan w:val="7"/>
          </w:tcPr>
          <w:p w14:paraId="0DAC6E9B" w14:textId="77777777" w:rsidR="00A1418F" w:rsidRPr="009D62DE" w:rsidRDefault="00A1418F" w:rsidP="00BE10F4">
            <w:pPr>
              <w:pStyle w:val="COMTabletext"/>
              <w:keepNext w:val="0"/>
              <w:keepLines/>
              <w:rPr>
                <w:rFonts w:cs="Arial"/>
                <w:szCs w:val="20"/>
              </w:rPr>
            </w:pPr>
            <w:r w:rsidRPr="009D62DE">
              <w:rPr>
                <w:smallCaps/>
              </w:rPr>
              <w:t>Zilucoplan</w:t>
            </w:r>
            <w:r w:rsidRPr="009D62DE">
              <w:rPr>
                <w:rFonts w:cs="Arial"/>
                <w:color w:val="0066FF"/>
                <w:szCs w:val="20"/>
              </w:rPr>
              <w:t xml:space="preserve"> </w:t>
            </w:r>
          </w:p>
        </w:tc>
      </w:tr>
      <w:tr w:rsidR="00A1418F" w:rsidRPr="009D62DE" w14:paraId="4635D66E" w14:textId="77777777" w:rsidTr="00763EB8">
        <w:trPr>
          <w:cantSplit/>
          <w:trHeight w:val="20"/>
        </w:trPr>
        <w:tc>
          <w:tcPr>
            <w:tcW w:w="1727" w:type="pct"/>
            <w:gridSpan w:val="2"/>
          </w:tcPr>
          <w:p w14:paraId="6B1D83BD" w14:textId="77777777" w:rsidR="00A1418F" w:rsidRPr="009D62DE" w:rsidRDefault="00A1418F" w:rsidP="00BE10F4">
            <w:pPr>
              <w:keepLines/>
              <w:jc w:val="left"/>
              <w:rPr>
                <w:rFonts w:ascii="Arial Narrow" w:hAnsi="Arial Narrow"/>
                <w:sz w:val="20"/>
                <w:szCs w:val="20"/>
              </w:rPr>
            </w:pPr>
            <w:r w:rsidRPr="009D62DE">
              <w:rPr>
                <w:rFonts w:ascii="Arial Narrow" w:hAnsi="Arial Narrow"/>
                <w:sz w:val="20"/>
                <w:szCs w:val="20"/>
              </w:rPr>
              <w:t>zilucoplan 40 mg/mL 0.416 mL injection, 28 pre-filled syringes</w:t>
            </w:r>
          </w:p>
        </w:tc>
        <w:tc>
          <w:tcPr>
            <w:tcW w:w="999" w:type="pct"/>
            <w:vAlign w:val="center"/>
          </w:tcPr>
          <w:p w14:paraId="6653C84B" w14:textId="77777777" w:rsidR="00A1418F" w:rsidRPr="009D62DE" w:rsidRDefault="00A1418F" w:rsidP="00BE10F4">
            <w:pPr>
              <w:keepLines/>
              <w:spacing w:line="256" w:lineRule="auto"/>
              <w:jc w:val="center"/>
              <w:rPr>
                <w:rFonts w:ascii="Arial Narrow" w:hAnsi="Arial Narrow"/>
                <w:sz w:val="20"/>
                <w:szCs w:val="20"/>
              </w:rPr>
            </w:pPr>
            <w:r w:rsidRPr="009D62DE">
              <w:rPr>
                <w:rFonts w:ascii="Arial Narrow" w:hAnsi="Arial Narrow"/>
                <w:sz w:val="20"/>
                <w:szCs w:val="20"/>
              </w:rPr>
              <w:t>NEW HSD (Public)</w:t>
            </w:r>
          </w:p>
          <w:p w14:paraId="3737CEF9" w14:textId="77777777" w:rsidR="00A1418F" w:rsidRPr="009D62DE" w:rsidRDefault="00A1418F" w:rsidP="00BE10F4">
            <w:pPr>
              <w:pStyle w:val="COMTabletext"/>
              <w:keepNext w:val="0"/>
              <w:keepLines/>
              <w:jc w:val="center"/>
              <w:rPr>
                <w:i/>
                <w:iCs/>
                <w:szCs w:val="20"/>
              </w:rPr>
            </w:pPr>
            <w:r w:rsidRPr="009D62DE">
              <w:rPr>
                <w:szCs w:val="20"/>
              </w:rPr>
              <w:t>NEW HSD (Private)</w:t>
            </w:r>
          </w:p>
        </w:tc>
        <w:tc>
          <w:tcPr>
            <w:tcW w:w="532" w:type="pct"/>
            <w:vAlign w:val="center"/>
          </w:tcPr>
          <w:p w14:paraId="730BE53F" w14:textId="77777777" w:rsidR="00A1418F" w:rsidRPr="009D62DE" w:rsidRDefault="00A1418F" w:rsidP="00BE10F4">
            <w:pPr>
              <w:keepLines/>
              <w:jc w:val="center"/>
              <w:rPr>
                <w:rFonts w:ascii="Arial Narrow" w:hAnsi="Arial Narrow"/>
                <w:sz w:val="20"/>
                <w:szCs w:val="20"/>
              </w:rPr>
            </w:pPr>
            <w:r w:rsidRPr="009D62DE">
              <w:rPr>
                <w:rFonts w:ascii="Arial Narrow" w:hAnsi="Arial Narrow"/>
                <w:sz w:val="20"/>
              </w:rPr>
              <w:t>1</w:t>
            </w:r>
          </w:p>
        </w:tc>
        <w:tc>
          <w:tcPr>
            <w:tcW w:w="533" w:type="pct"/>
            <w:vAlign w:val="center"/>
          </w:tcPr>
          <w:p w14:paraId="2A6683F8" w14:textId="77777777" w:rsidR="00A1418F" w:rsidRPr="009D62DE" w:rsidRDefault="00A1418F" w:rsidP="00BE10F4">
            <w:pPr>
              <w:keepLines/>
              <w:jc w:val="center"/>
              <w:rPr>
                <w:rFonts w:ascii="Arial Narrow" w:hAnsi="Arial Narrow"/>
                <w:sz w:val="20"/>
                <w:szCs w:val="20"/>
              </w:rPr>
            </w:pPr>
            <w:r w:rsidRPr="009D62DE">
              <w:rPr>
                <w:rFonts w:ascii="Arial Narrow" w:hAnsi="Arial Narrow"/>
                <w:sz w:val="20"/>
              </w:rPr>
              <w:t>28</w:t>
            </w:r>
          </w:p>
        </w:tc>
        <w:tc>
          <w:tcPr>
            <w:tcW w:w="532" w:type="pct"/>
            <w:vAlign w:val="center"/>
          </w:tcPr>
          <w:p w14:paraId="39E19218" w14:textId="77777777" w:rsidR="00A1418F" w:rsidRPr="009D62DE" w:rsidRDefault="00A1418F" w:rsidP="00BE10F4">
            <w:pPr>
              <w:keepLines/>
              <w:jc w:val="center"/>
              <w:rPr>
                <w:rFonts w:ascii="Arial Narrow" w:hAnsi="Arial Narrow"/>
                <w:sz w:val="20"/>
                <w:szCs w:val="20"/>
              </w:rPr>
            </w:pPr>
            <w:r w:rsidRPr="009D62DE">
              <w:rPr>
                <w:rFonts w:ascii="Arial Narrow" w:hAnsi="Arial Narrow"/>
                <w:sz w:val="20"/>
              </w:rPr>
              <w:t>3</w:t>
            </w:r>
          </w:p>
        </w:tc>
        <w:tc>
          <w:tcPr>
            <w:tcW w:w="677" w:type="pct"/>
            <w:vMerge w:val="restart"/>
            <w:vAlign w:val="center"/>
          </w:tcPr>
          <w:p w14:paraId="1DAE63C2" w14:textId="77777777" w:rsidR="00A1418F" w:rsidRPr="009D62DE" w:rsidRDefault="00A1418F" w:rsidP="00BE10F4">
            <w:pPr>
              <w:keepLines/>
              <w:rPr>
                <w:rFonts w:ascii="Arial Narrow" w:hAnsi="Arial Narrow"/>
                <w:color w:val="0066FF"/>
                <w:sz w:val="20"/>
                <w:szCs w:val="20"/>
              </w:rPr>
            </w:pPr>
            <w:r w:rsidRPr="009D62DE">
              <w:rPr>
                <w:rFonts w:ascii="Arial Narrow" w:hAnsi="Arial Narrow"/>
                <w:sz w:val="20"/>
                <w:szCs w:val="20"/>
              </w:rPr>
              <w:t>Zilbrysq</w:t>
            </w:r>
          </w:p>
        </w:tc>
      </w:tr>
      <w:tr w:rsidR="00A1418F" w:rsidRPr="009D62DE" w14:paraId="0579AD25" w14:textId="77777777" w:rsidTr="00763EB8">
        <w:trPr>
          <w:cantSplit/>
          <w:trHeight w:val="20"/>
        </w:trPr>
        <w:tc>
          <w:tcPr>
            <w:tcW w:w="1727" w:type="pct"/>
            <w:gridSpan w:val="2"/>
          </w:tcPr>
          <w:p w14:paraId="1A700258" w14:textId="77777777" w:rsidR="00A1418F" w:rsidRPr="009D62DE" w:rsidRDefault="00A1418F" w:rsidP="00BE10F4">
            <w:pPr>
              <w:keepLines/>
              <w:jc w:val="left"/>
              <w:rPr>
                <w:rFonts w:ascii="Arial Narrow" w:hAnsi="Arial Narrow"/>
                <w:sz w:val="20"/>
                <w:szCs w:val="20"/>
              </w:rPr>
            </w:pPr>
            <w:r w:rsidRPr="009D62DE">
              <w:rPr>
                <w:rFonts w:ascii="Arial Narrow" w:hAnsi="Arial Narrow"/>
                <w:sz w:val="20"/>
                <w:szCs w:val="20"/>
              </w:rPr>
              <w:t>zilucoplan 40 mg/mL 0.574 mL injection, 28 pre-filled syringes</w:t>
            </w:r>
          </w:p>
        </w:tc>
        <w:tc>
          <w:tcPr>
            <w:tcW w:w="999" w:type="pct"/>
            <w:vAlign w:val="center"/>
          </w:tcPr>
          <w:p w14:paraId="5616AF47" w14:textId="77777777" w:rsidR="00A1418F" w:rsidRPr="009D62DE" w:rsidRDefault="00A1418F" w:rsidP="00BE10F4">
            <w:pPr>
              <w:keepLines/>
              <w:spacing w:line="256" w:lineRule="auto"/>
              <w:jc w:val="center"/>
              <w:rPr>
                <w:rFonts w:ascii="Arial Narrow" w:hAnsi="Arial Narrow"/>
                <w:sz w:val="20"/>
                <w:szCs w:val="20"/>
              </w:rPr>
            </w:pPr>
            <w:r w:rsidRPr="009D62DE">
              <w:rPr>
                <w:rFonts w:ascii="Arial Narrow" w:hAnsi="Arial Narrow"/>
                <w:sz w:val="20"/>
                <w:szCs w:val="20"/>
              </w:rPr>
              <w:t>NEW HSD (Public)</w:t>
            </w:r>
          </w:p>
          <w:p w14:paraId="3F4F114F" w14:textId="77777777" w:rsidR="00A1418F" w:rsidRPr="009D62DE" w:rsidRDefault="00A1418F" w:rsidP="00BE10F4">
            <w:pPr>
              <w:pStyle w:val="COMTabletext"/>
              <w:keepNext w:val="0"/>
              <w:keepLines/>
              <w:jc w:val="center"/>
              <w:rPr>
                <w:i/>
                <w:iCs/>
                <w:szCs w:val="20"/>
              </w:rPr>
            </w:pPr>
            <w:r w:rsidRPr="009D62DE">
              <w:rPr>
                <w:szCs w:val="20"/>
              </w:rPr>
              <w:t>NEW HSD (Private)</w:t>
            </w:r>
          </w:p>
        </w:tc>
        <w:tc>
          <w:tcPr>
            <w:tcW w:w="532" w:type="pct"/>
            <w:vAlign w:val="center"/>
          </w:tcPr>
          <w:p w14:paraId="5757C75C" w14:textId="77777777" w:rsidR="00A1418F" w:rsidRPr="009D62DE" w:rsidRDefault="00A1418F" w:rsidP="00BE10F4">
            <w:pPr>
              <w:keepLines/>
              <w:jc w:val="center"/>
              <w:rPr>
                <w:rFonts w:ascii="Arial Narrow" w:hAnsi="Arial Narrow"/>
                <w:sz w:val="20"/>
                <w:szCs w:val="20"/>
              </w:rPr>
            </w:pPr>
            <w:r w:rsidRPr="009D62DE">
              <w:rPr>
                <w:rFonts w:ascii="Arial Narrow" w:hAnsi="Arial Narrow"/>
                <w:sz w:val="20"/>
              </w:rPr>
              <w:t>1</w:t>
            </w:r>
          </w:p>
        </w:tc>
        <w:tc>
          <w:tcPr>
            <w:tcW w:w="533" w:type="pct"/>
            <w:vAlign w:val="center"/>
          </w:tcPr>
          <w:p w14:paraId="5D87EF15" w14:textId="77777777" w:rsidR="00A1418F" w:rsidRPr="009D62DE" w:rsidRDefault="00A1418F" w:rsidP="00BE10F4">
            <w:pPr>
              <w:keepLines/>
              <w:jc w:val="center"/>
              <w:rPr>
                <w:rFonts w:ascii="Arial Narrow" w:hAnsi="Arial Narrow"/>
                <w:sz w:val="20"/>
                <w:szCs w:val="20"/>
              </w:rPr>
            </w:pPr>
            <w:r w:rsidRPr="009D62DE">
              <w:rPr>
                <w:rFonts w:ascii="Arial Narrow" w:hAnsi="Arial Narrow"/>
                <w:sz w:val="20"/>
              </w:rPr>
              <w:t>28</w:t>
            </w:r>
          </w:p>
        </w:tc>
        <w:tc>
          <w:tcPr>
            <w:tcW w:w="532" w:type="pct"/>
            <w:vAlign w:val="center"/>
          </w:tcPr>
          <w:p w14:paraId="42EBF097" w14:textId="77777777" w:rsidR="00A1418F" w:rsidRPr="009D62DE" w:rsidRDefault="00A1418F" w:rsidP="00BE10F4">
            <w:pPr>
              <w:keepLines/>
              <w:jc w:val="center"/>
              <w:rPr>
                <w:rFonts w:ascii="Arial Narrow" w:hAnsi="Arial Narrow"/>
                <w:sz w:val="20"/>
                <w:szCs w:val="20"/>
              </w:rPr>
            </w:pPr>
            <w:r w:rsidRPr="009D62DE">
              <w:rPr>
                <w:rFonts w:ascii="Arial Narrow" w:hAnsi="Arial Narrow"/>
                <w:sz w:val="20"/>
              </w:rPr>
              <w:t>3</w:t>
            </w:r>
          </w:p>
        </w:tc>
        <w:tc>
          <w:tcPr>
            <w:tcW w:w="677" w:type="pct"/>
            <w:vMerge/>
            <w:vAlign w:val="center"/>
          </w:tcPr>
          <w:p w14:paraId="7079A346" w14:textId="77777777" w:rsidR="00A1418F" w:rsidRPr="009D62DE" w:rsidRDefault="00A1418F" w:rsidP="00BE10F4">
            <w:pPr>
              <w:keepLines/>
              <w:rPr>
                <w:rFonts w:ascii="Arial Narrow" w:hAnsi="Arial Narrow"/>
                <w:color w:val="0066FF"/>
                <w:sz w:val="20"/>
                <w:szCs w:val="20"/>
              </w:rPr>
            </w:pPr>
          </w:p>
        </w:tc>
      </w:tr>
      <w:tr w:rsidR="00A1418F" w:rsidRPr="009D62DE" w14:paraId="411BB730" w14:textId="77777777" w:rsidTr="00763EB8">
        <w:trPr>
          <w:cantSplit/>
          <w:trHeight w:val="20"/>
        </w:trPr>
        <w:tc>
          <w:tcPr>
            <w:tcW w:w="1727" w:type="pct"/>
            <w:gridSpan w:val="2"/>
          </w:tcPr>
          <w:p w14:paraId="27F40988" w14:textId="77777777" w:rsidR="00A1418F" w:rsidRPr="009D62DE" w:rsidRDefault="00A1418F" w:rsidP="00BE10F4">
            <w:pPr>
              <w:keepLines/>
              <w:jc w:val="left"/>
              <w:rPr>
                <w:rFonts w:ascii="Arial Narrow" w:hAnsi="Arial Narrow"/>
                <w:sz w:val="20"/>
                <w:szCs w:val="20"/>
              </w:rPr>
            </w:pPr>
            <w:r w:rsidRPr="009D62DE">
              <w:rPr>
                <w:rFonts w:ascii="Arial Narrow" w:hAnsi="Arial Narrow"/>
                <w:sz w:val="20"/>
                <w:szCs w:val="20"/>
              </w:rPr>
              <w:t>zilucoplan 40 mg/mL 0.810 mL injection, 28 pre-filled syringes</w:t>
            </w:r>
          </w:p>
        </w:tc>
        <w:tc>
          <w:tcPr>
            <w:tcW w:w="999" w:type="pct"/>
            <w:vAlign w:val="center"/>
          </w:tcPr>
          <w:p w14:paraId="581E7CDF" w14:textId="77777777" w:rsidR="00A1418F" w:rsidRPr="009D62DE" w:rsidRDefault="00A1418F" w:rsidP="00BE10F4">
            <w:pPr>
              <w:keepLines/>
              <w:spacing w:line="256" w:lineRule="auto"/>
              <w:jc w:val="center"/>
              <w:rPr>
                <w:rFonts w:ascii="Arial Narrow" w:hAnsi="Arial Narrow"/>
                <w:sz w:val="20"/>
                <w:szCs w:val="20"/>
              </w:rPr>
            </w:pPr>
            <w:r w:rsidRPr="009D62DE">
              <w:rPr>
                <w:rFonts w:ascii="Arial Narrow" w:hAnsi="Arial Narrow"/>
                <w:sz w:val="20"/>
                <w:szCs w:val="20"/>
              </w:rPr>
              <w:t>NEW HSD (Public)</w:t>
            </w:r>
          </w:p>
          <w:p w14:paraId="24A96861" w14:textId="77777777" w:rsidR="00A1418F" w:rsidRPr="009D62DE" w:rsidRDefault="00A1418F" w:rsidP="00BE10F4">
            <w:pPr>
              <w:pStyle w:val="Tabletext0"/>
              <w:jc w:val="center"/>
            </w:pPr>
            <w:r w:rsidRPr="009D62DE">
              <w:rPr>
                <w:szCs w:val="20"/>
              </w:rPr>
              <w:t>NEW HSD (Private)</w:t>
            </w:r>
          </w:p>
        </w:tc>
        <w:tc>
          <w:tcPr>
            <w:tcW w:w="532" w:type="pct"/>
            <w:vAlign w:val="center"/>
          </w:tcPr>
          <w:p w14:paraId="12162443"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1</w:t>
            </w:r>
          </w:p>
        </w:tc>
        <w:tc>
          <w:tcPr>
            <w:tcW w:w="533" w:type="pct"/>
            <w:vAlign w:val="center"/>
          </w:tcPr>
          <w:p w14:paraId="7679DBB4"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28</w:t>
            </w:r>
          </w:p>
        </w:tc>
        <w:tc>
          <w:tcPr>
            <w:tcW w:w="532" w:type="pct"/>
            <w:vAlign w:val="center"/>
          </w:tcPr>
          <w:p w14:paraId="3BEE7F87"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3</w:t>
            </w:r>
          </w:p>
        </w:tc>
        <w:tc>
          <w:tcPr>
            <w:tcW w:w="677" w:type="pct"/>
            <w:vMerge/>
            <w:vAlign w:val="center"/>
          </w:tcPr>
          <w:p w14:paraId="479F30B0" w14:textId="77777777" w:rsidR="00A1418F" w:rsidRPr="009D62DE" w:rsidRDefault="00A1418F" w:rsidP="00BE10F4">
            <w:pPr>
              <w:keepLines/>
              <w:rPr>
                <w:rFonts w:ascii="Arial Narrow" w:hAnsi="Arial Narrow"/>
                <w:color w:val="0066FF"/>
                <w:sz w:val="20"/>
                <w:szCs w:val="20"/>
              </w:rPr>
            </w:pPr>
          </w:p>
        </w:tc>
      </w:tr>
      <w:tr w:rsidR="00A1418F" w:rsidRPr="009D62DE" w14:paraId="5FD42EC6" w14:textId="77777777" w:rsidTr="00763EB8">
        <w:trPr>
          <w:cantSplit/>
          <w:trHeight w:val="20"/>
        </w:trPr>
        <w:tc>
          <w:tcPr>
            <w:tcW w:w="1727" w:type="pct"/>
            <w:gridSpan w:val="2"/>
          </w:tcPr>
          <w:p w14:paraId="5F4F91D0" w14:textId="77777777" w:rsidR="00A1418F" w:rsidRPr="009D62DE" w:rsidRDefault="00A1418F" w:rsidP="00BE10F4">
            <w:pPr>
              <w:keepLines/>
              <w:jc w:val="left"/>
              <w:rPr>
                <w:rFonts w:ascii="Arial Narrow" w:hAnsi="Arial Narrow"/>
                <w:sz w:val="20"/>
                <w:szCs w:val="20"/>
              </w:rPr>
            </w:pPr>
            <w:r w:rsidRPr="009D62DE">
              <w:rPr>
                <w:rFonts w:ascii="Arial Narrow" w:hAnsi="Arial Narrow"/>
                <w:sz w:val="20"/>
                <w:szCs w:val="20"/>
              </w:rPr>
              <w:t>zilucoplan 40 mg/mL 0.416 mL injection, 7 pre-filled syringes</w:t>
            </w:r>
          </w:p>
        </w:tc>
        <w:tc>
          <w:tcPr>
            <w:tcW w:w="999" w:type="pct"/>
            <w:vAlign w:val="center"/>
          </w:tcPr>
          <w:p w14:paraId="0A99CF8D" w14:textId="77777777" w:rsidR="00A1418F" w:rsidRPr="009D62DE" w:rsidRDefault="00A1418F" w:rsidP="00BE10F4">
            <w:pPr>
              <w:keepLines/>
              <w:spacing w:line="256" w:lineRule="auto"/>
              <w:jc w:val="center"/>
              <w:rPr>
                <w:rFonts w:ascii="Arial Narrow" w:hAnsi="Arial Narrow"/>
                <w:sz w:val="20"/>
                <w:szCs w:val="20"/>
              </w:rPr>
            </w:pPr>
            <w:r w:rsidRPr="009D62DE">
              <w:rPr>
                <w:rFonts w:ascii="Arial Narrow" w:hAnsi="Arial Narrow"/>
                <w:sz w:val="20"/>
                <w:szCs w:val="20"/>
              </w:rPr>
              <w:t>NEW HSD (Public)</w:t>
            </w:r>
          </w:p>
          <w:p w14:paraId="49BC18C8" w14:textId="77777777" w:rsidR="00A1418F" w:rsidRPr="009D62DE" w:rsidRDefault="00A1418F" w:rsidP="00BE10F4">
            <w:pPr>
              <w:pStyle w:val="Tabletext0"/>
              <w:jc w:val="center"/>
            </w:pPr>
            <w:r w:rsidRPr="009D62DE">
              <w:rPr>
                <w:szCs w:val="20"/>
              </w:rPr>
              <w:t>NEW HSD (Private)</w:t>
            </w:r>
          </w:p>
        </w:tc>
        <w:tc>
          <w:tcPr>
            <w:tcW w:w="532" w:type="pct"/>
            <w:vAlign w:val="center"/>
          </w:tcPr>
          <w:p w14:paraId="500F9236"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4</w:t>
            </w:r>
          </w:p>
        </w:tc>
        <w:tc>
          <w:tcPr>
            <w:tcW w:w="533" w:type="pct"/>
            <w:vAlign w:val="center"/>
          </w:tcPr>
          <w:p w14:paraId="00690E7E"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28</w:t>
            </w:r>
          </w:p>
        </w:tc>
        <w:tc>
          <w:tcPr>
            <w:tcW w:w="532" w:type="pct"/>
            <w:vAlign w:val="center"/>
          </w:tcPr>
          <w:p w14:paraId="595DA853"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3</w:t>
            </w:r>
          </w:p>
        </w:tc>
        <w:tc>
          <w:tcPr>
            <w:tcW w:w="677" w:type="pct"/>
            <w:vMerge/>
            <w:vAlign w:val="center"/>
          </w:tcPr>
          <w:p w14:paraId="790F6CF7" w14:textId="77777777" w:rsidR="00A1418F" w:rsidRPr="009D62DE" w:rsidRDefault="00A1418F" w:rsidP="00BE10F4">
            <w:pPr>
              <w:keepLines/>
              <w:rPr>
                <w:rFonts w:ascii="Arial Narrow" w:hAnsi="Arial Narrow"/>
                <w:color w:val="0066FF"/>
                <w:sz w:val="20"/>
                <w:szCs w:val="20"/>
              </w:rPr>
            </w:pPr>
          </w:p>
        </w:tc>
      </w:tr>
      <w:tr w:rsidR="00A1418F" w:rsidRPr="009D62DE" w14:paraId="16D670C8" w14:textId="77777777" w:rsidTr="00763EB8">
        <w:trPr>
          <w:cantSplit/>
          <w:trHeight w:val="20"/>
        </w:trPr>
        <w:tc>
          <w:tcPr>
            <w:tcW w:w="1727" w:type="pct"/>
            <w:gridSpan w:val="2"/>
          </w:tcPr>
          <w:p w14:paraId="6A134342" w14:textId="77777777" w:rsidR="00A1418F" w:rsidRPr="009D62DE" w:rsidRDefault="00A1418F" w:rsidP="00BE10F4">
            <w:pPr>
              <w:keepLines/>
              <w:jc w:val="left"/>
              <w:rPr>
                <w:rFonts w:ascii="Arial Narrow" w:hAnsi="Arial Narrow"/>
                <w:sz w:val="20"/>
                <w:szCs w:val="20"/>
              </w:rPr>
            </w:pPr>
            <w:r w:rsidRPr="009D62DE">
              <w:rPr>
                <w:rFonts w:ascii="Arial Narrow" w:hAnsi="Arial Narrow"/>
                <w:sz w:val="20"/>
                <w:szCs w:val="20"/>
              </w:rPr>
              <w:t>zilucoplan 40 mg/mL 0.574 mL injection, 7 pre-filled syringes</w:t>
            </w:r>
          </w:p>
        </w:tc>
        <w:tc>
          <w:tcPr>
            <w:tcW w:w="999" w:type="pct"/>
            <w:vAlign w:val="center"/>
          </w:tcPr>
          <w:p w14:paraId="0008394F" w14:textId="77777777" w:rsidR="00A1418F" w:rsidRPr="009D62DE" w:rsidRDefault="00A1418F" w:rsidP="00BE10F4">
            <w:pPr>
              <w:keepLines/>
              <w:spacing w:line="256" w:lineRule="auto"/>
              <w:jc w:val="center"/>
              <w:rPr>
                <w:rFonts w:ascii="Arial Narrow" w:hAnsi="Arial Narrow"/>
                <w:sz w:val="20"/>
                <w:szCs w:val="20"/>
              </w:rPr>
            </w:pPr>
            <w:r w:rsidRPr="009D62DE">
              <w:rPr>
                <w:rFonts w:ascii="Arial Narrow" w:hAnsi="Arial Narrow"/>
                <w:sz w:val="20"/>
                <w:szCs w:val="20"/>
              </w:rPr>
              <w:t>NEW HSD (Public)</w:t>
            </w:r>
          </w:p>
          <w:p w14:paraId="568B489D" w14:textId="77777777" w:rsidR="00A1418F" w:rsidRPr="009D62DE" w:rsidRDefault="00A1418F" w:rsidP="00BE10F4">
            <w:pPr>
              <w:pStyle w:val="Tabletext0"/>
              <w:jc w:val="center"/>
            </w:pPr>
            <w:r w:rsidRPr="009D62DE">
              <w:rPr>
                <w:szCs w:val="20"/>
              </w:rPr>
              <w:t>NEW HSD (Private)</w:t>
            </w:r>
          </w:p>
        </w:tc>
        <w:tc>
          <w:tcPr>
            <w:tcW w:w="532" w:type="pct"/>
            <w:vAlign w:val="center"/>
          </w:tcPr>
          <w:p w14:paraId="386DA2BA"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4</w:t>
            </w:r>
          </w:p>
        </w:tc>
        <w:tc>
          <w:tcPr>
            <w:tcW w:w="533" w:type="pct"/>
            <w:vAlign w:val="center"/>
          </w:tcPr>
          <w:p w14:paraId="61088C11"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28</w:t>
            </w:r>
          </w:p>
        </w:tc>
        <w:tc>
          <w:tcPr>
            <w:tcW w:w="532" w:type="pct"/>
            <w:vAlign w:val="center"/>
          </w:tcPr>
          <w:p w14:paraId="1FF2417E"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3</w:t>
            </w:r>
          </w:p>
        </w:tc>
        <w:tc>
          <w:tcPr>
            <w:tcW w:w="677" w:type="pct"/>
            <w:vMerge/>
            <w:vAlign w:val="center"/>
          </w:tcPr>
          <w:p w14:paraId="2BC74608" w14:textId="77777777" w:rsidR="00A1418F" w:rsidRPr="009D62DE" w:rsidRDefault="00A1418F" w:rsidP="00BE10F4">
            <w:pPr>
              <w:keepLines/>
              <w:rPr>
                <w:rFonts w:ascii="Arial Narrow" w:hAnsi="Arial Narrow"/>
                <w:color w:val="0066FF"/>
                <w:sz w:val="20"/>
                <w:szCs w:val="20"/>
              </w:rPr>
            </w:pPr>
          </w:p>
        </w:tc>
      </w:tr>
      <w:tr w:rsidR="00A1418F" w:rsidRPr="009D62DE" w14:paraId="67A2BB6F" w14:textId="77777777" w:rsidTr="00763EB8">
        <w:trPr>
          <w:cantSplit/>
          <w:trHeight w:val="20"/>
        </w:trPr>
        <w:tc>
          <w:tcPr>
            <w:tcW w:w="1727" w:type="pct"/>
            <w:gridSpan w:val="2"/>
          </w:tcPr>
          <w:p w14:paraId="3BB17442" w14:textId="77777777" w:rsidR="00A1418F" w:rsidRPr="009D62DE" w:rsidRDefault="00A1418F" w:rsidP="00BE10F4">
            <w:pPr>
              <w:keepLines/>
              <w:jc w:val="left"/>
              <w:rPr>
                <w:rFonts w:ascii="Arial Narrow" w:hAnsi="Arial Narrow"/>
                <w:sz w:val="20"/>
                <w:szCs w:val="20"/>
              </w:rPr>
            </w:pPr>
            <w:r w:rsidRPr="009D62DE">
              <w:rPr>
                <w:rFonts w:ascii="Arial Narrow" w:hAnsi="Arial Narrow"/>
                <w:sz w:val="20"/>
                <w:szCs w:val="20"/>
              </w:rPr>
              <w:t>zilucoplan 40 mg/mL 0.810 mL injection, 7 pre-filled syringes</w:t>
            </w:r>
          </w:p>
        </w:tc>
        <w:tc>
          <w:tcPr>
            <w:tcW w:w="999" w:type="pct"/>
            <w:vAlign w:val="center"/>
          </w:tcPr>
          <w:p w14:paraId="21C5EC62" w14:textId="77777777" w:rsidR="00A1418F" w:rsidRPr="009D62DE" w:rsidRDefault="00A1418F" w:rsidP="00BE10F4">
            <w:pPr>
              <w:keepLines/>
              <w:spacing w:line="256" w:lineRule="auto"/>
              <w:jc w:val="center"/>
              <w:rPr>
                <w:rFonts w:ascii="Arial Narrow" w:hAnsi="Arial Narrow"/>
                <w:sz w:val="20"/>
                <w:szCs w:val="20"/>
              </w:rPr>
            </w:pPr>
            <w:r w:rsidRPr="009D62DE">
              <w:rPr>
                <w:rFonts w:ascii="Arial Narrow" w:hAnsi="Arial Narrow"/>
                <w:sz w:val="20"/>
                <w:szCs w:val="20"/>
              </w:rPr>
              <w:t>NEW HSD (Public)</w:t>
            </w:r>
          </w:p>
          <w:p w14:paraId="410A2E5D" w14:textId="77777777" w:rsidR="00A1418F" w:rsidRPr="009D62DE" w:rsidRDefault="00A1418F" w:rsidP="00BE10F4">
            <w:pPr>
              <w:pStyle w:val="Tabletext0"/>
              <w:jc w:val="center"/>
            </w:pPr>
            <w:r w:rsidRPr="009D62DE">
              <w:rPr>
                <w:szCs w:val="20"/>
              </w:rPr>
              <w:t>NEW HSD (Private)</w:t>
            </w:r>
          </w:p>
        </w:tc>
        <w:tc>
          <w:tcPr>
            <w:tcW w:w="532" w:type="pct"/>
            <w:vAlign w:val="center"/>
          </w:tcPr>
          <w:p w14:paraId="3EA1798E"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4</w:t>
            </w:r>
          </w:p>
        </w:tc>
        <w:tc>
          <w:tcPr>
            <w:tcW w:w="533" w:type="pct"/>
            <w:vAlign w:val="center"/>
          </w:tcPr>
          <w:p w14:paraId="53C11945"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28</w:t>
            </w:r>
          </w:p>
        </w:tc>
        <w:tc>
          <w:tcPr>
            <w:tcW w:w="532" w:type="pct"/>
            <w:vAlign w:val="center"/>
          </w:tcPr>
          <w:p w14:paraId="31F3605B" w14:textId="77777777" w:rsidR="00A1418F" w:rsidRPr="009D62DE" w:rsidRDefault="00A1418F" w:rsidP="00BE10F4">
            <w:pPr>
              <w:keepLines/>
              <w:jc w:val="center"/>
              <w:rPr>
                <w:rFonts w:ascii="Arial Narrow" w:hAnsi="Arial Narrow"/>
                <w:sz w:val="20"/>
              </w:rPr>
            </w:pPr>
            <w:r w:rsidRPr="009D62DE">
              <w:rPr>
                <w:rFonts w:ascii="Arial Narrow" w:hAnsi="Arial Narrow"/>
                <w:sz w:val="20"/>
              </w:rPr>
              <w:t>3</w:t>
            </w:r>
          </w:p>
        </w:tc>
        <w:tc>
          <w:tcPr>
            <w:tcW w:w="677" w:type="pct"/>
            <w:vMerge/>
            <w:vAlign w:val="center"/>
          </w:tcPr>
          <w:p w14:paraId="60C4594D" w14:textId="77777777" w:rsidR="00A1418F" w:rsidRPr="009D62DE" w:rsidRDefault="00A1418F" w:rsidP="00BE10F4">
            <w:pPr>
              <w:keepLines/>
              <w:rPr>
                <w:rFonts w:ascii="Arial Narrow" w:hAnsi="Arial Narrow"/>
                <w:color w:val="0066FF"/>
                <w:sz w:val="20"/>
                <w:szCs w:val="20"/>
              </w:rPr>
            </w:pPr>
          </w:p>
        </w:tc>
      </w:tr>
      <w:tr w:rsidR="00A1418F" w:rsidRPr="009D62DE" w14:paraId="5DD9B25C" w14:textId="77777777" w:rsidTr="00763EB8">
        <w:trPr>
          <w:cantSplit/>
          <w:trHeight w:val="20"/>
        </w:trPr>
        <w:tc>
          <w:tcPr>
            <w:tcW w:w="5000" w:type="pct"/>
            <w:gridSpan w:val="7"/>
          </w:tcPr>
          <w:p w14:paraId="68FD70B5" w14:textId="77777777" w:rsidR="00A1418F" w:rsidRPr="009D62DE" w:rsidRDefault="00A1418F" w:rsidP="00BE10F4">
            <w:pPr>
              <w:keepLines/>
              <w:rPr>
                <w:rFonts w:ascii="Arial Narrow" w:hAnsi="Arial Narrow"/>
                <w:color w:val="0066FF"/>
                <w:sz w:val="20"/>
                <w:szCs w:val="20"/>
              </w:rPr>
            </w:pPr>
          </w:p>
        </w:tc>
      </w:tr>
      <w:tr w:rsidR="00A1418F" w:rsidRPr="009D62DE" w14:paraId="2214F34B"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039C4EC3" w14:textId="77777777" w:rsidR="00A1418F" w:rsidRPr="009D62DE" w:rsidRDefault="00A1418F" w:rsidP="00BE10F4">
            <w:pPr>
              <w:pStyle w:val="COMTabletext"/>
              <w:keepNext w:val="0"/>
              <w:keepLines/>
              <w:rPr>
                <w:b/>
              </w:rPr>
            </w:pPr>
          </w:p>
        </w:tc>
        <w:tc>
          <w:tcPr>
            <w:tcW w:w="4434" w:type="pct"/>
            <w:gridSpan w:val="6"/>
          </w:tcPr>
          <w:p w14:paraId="1E86526D" w14:textId="6B8EA3E3" w:rsidR="00A1418F" w:rsidRPr="009D62DE" w:rsidRDefault="00A1418F" w:rsidP="00BE10F4">
            <w:pPr>
              <w:pStyle w:val="COMTabletext"/>
              <w:keepNext w:val="0"/>
              <w:keepLines/>
            </w:pPr>
            <w:r w:rsidRPr="009D62DE">
              <w:rPr>
                <w:b/>
              </w:rPr>
              <w:t xml:space="preserve">Category / Program: </w:t>
            </w:r>
            <w:r w:rsidRPr="009D62DE">
              <w:rPr>
                <w:bCs w:val="0"/>
              </w:rPr>
              <w:t>Section 100 – Highly Specialised Drugs Program</w:t>
            </w:r>
            <w:r w:rsidRPr="009D62DE">
              <w:rPr>
                <w:b/>
              </w:rPr>
              <w:t xml:space="preserve"> </w:t>
            </w:r>
          </w:p>
        </w:tc>
      </w:tr>
      <w:tr w:rsidR="00A1418F" w:rsidRPr="009D62DE" w14:paraId="2C53EA2A"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18C659F7" w14:textId="77777777" w:rsidR="00A1418F" w:rsidRPr="009D62DE" w:rsidRDefault="00A1418F" w:rsidP="00BE10F4">
            <w:pPr>
              <w:pStyle w:val="COMTabletext"/>
              <w:keepNext w:val="0"/>
              <w:keepLines/>
              <w:rPr>
                <w:b/>
              </w:rPr>
            </w:pPr>
          </w:p>
        </w:tc>
        <w:tc>
          <w:tcPr>
            <w:tcW w:w="4434" w:type="pct"/>
            <w:gridSpan w:val="6"/>
          </w:tcPr>
          <w:p w14:paraId="0C762AC8" w14:textId="77777777" w:rsidR="00A1418F" w:rsidRPr="009D62DE" w:rsidRDefault="00A1418F" w:rsidP="00BE10F4">
            <w:pPr>
              <w:pStyle w:val="COMTabletext"/>
              <w:keepNext w:val="0"/>
              <w:keepLines/>
              <w:rPr>
                <w:b/>
              </w:rPr>
            </w:pPr>
            <w:r w:rsidRPr="009D62DE">
              <w:rPr>
                <w:b/>
              </w:rPr>
              <w:t xml:space="preserve">Prescriber type: </w:t>
            </w:r>
            <w:r w:rsidRPr="009D62DE">
              <w:fldChar w:fldCharType="begin" w:fldLock="1">
                <w:ffData>
                  <w:name w:val=""/>
                  <w:enabled/>
                  <w:calcOnExit w:val="0"/>
                  <w:checkBox>
                    <w:sizeAuto/>
                    <w:default w:val="1"/>
                  </w:checkBox>
                </w:ffData>
              </w:fldChar>
            </w:r>
            <w:r w:rsidRPr="009D62DE">
              <w:instrText xml:space="preserve"> FORMCHECKBOX </w:instrText>
            </w:r>
            <w:r w:rsidRPr="009D62DE">
              <w:fldChar w:fldCharType="separate"/>
            </w:r>
            <w:r w:rsidRPr="009D62DE">
              <w:fldChar w:fldCharType="end"/>
            </w:r>
            <w:r w:rsidRPr="009D62DE">
              <w:t xml:space="preserve">Medical Practitioners </w:t>
            </w:r>
          </w:p>
        </w:tc>
      </w:tr>
      <w:tr w:rsidR="00A1418F" w:rsidRPr="009D62DE" w14:paraId="7514D784"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2A4B06E1" w14:textId="77777777" w:rsidR="00A1418F" w:rsidRPr="009D62DE" w:rsidRDefault="00A1418F" w:rsidP="00BE10F4">
            <w:pPr>
              <w:pStyle w:val="COMTabletext"/>
              <w:keepNext w:val="0"/>
              <w:keepLines/>
              <w:rPr>
                <w:b/>
              </w:rPr>
            </w:pPr>
          </w:p>
        </w:tc>
        <w:tc>
          <w:tcPr>
            <w:tcW w:w="4434" w:type="pct"/>
            <w:gridSpan w:val="6"/>
          </w:tcPr>
          <w:p w14:paraId="1B53B35E" w14:textId="77777777" w:rsidR="00A1418F" w:rsidRPr="009D62DE" w:rsidRDefault="00A1418F" w:rsidP="00BE10F4">
            <w:pPr>
              <w:pStyle w:val="COMTabletext"/>
              <w:keepNext w:val="0"/>
              <w:keepLines/>
              <w:rPr>
                <w:rFonts w:eastAsia="Times New Roman"/>
              </w:rPr>
            </w:pPr>
            <w:r w:rsidRPr="009D62DE">
              <w:rPr>
                <w:b/>
              </w:rPr>
              <w:t xml:space="preserve">Restriction type: </w:t>
            </w:r>
            <w:r w:rsidRPr="009D62DE">
              <w:rPr>
                <w:rFonts w:eastAsia="Times New Roman"/>
              </w:rPr>
              <w:fldChar w:fldCharType="begin" w:fldLock="1">
                <w:ffData>
                  <w:name w:val=""/>
                  <w:enabled/>
                  <w:calcOnExit w:val="0"/>
                  <w:checkBox>
                    <w:sizeAuto/>
                    <w:default w:val="1"/>
                  </w:checkBox>
                </w:ffData>
              </w:fldChar>
            </w:r>
            <w:r w:rsidRPr="009D62DE">
              <w:rPr>
                <w:rFonts w:eastAsia="Times New Roman"/>
              </w:rPr>
              <w:instrText xml:space="preserve"> FORMCHECKBOX </w:instrText>
            </w:r>
            <w:r w:rsidRPr="009D62DE">
              <w:rPr>
                <w:rFonts w:eastAsia="Times New Roman"/>
              </w:rPr>
            </w:r>
            <w:r w:rsidRPr="009D62DE">
              <w:rPr>
                <w:rFonts w:eastAsia="Times New Roman"/>
              </w:rPr>
              <w:fldChar w:fldCharType="separate"/>
            </w:r>
            <w:r w:rsidRPr="009D62DE">
              <w:rPr>
                <w:rFonts w:eastAsia="Times New Roman"/>
              </w:rPr>
              <w:fldChar w:fldCharType="end"/>
            </w:r>
            <w:r w:rsidRPr="009D62DE">
              <w:rPr>
                <w:rFonts w:eastAsia="Times New Roman"/>
              </w:rPr>
              <w:t xml:space="preserve">Authority Required </w:t>
            </w:r>
            <w:r w:rsidRPr="009D62DE">
              <w:rPr>
                <w:rFonts w:eastAsia="Times New Roman"/>
                <w:strike/>
              </w:rPr>
              <w:t>(in writing only via post/HPOS upload)</w:t>
            </w:r>
            <w:r w:rsidRPr="009D62DE">
              <w:rPr>
                <w:rFonts w:eastAsia="Times New Roman"/>
              </w:rPr>
              <w:t xml:space="preserve"> </w:t>
            </w:r>
            <w:r w:rsidRPr="009D62DE">
              <w:rPr>
                <w:rFonts w:eastAsia="Calibri"/>
                <w:i/>
                <w:iCs/>
                <w:szCs w:val="20"/>
              </w:rPr>
              <w:t>non-immediate/delayed assessment by Services Australia (in-writing only via mail/postal service or electronic upload to Hobart; requires at least one concept ID to be marked as ‘FULL’ for full assessment by Services Australia)</w:t>
            </w:r>
          </w:p>
        </w:tc>
      </w:tr>
      <w:tr w:rsidR="00A1418F" w:rsidRPr="009D62DE" w14:paraId="05E4E120"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3B9CCFE6" w14:textId="74E30D85" w:rsidR="00A1418F" w:rsidRPr="009D62DE" w:rsidRDefault="00A1418F" w:rsidP="00BE10F4">
            <w:pPr>
              <w:pStyle w:val="COMTabletext"/>
              <w:keepNext w:val="0"/>
              <w:keepLines/>
              <w:rPr>
                <w:b/>
              </w:rPr>
            </w:pPr>
          </w:p>
        </w:tc>
        <w:tc>
          <w:tcPr>
            <w:tcW w:w="4434" w:type="pct"/>
            <w:gridSpan w:val="6"/>
          </w:tcPr>
          <w:p w14:paraId="09E08898" w14:textId="77777777" w:rsidR="00A1418F" w:rsidRPr="009D62DE" w:rsidRDefault="00A1418F" w:rsidP="00BE10F4">
            <w:pPr>
              <w:pStyle w:val="COMTabletext"/>
              <w:keepLines/>
              <w:rPr>
                <w:bCs w:val="0"/>
              </w:rPr>
            </w:pPr>
            <w:r w:rsidRPr="009D62DE">
              <w:rPr>
                <w:bCs w:val="0"/>
                <w:strike/>
              </w:rPr>
              <w:t>WARNING: Zilucoplan</w:t>
            </w:r>
            <w:r w:rsidRPr="009D62DE">
              <w:rPr>
                <w:bCs w:val="0"/>
              </w:rPr>
              <w:t xml:space="preserve"> </w:t>
            </w:r>
            <w:r w:rsidRPr="009D62DE">
              <w:rPr>
                <w:b/>
                <w:i/>
                <w:iCs/>
                <w:color w:val="333333"/>
                <w:szCs w:val="20"/>
              </w:rPr>
              <w:t xml:space="preserve">Caution: </w:t>
            </w:r>
            <w:r w:rsidRPr="009D62DE">
              <w:rPr>
                <w:i/>
                <w:iCs/>
                <w:color w:val="333333"/>
                <w:szCs w:val="20"/>
              </w:rPr>
              <w:t xml:space="preserve">C5 inhibitors </w:t>
            </w:r>
            <w:r w:rsidRPr="009D62DE">
              <w:rPr>
                <w:bCs w:val="0"/>
              </w:rPr>
              <w:t>increase</w:t>
            </w:r>
            <w:r w:rsidRPr="009D62DE">
              <w:rPr>
                <w:bCs w:val="0"/>
                <w:strike/>
              </w:rPr>
              <w:t>s</w:t>
            </w:r>
            <w:r w:rsidRPr="009D62DE">
              <w:rPr>
                <w:bCs w:val="0"/>
              </w:rPr>
              <w:t xml:space="preserve"> the risk of meningococcal infections (septicaemia and/or meningitis). Please consult the approved PI for information about vaccination against meningococcal infection.</w:t>
            </w:r>
          </w:p>
        </w:tc>
      </w:tr>
      <w:tr w:rsidR="00A1418F" w:rsidRPr="009D62DE" w14:paraId="303424D2"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389D3B0D" w14:textId="77777777" w:rsidR="00A1418F" w:rsidRPr="009D62DE" w:rsidRDefault="00A1418F" w:rsidP="00BE10F4">
            <w:pPr>
              <w:pStyle w:val="COMTabletext"/>
              <w:keepNext w:val="0"/>
              <w:keepLines/>
              <w:rPr>
                <w:b/>
              </w:rPr>
            </w:pPr>
          </w:p>
        </w:tc>
        <w:tc>
          <w:tcPr>
            <w:tcW w:w="4434" w:type="pct"/>
            <w:gridSpan w:val="6"/>
          </w:tcPr>
          <w:p w14:paraId="02EF44EF" w14:textId="77777777" w:rsidR="00A1418F" w:rsidRPr="009D62DE" w:rsidRDefault="00A1418F" w:rsidP="00BE10F4">
            <w:pPr>
              <w:pStyle w:val="COMTabletext"/>
              <w:keepNext w:val="0"/>
              <w:keepLines/>
              <w:rPr>
                <w:b/>
                <w:i/>
                <w:iCs/>
              </w:rPr>
            </w:pPr>
            <w:r w:rsidRPr="009D62DE">
              <w:rPr>
                <w:b/>
                <w:i/>
                <w:iCs/>
              </w:rPr>
              <w:t xml:space="preserve">Episodicity: </w:t>
            </w:r>
            <w:r w:rsidRPr="009D62DE">
              <w:rPr>
                <w:bCs w:val="0"/>
                <w:i/>
                <w:iCs/>
              </w:rPr>
              <w:t>blank</w:t>
            </w:r>
          </w:p>
        </w:tc>
      </w:tr>
      <w:tr w:rsidR="00A1418F" w:rsidRPr="009D62DE" w14:paraId="409680AF"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5B755545" w14:textId="77777777" w:rsidR="00A1418F" w:rsidRPr="009D62DE" w:rsidRDefault="00A1418F" w:rsidP="00BE10F4">
            <w:pPr>
              <w:pStyle w:val="COMTabletext"/>
              <w:keepNext w:val="0"/>
              <w:keepLines/>
              <w:rPr>
                <w:b/>
              </w:rPr>
            </w:pPr>
          </w:p>
        </w:tc>
        <w:tc>
          <w:tcPr>
            <w:tcW w:w="4434" w:type="pct"/>
            <w:gridSpan w:val="6"/>
          </w:tcPr>
          <w:p w14:paraId="3F5525C3" w14:textId="44FEAC16" w:rsidR="00A1418F" w:rsidRPr="009D62DE" w:rsidRDefault="00A1418F" w:rsidP="00BE10F4">
            <w:pPr>
              <w:pStyle w:val="COMTabletext"/>
              <w:keepNext w:val="0"/>
              <w:keepLines/>
              <w:rPr>
                <w:b/>
                <w:i/>
                <w:iCs/>
              </w:rPr>
            </w:pPr>
            <w:r w:rsidRPr="009D62DE">
              <w:rPr>
                <w:b/>
                <w:i/>
                <w:iCs/>
              </w:rPr>
              <w:t xml:space="preserve">Severity: </w:t>
            </w:r>
            <w:r w:rsidR="004071D1" w:rsidRPr="009D62DE">
              <w:rPr>
                <w:bCs w:val="0"/>
                <w:i/>
                <w:iCs/>
              </w:rPr>
              <w:t>blan</w:t>
            </w:r>
            <w:r w:rsidR="004071D1">
              <w:rPr>
                <w:bCs w:val="0"/>
                <w:i/>
                <w:iCs/>
              </w:rPr>
              <w:t>k</w:t>
            </w:r>
          </w:p>
        </w:tc>
      </w:tr>
      <w:tr w:rsidR="00A1418F" w:rsidRPr="009D62DE" w14:paraId="5C7B35E3"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68D3810E" w14:textId="77777777" w:rsidR="00A1418F" w:rsidRPr="009D62DE" w:rsidRDefault="00A1418F" w:rsidP="00BE10F4">
            <w:pPr>
              <w:pStyle w:val="COMTabletext"/>
              <w:keepNext w:val="0"/>
              <w:keepLines/>
              <w:rPr>
                <w:b/>
                <w:i/>
                <w:iCs/>
              </w:rPr>
            </w:pPr>
          </w:p>
        </w:tc>
        <w:tc>
          <w:tcPr>
            <w:tcW w:w="4434" w:type="pct"/>
            <w:gridSpan w:val="6"/>
            <w:vAlign w:val="center"/>
          </w:tcPr>
          <w:p w14:paraId="150ADADE" w14:textId="77777777" w:rsidR="00A1418F" w:rsidRPr="009D62DE" w:rsidRDefault="00A1418F" w:rsidP="00BE10F4">
            <w:pPr>
              <w:pStyle w:val="COMTabletext"/>
              <w:keepNext w:val="0"/>
              <w:keepLines/>
              <w:rPr>
                <w:b/>
                <w:i/>
                <w:iCs/>
              </w:rPr>
            </w:pPr>
            <w:r w:rsidRPr="009D62DE">
              <w:rPr>
                <w:b/>
                <w:i/>
                <w:iCs/>
              </w:rPr>
              <w:t xml:space="preserve">Condition: </w:t>
            </w:r>
            <w:r w:rsidRPr="009D62DE">
              <w:rPr>
                <w:bCs w:val="0"/>
                <w:i/>
                <w:iCs/>
              </w:rPr>
              <w:t>generalised myasthenia gravis (gMG)</w:t>
            </w:r>
          </w:p>
        </w:tc>
      </w:tr>
      <w:tr w:rsidR="00A1418F" w:rsidRPr="009D62DE" w14:paraId="1BAB3E36"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7DCF2AFD" w14:textId="77777777" w:rsidR="00A1418F" w:rsidRPr="009D62DE" w:rsidRDefault="00A1418F" w:rsidP="00BE10F4">
            <w:pPr>
              <w:pStyle w:val="COMTabletext"/>
              <w:keepNext w:val="0"/>
              <w:keepLines/>
              <w:rPr>
                <w:b/>
              </w:rPr>
            </w:pPr>
          </w:p>
        </w:tc>
        <w:tc>
          <w:tcPr>
            <w:tcW w:w="4434" w:type="pct"/>
            <w:gridSpan w:val="6"/>
            <w:vAlign w:val="center"/>
            <w:hideMark/>
          </w:tcPr>
          <w:p w14:paraId="0FB130D6" w14:textId="77777777" w:rsidR="00A1418F" w:rsidRPr="009D62DE" w:rsidRDefault="00A1418F" w:rsidP="00BE10F4">
            <w:pPr>
              <w:pStyle w:val="COMTabletext"/>
              <w:keepNext w:val="0"/>
              <w:keepLines/>
            </w:pPr>
            <w:r w:rsidRPr="009D62DE">
              <w:rPr>
                <w:b/>
              </w:rPr>
              <w:t>Indication:</w:t>
            </w:r>
            <w:r w:rsidRPr="009D62DE">
              <w:t xml:space="preserve"> generalised myasthenia gravis </w:t>
            </w:r>
            <w:r w:rsidRPr="009D62DE">
              <w:rPr>
                <w:i/>
                <w:iCs/>
              </w:rPr>
              <w:t>(gMG)</w:t>
            </w:r>
          </w:p>
        </w:tc>
      </w:tr>
      <w:tr w:rsidR="00A1418F" w:rsidRPr="009D62DE" w14:paraId="2B069E07"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137E6780" w14:textId="77777777" w:rsidR="00A1418F" w:rsidRPr="009D62DE" w:rsidRDefault="00A1418F" w:rsidP="00BE10F4">
            <w:pPr>
              <w:pStyle w:val="COMTabletext"/>
              <w:keepNext w:val="0"/>
              <w:keepLines/>
              <w:rPr>
                <w:b/>
              </w:rPr>
            </w:pPr>
          </w:p>
        </w:tc>
        <w:tc>
          <w:tcPr>
            <w:tcW w:w="4434" w:type="pct"/>
            <w:gridSpan w:val="6"/>
            <w:vAlign w:val="center"/>
            <w:hideMark/>
          </w:tcPr>
          <w:p w14:paraId="735550B8" w14:textId="77777777" w:rsidR="00A1418F" w:rsidRPr="009D62DE" w:rsidRDefault="00A1418F" w:rsidP="00BE10F4">
            <w:pPr>
              <w:pStyle w:val="COMTabletext"/>
              <w:keepNext w:val="0"/>
              <w:keepLines/>
            </w:pPr>
            <w:r w:rsidRPr="009D62DE">
              <w:rPr>
                <w:b/>
              </w:rPr>
              <w:t>Treatment Phase:</w:t>
            </w:r>
            <w:r w:rsidRPr="009D62DE">
              <w:t xml:space="preserve"> Initial treatment</w:t>
            </w:r>
          </w:p>
        </w:tc>
      </w:tr>
      <w:tr w:rsidR="00A1418F" w:rsidRPr="009D62DE" w14:paraId="729ACD3F"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37E93DB2" w14:textId="77777777" w:rsidR="00A1418F" w:rsidRPr="009D62DE" w:rsidRDefault="00A1418F" w:rsidP="00BE10F4">
            <w:pPr>
              <w:pStyle w:val="COMTabletext"/>
              <w:keepNext w:val="0"/>
              <w:keepLines/>
              <w:rPr>
                <w:b/>
              </w:rPr>
            </w:pPr>
          </w:p>
        </w:tc>
        <w:tc>
          <w:tcPr>
            <w:tcW w:w="4434" w:type="pct"/>
            <w:gridSpan w:val="6"/>
            <w:vAlign w:val="center"/>
          </w:tcPr>
          <w:p w14:paraId="09F0B6A0" w14:textId="77777777" w:rsidR="00A1418F" w:rsidRPr="009D62DE" w:rsidRDefault="00A1418F" w:rsidP="00BE10F4">
            <w:pPr>
              <w:pStyle w:val="COMTabletext"/>
              <w:keepNext w:val="0"/>
              <w:keepLines/>
              <w:rPr>
                <w:b/>
              </w:rPr>
            </w:pPr>
          </w:p>
        </w:tc>
      </w:tr>
      <w:tr w:rsidR="00A1418F" w:rsidRPr="009D62DE" w14:paraId="52C06A11"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37C0E1C6" w14:textId="77777777" w:rsidR="00A1418F" w:rsidRPr="009D62DE" w:rsidRDefault="00A1418F" w:rsidP="00BE10F4">
            <w:pPr>
              <w:pStyle w:val="COMTabletext"/>
              <w:keepNext w:val="0"/>
              <w:keepLines/>
              <w:rPr>
                <w:b/>
              </w:rPr>
            </w:pPr>
          </w:p>
        </w:tc>
        <w:tc>
          <w:tcPr>
            <w:tcW w:w="4434" w:type="pct"/>
            <w:gridSpan w:val="6"/>
            <w:vAlign w:val="center"/>
            <w:hideMark/>
          </w:tcPr>
          <w:p w14:paraId="7DA23461" w14:textId="77777777" w:rsidR="00A1418F" w:rsidRPr="009D62DE" w:rsidRDefault="00A1418F" w:rsidP="00BE10F4">
            <w:pPr>
              <w:pStyle w:val="COMTabletext"/>
              <w:keepNext w:val="0"/>
              <w:keepLines/>
            </w:pPr>
            <w:r w:rsidRPr="009D62DE">
              <w:rPr>
                <w:b/>
              </w:rPr>
              <w:t>Clinical criteria:</w:t>
            </w:r>
          </w:p>
        </w:tc>
      </w:tr>
      <w:tr w:rsidR="00A1418F" w:rsidRPr="009D62DE" w14:paraId="11B56178"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3AB1FFB1" w14:textId="77777777" w:rsidR="00A1418F" w:rsidRPr="009D62DE" w:rsidRDefault="00A1418F" w:rsidP="00BE10F4">
            <w:pPr>
              <w:pStyle w:val="COMTabletext"/>
              <w:keepNext w:val="0"/>
              <w:keepLines/>
            </w:pPr>
          </w:p>
        </w:tc>
        <w:tc>
          <w:tcPr>
            <w:tcW w:w="4434" w:type="pct"/>
            <w:gridSpan w:val="6"/>
            <w:vAlign w:val="center"/>
            <w:hideMark/>
          </w:tcPr>
          <w:p w14:paraId="59AB0A42" w14:textId="77777777" w:rsidR="00A1418F" w:rsidRPr="009D62DE" w:rsidRDefault="00A1418F" w:rsidP="00BE10F4">
            <w:pPr>
              <w:pStyle w:val="COMTabletext"/>
              <w:keepNext w:val="0"/>
              <w:keepLines/>
            </w:pPr>
            <w:r w:rsidRPr="009D62DE">
              <w:rPr>
                <w:strike/>
              </w:rPr>
              <w:t>The</w:t>
            </w:r>
            <w:r w:rsidRPr="009D62DE">
              <w:t xml:space="preserve"> Patient must be </w:t>
            </w:r>
            <w:r w:rsidRPr="009D62DE">
              <w:rPr>
                <w:strike/>
              </w:rPr>
              <w:t>≥</w:t>
            </w:r>
            <w:r w:rsidRPr="009D62DE">
              <w:t xml:space="preserve"> </w:t>
            </w:r>
            <w:r w:rsidRPr="009D62DE">
              <w:rPr>
                <w:i/>
                <w:iCs/>
              </w:rPr>
              <w:t>at least</w:t>
            </w:r>
            <w:r w:rsidRPr="009D62DE">
              <w:t xml:space="preserve"> 18 years of age</w:t>
            </w:r>
          </w:p>
        </w:tc>
      </w:tr>
      <w:tr w:rsidR="00A1418F" w:rsidRPr="009D62DE" w14:paraId="6F654737"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7668E3C0" w14:textId="77777777" w:rsidR="00A1418F" w:rsidRPr="009D62DE" w:rsidRDefault="00A1418F" w:rsidP="00BE10F4">
            <w:pPr>
              <w:pStyle w:val="COMTabletext"/>
              <w:keepNext w:val="0"/>
              <w:keepLines/>
              <w:rPr>
                <w:b/>
              </w:rPr>
            </w:pPr>
          </w:p>
        </w:tc>
        <w:tc>
          <w:tcPr>
            <w:tcW w:w="4434" w:type="pct"/>
            <w:gridSpan w:val="6"/>
            <w:vAlign w:val="center"/>
            <w:hideMark/>
          </w:tcPr>
          <w:p w14:paraId="30F62E91" w14:textId="77777777" w:rsidR="00A1418F" w:rsidRPr="009D62DE" w:rsidRDefault="00A1418F" w:rsidP="00BE10F4">
            <w:pPr>
              <w:pStyle w:val="COMTabletext"/>
              <w:keepNext w:val="0"/>
              <w:keepLines/>
            </w:pPr>
            <w:r w:rsidRPr="009D62DE">
              <w:rPr>
                <w:b/>
              </w:rPr>
              <w:t>AND</w:t>
            </w:r>
          </w:p>
        </w:tc>
      </w:tr>
      <w:tr w:rsidR="00A1418F" w:rsidRPr="009D62DE" w14:paraId="2F12C700"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1B6A0151" w14:textId="77777777" w:rsidR="00A1418F" w:rsidRPr="009D62DE" w:rsidRDefault="00A1418F" w:rsidP="00BE10F4">
            <w:pPr>
              <w:pStyle w:val="COMTabletext"/>
              <w:keepNext w:val="0"/>
              <w:keepLines/>
              <w:rPr>
                <w:b/>
              </w:rPr>
            </w:pPr>
          </w:p>
        </w:tc>
        <w:tc>
          <w:tcPr>
            <w:tcW w:w="4434" w:type="pct"/>
            <w:gridSpan w:val="6"/>
            <w:vAlign w:val="center"/>
            <w:hideMark/>
          </w:tcPr>
          <w:p w14:paraId="4CC14F7A" w14:textId="77777777" w:rsidR="00A1418F" w:rsidRPr="009D62DE" w:rsidRDefault="00A1418F" w:rsidP="00BE10F4">
            <w:pPr>
              <w:pStyle w:val="COMTabletext"/>
              <w:keepNext w:val="0"/>
              <w:keepLines/>
            </w:pPr>
            <w:r w:rsidRPr="009D62DE">
              <w:rPr>
                <w:b/>
              </w:rPr>
              <w:t>Clinical criteria:</w:t>
            </w:r>
          </w:p>
        </w:tc>
      </w:tr>
      <w:tr w:rsidR="00A1418F" w:rsidRPr="009D62DE" w14:paraId="25873714"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7E691001" w14:textId="77777777" w:rsidR="00A1418F" w:rsidRPr="009D62DE" w:rsidRDefault="00A1418F" w:rsidP="00BE10F4">
            <w:pPr>
              <w:pStyle w:val="COMTabletext"/>
              <w:keepNext w:val="0"/>
              <w:keepLines/>
            </w:pPr>
          </w:p>
        </w:tc>
        <w:tc>
          <w:tcPr>
            <w:tcW w:w="4434" w:type="pct"/>
            <w:gridSpan w:val="6"/>
            <w:vAlign w:val="center"/>
            <w:hideMark/>
          </w:tcPr>
          <w:p w14:paraId="1F9801BB" w14:textId="77777777" w:rsidR="00A1418F" w:rsidRPr="009D62DE" w:rsidRDefault="00A1418F" w:rsidP="00BE10F4">
            <w:pPr>
              <w:pStyle w:val="COMTabletext"/>
              <w:keepNext w:val="0"/>
              <w:keepLines/>
              <w:rPr>
                <w:color w:val="0066FF"/>
              </w:rPr>
            </w:pPr>
            <w:r w:rsidRPr="009D62DE">
              <w:rPr>
                <w:strike/>
              </w:rPr>
              <w:t>The</w:t>
            </w:r>
            <w:r w:rsidRPr="009D62DE">
              <w:t xml:space="preserve"> Patient must have a diagnosis of Myasthenia Gravis Foundation of America (MGFA) Disease Class II to IV</w:t>
            </w:r>
          </w:p>
        </w:tc>
      </w:tr>
      <w:tr w:rsidR="00A1418F" w:rsidRPr="009D62DE" w14:paraId="1DD64C0F"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4F58D36E" w14:textId="77777777" w:rsidR="00A1418F" w:rsidRPr="009D62DE" w:rsidRDefault="00A1418F" w:rsidP="00BE10F4">
            <w:pPr>
              <w:pStyle w:val="COMTabletext"/>
              <w:keepNext w:val="0"/>
              <w:keepLines/>
              <w:rPr>
                <w:b/>
              </w:rPr>
            </w:pPr>
          </w:p>
        </w:tc>
        <w:tc>
          <w:tcPr>
            <w:tcW w:w="4434" w:type="pct"/>
            <w:gridSpan w:val="6"/>
            <w:vAlign w:val="center"/>
          </w:tcPr>
          <w:p w14:paraId="1DB402A6" w14:textId="77777777" w:rsidR="00A1418F" w:rsidRPr="009D62DE" w:rsidRDefault="00A1418F" w:rsidP="00BE10F4">
            <w:pPr>
              <w:pStyle w:val="COMTabletext"/>
              <w:keepNext w:val="0"/>
              <w:keepLines/>
            </w:pPr>
            <w:r w:rsidRPr="009D62DE">
              <w:rPr>
                <w:b/>
              </w:rPr>
              <w:t>AND</w:t>
            </w:r>
          </w:p>
        </w:tc>
      </w:tr>
      <w:tr w:rsidR="00A1418F" w:rsidRPr="009D62DE" w14:paraId="081DCBD9"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4130A64E" w14:textId="77777777" w:rsidR="00A1418F" w:rsidRPr="009D62DE" w:rsidRDefault="00A1418F" w:rsidP="00BE10F4">
            <w:pPr>
              <w:pStyle w:val="COMTabletext"/>
              <w:keepNext w:val="0"/>
              <w:keepLines/>
              <w:rPr>
                <w:b/>
              </w:rPr>
            </w:pPr>
          </w:p>
        </w:tc>
        <w:tc>
          <w:tcPr>
            <w:tcW w:w="4434" w:type="pct"/>
            <w:gridSpan w:val="6"/>
            <w:vAlign w:val="center"/>
          </w:tcPr>
          <w:p w14:paraId="0268C36D" w14:textId="77777777" w:rsidR="00A1418F" w:rsidRPr="009D62DE" w:rsidRDefault="00A1418F" w:rsidP="00BE10F4">
            <w:pPr>
              <w:pStyle w:val="COMTabletext"/>
              <w:keepNext w:val="0"/>
              <w:keepLines/>
            </w:pPr>
            <w:r w:rsidRPr="009D62DE">
              <w:rPr>
                <w:b/>
              </w:rPr>
              <w:t>Clinical criteria:</w:t>
            </w:r>
          </w:p>
        </w:tc>
      </w:tr>
      <w:tr w:rsidR="00A1418F" w:rsidRPr="009D62DE" w14:paraId="726FF9A8"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7A21ED7E" w14:textId="77777777" w:rsidR="00A1418F" w:rsidRPr="009D62DE" w:rsidRDefault="00A1418F" w:rsidP="00BE10F4">
            <w:pPr>
              <w:pStyle w:val="COMTabletext"/>
              <w:keepNext w:val="0"/>
              <w:keepLines/>
            </w:pPr>
          </w:p>
        </w:tc>
        <w:tc>
          <w:tcPr>
            <w:tcW w:w="4434" w:type="pct"/>
            <w:gridSpan w:val="6"/>
            <w:vAlign w:val="center"/>
          </w:tcPr>
          <w:p w14:paraId="02A0EB4F" w14:textId="77777777" w:rsidR="00A1418F" w:rsidRPr="009D62DE" w:rsidRDefault="00A1418F" w:rsidP="00BE10F4">
            <w:pPr>
              <w:pStyle w:val="COMTabletext"/>
              <w:keepNext w:val="0"/>
              <w:keepLines/>
            </w:pPr>
            <w:r w:rsidRPr="009D62DE">
              <w:rPr>
                <w:strike/>
              </w:rPr>
              <w:t>The</w:t>
            </w:r>
            <w:r w:rsidRPr="009D62DE">
              <w:t xml:space="preserve"> Patient must have a positive serology for acetylcholine receptor (AChR) binding autoantibodies</w:t>
            </w:r>
          </w:p>
        </w:tc>
      </w:tr>
      <w:tr w:rsidR="00A1418F" w:rsidRPr="009D62DE" w14:paraId="25A93642"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4CC99892" w14:textId="77777777" w:rsidR="00A1418F" w:rsidRPr="009D62DE" w:rsidRDefault="00A1418F" w:rsidP="00BE10F4">
            <w:pPr>
              <w:pStyle w:val="COMTabletext"/>
              <w:keepNext w:val="0"/>
              <w:keepLines/>
              <w:rPr>
                <w:b/>
              </w:rPr>
            </w:pPr>
          </w:p>
        </w:tc>
        <w:tc>
          <w:tcPr>
            <w:tcW w:w="4434" w:type="pct"/>
            <w:gridSpan w:val="6"/>
            <w:vAlign w:val="center"/>
          </w:tcPr>
          <w:p w14:paraId="6CEEF13A" w14:textId="77777777" w:rsidR="00A1418F" w:rsidRPr="009D62DE" w:rsidRDefault="00A1418F" w:rsidP="00BE10F4">
            <w:pPr>
              <w:pStyle w:val="COMTabletext"/>
              <w:keepNext w:val="0"/>
              <w:keepLines/>
            </w:pPr>
            <w:r w:rsidRPr="009D62DE">
              <w:rPr>
                <w:b/>
              </w:rPr>
              <w:t>AND</w:t>
            </w:r>
          </w:p>
        </w:tc>
      </w:tr>
      <w:tr w:rsidR="00A1418F" w:rsidRPr="009D62DE" w14:paraId="05EE9D46"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679342F0" w14:textId="77777777" w:rsidR="00A1418F" w:rsidRPr="009D62DE" w:rsidRDefault="00A1418F" w:rsidP="00BE10F4">
            <w:pPr>
              <w:pStyle w:val="COMTabletext"/>
              <w:keepNext w:val="0"/>
              <w:keepLines/>
              <w:rPr>
                <w:b/>
              </w:rPr>
            </w:pPr>
          </w:p>
        </w:tc>
        <w:tc>
          <w:tcPr>
            <w:tcW w:w="4434" w:type="pct"/>
            <w:gridSpan w:val="6"/>
            <w:vAlign w:val="center"/>
          </w:tcPr>
          <w:p w14:paraId="177BDD89" w14:textId="77777777" w:rsidR="00A1418F" w:rsidRPr="009D62DE" w:rsidRDefault="00A1418F" w:rsidP="00BE10F4">
            <w:pPr>
              <w:pStyle w:val="COMTabletext"/>
              <w:keepNext w:val="0"/>
              <w:keepLines/>
            </w:pPr>
            <w:r w:rsidRPr="009D62DE">
              <w:rPr>
                <w:b/>
              </w:rPr>
              <w:t>Clinical criteria:</w:t>
            </w:r>
          </w:p>
        </w:tc>
      </w:tr>
      <w:tr w:rsidR="00A1418F" w:rsidRPr="009D62DE" w14:paraId="0CA4AC8F"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2E144B5D" w14:textId="77777777" w:rsidR="00A1418F" w:rsidRPr="009D62DE" w:rsidRDefault="00A1418F" w:rsidP="00BE10F4">
            <w:pPr>
              <w:pStyle w:val="COMTabletext"/>
              <w:keepNext w:val="0"/>
              <w:keepLines/>
            </w:pPr>
          </w:p>
        </w:tc>
        <w:tc>
          <w:tcPr>
            <w:tcW w:w="4434" w:type="pct"/>
            <w:gridSpan w:val="6"/>
            <w:vAlign w:val="center"/>
          </w:tcPr>
          <w:p w14:paraId="5B9C0CD2" w14:textId="77777777" w:rsidR="00A1418F" w:rsidRPr="009D62DE" w:rsidRDefault="00A1418F" w:rsidP="00BE10F4">
            <w:pPr>
              <w:pStyle w:val="COMTabletext"/>
              <w:keepNext w:val="0"/>
              <w:keepLines/>
            </w:pPr>
            <w:r w:rsidRPr="009D62DE">
              <w:t xml:space="preserve">Patient must be receiving concomitant treatment with an acetylcholinesterase inhibitor </w:t>
            </w:r>
            <w:r w:rsidRPr="009D62DE">
              <w:rPr>
                <w:strike/>
              </w:rPr>
              <w:t>or discontinued treatment due to intolerance</w:t>
            </w:r>
            <w:r w:rsidRPr="009D62DE">
              <w:rPr>
                <w:i/>
                <w:iCs/>
                <w:strike/>
              </w:rPr>
              <w:t>,</w:t>
            </w:r>
            <w:r w:rsidRPr="009D62DE">
              <w:rPr>
                <w:i/>
                <w:iCs/>
              </w:rPr>
              <w:t xml:space="preserve"> OR</w:t>
            </w:r>
          </w:p>
        </w:tc>
      </w:tr>
      <w:tr w:rsidR="00A1418F" w:rsidRPr="009D62DE" w14:paraId="095ED5FE"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247C9C61" w14:textId="77777777" w:rsidR="00A1418F" w:rsidRPr="009D62DE" w:rsidRDefault="00A1418F" w:rsidP="00BE10F4">
            <w:pPr>
              <w:pStyle w:val="COMTabletext"/>
              <w:keepNext w:val="0"/>
              <w:keepLines/>
            </w:pPr>
          </w:p>
        </w:tc>
        <w:tc>
          <w:tcPr>
            <w:tcW w:w="4434" w:type="pct"/>
            <w:gridSpan w:val="6"/>
            <w:vAlign w:val="center"/>
          </w:tcPr>
          <w:p w14:paraId="5B87F214" w14:textId="77777777" w:rsidR="00A1418F" w:rsidRPr="009D62DE" w:rsidRDefault="00A1418F" w:rsidP="00BE10F4">
            <w:pPr>
              <w:pStyle w:val="COMTabletext"/>
              <w:keepNext w:val="0"/>
              <w:keepLines/>
              <w:rPr>
                <w:i/>
                <w:iCs/>
              </w:rPr>
            </w:pPr>
            <w:r w:rsidRPr="009D62DE">
              <w:rPr>
                <w:i/>
                <w:iCs/>
              </w:rPr>
              <w:t>Patient must be intolerant to treatment with an acetylcholinesterase inhibitor</w:t>
            </w:r>
          </w:p>
        </w:tc>
      </w:tr>
      <w:tr w:rsidR="00A1418F" w:rsidRPr="009D62DE" w14:paraId="5FD41639"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164413E5" w14:textId="77777777" w:rsidR="00A1418F" w:rsidRPr="009D62DE" w:rsidRDefault="00A1418F" w:rsidP="00BE10F4">
            <w:pPr>
              <w:pStyle w:val="COMTabletext"/>
              <w:keepNext w:val="0"/>
              <w:keepLines/>
              <w:rPr>
                <w:b/>
              </w:rPr>
            </w:pPr>
          </w:p>
        </w:tc>
        <w:tc>
          <w:tcPr>
            <w:tcW w:w="4434" w:type="pct"/>
            <w:gridSpan w:val="6"/>
            <w:vAlign w:val="center"/>
          </w:tcPr>
          <w:p w14:paraId="4CBBE885" w14:textId="77777777" w:rsidR="00A1418F" w:rsidRPr="009D62DE" w:rsidRDefault="00A1418F" w:rsidP="00BE10F4">
            <w:pPr>
              <w:pStyle w:val="COMTabletext"/>
              <w:keepNext w:val="0"/>
              <w:keepLines/>
            </w:pPr>
            <w:r w:rsidRPr="009D62DE">
              <w:rPr>
                <w:b/>
              </w:rPr>
              <w:t>AND</w:t>
            </w:r>
          </w:p>
        </w:tc>
      </w:tr>
      <w:tr w:rsidR="00A1418F" w:rsidRPr="009D62DE" w14:paraId="1E0E2CCF"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666575BA" w14:textId="77777777" w:rsidR="00A1418F" w:rsidRPr="009D62DE" w:rsidRDefault="00A1418F" w:rsidP="00BE10F4">
            <w:pPr>
              <w:pStyle w:val="COMTabletext"/>
              <w:keepNext w:val="0"/>
              <w:keepLines/>
              <w:rPr>
                <w:b/>
              </w:rPr>
            </w:pPr>
          </w:p>
        </w:tc>
        <w:tc>
          <w:tcPr>
            <w:tcW w:w="4434" w:type="pct"/>
            <w:gridSpan w:val="6"/>
            <w:vAlign w:val="center"/>
          </w:tcPr>
          <w:p w14:paraId="5D62456C" w14:textId="77777777" w:rsidR="00A1418F" w:rsidRPr="009D62DE" w:rsidRDefault="00A1418F" w:rsidP="00BE10F4">
            <w:pPr>
              <w:pStyle w:val="COMTabletext"/>
              <w:keepNext w:val="0"/>
              <w:keepLines/>
            </w:pPr>
            <w:r w:rsidRPr="009D62DE">
              <w:rPr>
                <w:b/>
              </w:rPr>
              <w:t>Clinical criteria:</w:t>
            </w:r>
          </w:p>
        </w:tc>
      </w:tr>
      <w:tr w:rsidR="00A1418F" w:rsidRPr="009D62DE" w14:paraId="0B01E8AB"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20D9BC3F" w14:textId="77777777" w:rsidR="00A1418F" w:rsidRPr="009D62DE" w:rsidRDefault="00A1418F" w:rsidP="00BE10F4">
            <w:pPr>
              <w:pStyle w:val="COMTabletext"/>
              <w:keepNext w:val="0"/>
              <w:keepLines/>
            </w:pPr>
          </w:p>
        </w:tc>
        <w:tc>
          <w:tcPr>
            <w:tcW w:w="4434" w:type="pct"/>
            <w:gridSpan w:val="6"/>
            <w:vAlign w:val="center"/>
          </w:tcPr>
          <w:p w14:paraId="5C177575" w14:textId="77777777" w:rsidR="00A1418F" w:rsidRPr="009D62DE" w:rsidRDefault="00A1418F" w:rsidP="00BE10F4">
            <w:pPr>
              <w:pStyle w:val="COMTabletext"/>
              <w:keepNext w:val="0"/>
              <w:keepLines/>
            </w:pPr>
            <w:r w:rsidRPr="009D62DE">
              <w:t xml:space="preserve">Patient must be receiving concomitant treatment with at least </w:t>
            </w:r>
            <w:r w:rsidRPr="009D62DE">
              <w:rPr>
                <w:i/>
                <w:iCs/>
              </w:rPr>
              <w:t>one of the following: (i)</w:t>
            </w:r>
            <w:r w:rsidRPr="009D62DE">
              <w:t xml:space="preserve"> </w:t>
            </w:r>
            <w:r w:rsidRPr="009D62DE">
              <w:rPr>
                <w:strike/>
              </w:rPr>
              <w:t>one</w:t>
            </w:r>
            <w:r w:rsidRPr="009D62DE">
              <w:t xml:space="preserve"> corticosteroid </w:t>
            </w:r>
            <w:r w:rsidRPr="009D62DE">
              <w:rPr>
                <w:strike/>
              </w:rPr>
              <w:t>AND/OR</w:t>
            </w:r>
            <w:r w:rsidRPr="009D62DE">
              <w:t xml:space="preserve"> </w:t>
            </w:r>
            <w:r w:rsidRPr="009D62DE">
              <w:rPr>
                <w:i/>
                <w:iCs/>
              </w:rPr>
              <w:t>(ii)</w:t>
            </w:r>
            <w:r w:rsidRPr="009D62DE">
              <w:t xml:space="preserve"> </w:t>
            </w:r>
            <w:r w:rsidRPr="009D62DE">
              <w:rPr>
                <w:strike/>
              </w:rPr>
              <w:t>one</w:t>
            </w:r>
            <w:r w:rsidRPr="009D62DE">
              <w:t xml:space="preserve"> immunosuppressive therapy</w:t>
            </w:r>
          </w:p>
        </w:tc>
      </w:tr>
      <w:tr w:rsidR="00A1418F" w:rsidRPr="009D62DE" w14:paraId="7285AAB6"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63478F75" w14:textId="77777777" w:rsidR="00A1418F" w:rsidRPr="009D62DE" w:rsidRDefault="00A1418F" w:rsidP="00BE10F4">
            <w:pPr>
              <w:pStyle w:val="COMTabletext"/>
              <w:keepNext w:val="0"/>
              <w:keepLines/>
              <w:rPr>
                <w:b/>
              </w:rPr>
            </w:pPr>
          </w:p>
        </w:tc>
        <w:tc>
          <w:tcPr>
            <w:tcW w:w="4434" w:type="pct"/>
            <w:gridSpan w:val="6"/>
            <w:vAlign w:val="center"/>
          </w:tcPr>
          <w:p w14:paraId="4B576334" w14:textId="77777777" w:rsidR="00A1418F" w:rsidRPr="009D62DE" w:rsidRDefault="00A1418F" w:rsidP="00BE10F4">
            <w:pPr>
              <w:pStyle w:val="COMTabletext"/>
              <w:keepNext w:val="0"/>
              <w:keepLines/>
            </w:pPr>
            <w:r w:rsidRPr="009D62DE">
              <w:rPr>
                <w:b/>
              </w:rPr>
              <w:t>AND</w:t>
            </w:r>
          </w:p>
        </w:tc>
      </w:tr>
      <w:tr w:rsidR="00A1418F" w:rsidRPr="009D62DE" w14:paraId="2738C68D"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0CF30CBE" w14:textId="77777777" w:rsidR="00A1418F" w:rsidRPr="009D62DE" w:rsidRDefault="00A1418F" w:rsidP="00BE10F4">
            <w:pPr>
              <w:pStyle w:val="COMTabletext"/>
              <w:keepNext w:val="0"/>
              <w:keepLines/>
              <w:rPr>
                <w:b/>
              </w:rPr>
            </w:pPr>
          </w:p>
        </w:tc>
        <w:tc>
          <w:tcPr>
            <w:tcW w:w="4434" w:type="pct"/>
            <w:gridSpan w:val="6"/>
            <w:vAlign w:val="center"/>
          </w:tcPr>
          <w:p w14:paraId="633C9BFB" w14:textId="77777777" w:rsidR="00A1418F" w:rsidRPr="009D62DE" w:rsidRDefault="00A1418F" w:rsidP="00BE10F4">
            <w:pPr>
              <w:pStyle w:val="COMTabletext"/>
              <w:keepNext w:val="0"/>
              <w:keepLines/>
            </w:pPr>
            <w:r w:rsidRPr="009D62DE">
              <w:rPr>
                <w:b/>
              </w:rPr>
              <w:t>Clinical criteria:</w:t>
            </w:r>
          </w:p>
        </w:tc>
      </w:tr>
      <w:tr w:rsidR="00A1418F" w:rsidRPr="009D62DE" w14:paraId="0B05FB24"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4825C4F2" w14:textId="77777777" w:rsidR="00A1418F" w:rsidRPr="009D62DE" w:rsidRDefault="00A1418F" w:rsidP="00BE10F4">
            <w:pPr>
              <w:pStyle w:val="COMTabletext"/>
              <w:keepNext w:val="0"/>
              <w:keepLines/>
            </w:pPr>
          </w:p>
        </w:tc>
        <w:tc>
          <w:tcPr>
            <w:tcW w:w="4434" w:type="pct"/>
            <w:gridSpan w:val="6"/>
            <w:vAlign w:val="center"/>
          </w:tcPr>
          <w:p w14:paraId="6C015AD1" w14:textId="77777777" w:rsidR="00A1418F" w:rsidRPr="009D62DE" w:rsidRDefault="00A1418F" w:rsidP="00BE10F4">
            <w:pPr>
              <w:pStyle w:val="COMTabletext"/>
              <w:keepNext w:val="0"/>
              <w:keepLines/>
            </w:pPr>
            <w:r w:rsidRPr="009D62DE">
              <w:t>Treatment must not be in combination with another complement inhibitor</w:t>
            </w:r>
          </w:p>
        </w:tc>
      </w:tr>
      <w:tr w:rsidR="00A1418F" w:rsidRPr="009D62DE" w14:paraId="1638E9F5"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7F804740" w14:textId="77777777" w:rsidR="00A1418F" w:rsidRPr="009D62DE" w:rsidRDefault="00A1418F" w:rsidP="00BE10F4">
            <w:pPr>
              <w:pStyle w:val="COMTabletext"/>
              <w:keepNext w:val="0"/>
              <w:keepLines/>
              <w:rPr>
                <w:b/>
              </w:rPr>
            </w:pPr>
          </w:p>
        </w:tc>
        <w:tc>
          <w:tcPr>
            <w:tcW w:w="4434" w:type="pct"/>
            <w:gridSpan w:val="6"/>
            <w:vAlign w:val="center"/>
          </w:tcPr>
          <w:p w14:paraId="773A64C6" w14:textId="77777777" w:rsidR="00A1418F" w:rsidRPr="009D62DE" w:rsidRDefault="00A1418F" w:rsidP="00BE10F4">
            <w:pPr>
              <w:pStyle w:val="COMTabletext"/>
              <w:keepNext w:val="0"/>
              <w:keepLines/>
              <w:rPr>
                <w:b/>
                <w:i/>
                <w:iCs/>
              </w:rPr>
            </w:pPr>
            <w:r w:rsidRPr="009D62DE">
              <w:rPr>
                <w:b/>
                <w:i/>
                <w:iCs/>
              </w:rPr>
              <w:t>AND</w:t>
            </w:r>
          </w:p>
        </w:tc>
      </w:tr>
      <w:tr w:rsidR="00A1418F" w:rsidRPr="009D62DE" w14:paraId="1F747A23"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20741062" w14:textId="77777777" w:rsidR="00A1418F" w:rsidRPr="009D62DE" w:rsidRDefault="00A1418F" w:rsidP="00BE10F4">
            <w:pPr>
              <w:pStyle w:val="COMTabletext"/>
              <w:keepNext w:val="0"/>
              <w:keepLines/>
              <w:rPr>
                <w:b/>
              </w:rPr>
            </w:pPr>
          </w:p>
        </w:tc>
        <w:tc>
          <w:tcPr>
            <w:tcW w:w="4434" w:type="pct"/>
            <w:gridSpan w:val="6"/>
            <w:vAlign w:val="center"/>
            <w:hideMark/>
          </w:tcPr>
          <w:p w14:paraId="1FA531CE" w14:textId="77777777" w:rsidR="00A1418F" w:rsidRPr="009D62DE" w:rsidRDefault="00A1418F" w:rsidP="00BE10F4">
            <w:pPr>
              <w:pStyle w:val="COMTabletext"/>
              <w:keepNext w:val="0"/>
              <w:keepLines/>
            </w:pPr>
            <w:r w:rsidRPr="009D62DE">
              <w:rPr>
                <w:b/>
              </w:rPr>
              <w:t>Treatment criteria:</w:t>
            </w:r>
          </w:p>
        </w:tc>
      </w:tr>
      <w:tr w:rsidR="00A1418F" w:rsidRPr="009D62DE" w14:paraId="4991C0C1"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527E636F" w14:textId="77777777" w:rsidR="00A1418F" w:rsidRPr="009D62DE" w:rsidRDefault="00A1418F" w:rsidP="00BE10F4">
            <w:pPr>
              <w:pStyle w:val="COMTabletext"/>
              <w:keepNext w:val="0"/>
              <w:keepLines/>
            </w:pPr>
          </w:p>
        </w:tc>
        <w:tc>
          <w:tcPr>
            <w:tcW w:w="4434" w:type="pct"/>
            <w:gridSpan w:val="6"/>
            <w:vAlign w:val="center"/>
            <w:hideMark/>
          </w:tcPr>
          <w:p w14:paraId="55B9878B" w14:textId="77777777" w:rsidR="00A1418F" w:rsidRPr="009D62DE" w:rsidRDefault="00A1418F" w:rsidP="00BE10F4">
            <w:pPr>
              <w:pStyle w:val="COMTabletext"/>
              <w:keepNext w:val="0"/>
              <w:keepLines/>
            </w:pPr>
            <w:r w:rsidRPr="009D62DE">
              <w:t>Must be treated by a neurologist</w:t>
            </w:r>
          </w:p>
        </w:tc>
      </w:tr>
      <w:tr w:rsidR="00A1418F" w:rsidRPr="009D62DE" w14:paraId="2F360E5B"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779C7D1C" w14:textId="77777777" w:rsidR="00A1418F" w:rsidRPr="009D62DE" w:rsidRDefault="00A1418F" w:rsidP="00BE10F4">
            <w:pPr>
              <w:pStyle w:val="COMTabletext"/>
              <w:keepNext w:val="0"/>
              <w:keepLines/>
            </w:pPr>
          </w:p>
        </w:tc>
        <w:tc>
          <w:tcPr>
            <w:tcW w:w="4434" w:type="pct"/>
            <w:gridSpan w:val="6"/>
            <w:vAlign w:val="center"/>
          </w:tcPr>
          <w:p w14:paraId="49788293" w14:textId="77777777" w:rsidR="00A1418F" w:rsidRPr="009D62DE" w:rsidRDefault="00A1418F" w:rsidP="00BE10F4">
            <w:pPr>
              <w:pStyle w:val="COMTabletext"/>
              <w:keepNext w:val="0"/>
              <w:keepLines/>
            </w:pPr>
          </w:p>
        </w:tc>
      </w:tr>
      <w:tr w:rsidR="00A1418F" w:rsidRPr="009D62DE" w14:paraId="2C5850F0"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47D18170" w14:textId="77777777" w:rsidR="00A1418F" w:rsidRPr="009D62DE" w:rsidRDefault="00A1418F" w:rsidP="00BE10F4">
            <w:pPr>
              <w:pStyle w:val="COMTabletext"/>
              <w:keepNext w:val="0"/>
              <w:keepLines/>
              <w:rPr>
                <w:b/>
              </w:rPr>
            </w:pPr>
          </w:p>
        </w:tc>
        <w:tc>
          <w:tcPr>
            <w:tcW w:w="4434" w:type="pct"/>
            <w:gridSpan w:val="6"/>
            <w:vAlign w:val="center"/>
            <w:hideMark/>
          </w:tcPr>
          <w:p w14:paraId="4B5F915C" w14:textId="77777777" w:rsidR="00A1418F" w:rsidRPr="009D62DE" w:rsidRDefault="00A1418F" w:rsidP="00BE10F4">
            <w:pPr>
              <w:pStyle w:val="COMTabletext"/>
              <w:keepNext w:val="0"/>
              <w:keepLines/>
              <w:rPr>
                <w:strike/>
              </w:rPr>
            </w:pPr>
            <w:r w:rsidRPr="009D62DE">
              <w:rPr>
                <w:b/>
                <w:strike/>
              </w:rPr>
              <w:t>Prescribing Instructions:</w:t>
            </w:r>
          </w:p>
        </w:tc>
      </w:tr>
      <w:tr w:rsidR="00A1418F" w:rsidRPr="009D62DE" w14:paraId="6234B10F" w14:textId="77777777" w:rsidTr="00763EB8">
        <w:tblPrEx>
          <w:tblCellMar>
            <w:top w:w="15" w:type="dxa"/>
            <w:bottom w:w="15" w:type="dxa"/>
          </w:tblCellMar>
          <w:tblLook w:val="04A0" w:firstRow="1" w:lastRow="0" w:firstColumn="1" w:lastColumn="0" w:noHBand="0" w:noVBand="1"/>
        </w:tblPrEx>
        <w:trPr>
          <w:cantSplit/>
          <w:trHeight w:val="20"/>
        </w:trPr>
        <w:tc>
          <w:tcPr>
            <w:tcW w:w="566" w:type="pct"/>
          </w:tcPr>
          <w:p w14:paraId="5325CAD9" w14:textId="77777777" w:rsidR="00A1418F" w:rsidRPr="009D62DE" w:rsidRDefault="00A1418F" w:rsidP="00BE10F4">
            <w:pPr>
              <w:pStyle w:val="COMTabletext"/>
              <w:keepLines/>
              <w:rPr>
                <w:bCs w:val="0"/>
              </w:rPr>
            </w:pPr>
          </w:p>
        </w:tc>
        <w:tc>
          <w:tcPr>
            <w:tcW w:w="4434" w:type="pct"/>
            <w:gridSpan w:val="6"/>
            <w:vAlign w:val="center"/>
          </w:tcPr>
          <w:p w14:paraId="6BE3C17E" w14:textId="77777777" w:rsidR="00A1418F" w:rsidRPr="009D62DE" w:rsidRDefault="00A1418F" w:rsidP="00BE10F4">
            <w:pPr>
              <w:pStyle w:val="COMTabletext"/>
              <w:keepLines/>
              <w:rPr>
                <w:bCs w:val="0"/>
              </w:rPr>
            </w:pPr>
            <w:r w:rsidRPr="009D62DE">
              <w:rPr>
                <w:b/>
                <w:i/>
                <w:iCs/>
              </w:rPr>
              <w:t>Note:</w:t>
            </w:r>
          </w:p>
          <w:p w14:paraId="1B82F6BC" w14:textId="77777777" w:rsidR="00A1418F" w:rsidRPr="009D62DE" w:rsidRDefault="00A1418F" w:rsidP="00BE10F4">
            <w:pPr>
              <w:pStyle w:val="COMTabletext"/>
              <w:keepLines/>
              <w:rPr>
                <w:bCs w:val="0"/>
              </w:rPr>
            </w:pPr>
            <w:r w:rsidRPr="009D62DE">
              <w:rPr>
                <w:bCs w:val="0"/>
              </w:rPr>
              <w:t>The myasthenia gravis composite (MGC) referenced in this restriction is described in the following literature publication:</w:t>
            </w:r>
          </w:p>
          <w:p w14:paraId="0A405CCC" w14:textId="77777777" w:rsidR="00A1418F" w:rsidRPr="009D62DE" w:rsidRDefault="00A1418F" w:rsidP="00BE10F4">
            <w:pPr>
              <w:pStyle w:val="COMTabletext"/>
              <w:keepNext w:val="0"/>
              <w:keepLines/>
              <w:rPr>
                <w:bCs w:val="0"/>
              </w:rPr>
            </w:pPr>
            <w:r w:rsidRPr="009D62DE">
              <w:rPr>
                <w:bCs w:val="0"/>
              </w:rPr>
              <w:t>Burns, T. M., Conaway, M. &amp; Sanders, D. B. 2010. The MG Composite: A valid and reliable outcome measure for myasthenia gravis. Neurology, 74, 1434-40.</w:t>
            </w:r>
          </w:p>
        </w:tc>
      </w:tr>
      <w:tr w:rsidR="00A1418F" w:rsidRPr="009D62DE" w14:paraId="63A0BB2D" w14:textId="77777777" w:rsidTr="00763EB8">
        <w:tblPrEx>
          <w:tblCellMar>
            <w:top w:w="15" w:type="dxa"/>
            <w:bottom w:w="15" w:type="dxa"/>
          </w:tblCellMar>
          <w:tblLook w:val="04A0" w:firstRow="1" w:lastRow="0" w:firstColumn="1" w:lastColumn="0" w:noHBand="0" w:noVBand="1"/>
        </w:tblPrEx>
        <w:trPr>
          <w:cantSplit/>
          <w:trHeight w:val="20"/>
        </w:trPr>
        <w:tc>
          <w:tcPr>
            <w:tcW w:w="566" w:type="pct"/>
            <w:tcBorders>
              <w:bottom w:val="single" w:sz="4" w:space="0" w:color="auto"/>
            </w:tcBorders>
          </w:tcPr>
          <w:p w14:paraId="1A797A12" w14:textId="77777777" w:rsidR="00A1418F" w:rsidRPr="009D62DE" w:rsidRDefault="00A1418F" w:rsidP="00BE10F4">
            <w:pPr>
              <w:pStyle w:val="COMTabletext"/>
              <w:keepLines/>
              <w:rPr>
                <w:bCs w:val="0"/>
              </w:rPr>
            </w:pPr>
          </w:p>
        </w:tc>
        <w:tc>
          <w:tcPr>
            <w:tcW w:w="4434" w:type="pct"/>
            <w:gridSpan w:val="6"/>
            <w:tcBorders>
              <w:bottom w:val="single" w:sz="4" w:space="0" w:color="auto"/>
            </w:tcBorders>
            <w:vAlign w:val="center"/>
          </w:tcPr>
          <w:p w14:paraId="414CD46A" w14:textId="77777777" w:rsidR="00A1418F" w:rsidRPr="009D62DE" w:rsidRDefault="00A1418F" w:rsidP="00BE10F4">
            <w:pPr>
              <w:pStyle w:val="COMTabletext"/>
              <w:keepLines/>
              <w:rPr>
                <w:b/>
              </w:rPr>
            </w:pPr>
            <w:r w:rsidRPr="009D62DE">
              <w:rPr>
                <w:b/>
              </w:rPr>
              <w:t>Administrative Advice:</w:t>
            </w:r>
          </w:p>
          <w:p w14:paraId="3B7DB21C" w14:textId="77777777" w:rsidR="00A1418F" w:rsidRPr="009D62DE" w:rsidRDefault="00A1418F" w:rsidP="00BE10F4">
            <w:pPr>
              <w:pStyle w:val="COMTabletext"/>
              <w:keepLines/>
              <w:rPr>
                <w:bCs w:val="0"/>
              </w:rPr>
            </w:pPr>
            <w:r w:rsidRPr="009D62DE">
              <w:rPr>
                <w:bCs w:val="0"/>
              </w:rPr>
              <w:t>The authority application must be made in writing and must include:</w:t>
            </w:r>
          </w:p>
          <w:p w14:paraId="6026C093" w14:textId="77777777" w:rsidR="00A1418F" w:rsidRPr="009D62DE" w:rsidRDefault="00A1418F" w:rsidP="00BE10F4">
            <w:pPr>
              <w:pStyle w:val="COMTabletext"/>
              <w:keepLines/>
              <w:rPr>
                <w:bCs w:val="0"/>
              </w:rPr>
            </w:pPr>
            <w:r w:rsidRPr="009D62DE">
              <w:rPr>
                <w:bCs w:val="0"/>
              </w:rPr>
              <w:t xml:space="preserve"> (1) a completed authority prescription form; and</w:t>
            </w:r>
          </w:p>
          <w:p w14:paraId="49B6B087" w14:textId="77777777" w:rsidR="00A1418F" w:rsidRPr="009D62DE" w:rsidRDefault="00A1418F" w:rsidP="00BE10F4">
            <w:pPr>
              <w:pStyle w:val="COMTabletext"/>
              <w:keepLines/>
              <w:rPr>
                <w:bCs w:val="0"/>
              </w:rPr>
            </w:pPr>
            <w:r w:rsidRPr="009D62DE">
              <w:rPr>
                <w:bCs w:val="0"/>
              </w:rPr>
              <w:t xml:space="preserve"> (2) a completed authority application form relevant to the indication and treatment phase (the latest version is located on the website specified in the Administrative Advice); and</w:t>
            </w:r>
          </w:p>
          <w:p w14:paraId="009EFED1" w14:textId="77777777" w:rsidR="00A1418F" w:rsidRPr="009D62DE" w:rsidRDefault="00A1418F" w:rsidP="00BE10F4">
            <w:pPr>
              <w:pStyle w:val="COMTabletext"/>
              <w:keepLines/>
              <w:rPr>
                <w:bCs w:val="0"/>
                <w:strike/>
              </w:rPr>
            </w:pPr>
            <w:r w:rsidRPr="009D62DE">
              <w:rPr>
                <w:bCs w:val="0"/>
              </w:rPr>
              <w:t xml:space="preserve"> (3) </w:t>
            </w:r>
            <w:r w:rsidRPr="009D62DE">
              <w:rPr>
                <w:bCs w:val="0"/>
                <w:strike/>
              </w:rPr>
              <w:t>A detailed cover letter from the prescriber; and</w:t>
            </w:r>
          </w:p>
          <w:p w14:paraId="6EA24E3F" w14:textId="77777777" w:rsidR="00A1418F" w:rsidRPr="009D62DE" w:rsidRDefault="00A1418F" w:rsidP="00BE10F4">
            <w:pPr>
              <w:pStyle w:val="COMTabletext"/>
              <w:keepLines/>
              <w:rPr>
                <w:bCs w:val="0"/>
              </w:rPr>
            </w:pPr>
            <w:r w:rsidRPr="009D62DE">
              <w:rPr>
                <w:bCs w:val="0"/>
                <w:strike/>
              </w:rPr>
              <w:t xml:space="preserve"> </w:t>
            </w:r>
            <w:r w:rsidRPr="009D62DE">
              <w:rPr>
                <w:bCs w:val="0"/>
                <w:i/>
                <w:iCs/>
                <w:strike/>
              </w:rPr>
              <w:t>(4)</w:t>
            </w:r>
            <w:r w:rsidRPr="009D62DE">
              <w:rPr>
                <w:bCs w:val="0"/>
              </w:rPr>
              <w:t xml:space="preserve"> At the time of the authority application, details (result and date of result) of the following monitoring requirements must be provided: Baseline MGC score</w:t>
            </w:r>
          </w:p>
        </w:tc>
      </w:tr>
      <w:tr w:rsidR="00A1418F" w:rsidRPr="009D62DE" w14:paraId="0F7F18EC" w14:textId="77777777" w:rsidTr="00763EB8">
        <w:tblPrEx>
          <w:tblCellMar>
            <w:top w:w="15" w:type="dxa"/>
            <w:bottom w:w="15" w:type="dxa"/>
          </w:tblCellMar>
          <w:tblLook w:val="04A0" w:firstRow="1" w:lastRow="0" w:firstColumn="1" w:lastColumn="0" w:noHBand="0" w:noVBand="1"/>
        </w:tblPrEx>
        <w:trPr>
          <w:cantSplit/>
          <w:trHeight w:val="20"/>
        </w:trPr>
        <w:tc>
          <w:tcPr>
            <w:tcW w:w="566" w:type="pct"/>
            <w:tcBorders>
              <w:top w:val="single" w:sz="4" w:space="0" w:color="auto"/>
              <w:left w:val="single" w:sz="4" w:space="0" w:color="auto"/>
              <w:bottom w:val="single" w:sz="4" w:space="0" w:color="auto"/>
              <w:right w:val="single" w:sz="4" w:space="0" w:color="auto"/>
            </w:tcBorders>
          </w:tcPr>
          <w:p w14:paraId="4334C067" w14:textId="77777777" w:rsidR="00A1418F" w:rsidRPr="009D62DE" w:rsidRDefault="00A1418F" w:rsidP="00763EB8">
            <w:pPr>
              <w:pStyle w:val="COMTabletext"/>
              <w:keepLines/>
              <w:rPr>
                <w:bCs w:val="0"/>
                <w:i/>
                <w:iCs/>
              </w:rPr>
            </w:pPr>
          </w:p>
        </w:tc>
        <w:tc>
          <w:tcPr>
            <w:tcW w:w="4434" w:type="pct"/>
            <w:gridSpan w:val="6"/>
            <w:tcBorders>
              <w:top w:val="single" w:sz="4" w:space="0" w:color="auto"/>
              <w:left w:val="single" w:sz="4" w:space="0" w:color="auto"/>
              <w:bottom w:val="single" w:sz="4" w:space="0" w:color="auto"/>
              <w:right w:val="single" w:sz="4" w:space="0" w:color="auto"/>
            </w:tcBorders>
            <w:vAlign w:val="center"/>
          </w:tcPr>
          <w:p w14:paraId="59C5F9F8" w14:textId="77777777" w:rsidR="00A1418F" w:rsidRPr="009D62DE" w:rsidRDefault="00A1418F" w:rsidP="00BE10F4">
            <w:pPr>
              <w:pStyle w:val="COMTabletext"/>
              <w:keepLines/>
              <w:rPr>
                <w:b/>
                <w:i/>
                <w:iCs/>
              </w:rPr>
            </w:pPr>
            <w:r w:rsidRPr="009D62DE">
              <w:rPr>
                <w:b/>
                <w:i/>
                <w:iCs/>
              </w:rPr>
              <w:t>Administrative Advice:</w:t>
            </w:r>
          </w:p>
          <w:p w14:paraId="1B139509" w14:textId="77777777" w:rsidR="00A1418F" w:rsidRPr="009D62DE" w:rsidRDefault="00A1418F" w:rsidP="00BE10F4">
            <w:pPr>
              <w:pStyle w:val="COMTabletext"/>
              <w:keepLines/>
              <w:rPr>
                <w:bCs w:val="0"/>
                <w:i/>
                <w:iCs/>
              </w:rPr>
            </w:pPr>
            <w:r w:rsidRPr="009D62DE">
              <w:rPr>
                <w:bCs w:val="0"/>
                <w:i/>
                <w:iCs/>
              </w:rPr>
              <w:t>Any queries concerning the arrangements to prescribe may be directed to Services Australia on 1800 700 270 (hours of operation 8 a.m. to 5 p.m. Monday to Friday).</w:t>
            </w:r>
          </w:p>
          <w:p w14:paraId="594929FF" w14:textId="77777777" w:rsidR="00A1418F" w:rsidRPr="009D62DE" w:rsidRDefault="00A1418F" w:rsidP="00BE10F4">
            <w:pPr>
              <w:pStyle w:val="COMTabletext"/>
              <w:keepLines/>
              <w:rPr>
                <w:bCs w:val="0"/>
                <w:i/>
                <w:iCs/>
              </w:rPr>
            </w:pPr>
            <w:r w:rsidRPr="009D62DE">
              <w:rPr>
                <w:bCs w:val="0"/>
                <w:i/>
                <w:iCs/>
              </w:rPr>
              <w:t>Prescribing information (including Authority Application forms and other relevant documentation as applicable) is available on the Services Australia website at www.servicesaustralia.gov.au</w:t>
            </w:r>
          </w:p>
          <w:p w14:paraId="66DD1086" w14:textId="77777777" w:rsidR="00A1418F" w:rsidRPr="009D62DE" w:rsidRDefault="00A1418F" w:rsidP="00BE10F4">
            <w:pPr>
              <w:pStyle w:val="COMTabletext"/>
              <w:keepLines/>
              <w:rPr>
                <w:bCs w:val="0"/>
                <w:i/>
                <w:iCs/>
              </w:rPr>
            </w:pPr>
            <w:r w:rsidRPr="009D62DE">
              <w:rPr>
                <w:bCs w:val="0"/>
                <w:i/>
                <w:iCs/>
              </w:rPr>
              <w:t>Applications for authority to prescribe should be submitted online using the form upload facility in Health Professional Online Services (HPOS) at www.servicesaustralia.gov.au/hpos</w:t>
            </w:r>
          </w:p>
          <w:p w14:paraId="49CFCC4E" w14:textId="77777777" w:rsidR="00A1418F" w:rsidRPr="009D62DE" w:rsidRDefault="00A1418F" w:rsidP="00BE10F4">
            <w:pPr>
              <w:pStyle w:val="COMTabletext"/>
              <w:keepLines/>
              <w:rPr>
                <w:bCs w:val="0"/>
                <w:i/>
                <w:iCs/>
              </w:rPr>
            </w:pPr>
            <w:r w:rsidRPr="009D62DE">
              <w:rPr>
                <w:bCs w:val="0"/>
                <w:i/>
                <w:iCs/>
              </w:rPr>
              <w:t>Or mailed to:</w:t>
            </w:r>
          </w:p>
          <w:p w14:paraId="43DDAE31" w14:textId="77777777" w:rsidR="00A1418F" w:rsidRPr="009D62DE" w:rsidRDefault="00A1418F" w:rsidP="00BE10F4">
            <w:pPr>
              <w:pStyle w:val="COMTabletext"/>
              <w:keepLines/>
              <w:rPr>
                <w:bCs w:val="0"/>
                <w:i/>
                <w:iCs/>
              </w:rPr>
            </w:pPr>
            <w:r w:rsidRPr="009D62DE">
              <w:rPr>
                <w:bCs w:val="0"/>
                <w:i/>
                <w:iCs/>
              </w:rPr>
              <w:t>Services Australia</w:t>
            </w:r>
          </w:p>
          <w:p w14:paraId="2A70702F" w14:textId="77777777" w:rsidR="00A1418F" w:rsidRPr="009D62DE" w:rsidRDefault="00A1418F" w:rsidP="00BE10F4">
            <w:pPr>
              <w:pStyle w:val="COMTabletext"/>
              <w:keepLines/>
              <w:rPr>
                <w:bCs w:val="0"/>
                <w:i/>
                <w:iCs/>
              </w:rPr>
            </w:pPr>
            <w:r w:rsidRPr="009D62DE">
              <w:rPr>
                <w:bCs w:val="0"/>
                <w:i/>
                <w:iCs/>
              </w:rPr>
              <w:t>Complex Drugs</w:t>
            </w:r>
          </w:p>
          <w:p w14:paraId="368C8182" w14:textId="77777777" w:rsidR="00A1418F" w:rsidRPr="009D62DE" w:rsidRDefault="00A1418F" w:rsidP="00BE10F4">
            <w:pPr>
              <w:pStyle w:val="COMTabletext"/>
              <w:keepLines/>
              <w:rPr>
                <w:bCs w:val="0"/>
                <w:i/>
                <w:iCs/>
              </w:rPr>
            </w:pPr>
            <w:r w:rsidRPr="009D62DE">
              <w:rPr>
                <w:bCs w:val="0"/>
                <w:i/>
                <w:iCs/>
              </w:rPr>
              <w:t>Reply Paid 9826</w:t>
            </w:r>
          </w:p>
          <w:p w14:paraId="4751282D" w14:textId="77777777" w:rsidR="00A1418F" w:rsidRPr="009D62DE" w:rsidRDefault="00A1418F" w:rsidP="00BE10F4">
            <w:pPr>
              <w:pStyle w:val="COMTabletext"/>
              <w:keepLines/>
              <w:rPr>
                <w:bCs w:val="0"/>
                <w:i/>
                <w:iCs/>
              </w:rPr>
            </w:pPr>
            <w:r w:rsidRPr="009D62DE">
              <w:rPr>
                <w:bCs w:val="0"/>
                <w:i/>
                <w:iCs/>
              </w:rPr>
              <w:t>HOBART TAS 7001</w:t>
            </w:r>
          </w:p>
        </w:tc>
      </w:tr>
    </w:tbl>
    <w:p w14:paraId="068A232C" w14:textId="77777777" w:rsidR="00A1418F" w:rsidRDefault="00A1418F" w:rsidP="00A141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8041"/>
      </w:tblGrid>
      <w:tr w:rsidR="00A1418F" w:rsidRPr="00B162C2" w14:paraId="3390A7AB"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C73F8DE" w14:textId="77777777" w:rsidR="00A1418F" w:rsidRPr="00D91E8A" w:rsidRDefault="00A1418F" w:rsidP="00BE10F4">
            <w:pPr>
              <w:keepNext/>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81F4B19" w14:textId="517BBFA6" w:rsidR="00A1418F" w:rsidRPr="00D91E8A" w:rsidRDefault="00A1418F" w:rsidP="00BE10F4">
            <w:pPr>
              <w:keepNext/>
              <w:rPr>
                <w:rFonts w:ascii="Arial Narrow" w:hAnsi="Arial Narrow" w:cs="Times New Roman"/>
                <w:b/>
                <w:bCs/>
                <w:color w:val="333333"/>
                <w:sz w:val="20"/>
                <w:szCs w:val="20"/>
              </w:rPr>
            </w:pPr>
            <w:r w:rsidRPr="00D91E8A">
              <w:rPr>
                <w:rFonts w:ascii="Arial Narrow" w:hAnsi="Arial Narrow" w:cs="Times New Roman"/>
                <w:b/>
                <w:bCs/>
                <w:color w:val="333333"/>
                <w:sz w:val="20"/>
                <w:szCs w:val="20"/>
              </w:rPr>
              <w:t xml:space="preserve">Category / Program: </w:t>
            </w:r>
            <w:r w:rsidRPr="00D91E8A">
              <w:rPr>
                <w:rFonts w:ascii="Arial Narrow" w:hAnsi="Arial Narrow" w:cs="Times New Roman"/>
                <w:color w:val="333333"/>
                <w:sz w:val="20"/>
                <w:szCs w:val="20"/>
              </w:rPr>
              <w:t>Section 85 – General schedule</w:t>
            </w:r>
          </w:p>
        </w:tc>
      </w:tr>
      <w:tr w:rsidR="00A1418F" w:rsidRPr="00B162C2" w14:paraId="3C3C10A1"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F7D1DB1" w14:textId="77777777" w:rsidR="00A1418F" w:rsidRPr="00D91E8A" w:rsidRDefault="00A1418F" w:rsidP="00BE10F4">
            <w:pPr>
              <w:keepNext/>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DE8EF96" w14:textId="77777777" w:rsidR="00A1418F" w:rsidRPr="00D91E8A" w:rsidRDefault="00A1418F" w:rsidP="00BE10F4">
            <w:pPr>
              <w:keepNext/>
              <w:rPr>
                <w:rFonts w:ascii="Arial Narrow" w:hAnsi="Arial Narrow" w:cs="Times New Roman"/>
                <w:b/>
                <w:bCs/>
                <w:color w:val="333333"/>
                <w:sz w:val="20"/>
                <w:szCs w:val="20"/>
              </w:rPr>
            </w:pPr>
            <w:r w:rsidRPr="00D91E8A">
              <w:rPr>
                <w:rFonts w:ascii="Arial Narrow" w:hAnsi="Arial Narrow" w:cs="Times New Roman"/>
                <w:b/>
                <w:bCs/>
                <w:color w:val="333333"/>
                <w:sz w:val="20"/>
                <w:szCs w:val="20"/>
              </w:rPr>
              <w:t xml:space="preserve">Prescriber type: </w:t>
            </w:r>
            <w:r w:rsidRPr="00D91E8A">
              <w:rPr>
                <w:rFonts w:ascii="Arial Narrow" w:hAnsi="Arial Narrow" w:cs="Times New Roman"/>
                <w:b/>
                <w:bCs/>
                <w:color w:val="333333"/>
                <w:sz w:val="20"/>
                <w:szCs w:val="20"/>
              </w:rPr>
              <w:fldChar w:fldCharType="begin" w:fldLock="1">
                <w:ffData>
                  <w:name w:val=""/>
                  <w:enabled/>
                  <w:calcOnExit w:val="0"/>
                  <w:checkBox>
                    <w:sizeAuto/>
                    <w:default w:val="1"/>
                  </w:checkBox>
                </w:ffData>
              </w:fldChar>
            </w:r>
            <w:r w:rsidRPr="00D91E8A">
              <w:rPr>
                <w:rFonts w:ascii="Arial Narrow" w:hAnsi="Arial Narrow" w:cs="Times New Roman"/>
                <w:b/>
                <w:bCs/>
                <w:color w:val="333333"/>
                <w:sz w:val="20"/>
                <w:szCs w:val="20"/>
              </w:rPr>
              <w:instrText xml:space="preserve"> FORMCHECKBOX </w:instrText>
            </w:r>
            <w:r w:rsidRPr="00D91E8A">
              <w:rPr>
                <w:rFonts w:ascii="Arial Narrow" w:hAnsi="Arial Narrow" w:cs="Times New Roman"/>
                <w:b/>
                <w:bCs/>
                <w:color w:val="333333"/>
                <w:sz w:val="20"/>
                <w:szCs w:val="20"/>
              </w:rPr>
            </w:r>
            <w:r w:rsidRPr="00D91E8A">
              <w:rPr>
                <w:rFonts w:ascii="Arial Narrow" w:hAnsi="Arial Narrow" w:cs="Times New Roman"/>
                <w:b/>
                <w:bCs/>
                <w:color w:val="333333"/>
                <w:sz w:val="20"/>
                <w:szCs w:val="20"/>
              </w:rPr>
              <w:fldChar w:fldCharType="separate"/>
            </w:r>
            <w:r w:rsidRPr="00D91E8A">
              <w:rPr>
                <w:rFonts w:ascii="Arial Narrow" w:hAnsi="Arial Narrow" w:cs="Times New Roman"/>
                <w:b/>
                <w:bCs/>
                <w:color w:val="333333"/>
                <w:sz w:val="20"/>
                <w:szCs w:val="20"/>
              </w:rPr>
              <w:fldChar w:fldCharType="end"/>
            </w:r>
            <w:r w:rsidRPr="00D91E8A">
              <w:rPr>
                <w:rFonts w:ascii="Arial Narrow" w:hAnsi="Arial Narrow" w:cs="Times New Roman"/>
                <w:color w:val="333333"/>
                <w:sz w:val="20"/>
                <w:szCs w:val="20"/>
              </w:rPr>
              <w:t>Medical Practitioners</w:t>
            </w:r>
            <w:r w:rsidRPr="00D91E8A">
              <w:rPr>
                <w:rFonts w:ascii="Arial Narrow" w:hAnsi="Arial Narrow" w:cs="Times New Roman"/>
                <w:b/>
                <w:bCs/>
                <w:color w:val="333333"/>
                <w:sz w:val="20"/>
                <w:szCs w:val="20"/>
              </w:rPr>
              <w:t xml:space="preserve"> </w:t>
            </w:r>
          </w:p>
        </w:tc>
      </w:tr>
      <w:tr w:rsidR="00A1418F" w:rsidRPr="00B162C2" w14:paraId="01D07AD4"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756C0BC" w14:textId="77777777" w:rsidR="00A1418F" w:rsidRPr="00D91E8A" w:rsidRDefault="00A1418F" w:rsidP="00BE10F4">
            <w:pPr>
              <w:keepNext/>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62CDABF" w14:textId="77777777" w:rsidR="00A1418F" w:rsidRPr="00D91E8A" w:rsidRDefault="00A1418F" w:rsidP="00BE10F4">
            <w:pPr>
              <w:keepNext/>
              <w:rPr>
                <w:rFonts w:ascii="Arial Narrow" w:hAnsi="Arial Narrow" w:cs="Times New Roman"/>
                <w:b/>
                <w:bCs/>
                <w:color w:val="333333"/>
                <w:sz w:val="20"/>
                <w:szCs w:val="20"/>
              </w:rPr>
            </w:pPr>
            <w:r w:rsidRPr="00D91E8A">
              <w:rPr>
                <w:rFonts w:ascii="Arial Narrow" w:hAnsi="Arial Narrow" w:cs="Times New Roman"/>
                <w:b/>
                <w:bCs/>
                <w:color w:val="333333"/>
                <w:sz w:val="20"/>
                <w:szCs w:val="20"/>
              </w:rPr>
              <w:t xml:space="preserve">Restriction type: </w:t>
            </w:r>
            <w:r w:rsidRPr="00D91E8A">
              <w:rPr>
                <w:rFonts w:ascii="Arial Narrow" w:hAnsi="Arial Narrow" w:cs="Times New Roman"/>
                <w:b/>
                <w:bCs/>
                <w:color w:val="333333"/>
                <w:sz w:val="20"/>
                <w:szCs w:val="20"/>
              </w:rPr>
              <w:fldChar w:fldCharType="begin" w:fldLock="1">
                <w:ffData>
                  <w:name w:val=""/>
                  <w:enabled/>
                  <w:calcOnExit w:val="0"/>
                  <w:checkBox>
                    <w:sizeAuto/>
                    <w:default w:val="1"/>
                  </w:checkBox>
                </w:ffData>
              </w:fldChar>
            </w:r>
            <w:r w:rsidRPr="00D91E8A">
              <w:rPr>
                <w:rFonts w:ascii="Arial Narrow" w:hAnsi="Arial Narrow" w:cs="Times New Roman"/>
                <w:b/>
                <w:bCs/>
                <w:color w:val="333333"/>
                <w:sz w:val="20"/>
                <w:szCs w:val="20"/>
              </w:rPr>
              <w:instrText xml:space="preserve"> FORMCHECKBOX </w:instrText>
            </w:r>
            <w:r w:rsidRPr="00D91E8A">
              <w:rPr>
                <w:rFonts w:ascii="Arial Narrow" w:hAnsi="Arial Narrow" w:cs="Times New Roman"/>
                <w:b/>
                <w:bCs/>
                <w:color w:val="333333"/>
                <w:sz w:val="20"/>
                <w:szCs w:val="20"/>
              </w:rPr>
            </w:r>
            <w:r w:rsidRPr="00D91E8A">
              <w:rPr>
                <w:rFonts w:ascii="Arial Narrow" w:hAnsi="Arial Narrow" w:cs="Times New Roman"/>
                <w:b/>
                <w:bCs/>
                <w:color w:val="333333"/>
                <w:sz w:val="20"/>
                <w:szCs w:val="20"/>
              </w:rPr>
              <w:fldChar w:fldCharType="separate"/>
            </w:r>
            <w:r w:rsidRPr="00D91E8A">
              <w:rPr>
                <w:rFonts w:ascii="Arial Narrow" w:hAnsi="Arial Narrow" w:cs="Times New Roman"/>
                <w:b/>
                <w:bCs/>
                <w:color w:val="333333"/>
                <w:sz w:val="20"/>
                <w:szCs w:val="20"/>
              </w:rPr>
              <w:fldChar w:fldCharType="end"/>
            </w:r>
            <w:r w:rsidRPr="00D91E8A">
              <w:rPr>
                <w:rFonts w:ascii="Arial Narrow" w:hAnsi="Arial Narrow" w:cs="Times New Roman"/>
                <w:color w:val="333333"/>
                <w:sz w:val="20"/>
                <w:szCs w:val="20"/>
              </w:rPr>
              <w:t xml:space="preserve">Authority Required </w:t>
            </w:r>
            <w:r w:rsidRPr="00D91E8A">
              <w:rPr>
                <w:rFonts w:ascii="Arial Narrow" w:hAnsi="Arial Narrow" w:cs="Times New Roman"/>
                <w:strike/>
                <w:color w:val="333333"/>
                <w:sz w:val="20"/>
                <w:szCs w:val="20"/>
              </w:rPr>
              <w:t>(in writing only via post/HPOS upload)</w:t>
            </w:r>
            <w:r w:rsidRPr="00D91E8A">
              <w:rPr>
                <w:rFonts w:ascii="Arial Narrow" w:hAnsi="Arial Narrow" w:cs="Times New Roman"/>
                <w:color w:val="333333"/>
                <w:sz w:val="20"/>
                <w:szCs w:val="20"/>
              </w:rPr>
              <w:t xml:space="preserve"> </w:t>
            </w:r>
            <w:r w:rsidRPr="00D91E8A">
              <w:rPr>
                <w:rFonts w:ascii="Arial Narrow" w:hAnsi="Arial Narrow" w:cs="Times New Roman"/>
                <w:i/>
                <w:iCs/>
                <w:color w:val="333333"/>
                <w:sz w:val="20"/>
                <w:szCs w:val="20"/>
              </w:rPr>
              <w:t>non-immediate/delayed assessment by Services Australia (in-writing only via mail/postal service or electronic upload to Hobart; requires at least one concept ID to be marked as ‘FULL’ for full assessment by Services Australia)</w:t>
            </w:r>
          </w:p>
        </w:tc>
      </w:tr>
      <w:tr w:rsidR="00A1418F" w:rsidRPr="00B162C2" w14:paraId="6B4197BF"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604B54A"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DAB9A0B"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strike/>
                <w:color w:val="333333"/>
                <w:sz w:val="20"/>
                <w:szCs w:val="20"/>
              </w:rPr>
              <w:t>WARNING: Zilucoplan</w:t>
            </w:r>
            <w:r w:rsidRPr="00D91E8A">
              <w:rPr>
                <w:rFonts w:ascii="Arial Narrow" w:hAnsi="Arial Narrow" w:cs="Times New Roman"/>
                <w:color w:val="333333"/>
                <w:sz w:val="20"/>
                <w:szCs w:val="20"/>
              </w:rPr>
              <w:t xml:space="preserve"> </w:t>
            </w:r>
            <w:r w:rsidRPr="00D91E8A">
              <w:rPr>
                <w:rFonts w:ascii="Arial Narrow" w:hAnsi="Arial Narrow" w:cs="Times New Roman"/>
                <w:b/>
                <w:bCs/>
                <w:i/>
                <w:iCs/>
                <w:color w:val="333333"/>
                <w:sz w:val="20"/>
                <w:szCs w:val="20"/>
              </w:rPr>
              <w:t>Caution:</w:t>
            </w:r>
            <w:r w:rsidRPr="00D91E8A">
              <w:rPr>
                <w:rFonts w:ascii="Arial Narrow" w:hAnsi="Arial Narrow" w:cs="Times New Roman"/>
                <w:i/>
                <w:iCs/>
                <w:color w:val="333333"/>
                <w:sz w:val="20"/>
                <w:szCs w:val="20"/>
              </w:rPr>
              <w:t xml:space="preserve"> C5 inhibitors</w:t>
            </w:r>
            <w:r w:rsidRPr="00D91E8A">
              <w:rPr>
                <w:rFonts w:ascii="Arial Narrow" w:hAnsi="Arial Narrow" w:cs="Times New Roman"/>
                <w:color w:val="333333"/>
                <w:sz w:val="20"/>
                <w:szCs w:val="20"/>
              </w:rPr>
              <w:t xml:space="preserve"> increases the risk of meningococcal infections (septicaemia and/or meningitis). Please consult the approved PI for information about vaccination against meningococcal infection.</w:t>
            </w:r>
          </w:p>
        </w:tc>
      </w:tr>
      <w:tr w:rsidR="00A1418F" w:rsidRPr="00B162C2" w14:paraId="5DE57524"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E676F0D"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11C1884" w14:textId="77777777" w:rsidR="00A1418F" w:rsidRPr="00D91E8A" w:rsidRDefault="00A1418F" w:rsidP="00BE10F4">
            <w:pPr>
              <w:rPr>
                <w:rFonts w:ascii="Arial Narrow" w:hAnsi="Arial Narrow" w:cs="Times New Roman"/>
                <w:b/>
                <w:bCs/>
                <w:i/>
                <w:iCs/>
                <w:color w:val="333333"/>
                <w:sz w:val="20"/>
                <w:szCs w:val="20"/>
              </w:rPr>
            </w:pPr>
            <w:r w:rsidRPr="00D91E8A">
              <w:rPr>
                <w:rFonts w:ascii="Arial Narrow" w:hAnsi="Arial Narrow" w:cs="Times New Roman"/>
                <w:b/>
                <w:bCs/>
                <w:i/>
                <w:iCs/>
                <w:color w:val="333333"/>
                <w:sz w:val="20"/>
                <w:szCs w:val="20"/>
              </w:rPr>
              <w:t xml:space="preserve">Episodicity: </w:t>
            </w:r>
            <w:r w:rsidRPr="00D91E8A">
              <w:rPr>
                <w:rFonts w:ascii="Arial Narrow" w:hAnsi="Arial Narrow" w:cs="Times New Roman"/>
                <w:i/>
                <w:iCs/>
                <w:color w:val="333333"/>
                <w:sz w:val="20"/>
                <w:szCs w:val="20"/>
              </w:rPr>
              <w:t>blank</w:t>
            </w:r>
          </w:p>
        </w:tc>
      </w:tr>
      <w:tr w:rsidR="00A1418F" w:rsidRPr="00B162C2" w14:paraId="13EDEE94"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6CBC337"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20CE65B" w14:textId="5806963E" w:rsidR="00A1418F" w:rsidRPr="00D91E8A" w:rsidRDefault="00A1418F" w:rsidP="00BE10F4">
            <w:pPr>
              <w:rPr>
                <w:rFonts w:ascii="Arial Narrow" w:hAnsi="Arial Narrow" w:cs="Times New Roman"/>
                <w:b/>
                <w:bCs/>
                <w:i/>
                <w:iCs/>
                <w:color w:val="333333"/>
                <w:sz w:val="20"/>
                <w:szCs w:val="20"/>
              </w:rPr>
            </w:pPr>
            <w:r w:rsidRPr="00D91E8A">
              <w:rPr>
                <w:rFonts w:ascii="Arial Narrow" w:hAnsi="Arial Narrow" w:cs="Times New Roman"/>
                <w:b/>
                <w:bCs/>
                <w:i/>
                <w:iCs/>
                <w:color w:val="333333"/>
                <w:sz w:val="20"/>
                <w:szCs w:val="20"/>
              </w:rPr>
              <w:t xml:space="preserve">Severity: </w:t>
            </w:r>
            <w:r w:rsidR="0097639E" w:rsidRPr="00D91E8A">
              <w:rPr>
                <w:rFonts w:ascii="Arial Narrow" w:hAnsi="Arial Narrow" w:cs="Times New Roman"/>
                <w:i/>
                <w:iCs/>
                <w:color w:val="333333"/>
                <w:sz w:val="20"/>
                <w:szCs w:val="20"/>
              </w:rPr>
              <w:t>blan</w:t>
            </w:r>
            <w:r w:rsidR="0097639E">
              <w:rPr>
                <w:rFonts w:ascii="Arial Narrow" w:hAnsi="Arial Narrow" w:cs="Times New Roman"/>
                <w:i/>
                <w:iCs/>
                <w:color w:val="333333"/>
                <w:sz w:val="20"/>
                <w:szCs w:val="20"/>
              </w:rPr>
              <w:t>k</w:t>
            </w:r>
          </w:p>
        </w:tc>
      </w:tr>
      <w:tr w:rsidR="00A1418F" w:rsidRPr="00771374" w14:paraId="173AB573"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9E65C1D"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5688ECB" w14:textId="77777777" w:rsidR="00A1418F" w:rsidRPr="00D91E8A" w:rsidRDefault="00A1418F" w:rsidP="00BE10F4">
            <w:pPr>
              <w:rPr>
                <w:rFonts w:ascii="Arial Narrow" w:hAnsi="Arial Narrow" w:cs="Times New Roman"/>
                <w:b/>
                <w:bCs/>
                <w:i/>
                <w:iCs/>
                <w:color w:val="333333"/>
                <w:sz w:val="20"/>
                <w:szCs w:val="20"/>
              </w:rPr>
            </w:pPr>
            <w:r w:rsidRPr="00D91E8A">
              <w:rPr>
                <w:rFonts w:ascii="Arial Narrow" w:hAnsi="Arial Narrow" w:cs="Times New Roman"/>
                <w:b/>
                <w:bCs/>
                <w:i/>
                <w:iCs/>
                <w:color w:val="333333"/>
                <w:sz w:val="20"/>
                <w:szCs w:val="20"/>
              </w:rPr>
              <w:t xml:space="preserve">Condition: </w:t>
            </w:r>
            <w:r w:rsidRPr="00D91E8A">
              <w:rPr>
                <w:rFonts w:ascii="Arial Narrow" w:hAnsi="Arial Narrow" w:cs="Times New Roman"/>
                <w:i/>
                <w:iCs/>
                <w:color w:val="333333"/>
                <w:sz w:val="20"/>
                <w:szCs w:val="20"/>
              </w:rPr>
              <w:t>generalised myasthenia gravis (gMG)</w:t>
            </w:r>
          </w:p>
        </w:tc>
      </w:tr>
      <w:tr w:rsidR="00A1418F" w:rsidRPr="00B162C2" w14:paraId="3BC73E53" w14:textId="77777777" w:rsidTr="00BE10F4">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24FBCFE"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812294E" w14:textId="77777777" w:rsidR="00A1418F" w:rsidRPr="00D91E8A" w:rsidRDefault="00A1418F" w:rsidP="00BE10F4">
            <w:pPr>
              <w:rPr>
                <w:rFonts w:ascii="Arial Narrow" w:hAnsi="Arial Narrow" w:cs="Times New Roman"/>
                <w:b/>
                <w:bCs/>
                <w:color w:val="333333"/>
                <w:sz w:val="20"/>
                <w:szCs w:val="20"/>
              </w:rPr>
            </w:pPr>
            <w:r w:rsidRPr="00D91E8A">
              <w:rPr>
                <w:rFonts w:ascii="Arial Narrow" w:hAnsi="Arial Narrow" w:cs="Times New Roman"/>
                <w:b/>
                <w:bCs/>
                <w:color w:val="333333"/>
                <w:sz w:val="20"/>
                <w:szCs w:val="20"/>
              </w:rPr>
              <w:t xml:space="preserve">Indication: </w:t>
            </w:r>
            <w:r w:rsidRPr="00D91E8A">
              <w:rPr>
                <w:rFonts w:ascii="Arial Narrow" w:hAnsi="Arial Narrow" w:cs="Times New Roman"/>
                <w:color w:val="333333"/>
                <w:sz w:val="20"/>
                <w:szCs w:val="20"/>
              </w:rPr>
              <w:t>generalised myasthenia gravis (gMG)</w:t>
            </w:r>
          </w:p>
        </w:tc>
      </w:tr>
      <w:tr w:rsidR="00A1418F" w:rsidRPr="00D91E8A" w14:paraId="27A84B47" w14:textId="77777777" w:rsidTr="00BE10F4">
        <w:trPr>
          <w:trHeight w:val="227"/>
        </w:trPr>
        <w:tc>
          <w:tcPr>
            <w:tcW w:w="541" w:type="pct"/>
            <w:vMerge w:val="restart"/>
            <w:tcMar>
              <w:left w:w="57" w:type="dxa"/>
              <w:right w:w="57" w:type="dxa"/>
            </w:tcMar>
            <w:vAlign w:val="center"/>
            <w:hideMark/>
          </w:tcPr>
          <w:p w14:paraId="65AEB757"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hideMark/>
          </w:tcPr>
          <w:p w14:paraId="7ABC5F7D"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b/>
                <w:bCs/>
                <w:color w:val="333333"/>
                <w:sz w:val="20"/>
                <w:szCs w:val="20"/>
              </w:rPr>
              <w:t>Treatment Phase:</w:t>
            </w:r>
            <w:r w:rsidRPr="00D91E8A">
              <w:rPr>
                <w:rFonts w:ascii="Arial Narrow" w:hAnsi="Arial Narrow" w:cs="Times New Roman"/>
                <w:color w:val="333333"/>
                <w:sz w:val="20"/>
                <w:szCs w:val="20"/>
              </w:rPr>
              <w:t xml:space="preserve"> Balance of supply</w:t>
            </w:r>
          </w:p>
        </w:tc>
      </w:tr>
      <w:tr w:rsidR="00A1418F" w:rsidRPr="00D91E8A" w14:paraId="32290F16" w14:textId="77777777" w:rsidTr="00BE10F4">
        <w:trPr>
          <w:trHeight w:val="227"/>
        </w:trPr>
        <w:tc>
          <w:tcPr>
            <w:tcW w:w="541" w:type="pct"/>
            <w:vMerge/>
            <w:tcMar>
              <w:left w:w="57" w:type="dxa"/>
              <w:right w:w="57" w:type="dxa"/>
            </w:tcMar>
            <w:vAlign w:val="center"/>
          </w:tcPr>
          <w:p w14:paraId="7E5CA8D9"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43C686AA" w14:textId="77777777" w:rsidR="00A1418F" w:rsidRPr="00D91E8A" w:rsidRDefault="00A1418F" w:rsidP="00BE10F4">
            <w:pPr>
              <w:rPr>
                <w:rFonts w:ascii="Arial Narrow" w:hAnsi="Arial Narrow" w:cs="Times New Roman"/>
                <w:b/>
                <w:bCs/>
                <w:color w:val="333333"/>
                <w:sz w:val="20"/>
                <w:szCs w:val="20"/>
              </w:rPr>
            </w:pPr>
          </w:p>
        </w:tc>
      </w:tr>
      <w:tr w:rsidR="00A1418F" w:rsidRPr="00D91E8A" w14:paraId="28FD302A" w14:textId="77777777" w:rsidTr="00BE10F4">
        <w:trPr>
          <w:trHeight w:val="227"/>
        </w:trPr>
        <w:tc>
          <w:tcPr>
            <w:tcW w:w="541" w:type="pct"/>
            <w:vMerge/>
            <w:tcMar>
              <w:left w:w="57" w:type="dxa"/>
              <w:right w:w="57" w:type="dxa"/>
            </w:tcMar>
            <w:vAlign w:val="center"/>
          </w:tcPr>
          <w:p w14:paraId="6C3484F9"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hideMark/>
          </w:tcPr>
          <w:p w14:paraId="35DE3753"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b/>
                <w:bCs/>
                <w:color w:val="333333"/>
                <w:sz w:val="20"/>
                <w:szCs w:val="20"/>
              </w:rPr>
              <w:t>Clinical criteria:</w:t>
            </w:r>
          </w:p>
        </w:tc>
      </w:tr>
      <w:tr w:rsidR="00A1418F" w:rsidRPr="00D91E8A" w14:paraId="3180EC31" w14:textId="77777777" w:rsidTr="00BE10F4">
        <w:trPr>
          <w:trHeight w:val="227"/>
        </w:trPr>
        <w:tc>
          <w:tcPr>
            <w:tcW w:w="541" w:type="pct"/>
            <w:vMerge/>
            <w:tcMar>
              <w:left w:w="57" w:type="dxa"/>
              <w:right w:w="57" w:type="dxa"/>
            </w:tcMar>
            <w:vAlign w:val="center"/>
          </w:tcPr>
          <w:p w14:paraId="142D79E7"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hideMark/>
          </w:tcPr>
          <w:p w14:paraId="2FAA40B3" w14:textId="77777777" w:rsidR="00A1418F" w:rsidRPr="00D91E8A" w:rsidRDefault="00A1418F" w:rsidP="00BE10F4">
            <w:pPr>
              <w:rPr>
                <w:rFonts w:ascii="Arial Narrow" w:hAnsi="Arial Narrow" w:cs="Times New Roman"/>
                <w:b/>
                <w:bCs/>
                <w:color w:val="333333"/>
                <w:sz w:val="20"/>
                <w:szCs w:val="20"/>
              </w:rPr>
            </w:pPr>
            <w:r w:rsidRPr="00D91E8A">
              <w:rPr>
                <w:rFonts w:ascii="Arial Narrow" w:hAnsi="Arial Narrow" w:cs="Times New Roman"/>
                <w:b/>
                <w:bCs/>
                <w:color w:val="333333"/>
                <w:sz w:val="20"/>
                <w:szCs w:val="20"/>
              </w:rPr>
              <w:t>AND</w:t>
            </w:r>
          </w:p>
        </w:tc>
      </w:tr>
      <w:tr w:rsidR="00A1418F" w:rsidRPr="00D91E8A" w14:paraId="0C0A7A1D" w14:textId="77777777" w:rsidTr="00BE10F4">
        <w:trPr>
          <w:trHeight w:val="227"/>
        </w:trPr>
        <w:tc>
          <w:tcPr>
            <w:tcW w:w="541" w:type="pct"/>
            <w:vMerge/>
            <w:tcMar>
              <w:left w:w="57" w:type="dxa"/>
              <w:right w:w="57" w:type="dxa"/>
            </w:tcMar>
            <w:vAlign w:val="center"/>
          </w:tcPr>
          <w:p w14:paraId="39F1F37C"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1216B42A"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strike/>
                <w:color w:val="333333"/>
                <w:sz w:val="20"/>
                <w:szCs w:val="20"/>
              </w:rPr>
              <w:t>The</w:t>
            </w:r>
            <w:r w:rsidRPr="00D91E8A">
              <w:rPr>
                <w:rFonts w:ascii="Arial Narrow" w:hAnsi="Arial Narrow" w:cs="Times New Roman"/>
                <w:color w:val="333333"/>
                <w:sz w:val="20"/>
                <w:szCs w:val="20"/>
              </w:rPr>
              <w:t xml:space="preserve"> </w:t>
            </w:r>
            <w:r>
              <w:rPr>
                <w:rFonts w:ascii="Arial Narrow" w:hAnsi="Arial Narrow" w:cs="Times New Roman"/>
                <w:color w:val="333333"/>
                <w:sz w:val="20"/>
                <w:szCs w:val="20"/>
              </w:rPr>
              <w:t>P</w:t>
            </w:r>
            <w:r w:rsidRPr="00D91E8A">
              <w:rPr>
                <w:rFonts w:ascii="Arial Narrow" w:hAnsi="Arial Narrow" w:cs="Times New Roman"/>
                <w:color w:val="333333"/>
                <w:sz w:val="20"/>
                <w:szCs w:val="20"/>
              </w:rPr>
              <w:t>atient must have a previously received this drug for this condition</w:t>
            </w:r>
          </w:p>
        </w:tc>
      </w:tr>
      <w:tr w:rsidR="00A1418F" w:rsidRPr="00D91E8A" w14:paraId="6579C888" w14:textId="77777777" w:rsidTr="00BE10F4">
        <w:trPr>
          <w:trHeight w:val="227"/>
        </w:trPr>
        <w:tc>
          <w:tcPr>
            <w:tcW w:w="541" w:type="pct"/>
            <w:vMerge/>
            <w:tcMar>
              <w:left w:w="57" w:type="dxa"/>
              <w:right w:w="57" w:type="dxa"/>
            </w:tcMar>
            <w:vAlign w:val="center"/>
          </w:tcPr>
          <w:p w14:paraId="08FB6F9F"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30F5EC5F" w14:textId="77777777" w:rsidR="00A1418F" w:rsidRPr="00D91E8A" w:rsidRDefault="00A1418F" w:rsidP="00BE10F4">
            <w:pPr>
              <w:rPr>
                <w:rFonts w:ascii="Arial Narrow" w:hAnsi="Arial Narrow" w:cs="Times New Roman"/>
                <w:b/>
                <w:bCs/>
                <w:color w:val="333333"/>
                <w:sz w:val="20"/>
                <w:szCs w:val="20"/>
              </w:rPr>
            </w:pPr>
            <w:r w:rsidRPr="00D91E8A">
              <w:rPr>
                <w:rFonts w:ascii="Arial Narrow" w:hAnsi="Arial Narrow" w:cs="Times New Roman"/>
                <w:b/>
                <w:bCs/>
                <w:color w:val="333333"/>
                <w:sz w:val="20"/>
                <w:szCs w:val="20"/>
              </w:rPr>
              <w:t>AND</w:t>
            </w:r>
          </w:p>
        </w:tc>
      </w:tr>
      <w:tr w:rsidR="00A1418F" w:rsidRPr="00D91E8A" w14:paraId="66059CCB" w14:textId="77777777" w:rsidTr="00BE10F4">
        <w:trPr>
          <w:trHeight w:val="227"/>
        </w:trPr>
        <w:tc>
          <w:tcPr>
            <w:tcW w:w="541" w:type="pct"/>
            <w:vMerge/>
            <w:tcMar>
              <w:left w:w="57" w:type="dxa"/>
              <w:right w:w="57" w:type="dxa"/>
            </w:tcMar>
            <w:vAlign w:val="center"/>
          </w:tcPr>
          <w:p w14:paraId="0C0F0950"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37E4F7DD" w14:textId="77777777" w:rsidR="00A1418F" w:rsidRPr="00D91E8A" w:rsidRDefault="00A1418F" w:rsidP="00BE10F4">
            <w:pPr>
              <w:rPr>
                <w:rFonts w:ascii="Arial Narrow" w:hAnsi="Arial Narrow" w:cs="Times New Roman"/>
                <w:b/>
                <w:bCs/>
                <w:i/>
                <w:iCs/>
                <w:color w:val="333333"/>
                <w:sz w:val="20"/>
                <w:szCs w:val="20"/>
              </w:rPr>
            </w:pPr>
            <w:r w:rsidRPr="00D91E8A">
              <w:rPr>
                <w:rFonts w:ascii="Arial Narrow" w:hAnsi="Arial Narrow" w:cs="Times New Roman"/>
                <w:b/>
                <w:bCs/>
                <w:i/>
                <w:iCs/>
                <w:color w:val="333333"/>
                <w:sz w:val="20"/>
                <w:szCs w:val="20"/>
              </w:rPr>
              <w:t>Clinical criteria:</w:t>
            </w:r>
          </w:p>
        </w:tc>
      </w:tr>
      <w:tr w:rsidR="00A1418F" w:rsidRPr="00D91E8A" w14:paraId="14C55ECE" w14:textId="77777777" w:rsidTr="00BE10F4">
        <w:trPr>
          <w:trHeight w:val="227"/>
        </w:trPr>
        <w:tc>
          <w:tcPr>
            <w:tcW w:w="541" w:type="pct"/>
            <w:vMerge/>
            <w:tcMar>
              <w:left w:w="57" w:type="dxa"/>
              <w:right w:w="57" w:type="dxa"/>
            </w:tcMar>
            <w:vAlign w:val="center"/>
          </w:tcPr>
          <w:p w14:paraId="005D0AD7"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0C758D96"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color w:val="333333"/>
                <w:sz w:val="20"/>
                <w:szCs w:val="20"/>
              </w:rPr>
              <w:t>Patient must have temporarily ceased treatment for reasons other than lack of response (e.g. family planning, vaccination, adverse-effect investigation), thereby being unable to achieve/maintain an adequate response immediately prior to this authority application,</w:t>
            </w:r>
          </w:p>
        </w:tc>
      </w:tr>
      <w:tr w:rsidR="00A1418F" w:rsidRPr="00D91E8A" w14:paraId="346AD236" w14:textId="77777777" w:rsidTr="00BE10F4">
        <w:trPr>
          <w:trHeight w:val="227"/>
        </w:trPr>
        <w:tc>
          <w:tcPr>
            <w:tcW w:w="541" w:type="pct"/>
            <w:vMerge/>
            <w:tcMar>
              <w:left w:w="57" w:type="dxa"/>
              <w:right w:w="57" w:type="dxa"/>
            </w:tcMar>
            <w:vAlign w:val="center"/>
          </w:tcPr>
          <w:p w14:paraId="72D2C63C"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1B0BF2B5" w14:textId="77777777" w:rsidR="00A1418F" w:rsidRPr="00D91E8A" w:rsidRDefault="00A1418F" w:rsidP="00BE10F4">
            <w:pPr>
              <w:rPr>
                <w:rFonts w:ascii="Arial Narrow" w:hAnsi="Arial Narrow" w:cs="Times New Roman"/>
                <w:b/>
                <w:bCs/>
                <w:color w:val="333333"/>
                <w:sz w:val="20"/>
                <w:szCs w:val="20"/>
              </w:rPr>
            </w:pPr>
            <w:r w:rsidRPr="00D91E8A">
              <w:rPr>
                <w:rFonts w:ascii="Arial Narrow" w:hAnsi="Arial Narrow" w:cs="Times New Roman"/>
                <w:b/>
                <w:bCs/>
                <w:color w:val="333333"/>
                <w:sz w:val="20"/>
                <w:szCs w:val="20"/>
              </w:rPr>
              <w:t>AND</w:t>
            </w:r>
          </w:p>
        </w:tc>
      </w:tr>
      <w:tr w:rsidR="00A1418F" w:rsidRPr="00D91E8A" w14:paraId="1731BE88" w14:textId="77777777" w:rsidTr="00BE10F4">
        <w:trPr>
          <w:trHeight w:val="227"/>
        </w:trPr>
        <w:tc>
          <w:tcPr>
            <w:tcW w:w="541" w:type="pct"/>
            <w:vMerge/>
            <w:tcMar>
              <w:left w:w="57" w:type="dxa"/>
              <w:right w:w="57" w:type="dxa"/>
            </w:tcMar>
            <w:vAlign w:val="center"/>
          </w:tcPr>
          <w:p w14:paraId="010F2DE6"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3E608096" w14:textId="77777777" w:rsidR="00A1418F" w:rsidRPr="00D91E8A" w:rsidRDefault="00A1418F" w:rsidP="00BE10F4">
            <w:pPr>
              <w:rPr>
                <w:rFonts w:ascii="Arial Narrow" w:hAnsi="Arial Narrow" w:cs="Times New Roman"/>
                <w:strike/>
                <w:color w:val="333333"/>
                <w:sz w:val="20"/>
                <w:szCs w:val="20"/>
              </w:rPr>
            </w:pPr>
            <w:r w:rsidRPr="00D91E8A">
              <w:rPr>
                <w:rFonts w:ascii="Arial Narrow" w:hAnsi="Arial Narrow" w:cs="Times New Roman"/>
                <w:b/>
                <w:bCs/>
                <w:i/>
                <w:iCs/>
                <w:color w:val="333333"/>
                <w:sz w:val="20"/>
                <w:szCs w:val="20"/>
              </w:rPr>
              <w:t>Clinical criteria:</w:t>
            </w:r>
          </w:p>
        </w:tc>
      </w:tr>
      <w:tr w:rsidR="00A1418F" w:rsidRPr="00D91E8A" w14:paraId="5E6DE786" w14:textId="77777777" w:rsidTr="00BE10F4">
        <w:trPr>
          <w:trHeight w:val="227"/>
        </w:trPr>
        <w:tc>
          <w:tcPr>
            <w:tcW w:w="541" w:type="pct"/>
            <w:vMerge/>
            <w:tcMar>
              <w:left w:w="57" w:type="dxa"/>
              <w:right w:w="57" w:type="dxa"/>
            </w:tcMar>
            <w:vAlign w:val="center"/>
          </w:tcPr>
          <w:p w14:paraId="6A6723A5"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11CF72A5"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strike/>
                <w:color w:val="333333"/>
                <w:sz w:val="20"/>
                <w:szCs w:val="20"/>
              </w:rPr>
              <w:t>The</w:t>
            </w:r>
            <w:r w:rsidRPr="00D91E8A">
              <w:rPr>
                <w:rFonts w:ascii="Arial Narrow" w:hAnsi="Arial Narrow" w:cs="Times New Roman"/>
                <w:color w:val="333333"/>
                <w:sz w:val="20"/>
                <w:szCs w:val="20"/>
              </w:rPr>
              <w:t xml:space="preserve"> </w:t>
            </w:r>
            <w:r>
              <w:rPr>
                <w:rFonts w:ascii="Arial Narrow" w:hAnsi="Arial Narrow" w:cs="Times New Roman"/>
                <w:color w:val="333333"/>
                <w:sz w:val="20"/>
                <w:szCs w:val="20"/>
              </w:rPr>
              <w:t>P</w:t>
            </w:r>
            <w:r w:rsidRPr="00D91E8A">
              <w:rPr>
                <w:rFonts w:ascii="Arial Narrow" w:hAnsi="Arial Narrow" w:cs="Times New Roman"/>
                <w:color w:val="333333"/>
                <w:sz w:val="20"/>
                <w:szCs w:val="20"/>
              </w:rPr>
              <w:t xml:space="preserve">atient must have received insufficient therapy with this drug under the initial treatment restriction to receive at least 12 weeks of continuous treatment </w:t>
            </w:r>
          </w:p>
        </w:tc>
      </w:tr>
      <w:tr w:rsidR="00A1418F" w:rsidRPr="00D91E8A" w14:paraId="54E66449" w14:textId="77777777" w:rsidTr="00BE10F4">
        <w:trPr>
          <w:trHeight w:val="227"/>
        </w:trPr>
        <w:tc>
          <w:tcPr>
            <w:tcW w:w="541" w:type="pct"/>
            <w:vMerge/>
            <w:tcMar>
              <w:left w:w="57" w:type="dxa"/>
              <w:right w:w="57" w:type="dxa"/>
            </w:tcMar>
            <w:vAlign w:val="center"/>
          </w:tcPr>
          <w:p w14:paraId="3957F9BD"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7F149D60" w14:textId="77777777" w:rsidR="00A1418F" w:rsidRPr="00D91E8A" w:rsidRDefault="00A1418F" w:rsidP="00BE10F4">
            <w:pPr>
              <w:rPr>
                <w:rFonts w:ascii="Arial Narrow" w:hAnsi="Arial Narrow" w:cs="Times New Roman"/>
                <w:b/>
                <w:bCs/>
                <w:color w:val="333333"/>
                <w:sz w:val="20"/>
                <w:szCs w:val="20"/>
              </w:rPr>
            </w:pPr>
            <w:r w:rsidRPr="00D91E8A">
              <w:rPr>
                <w:rFonts w:ascii="Arial Narrow" w:hAnsi="Arial Narrow" w:cs="Times New Roman"/>
                <w:b/>
                <w:bCs/>
                <w:color w:val="333333"/>
                <w:sz w:val="20"/>
                <w:szCs w:val="20"/>
              </w:rPr>
              <w:t>AND</w:t>
            </w:r>
          </w:p>
        </w:tc>
      </w:tr>
      <w:tr w:rsidR="00A1418F" w:rsidRPr="00D91E8A" w14:paraId="1EDECCCC" w14:textId="77777777" w:rsidTr="00BE10F4">
        <w:trPr>
          <w:trHeight w:val="227"/>
        </w:trPr>
        <w:tc>
          <w:tcPr>
            <w:tcW w:w="541" w:type="pct"/>
            <w:vMerge/>
            <w:tcMar>
              <w:left w:w="57" w:type="dxa"/>
              <w:right w:w="57" w:type="dxa"/>
            </w:tcMar>
            <w:vAlign w:val="center"/>
          </w:tcPr>
          <w:p w14:paraId="25A21A77"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56DE07D1"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b/>
                <w:bCs/>
                <w:i/>
                <w:iCs/>
                <w:color w:val="333333"/>
                <w:sz w:val="20"/>
                <w:szCs w:val="20"/>
              </w:rPr>
              <w:t>Clinical criteria:</w:t>
            </w:r>
          </w:p>
        </w:tc>
      </w:tr>
      <w:tr w:rsidR="00A1418F" w:rsidRPr="00D91E8A" w14:paraId="0C80090C" w14:textId="77777777" w:rsidTr="00BE10F4">
        <w:trPr>
          <w:trHeight w:val="227"/>
        </w:trPr>
        <w:tc>
          <w:tcPr>
            <w:tcW w:w="541" w:type="pct"/>
            <w:vMerge/>
            <w:tcMar>
              <w:left w:w="57" w:type="dxa"/>
              <w:right w:w="57" w:type="dxa"/>
            </w:tcMar>
            <w:vAlign w:val="center"/>
          </w:tcPr>
          <w:p w14:paraId="646368DA"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54BA5C9E"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color w:val="333333"/>
                <w:sz w:val="20"/>
                <w:szCs w:val="20"/>
              </w:rPr>
              <w:t>Treatment must not be in combination with another complement inhibitor</w:t>
            </w:r>
          </w:p>
        </w:tc>
      </w:tr>
      <w:tr w:rsidR="00A1418F" w:rsidRPr="00D91E8A" w14:paraId="21BACECC" w14:textId="77777777" w:rsidTr="00BE10F4">
        <w:trPr>
          <w:trHeight w:val="227"/>
        </w:trPr>
        <w:tc>
          <w:tcPr>
            <w:tcW w:w="541" w:type="pct"/>
            <w:vMerge/>
            <w:tcMar>
              <w:left w:w="57" w:type="dxa"/>
              <w:right w:w="57" w:type="dxa"/>
            </w:tcMar>
            <w:vAlign w:val="center"/>
          </w:tcPr>
          <w:p w14:paraId="26E7B733"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hideMark/>
          </w:tcPr>
          <w:p w14:paraId="226BEEF4"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b/>
                <w:bCs/>
                <w:color w:val="333333"/>
                <w:sz w:val="20"/>
                <w:szCs w:val="20"/>
              </w:rPr>
              <w:t>Treatment criteria:</w:t>
            </w:r>
          </w:p>
        </w:tc>
      </w:tr>
      <w:tr w:rsidR="00A1418F" w:rsidRPr="00D91E8A" w14:paraId="3D3AC626" w14:textId="77777777" w:rsidTr="00BE10F4">
        <w:trPr>
          <w:trHeight w:val="227"/>
        </w:trPr>
        <w:tc>
          <w:tcPr>
            <w:tcW w:w="541" w:type="pct"/>
            <w:vMerge/>
            <w:tcMar>
              <w:left w:w="57" w:type="dxa"/>
              <w:right w:w="57" w:type="dxa"/>
            </w:tcMar>
            <w:vAlign w:val="center"/>
          </w:tcPr>
          <w:p w14:paraId="169C3EE1"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0324FE41" w14:textId="77777777" w:rsidR="00A1418F" w:rsidRPr="00D91E8A" w:rsidRDefault="00A1418F" w:rsidP="00BE10F4">
            <w:pPr>
              <w:autoSpaceDE w:val="0"/>
              <w:autoSpaceDN w:val="0"/>
              <w:adjustRightInd w:val="0"/>
              <w:rPr>
                <w:rFonts w:ascii="Arial Narrow" w:eastAsia="Calibri" w:hAnsi="Arial Narrow" w:cs="Arial Narrow"/>
                <w:sz w:val="20"/>
                <w:szCs w:val="20"/>
              </w:rPr>
            </w:pPr>
            <w:r w:rsidRPr="00D91E8A">
              <w:rPr>
                <w:rFonts w:ascii="Arial Narrow" w:eastAsia="Calibri" w:hAnsi="Arial Narrow" w:cs="Arial Narrow"/>
                <w:sz w:val="20"/>
                <w:szCs w:val="20"/>
              </w:rPr>
              <w:t>Must be treated by a neurologist</w:t>
            </w:r>
          </w:p>
        </w:tc>
      </w:tr>
      <w:tr w:rsidR="00A1418F" w:rsidRPr="00D91E8A" w14:paraId="7DAF3819" w14:textId="77777777" w:rsidTr="00BE10F4">
        <w:trPr>
          <w:trHeight w:val="227"/>
        </w:trPr>
        <w:tc>
          <w:tcPr>
            <w:tcW w:w="541" w:type="pct"/>
            <w:vMerge/>
            <w:tcMar>
              <w:left w:w="57" w:type="dxa"/>
              <w:right w:w="57" w:type="dxa"/>
            </w:tcMar>
            <w:vAlign w:val="center"/>
          </w:tcPr>
          <w:p w14:paraId="12D0850A"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648C83F5" w14:textId="77777777" w:rsidR="00A1418F" w:rsidRPr="00D91E8A" w:rsidRDefault="00A1418F" w:rsidP="00BE10F4">
            <w:pPr>
              <w:rPr>
                <w:rFonts w:ascii="Arial Narrow" w:hAnsi="Arial Narrow" w:cs="Times New Roman"/>
                <w:b/>
                <w:bCs/>
                <w:color w:val="333333"/>
                <w:sz w:val="20"/>
                <w:szCs w:val="20"/>
              </w:rPr>
            </w:pPr>
          </w:p>
        </w:tc>
      </w:tr>
      <w:tr w:rsidR="00A1418F" w:rsidRPr="00D91E8A" w14:paraId="64749EB0" w14:textId="77777777" w:rsidTr="00BE10F4">
        <w:trPr>
          <w:trHeight w:val="227"/>
        </w:trPr>
        <w:tc>
          <w:tcPr>
            <w:tcW w:w="541" w:type="pct"/>
            <w:vMerge/>
            <w:tcMar>
              <w:left w:w="57" w:type="dxa"/>
              <w:right w:w="57" w:type="dxa"/>
            </w:tcMar>
            <w:vAlign w:val="center"/>
          </w:tcPr>
          <w:p w14:paraId="46081F14"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hideMark/>
          </w:tcPr>
          <w:p w14:paraId="409D0FD1"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b/>
                <w:bCs/>
                <w:color w:val="333333"/>
                <w:sz w:val="20"/>
                <w:szCs w:val="20"/>
              </w:rPr>
              <w:t>Prescribing Instructions:</w:t>
            </w:r>
            <w:r w:rsidRPr="00D91E8A">
              <w:rPr>
                <w:rFonts w:ascii="Arial Narrow" w:hAnsi="Arial Narrow" w:cs="Times New Roman"/>
                <w:color w:val="333333"/>
                <w:sz w:val="20"/>
                <w:szCs w:val="20"/>
              </w:rPr>
              <w:t xml:space="preserve"> </w:t>
            </w:r>
          </w:p>
        </w:tc>
      </w:tr>
      <w:tr w:rsidR="00A1418F" w:rsidRPr="00D91E8A" w14:paraId="2349F159" w14:textId="77777777" w:rsidTr="00BE10F4">
        <w:trPr>
          <w:trHeight w:val="227"/>
        </w:trPr>
        <w:tc>
          <w:tcPr>
            <w:tcW w:w="541" w:type="pct"/>
            <w:vMerge/>
            <w:tcMar>
              <w:left w:w="57" w:type="dxa"/>
              <w:right w:w="57" w:type="dxa"/>
            </w:tcMar>
            <w:vAlign w:val="center"/>
          </w:tcPr>
          <w:p w14:paraId="68F8B701"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28917EE0"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color w:val="333333"/>
                <w:sz w:val="20"/>
                <w:szCs w:val="20"/>
              </w:rPr>
              <w:t>The myasthenia gravis composite (MGC) referenced in this restriction is described in the following literature publication:</w:t>
            </w:r>
          </w:p>
          <w:p w14:paraId="70BD2539"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color w:val="333333"/>
                <w:sz w:val="20"/>
                <w:szCs w:val="20"/>
              </w:rPr>
              <w:t>Burns, T. M., Conaway, M. &amp; Sanders, D. B. 2010. The MG Composite: A valid and reliable outcome measure for myasthenia gravis. Neurology, 74, 1434-40.</w:t>
            </w:r>
          </w:p>
        </w:tc>
      </w:tr>
      <w:tr w:rsidR="00A1418F" w:rsidRPr="00D91E8A" w14:paraId="13A2C871" w14:textId="77777777" w:rsidTr="00BE10F4">
        <w:trPr>
          <w:trHeight w:val="227"/>
        </w:trPr>
        <w:tc>
          <w:tcPr>
            <w:tcW w:w="541" w:type="pct"/>
            <w:vMerge/>
            <w:tcMar>
              <w:left w:w="57" w:type="dxa"/>
              <w:right w:w="57" w:type="dxa"/>
            </w:tcMar>
            <w:vAlign w:val="center"/>
          </w:tcPr>
          <w:p w14:paraId="66BC9DB3" w14:textId="77777777" w:rsidR="00A1418F" w:rsidRPr="00D91E8A" w:rsidRDefault="00A1418F" w:rsidP="00BE10F4">
            <w:pPr>
              <w:jc w:val="center"/>
              <w:rPr>
                <w:rFonts w:ascii="Arial Narrow" w:hAnsi="Arial Narrow" w:cs="Times New Roman"/>
                <w:color w:val="333333"/>
                <w:sz w:val="20"/>
                <w:szCs w:val="20"/>
              </w:rPr>
            </w:pPr>
          </w:p>
        </w:tc>
        <w:tc>
          <w:tcPr>
            <w:tcW w:w="4459" w:type="pct"/>
            <w:tcMar>
              <w:left w:w="57" w:type="dxa"/>
              <w:right w:w="57" w:type="dxa"/>
            </w:tcMar>
            <w:vAlign w:val="center"/>
          </w:tcPr>
          <w:p w14:paraId="6CFAC8F8" w14:textId="77777777" w:rsidR="00A1418F" w:rsidRPr="00D91E8A" w:rsidRDefault="00A1418F" w:rsidP="00BE10F4">
            <w:pPr>
              <w:rPr>
                <w:rFonts w:ascii="Arial Narrow" w:hAnsi="Arial Narrow" w:cs="Times New Roman"/>
                <w:b/>
                <w:bCs/>
                <w:color w:val="333333"/>
                <w:sz w:val="20"/>
                <w:szCs w:val="20"/>
              </w:rPr>
            </w:pPr>
            <w:r w:rsidRPr="00D91E8A">
              <w:rPr>
                <w:rFonts w:ascii="Arial Narrow" w:hAnsi="Arial Narrow" w:cs="Times New Roman"/>
                <w:b/>
                <w:bCs/>
                <w:color w:val="333333"/>
                <w:sz w:val="20"/>
                <w:szCs w:val="20"/>
              </w:rPr>
              <w:t>Administrative Advice</w:t>
            </w:r>
            <w:r>
              <w:rPr>
                <w:rFonts w:ascii="Arial Narrow" w:hAnsi="Arial Narrow" w:cs="Times New Roman"/>
                <w:b/>
                <w:bCs/>
                <w:color w:val="333333"/>
                <w:sz w:val="20"/>
                <w:szCs w:val="20"/>
              </w:rPr>
              <w:t>:</w:t>
            </w:r>
          </w:p>
          <w:p w14:paraId="6BFCD657"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color w:val="333333"/>
                <w:sz w:val="20"/>
                <w:szCs w:val="20"/>
              </w:rPr>
              <w:t xml:space="preserve">The prescriber must </w:t>
            </w:r>
          </w:p>
          <w:p w14:paraId="5DB7B85F"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color w:val="333333"/>
                <w:sz w:val="20"/>
                <w:szCs w:val="20"/>
              </w:rPr>
              <w:t>The authority application must be made in writing and must include:</w:t>
            </w:r>
          </w:p>
          <w:p w14:paraId="6C28FC96"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color w:val="333333"/>
                <w:sz w:val="20"/>
                <w:szCs w:val="20"/>
              </w:rPr>
              <w:t xml:space="preserve"> (1) a completed authority prescription form; and</w:t>
            </w:r>
          </w:p>
          <w:p w14:paraId="7B6EEBCB"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color w:val="333333"/>
                <w:sz w:val="20"/>
                <w:szCs w:val="20"/>
              </w:rPr>
              <w:t xml:space="preserve"> (2) a completed authority application form relevant to the indication and treatment phase (the latest version is located on the website specified in the Administrative Advice); and</w:t>
            </w:r>
          </w:p>
          <w:p w14:paraId="6958BAC3" w14:textId="77777777" w:rsidR="00A1418F" w:rsidRPr="00665BC4" w:rsidRDefault="00A1418F" w:rsidP="00BE10F4">
            <w:pPr>
              <w:rPr>
                <w:rFonts w:ascii="Arial Narrow" w:hAnsi="Arial Narrow" w:cs="Times New Roman"/>
                <w:strike/>
                <w:color w:val="333333"/>
                <w:sz w:val="20"/>
                <w:szCs w:val="20"/>
              </w:rPr>
            </w:pPr>
            <w:r w:rsidRPr="00D91E8A">
              <w:rPr>
                <w:rFonts w:ascii="Arial Narrow" w:hAnsi="Arial Narrow" w:cs="Times New Roman"/>
                <w:color w:val="333333"/>
                <w:sz w:val="20"/>
                <w:szCs w:val="20"/>
              </w:rPr>
              <w:t xml:space="preserve"> (3) </w:t>
            </w:r>
            <w:r w:rsidRPr="00665BC4">
              <w:rPr>
                <w:rFonts w:ascii="Arial Narrow" w:hAnsi="Arial Narrow" w:cs="Times New Roman"/>
                <w:strike/>
                <w:color w:val="333333"/>
                <w:sz w:val="20"/>
                <w:szCs w:val="20"/>
              </w:rPr>
              <w:t>A detailed cover letter from the prescriber; and</w:t>
            </w:r>
          </w:p>
          <w:p w14:paraId="0C01B9F6" w14:textId="77777777" w:rsidR="00A1418F" w:rsidRPr="00D91E8A" w:rsidRDefault="00A1418F" w:rsidP="00BE10F4">
            <w:pPr>
              <w:rPr>
                <w:rFonts w:ascii="Arial Narrow" w:hAnsi="Arial Narrow" w:cs="Times New Roman"/>
                <w:color w:val="333333"/>
                <w:sz w:val="20"/>
                <w:szCs w:val="20"/>
              </w:rPr>
            </w:pPr>
            <w:r w:rsidRPr="00665BC4">
              <w:rPr>
                <w:rFonts w:ascii="Arial Narrow" w:hAnsi="Arial Narrow" w:cs="Times New Roman"/>
                <w:strike/>
                <w:color w:val="333333"/>
                <w:sz w:val="20"/>
                <w:szCs w:val="20"/>
              </w:rPr>
              <w:t xml:space="preserve"> </w:t>
            </w:r>
            <w:r w:rsidRPr="00665BC4">
              <w:rPr>
                <w:rFonts w:ascii="Arial Narrow" w:hAnsi="Arial Narrow" w:cs="Times New Roman"/>
                <w:i/>
                <w:iCs/>
                <w:strike/>
                <w:color w:val="333333"/>
                <w:sz w:val="20"/>
                <w:szCs w:val="20"/>
              </w:rPr>
              <w:t>(4)</w:t>
            </w:r>
            <w:r>
              <w:rPr>
                <w:rFonts w:ascii="Arial Narrow" w:hAnsi="Arial Narrow" w:cs="Times New Roman"/>
                <w:color w:val="333333"/>
                <w:sz w:val="20"/>
                <w:szCs w:val="20"/>
              </w:rPr>
              <w:t xml:space="preserve"> </w:t>
            </w:r>
            <w:r w:rsidRPr="00D91E8A">
              <w:rPr>
                <w:rFonts w:ascii="Arial Narrow" w:hAnsi="Arial Narrow" w:cs="Times New Roman"/>
                <w:color w:val="333333"/>
                <w:sz w:val="20"/>
                <w:szCs w:val="20"/>
              </w:rPr>
              <w:t>At the time of the authority application, details (result and date of result) of the following monitoring requirements must be provided:</w:t>
            </w:r>
          </w:p>
          <w:p w14:paraId="3947D428"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color w:val="333333"/>
                <w:sz w:val="20"/>
                <w:szCs w:val="20"/>
              </w:rPr>
              <w:t>Reason for temporarily ceasing treatment</w:t>
            </w:r>
          </w:p>
        </w:tc>
      </w:tr>
      <w:tr w:rsidR="00A1418F" w:rsidRPr="00771374" w14:paraId="3988FB53" w14:textId="77777777" w:rsidTr="00BE10F4">
        <w:trPr>
          <w:trHeight w:val="227"/>
        </w:trPr>
        <w:tc>
          <w:tcPr>
            <w:tcW w:w="541" w:type="pct"/>
            <w:tcMar>
              <w:left w:w="57" w:type="dxa"/>
              <w:right w:w="57" w:type="dxa"/>
            </w:tcMar>
            <w:vAlign w:val="center"/>
          </w:tcPr>
          <w:p w14:paraId="66F05C95" w14:textId="77777777" w:rsidR="00A1418F" w:rsidRPr="00771374" w:rsidRDefault="00A1418F" w:rsidP="00BE10F4">
            <w:pPr>
              <w:pStyle w:val="COMTabletext"/>
              <w:keepNext w:val="0"/>
              <w:rPr>
                <w:bCs w:val="0"/>
                <w:i/>
                <w:iCs/>
              </w:rPr>
            </w:pPr>
            <w:r w:rsidRPr="00771374">
              <w:rPr>
                <w:bCs w:val="0"/>
                <w:i/>
                <w:iCs/>
              </w:rPr>
              <w:t>28584</w:t>
            </w:r>
          </w:p>
          <w:p w14:paraId="2E1CAF8C" w14:textId="77777777" w:rsidR="00A1418F" w:rsidRPr="00771374" w:rsidRDefault="00A1418F" w:rsidP="00BE10F4">
            <w:pPr>
              <w:pStyle w:val="COMTabletext"/>
              <w:keepNext w:val="0"/>
              <w:rPr>
                <w:bCs w:val="0"/>
                <w:i/>
                <w:iCs/>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876B86" w14:textId="77777777" w:rsidR="00A1418F" w:rsidRPr="00D91E8A" w:rsidRDefault="00A1418F" w:rsidP="00BE10F4">
            <w:pPr>
              <w:jc w:val="left"/>
              <w:rPr>
                <w:rFonts w:ascii="Arial Narrow" w:hAnsi="Arial Narrow" w:cs="Times New Roman"/>
                <w:b/>
                <w:bCs/>
                <w:i/>
                <w:iCs/>
                <w:color w:val="333333"/>
                <w:sz w:val="20"/>
                <w:szCs w:val="20"/>
              </w:rPr>
            </w:pPr>
            <w:r w:rsidRPr="00D91E8A">
              <w:rPr>
                <w:rFonts w:ascii="Arial Narrow" w:hAnsi="Arial Narrow" w:cs="Times New Roman"/>
                <w:b/>
                <w:bCs/>
                <w:i/>
                <w:iCs/>
                <w:color w:val="333333"/>
                <w:sz w:val="20"/>
                <w:szCs w:val="20"/>
              </w:rPr>
              <w:t>Administrative Advice:</w:t>
            </w:r>
          </w:p>
          <w:p w14:paraId="6F34A91A"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Any queries concerning the arrangements to prescribe may be directed to Services Australia on 1800 700 270 (hours of operation 8 a.m. to 5 p.m. Monday to Friday).</w:t>
            </w:r>
          </w:p>
          <w:p w14:paraId="524837D7"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Prescribing information (including Authority Application forms and other relevant documentation as applicable) is available on the Services Australia website at www.servicesaustralia.gov.au</w:t>
            </w:r>
          </w:p>
          <w:p w14:paraId="37931470"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Applications for authority to prescribe should be submitted online using the form upload facility in Health Professional Online Services (HPOS) at www.servicesaustralia.gov.au/hpos</w:t>
            </w:r>
          </w:p>
          <w:p w14:paraId="2083E4A8"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Or mailed to:</w:t>
            </w:r>
          </w:p>
          <w:p w14:paraId="7EE7BDF2"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Services Australia</w:t>
            </w:r>
          </w:p>
          <w:p w14:paraId="1B6EE09B"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Complex Drugs</w:t>
            </w:r>
          </w:p>
          <w:p w14:paraId="07AB5F2C"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Reply Paid 9826</w:t>
            </w:r>
          </w:p>
          <w:p w14:paraId="546ECBB0" w14:textId="77777777" w:rsidR="00A1418F" w:rsidRPr="00D91E8A" w:rsidRDefault="00A1418F" w:rsidP="00BE10F4">
            <w:pPr>
              <w:jc w:val="left"/>
              <w:rPr>
                <w:rFonts w:ascii="Arial Narrow" w:hAnsi="Arial Narrow" w:cs="Times New Roman"/>
                <w:color w:val="333333"/>
                <w:sz w:val="20"/>
                <w:szCs w:val="20"/>
              </w:rPr>
            </w:pPr>
            <w:r w:rsidRPr="00D91E8A">
              <w:rPr>
                <w:rFonts w:ascii="Arial Narrow" w:hAnsi="Arial Narrow" w:cs="Times New Roman"/>
                <w:i/>
                <w:iCs/>
                <w:color w:val="333333"/>
                <w:sz w:val="20"/>
                <w:szCs w:val="20"/>
              </w:rPr>
              <w:t>HOBART TAS 7001</w:t>
            </w:r>
          </w:p>
        </w:tc>
      </w:tr>
    </w:tbl>
    <w:p w14:paraId="571E7791" w14:textId="77777777" w:rsidR="00A1418F" w:rsidRDefault="00A1418F" w:rsidP="00A141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8041"/>
      </w:tblGrid>
      <w:tr w:rsidR="00A1418F" w:rsidRPr="00D91E8A" w14:paraId="3AFC14B6"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6DDDC67"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85D3661" w14:textId="670AD792" w:rsidR="00A1418F" w:rsidRPr="00D91E8A" w:rsidRDefault="00A1418F" w:rsidP="00BE10F4">
            <w:pPr>
              <w:rPr>
                <w:rFonts w:ascii="Arial Narrow" w:hAnsi="Arial Narrow" w:cs="Times New Roman"/>
                <w:b/>
                <w:bCs/>
                <w:color w:val="333333"/>
                <w:sz w:val="20"/>
                <w:szCs w:val="20"/>
              </w:rPr>
            </w:pPr>
            <w:r w:rsidRPr="00D91E8A">
              <w:rPr>
                <w:rFonts w:ascii="Arial Narrow" w:hAnsi="Arial Narrow" w:cs="Times New Roman"/>
                <w:b/>
                <w:bCs/>
                <w:color w:val="333333"/>
                <w:sz w:val="20"/>
                <w:szCs w:val="20"/>
              </w:rPr>
              <w:t xml:space="preserve">Category / Program: </w:t>
            </w:r>
            <w:r w:rsidRPr="00D91E8A">
              <w:rPr>
                <w:rFonts w:ascii="Arial Narrow" w:hAnsi="Arial Narrow" w:cs="Times New Roman"/>
                <w:color w:val="333333"/>
                <w:sz w:val="20"/>
                <w:szCs w:val="20"/>
              </w:rPr>
              <w:t>Section 85 – General schedule</w:t>
            </w:r>
          </w:p>
        </w:tc>
      </w:tr>
      <w:tr w:rsidR="00A1418F" w:rsidRPr="00D91E8A" w14:paraId="1186F632"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3B34C0D"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07988EE" w14:textId="77777777" w:rsidR="00A1418F" w:rsidRPr="00D91E8A" w:rsidRDefault="00A1418F" w:rsidP="00BE10F4">
            <w:pPr>
              <w:rPr>
                <w:rFonts w:ascii="Arial Narrow" w:hAnsi="Arial Narrow" w:cs="Times New Roman"/>
                <w:b/>
                <w:bCs/>
                <w:color w:val="333333"/>
                <w:sz w:val="20"/>
                <w:szCs w:val="20"/>
              </w:rPr>
            </w:pPr>
            <w:r w:rsidRPr="00D91E8A">
              <w:rPr>
                <w:rFonts w:ascii="Arial Narrow" w:hAnsi="Arial Narrow" w:cs="Times New Roman"/>
                <w:b/>
                <w:bCs/>
                <w:color w:val="333333"/>
                <w:sz w:val="20"/>
                <w:szCs w:val="20"/>
              </w:rPr>
              <w:t xml:space="preserve">Prescriber type: </w:t>
            </w:r>
            <w:r w:rsidRPr="00D91E8A">
              <w:rPr>
                <w:rFonts w:ascii="Arial Narrow" w:hAnsi="Arial Narrow" w:cs="Times New Roman"/>
                <w:b/>
                <w:bCs/>
                <w:color w:val="333333"/>
                <w:sz w:val="20"/>
                <w:szCs w:val="20"/>
              </w:rPr>
              <w:fldChar w:fldCharType="begin" w:fldLock="1">
                <w:ffData>
                  <w:name w:val=""/>
                  <w:enabled/>
                  <w:calcOnExit w:val="0"/>
                  <w:checkBox>
                    <w:sizeAuto/>
                    <w:default w:val="1"/>
                  </w:checkBox>
                </w:ffData>
              </w:fldChar>
            </w:r>
            <w:r w:rsidRPr="00D91E8A">
              <w:rPr>
                <w:rFonts w:ascii="Arial Narrow" w:hAnsi="Arial Narrow" w:cs="Times New Roman"/>
                <w:b/>
                <w:bCs/>
                <w:color w:val="333333"/>
                <w:sz w:val="20"/>
                <w:szCs w:val="20"/>
              </w:rPr>
              <w:instrText xml:space="preserve"> FORMCHECKBOX </w:instrText>
            </w:r>
            <w:r w:rsidRPr="00D91E8A">
              <w:rPr>
                <w:rFonts w:ascii="Arial Narrow" w:hAnsi="Arial Narrow" w:cs="Times New Roman"/>
                <w:b/>
                <w:bCs/>
                <w:color w:val="333333"/>
                <w:sz w:val="20"/>
                <w:szCs w:val="20"/>
              </w:rPr>
            </w:r>
            <w:r w:rsidRPr="00D91E8A">
              <w:rPr>
                <w:rFonts w:ascii="Arial Narrow" w:hAnsi="Arial Narrow" w:cs="Times New Roman"/>
                <w:b/>
                <w:bCs/>
                <w:color w:val="333333"/>
                <w:sz w:val="20"/>
                <w:szCs w:val="20"/>
              </w:rPr>
              <w:fldChar w:fldCharType="separate"/>
            </w:r>
            <w:r w:rsidRPr="00D91E8A">
              <w:rPr>
                <w:rFonts w:ascii="Arial Narrow" w:hAnsi="Arial Narrow" w:cs="Times New Roman"/>
                <w:b/>
                <w:bCs/>
                <w:color w:val="333333"/>
                <w:sz w:val="20"/>
                <w:szCs w:val="20"/>
              </w:rPr>
              <w:fldChar w:fldCharType="end"/>
            </w:r>
            <w:r w:rsidRPr="00D91E8A">
              <w:rPr>
                <w:rFonts w:ascii="Arial Narrow" w:hAnsi="Arial Narrow" w:cs="Times New Roman"/>
                <w:color w:val="333333"/>
                <w:sz w:val="20"/>
                <w:szCs w:val="20"/>
              </w:rPr>
              <w:t>Medical Practitioners</w:t>
            </w:r>
            <w:r w:rsidRPr="00D91E8A">
              <w:rPr>
                <w:rFonts w:ascii="Arial Narrow" w:hAnsi="Arial Narrow" w:cs="Times New Roman"/>
                <w:b/>
                <w:bCs/>
                <w:color w:val="333333"/>
                <w:sz w:val="20"/>
                <w:szCs w:val="20"/>
              </w:rPr>
              <w:t xml:space="preserve"> </w:t>
            </w:r>
          </w:p>
        </w:tc>
      </w:tr>
      <w:tr w:rsidR="00A1418F" w:rsidRPr="00D91E8A" w14:paraId="293C5BDF"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19F8694"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FFA87E6" w14:textId="77777777" w:rsidR="00A1418F" w:rsidRPr="00D91E8A" w:rsidRDefault="00A1418F" w:rsidP="00BE10F4">
            <w:pPr>
              <w:rPr>
                <w:rFonts w:ascii="Arial Narrow" w:hAnsi="Arial Narrow" w:cs="Times New Roman"/>
                <w:b/>
                <w:bCs/>
                <w:color w:val="333333"/>
                <w:sz w:val="20"/>
                <w:szCs w:val="20"/>
              </w:rPr>
            </w:pPr>
            <w:r w:rsidRPr="00D91E8A">
              <w:rPr>
                <w:rFonts w:ascii="Arial Narrow" w:hAnsi="Arial Narrow" w:cs="Times New Roman"/>
                <w:b/>
                <w:bCs/>
                <w:color w:val="333333"/>
                <w:sz w:val="20"/>
                <w:szCs w:val="20"/>
              </w:rPr>
              <w:t xml:space="preserve">Restriction type: </w:t>
            </w:r>
            <w:r w:rsidRPr="00D91E8A">
              <w:rPr>
                <w:rFonts w:ascii="Arial Narrow" w:hAnsi="Arial Narrow" w:cs="Times New Roman"/>
                <w:b/>
                <w:bCs/>
                <w:color w:val="333333"/>
                <w:sz w:val="20"/>
                <w:szCs w:val="20"/>
              </w:rPr>
              <w:fldChar w:fldCharType="begin" w:fldLock="1">
                <w:ffData>
                  <w:name w:val=""/>
                  <w:enabled/>
                  <w:calcOnExit w:val="0"/>
                  <w:checkBox>
                    <w:sizeAuto/>
                    <w:default w:val="1"/>
                  </w:checkBox>
                </w:ffData>
              </w:fldChar>
            </w:r>
            <w:r w:rsidRPr="00D91E8A">
              <w:rPr>
                <w:rFonts w:ascii="Arial Narrow" w:hAnsi="Arial Narrow" w:cs="Times New Roman"/>
                <w:b/>
                <w:bCs/>
                <w:color w:val="333333"/>
                <w:sz w:val="20"/>
                <w:szCs w:val="20"/>
              </w:rPr>
              <w:instrText xml:space="preserve"> FORMCHECKBOX </w:instrText>
            </w:r>
            <w:r w:rsidRPr="00D91E8A">
              <w:rPr>
                <w:rFonts w:ascii="Arial Narrow" w:hAnsi="Arial Narrow" w:cs="Times New Roman"/>
                <w:b/>
                <w:bCs/>
                <w:color w:val="333333"/>
                <w:sz w:val="20"/>
                <w:szCs w:val="20"/>
              </w:rPr>
            </w:r>
            <w:r w:rsidRPr="00D91E8A">
              <w:rPr>
                <w:rFonts w:ascii="Arial Narrow" w:hAnsi="Arial Narrow" w:cs="Times New Roman"/>
                <w:b/>
                <w:bCs/>
                <w:color w:val="333333"/>
                <w:sz w:val="20"/>
                <w:szCs w:val="20"/>
              </w:rPr>
              <w:fldChar w:fldCharType="separate"/>
            </w:r>
            <w:r w:rsidRPr="00D91E8A">
              <w:rPr>
                <w:rFonts w:ascii="Arial Narrow" w:hAnsi="Arial Narrow" w:cs="Times New Roman"/>
                <w:b/>
                <w:bCs/>
                <w:color w:val="333333"/>
                <w:sz w:val="20"/>
                <w:szCs w:val="20"/>
              </w:rPr>
              <w:fldChar w:fldCharType="end"/>
            </w:r>
            <w:r w:rsidRPr="00D91E8A">
              <w:rPr>
                <w:rFonts w:ascii="Arial Narrow" w:hAnsi="Arial Narrow" w:cs="Times New Roman"/>
                <w:color w:val="333333"/>
                <w:sz w:val="20"/>
                <w:szCs w:val="20"/>
              </w:rPr>
              <w:t xml:space="preserve">Authority Required </w:t>
            </w:r>
            <w:r w:rsidRPr="00D91E8A">
              <w:rPr>
                <w:rFonts w:ascii="Arial Narrow" w:hAnsi="Arial Narrow" w:cs="Times New Roman"/>
                <w:strike/>
                <w:color w:val="333333"/>
                <w:sz w:val="20"/>
                <w:szCs w:val="20"/>
              </w:rPr>
              <w:t>(in writing only via post/HPOS upload)</w:t>
            </w:r>
            <w:r w:rsidRPr="00D91E8A">
              <w:rPr>
                <w:rFonts w:ascii="Arial Narrow" w:hAnsi="Arial Narrow" w:cs="Times New Roman"/>
                <w:color w:val="333333"/>
                <w:sz w:val="20"/>
                <w:szCs w:val="20"/>
              </w:rPr>
              <w:t xml:space="preserve"> </w:t>
            </w:r>
            <w:r w:rsidRPr="00D91E8A">
              <w:rPr>
                <w:rFonts w:ascii="Arial Narrow" w:hAnsi="Arial Narrow" w:cs="Times New Roman"/>
                <w:i/>
                <w:iCs/>
                <w:color w:val="333333"/>
                <w:sz w:val="20"/>
                <w:szCs w:val="20"/>
              </w:rPr>
              <w:t>non-immediate/delayed assessment by Services Australia (in-writing only via mail/postal service or electronic upload to Hobart; requires at least one concept ID to be marked as ‘FULL’ for full assessment by Services Australia)</w:t>
            </w:r>
          </w:p>
        </w:tc>
      </w:tr>
      <w:tr w:rsidR="00A1418F" w:rsidRPr="00D91E8A" w14:paraId="00C8096E"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B9D4CBC"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C959028" w14:textId="77777777" w:rsidR="00A1418F" w:rsidRPr="00D91E8A" w:rsidRDefault="00A1418F" w:rsidP="00BE10F4">
            <w:pPr>
              <w:rPr>
                <w:rFonts w:ascii="Arial Narrow" w:hAnsi="Arial Narrow" w:cs="Times New Roman"/>
                <w:color w:val="333333"/>
                <w:sz w:val="20"/>
                <w:szCs w:val="20"/>
              </w:rPr>
            </w:pPr>
            <w:r w:rsidRPr="00D91E8A">
              <w:rPr>
                <w:rFonts w:ascii="Arial Narrow" w:hAnsi="Arial Narrow" w:cs="Times New Roman"/>
                <w:strike/>
                <w:color w:val="333333"/>
                <w:sz w:val="20"/>
                <w:szCs w:val="20"/>
              </w:rPr>
              <w:t>WARNING: Zilucoplan</w:t>
            </w:r>
            <w:r w:rsidRPr="00D91E8A">
              <w:rPr>
                <w:rFonts w:ascii="Arial Narrow" w:hAnsi="Arial Narrow" w:cs="Times New Roman"/>
                <w:color w:val="333333"/>
                <w:sz w:val="20"/>
                <w:szCs w:val="20"/>
              </w:rPr>
              <w:t xml:space="preserve"> </w:t>
            </w:r>
            <w:r w:rsidRPr="00D91E8A">
              <w:rPr>
                <w:rFonts w:ascii="Arial Narrow" w:hAnsi="Arial Narrow" w:cs="Times New Roman"/>
                <w:b/>
                <w:bCs/>
                <w:i/>
                <w:iCs/>
                <w:color w:val="333333"/>
                <w:sz w:val="20"/>
                <w:szCs w:val="20"/>
              </w:rPr>
              <w:t>Caution:</w:t>
            </w:r>
            <w:r w:rsidRPr="00D91E8A">
              <w:rPr>
                <w:rFonts w:ascii="Arial Narrow" w:hAnsi="Arial Narrow" w:cs="Times New Roman"/>
                <w:i/>
                <w:iCs/>
                <w:color w:val="333333"/>
                <w:sz w:val="20"/>
                <w:szCs w:val="20"/>
              </w:rPr>
              <w:t xml:space="preserve"> C5 inhibitors</w:t>
            </w:r>
            <w:r w:rsidRPr="00D91E8A">
              <w:rPr>
                <w:rFonts w:ascii="Arial Narrow" w:hAnsi="Arial Narrow" w:cs="Times New Roman"/>
                <w:color w:val="333333"/>
                <w:sz w:val="20"/>
                <w:szCs w:val="20"/>
              </w:rPr>
              <w:t xml:space="preserve"> increases the risk of meningococcal infections (septicaemia and/or meningitis). Please consult the approved PI for information about vaccination against meningococcal infection.</w:t>
            </w:r>
          </w:p>
        </w:tc>
      </w:tr>
      <w:tr w:rsidR="00A1418F" w:rsidRPr="00D91E8A" w14:paraId="21CFE537"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51E6B99"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B128D9F" w14:textId="77777777" w:rsidR="00A1418F" w:rsidRPr="00D91E8A" w:rsidRDefault="00A1418F" w:rsidP="00BE10F4">
            <w:pPr>
              <w:rPr>
                <w:rFonts w:ascii="Arial Narrow" w:hAnsi="Arial Narrow" w:cs="Times New Roman"/>
                <w:b/>
                <w:bCs/>
                <w:i/>
                <w:iCs/>
                <w:color w:val="333333"/>
                <w:sz w:val="20"/>
                <w:szCs w:val="20"/>
              </w:rPr>
            </w:pPr>
            <w:r w:rsidRPr="00D91E8A">
              <w:rPr>
                <w:rFonts w:ascii="Arial Narrow" w:hAnsi="Arial Narrow" w:cs="Times New Roman"/>
                <w:b/>
                <w:bCs/>
                <w:i/>
                <w:iCs/>
                <w:color w:val="333333"/>
                <w:sz w:val="20"/>
                <w:szCs w:val="20"/>
              </w:rPr>
              <w:t xml:space="preserve">Episodicity: </w:t>
            </w:r>
            <w:r w:rsidRPr="00D91E8A">
              <w:rPr>
                <w:rFonts w:ascii="Arial Narrow" w:hAnsi="Arial Narrow" w:cs="Times New Roman"/>
                <w:i/>
                <w:iCs/>
                <w:color w:val="333333"/>
                <w:sz w:val="20"/>
                <w:szCs w:val="20"/>
              </w:rPr>
              <w:t>blank</w:t>
            </w:r>
          </w:p>
        </w:tc>
      </w:tr>
      <w:tr w:rsidR="00A1418F" w:rsidRPr="00D91E8A" w14:paraId="6E7275CD"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F99460C"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62116BE" w14:textId="21BD808F" w:rsidR="00A1418F" w:rsidRPr="00D91E8A" w:rsidRDefault="00A1418F" w:rsidP="00BE10F4">
            <w:pPr>
              <w:rPr>
                <w:rFonts w:ascii="Arial Narrow" w:hAnsi="Arial Narrow" w:cs="Times New Roman"/>
                <w:b/>
                <w:bCs/>
                <w:i/>
                <w:iCs/>
                <w:color w:val="333333"/>
                <w:sz w:val="20"/>
                <w:szCs w:val="20"/>
              </w:rPr>
            </w:pPr>
            <w:r w:rsidRPr="00D91E8A">
              <w:rPr>
                <w:rFonts w:ascii="Arial Narrow" w:hAnsi="Arial Narrow" w:cs="Times New Roman"/>
                <w:b/>
                <w:bCs/>
                <w:i/>
                <w:iCs/>
                <w:color w:val="333333"/>
                <w:sz w:val="20"/>
                <w:szCs w:val="20"/>
              </w:rPr>
              <w:t xml:space="preserve">Severity: </w:t>
            </w:r>
            <w:r w:rsidR="0097639E" w:rsidRPr="00D91E8A">
              <w:rPr>
                <w:rFonts w:ascii="Arial Narrow" w:hAnsi="Arial Narrow" w:cs="Times New Roman"/>
                <w:i/>
                <w:iCs/>
                <w:color w:val="333333"/>
                <w:sz w:val="20"/>
                <w:szCs w:val="20"/>
              </w:rPr>
              <w:t>blan</w:t>
            </w:r>
            <w:r w:rsidR="0097639E">
              <w:rPr>
                <w:rFonts w:ascii="Arial Narrow" w:hAnsi="Arial Narrow" w:cs="Times New Roman"/>
                <w:i/>
                <w:iCs/>
                <w:color w:val="333333"/>
                <w:sz w:val="20"/>
                <w:szCs w:val="20"/>
              </w:rPr>
              <w:t>k</w:t>
            </w:r>
          </w:p>
        </w:tc>
      </w:tr>
      <w:tr w:rsidR="00A1418F" w:rsidRPr="00D91E8A" w14:paraId="29B5CBC1" w14:textId="77777777">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81E2033"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6C61F90" w14:textId="77777777" w:rsidR="00A1418F" w:rsidRPr="00D91E8A" w:rsidRDefault="00A1418F" w:rsidP="00BE10F4">
            <w:pPr>
              <w:rPr>
                <w:rFonts w:ascii="Arial Narrow" w:hAnsi="Arial Narrow" w:cs="Times New Roman"/>
                <w:b/>
                <w:bCs/>
                <w:i/>
                <w:iCs/>
                <w:color w:val="333333"/>
                <w:sz w:val="20"/>
                <w:szCs w:val="20"/>
              </w:rPr>
            </w:pPr>
            <w:r w:rsidRPr="00D91E8A">
              <w:rPr>
                <w:rFonts w:ascii="Arial Narrow" w:hAnsi="Arial Narrow" w:cs="Times New Roman"/>
                <w:b/>
                <w:bCs/>
                <w:i/>
                <w:iCs/>
                <w:color w:val="333333"/>
                <w:sz w:val="20"/>
                <w:szCs w:val="20"/>
              </w:rPr>
              <w:t xml:space="preserve">Condition: </w:t>
            </w:r>
            <w:r w:rsidRPr="00D91E8A">
              <w:rPr>
                <w:rFonts w:ascii="Arial Narrow" w:hAnsi="Arial Narrow" w:cs="Times New Roman"/>
                <w:i/>
                <w:iCs/>
                <w:color w:val="333333"/>
                <w:sz w:val="20"/>
                <w:szCs w:val="20"/>
              </w:rPr>
              <w:t>generalised myasthenia gravis (gMG)</w:t>
            </w:r>
          </w:p>
        </w:tc>
      </w:tr>
      <w:tr w:rsidR="00A1418F" w:rsidRPr="00D91E8A" w14:paraId="5FA53520" w14:textId="77777777" w:rsidTr="00BE10F4">
        <w:trPr>
          <w:trHeight w:val="227"/>
        </w:trPr>
        <w:tc>
          <w:tcPr>
            <w:tcW w:w="541"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E566914" w14:textId="77777777" w:rsidR="00A1418F" w:rsidRPr="00D91E8A" w:rsidRDefault="00A1418F" w:rsidP="00BE10F4">
            <w:pPr>
              <w:jc w:val="center"/>
              <w:rPr>
                <w:rFonts w:ascii="Arial Narrow" w:hAnsi="Arial Narrow" w:cs="Times New Roman"/>
                <w:color w:val="333333"/>
                <w:sz w:val="20"/>
                <w:szCs w:val="20"/>
              </w:rPr>
            </w:pPr>
          </w:p>
        </w:tc>
        <w:tc>
          <w:tcPr>
            <w:tcW w:w="4459"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40A066D" w14:textId="77777777" w:rsidR="00A1418F" w:rsidRPr="00D91E8A" w:rsidRDefault="00A1418F" w:rsidP="00BE10F4">
            <w:pPr>
              <w:rPr>
                <w:rFonts w:ascii="Arial Narrow" w:hAnsi="Arial Narrow" w:cs="Times New Roman"/>
                <w:b/>
                <w:bCs/>
                <w:color w:val="333333"/>
                <w:sz w:val="20"/>
                <w:szCs w:val="20"/>
              </w:rPr>
            </w:pPr>
            <w:r w:rsidRPr="00D91E8A">
              <w:rPr>
                <w:rFonts w:ascii="Arial Narrow" w:hAnsi="Arial Narrow" w:cs="Times New Roman"/>
                <w:b/>
                <w:bCs/>
                <w:color w:val="333333"/>
                <w:sz w:val="20"/>
                <w:szCs w:val="20"/>
              </w:rPr>
              <w:t xml:space="preserve">Indication: </w:t>
            </w:r>
            <w:r w:rsidRPr="00D91E8A">
              <w:rPr>
                <w:rFonts w:ascii="Arial Narrow" w:hAnsi="Arial Narrow" w:cs="Times New Roman"/>
                <w:color w:val="333333"/>
                <w:sz w:val="20"/>
                <w:szCs w:val="20"/>
              </w:rPr>
              <w:t>generalised myasthenia gravis (gMG)</w:t>
            </w:r>
          </w:p>
        </w:tc>
      </w:tr>
      <w:tr w:rsidR="00A1418F" w:rsidRPr="00D91E8A" w14:paraId="3A5701B3" w14:textId="77777777" w:rsidTr="00BE10F4">
        <w:trPr>
          <w:trHeight w:val="227"/>
        </w:trPr>
        <w:tc>
          <w:tcPr>
            <w:tcW w:w="541" w:type="pct"/>
            <w:vMerge w:val="restart"/>
            <w:tcMar>
              <w:left w:w="57" w:type="dxa"/>
              <w:right w:w="57" w:type="dxa"/>
            </w:tcMar>
            <w:vAlign w:val="center"/>
            <w:hideMark/>
          </w:tcPr>
          <w:p w14:paraId="5FF3E8EF"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hideMark/>
          </w:tcPr>
          <w:p w14:paraId="2B3C10A3" w14:textId="77777777" w:rsidR="00A1418F" w:rsidRPr="00D91E8A" w:rsidRDefault="00A1418F" w:rsidP="00BE10F4">
            <w:pPr>
              <w:rPr>
                <w:rFonts w:ascii="Arial Narrow" w:hAnsi="Arial Narrow"/>
                <w:color w:val="333333"/>
                <w:sz w:val="20"/>
                <w:szCs w:val="20"/>
              </w:rPr>
            </w:pPr>
            <w:r w:rsidRPr="00D91E8A">
              <w:rPr>
                <w:rFonts w:ascii="Arial Narrow" w:hAnsi="Arial Narrow"/>
                <w:b/>
                <w:bCs/>
                <w:color w:val="333333"/>
                <w:sz w:val="20"/>
                <w:szCs w:val="20"/>
              </w:rPr>
              <w:t>Treatment Phase:</w:t>
            </w:r>
            <w:r w:rsidRPr="00D91E8A">
              <w:rPr>
                <w:rFonts w:ascii="Arial Narrow" w:hAnsi="Arial Narrow"/>
                <w:color w:val="333333"/>
                <w:sz w:val="20"/>
                <w:szCs w:val="20"/>
              </w:rPr>
              <w:t xml:space="preserve"> Grandfather</w:t>
            </w:r>
          </w:p>
        </w:tc>
      </w:tr>
      <w:tr w:rsidR="00A1418F" w:rsidRPr="00D91E8A" w14:paraId="00785517" w14:textId="77777777" w:rsidTr="00BE10F4">
        <w:trPr>
          <w:trHeight w:val="227"/>
        </w:trPr>
        <w:tc>
          <w:tcPr>
            <w:tcW w:w="541" w:type="pct"/>
            <w:vMerge/>
            <w:tcMar>
              <w:left w:w="57" w:type="dxa"/>
              <w:right w:w="57" w:type="dxa"/>
            </w:tcMar>
            <w:vAlign w:val="center"/>
          </w:tcPr>
          <w:p w14:paraId="36E90A9E"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25491A07" w14:textId="77777777" w:rsidR="00A1418F" w:rsidRPr="00D91E8A" w:rsidRDefault="00A1418F" w:rsidP="00BE10F4">
            <w:pPr>
              <w:rPr>
                <w:rFonts w:ascii="Arial Narrow" w:hAnsi="Arial Narrow"/>
                <w:b/>
                <w:bCs/>
                <w:color w:val="333333"/>
                <w:sz w:val="20"/>
                <w:szCs w:val="20"/>
              </w:rPr>
            </w:pPr>
          </w:p>
        </w:tc>
      </w:tr>
      <w:tr w:rsidR="00A1418F" w:rsidRPr="00D91E8A" w14:paraId="3D3BC818" w14:textId="77777777" w:rsidTr="00BE10F4">
        <w:trPr>
          <w:trHeight w:val="227"/>
        </w:trPr>
        <w:tc>
          <w:tcPr>
            <w:tcW w:w="541" w:type="pct"/>
            <w:vMerge/>
            <w:tcMar>
              <w:left w:w="57" w:type="dxa"/>
              <w:right w:w="57" w:type="dxa"/>
            </w:tcMar>
            <w:vAlign w:val="center"/>
          </w:tcPr>
          <w:p w14:paraId="2364FEF7"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hideMark/>
          </w:tcPr>
          <w:p w14:paraId="749618A1" w14:textId="77777777" w:rsidR="00A1418F" w:rsidRPr="00D91E8A" w:rsidRDefault="00A1418F" w:rsidP="00BE10F4">
            <w:pPr>
              <w:rPr>
                <w:rFonts w:ascii="Arial Narrow" w:hAnsi="Arial Narrow"/>
                <w:color w:val="333333"/>
                <w:sz w:val="20"/>
                <w:szCs w:val="20"/>
              </w:rPr>
            </w:pPr>
            <w:r w:rsidRPr="00D91E8A">
              <w:rPr>
                <w:rFonts w:ascii="Arial Narrow" w:hAnsi="Arial Narrow"/>
                <w:b/>
                <w:bCs/>
                <w:color w:val="333333"/>
                <w:sz w:val="20"/>
                <w:szCs w:val="20"/>
              </w:rPr>
              <w:t>Clinical criteria:</w:t>
            </w:r>
          </w:p>
        </w:tc>
      </w:tr>
      <w:tr w:rsidR="00A1418F" w:rsidRPr="00D91E8A" w14:paraId="4C218F17" w14:textId="77777777" w:rsidTr="00BE10F4">
        <w:trPr>
          <w:trHeight w:val="227"/>
        </w:trPr>
        <w:tc>
          <w:tcPr>
            <w:tcW w:w="541" w:type="pct"/>
            <w:vMerge/>
            <w:tcMar>
              <w:left w:w="57" w:type="dxa"/>
              <w:right w:w="57" w:type="dxa"/>
            </w:tcMar>
            <w:vAlign w:val="center"/>
          </w:tcPr>
          <w:p w14:paraId="39781CA8"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4FF02E00" w14:textId="77777777" w:rsidR="00A1418F" w:rsidRPr="00D91E8A" w:rsidRDefault="00A1418F" w:rsidP="00BE10F4">
            <w:pPr>
              <w:rPr>
                <w:rFonts w:ascii="Arial Narrow" w:hAnsi="Arial Narrow"/>
                <w:color w:val="333333"/>
                <w:sz w:val="20"/>
                <w:szCs w:val="20"/>
              </w:rPr>
            </w:pPr>
            <w:r w:rsidRPr="00D91E8A">
              <w:rPr>
                <w:rFonts w:ascii="Arial Narrow" w:hAnsi="Arial Narrow"/>
                <w:color w:val="333333"/>
                <w:sz w:val="20"/>
                <w:szCs w:val="20"/>
              </w:rPr>
              <w:t xml:space="preserve">Patient must have previously received non-PBS subsidised drug for this condition prior to [list date] </w:t>
            </w:r>
          </w:p>
        </w:tc>
      </w:tr>
      <w:tr w:rsidR="00A1418F" w:rsidRPr="00D91E8A" w14:paraId="0C6EE0C6" w14:textId="77777777" w:rsidTr="00BE10F4">
        <w:trPr>
          <w:trHeight w:val="227"/>
        </w:trPr>
        <w:tc>
          <w:tcPr>
            <w:tcW w:w="541" w:type="pct"/>
            <w:vMerge/>
            <w:tcMar>
              <w:left w:w="57" w:type="dxa"/>
              <w:right w:w="57" w:type="dxa"/>
            </w:tcMar>
            <w:vAlign w:val="center"/>
          </w:tcPr>
          <w:p w14:paraId="3E7B3E12"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190914C7" w14:textId="77777777" w:rsidR="00A1418F" w:rsidRPr="00D91E8A" w:rsidRDefault="00A1418F" w:rsidP="00BE10F4">
            <w:pPr>
              <w:rPr>
                <w:rFonts w:ascii="Arial Narrow" w:hAnsi="Arial Narrow"/>
                <w:b/>
                <w:bCs/>
                <w:color w:val="333333"/>
                <w:sz w:val="20"/>
                <w:szCs w:val="20"/>
              </w:rPr>
            </w:pPr>
            <w:r w:rsidRPr="00D91E8A">
              <w:rPr>
                <w:rFonts w:ascii="Arial Narrow" w:hAnsi="Arial Narrow"/>
                <w:b/>
                <w:bCs/>
                <w:color w:val="333333"/>
                <w:sz w:val="20"/>
                <w:szCs w:val="20"/>
              </w:rPr>
              <w:t>AND</w:t>
            </w:r>
          </w:p>
        </w:tc>
      </w:tr>
      <w:tr w:rsidR="00A1418F" w:rsidRPr="00D91E8A" w14:paraId="1FDC42B3" w14:textId="77777777" w:rsidTr="00BE10F4">
        <w:trPr>
          <w:trHeight w:val="227"/>
        </w:trPr>
        <w:tc>
          <w:tcPr>
            <w:tcW w:w="541" w:type="pct"/>
            <w:vMerge/>
            <w:tcMar>
              <w:left w:w="57" w:type="dxa"/>
              <w:right w:w="57" w:type="dxa"/>
            </w:tcMar>
            <w:vAlign w:val="center"/>
          </w:tcPr>
          <w:p w14:paraId="14B1D48A"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053365FD" w14:textId="77777777" w:rsidR="00A1418F" w:rsidRPr="00D91E8A" w:rsidRDefault="00A1418F" w:rsidP="00BE10F4">
            <w:pPr>
              <w:rPr>
                <w:rFonts w:ascii="Arial Narrow" w:hAnsi="Arial Narrow"/>
                <w:b/>
                <w:bCs/>
                <w:i/>
                <w:iCs/>
                <w:color w:val="333333"/>
                <w:sz w:val="20"/>
                <w:szCs w:val="20"/>
              </w:rPr>
            </w:pPr>
            <w:r w:rsidRPr="00D91E8A">
              <w:rPr>
                <w:rFonts w:ascii="Arial Narrow" w:hAnsi="Arial Narrow"/>
                <w:b/>
                <w:bCs/>
                <w:i/>
                <w:iCs/>
                <w:color w:val="333333"/>
                <w:sz w:val="20"/>
                <w:szCs w:val="20"/>
              </w:rPr>
              <w:t>Clinical criteria:</w:t>
            </w:r>
          </w:p>
        </w:tc>
      </w:tr>
      <w:tr w:rsidR="00A1418F" w:rsidRPr="00D91E8A" w14:paraId="4FD03BE7" w14:textId="77777777" w:rsidTr="00BE10F4">
        <w:trPr>
          <w:trHeight w:val="227"/>
        </w:trPr>
        <w:tc>
          <w:tcPr>
            <w:tcW w:w="541" w:type="pct"/>
            <w:vMerge/>
            <w:tcMar>
              <w:left w:w="57" w:type="dxa"/>
              <w:right w:w="57" w:type="dxa"/>
            </w:tcMar>
            <w:vAlign w:val="center"/>
          </w:tcPr>
          <w:p w14:paraId="5FF791CF"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hideMark/>
          </w:tcPr>
          <w:p w14:paraId="37A1A8A9" w14:textId="77777777" w:rsidR="00A1418F" w:rsidRPr="00D91E8A" w:rsidRDefault="00A1418F" w:rsidP="00BE10F4">
            <w:pPr>
              <w:rPr>
                <w:rFonts w:ascii="Arial Narrow" w:hAnsi="Arial Narrow"/>
                <w:color w:val="333333"/>
                <w:sz w:val="20"/>
                <w:szCs w:val="20"/>
              </w:rPr>
            </w:pPr>
            <w:r w:rsidRPr="00D91E8A">
              <w:rPr>
                <w:rFonts w:ascii="Arial Narrow" w:hAnsi="Arial Narrow"/>
                <w:strike/>
                <w:color w:val="333333"/>
                <w:sz w:val="20"/>
                <w:szCs w:val="20"/>
              </w:rPr>
              <w:t>The</w:t>
            </w:r>
            <w:r w:rsidRPr="00D91E8A">
              <w:rPr>
                <w:rFonts w:ascii="Arial Narrow" w:hAnsi="Arial Narrow"/>
                <w:color w:val="333333"/>
                <w:sz w:val="20"/>
                <w:szCs w:val="20"/>
              </w:rPr>
              <w:t xml:space="preserve"> Patient must have a diagnosis of Myasthenia Gravis Foundation of America (MGFA) Disease Class II to IV at treatment initiation</w:t>
            </w:r>
          </w:p>
        </w:tc>
      </w:tr>
      <w:tr w:rsidR="00A1418F" w:rsidRPr="00D91E8A" w14:paraId="64D107D2" w14:textId="77777777" w:rsidTr="00BE10F4">
        <w:trPr>
          <w:trHeight w:val="227"/>
        </w:trPr>
        <w:tc>
          <w:tcPr>
            <w:tcW w:w="541" w:type="pct"/>
            <w:vMerge/>
            <w:tcMar>
              <w:left w:w="57" w:type="dxa"/>
              <w:right w:w="57" w:type="dxa"/>
            </w:tcMar>
            <w:vAlign w:val="center"/>
          </w:tcPr>
          <w:p w14:paraId="0296E4F6"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hideMark/>
          </w:tcPr>
          <w:p w14:paraId="71DA7540" w14:textId="77777777" w:rsidR="00A1418F" w:rsidRPr="00D91E8A" w:rsidRDefault="00A1418F" w:rsidP="00BE10F4">
            <w:pPr>
              <w:rPr>
                <w:rFonts w:ascii="Arial Narrow" w:hAnsi="Arial Narrow"/>
                <w:color w:val="333333"/>
                <w:sz w:val="20"/>
                <w:szCs w:val="20"/>
              </w:rPr>
            </w:pPr>
            <w:r w:rsidRPr="00D91E8A">
              <w:rPr>
                <w:rFonts w:ascii="Arial Narrow" w:hAnsi="Arial Narrow"/>
                <w:b/>
                <w:bCs/>
                <w:color w:val="333333"/>
                <w:sz w:val="20"/>
                <w:szCs w:val="20"/>
              </w:rPr>
              <w:t>AND</w:t>
            </w:r>
          </w:p>
        </w:tc>
      </w:tr>
      <w:tr w:rsidR="00A1418F" w:rsidRPr="00D91E8A" w14:paraId="233CC54A" w14:textId="77777777" w:rsidTr="00BE10F4">
        <w:trPr>
          <w:trHeight w:val="227"/>
        </w:trPr>
        <w:tc>
          <w:tcPr>
            <w:tcW w:w="541" w:type="pct"/>
            <w:vMerge/>
            <w:tcMar>
              <w:left w:w="57" w:type="dxa"/>
              <w:right w:w="57" w:type="dxa"/>
            </w:tcMar>
            <w:vAlign w:val="center"/>
          </w:tcPr>
          <w:p w14:paraId="4225DF87"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41FD0886" w14:textId="77777777" w:rsidR="00A1418F" w:rsidRPr="00D91E8A" w:rsidRDefault="00A1418F" w:rsidP="00BE10F4">
            <w:pPr>
              <w:rPr>
                <w:rFonts w:ascii="Arial Narrow" w:hAnsi="Arial Narrow"/>
                <w:color w:val="333333"/>
                <w:sz w:val="20"/>
                <w:szCs w:val="20"/>
              </w:rPr>
            </w:pPr>
            <w:r w:rsidRPr="00D91E8A">
              <w:rPr>
                <w:rFonts w:ascii="Arial Narrow" w:hAnsi="Arial Narrow"/>
                <w:b/>
                <w:bCs/>
                <w:i/>
                <w:iCs/>
                <w:color w:val="333333"/>
                <w:sz w:val="20"/>
                <w:szCs w:val="20"/>
              </w:rPr>
              <w:t>Clinical criteria:</w:t>
            </w:r>
          </w:p>
        </w:tc>
      </w:tr>
      <w:tr w:rsidR="00A1418F" w:rsidRPr="00D91E8A" w14:paraId="230445A3" w14:textId="77777777" w:rsidTr="00BE10F4">
        <w:trPr>
          <w:trHeight w:val="227"/>
        </w:trPr>
        <w:tc>
          <w:tcPr>
            <w:tcW w:w="541" w:type="pct"/>
            <w:vMerge/>
            <w:tcMar>
              <w:left w:w="57" w:type="dxa"/>
              <w:right w:w="57" w:type="dxa"/>
            </w:tcMar>
            <w:vAlign w:val="center"/>
          </w:tcPr>
          <w:p w14:paraId="6D695BBB"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hideMark/>
          </w:tcPr>
          <w:p w14:paraId="7DF10972" w14:textId="77777777" w:rsidR="00A1418F" w:rsidRPr="00D91E8A" w:rsidRDefault="00A1418F" w:rsidP="00BE10F4">
            <w:pPr>
              <w:rPr>
                <w:rFonts w:ascii="Arial Narrow" w:hAnsi="Arial Narrow"/>
                <w:color w:val="333333"/>
                <w:sz w:val="20"/>
                <w:szCs w:val="20"/>
              </w:rPr>
            </w:pPr>
            <w:r w:rsidRPr="00D91E8A">
              <w:rPr>
                <w:rFonts w:ascii="Arial Narrow" w:hAnsi="Arial Narrow"/>
                <w:strike/>
                <w:color w:val="333333"/>
                <w:sz w:val="20"/>
                <w:szCs w:val="20"/>
              </w:rPr>
              <w:t>The</w:t>
            </w:r>
            <w:r w:rsidRPr="00D91E8A">
              <w:rPr>
                <w:rFonts w:ascii="Arial Narrow" w:hAnsi="Arial Narrow"/>
                <w:color w:val="333333"/>
                <w:sz w:val="20"/>
                <w:szCs w:val="20"/>
              </w:rPr>
              <w:t xml:space="preserve"> </w:t>
            </w:r>
            <w:r>
              <w:rPr>
                <w:rFonts w:ascii="Arial Narrow" w:hAnsi="Arial Narrow"/>
                <w:color w:val="333333"/>
                <w:sz w:val="20"/>
                <w:szCs w:val="20"/>
              </w:rPr>
              <w:t>P</w:t>
            </w:r>
            <w:r w:rsidRPr="00D91E8A">
              <w:rPr>
                <w:rFonts w:ascii="Arial Narrow" w:hAnsi="Arial Narrow"/>
                <w:color w:val="333333"/>
                <w:sz w:val="20"/>
                <w:szCs w:val="20"/>
              </w:rPr>
              <w:t>atient must have a positive serology for acetylcholine receptor (AChR) binding autoantibodies</w:t>
            </w:r>
          </w:p>
        </w:tc>
      </w:tr>
      <w:tr w:rsidR="00A1418F" w:rsidRPr="00D91E8A" w14:paraId="571721F3" w14:textId="77777777" w:rsidTr="00BE10F4">
        <w:trPr>
          <w:trHeight w:val="227"/>
        </w:trPr>
        <w:tc>
          <w:tcPr>
            <w:tcW w:w="541" w:type="pct"/>
            <w:vMerge/>
            <w:tcMar>
              <w:left w:w="57" w:type="dxa"/>
              <w:right w:w="57" w:type="dxa"/>
            </w:tcMar>
            <w:vAlign w:val="center"/>
          </w:tcPr>
          <w:p w14:paraId="75F0555A"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2007676A" w14:textId="77777777" w:rsidR="00A1418F" w:rsidRPr="00D91E8A" w:rsidRDefault="00A1418F" w:rsidP="00BE10F4">
            <w:pPr>
              <w:rPr>
                <w:rFonts w:ascii="Arial Narrow" w:hAnsi="Arial Narrow"/>
                <w:b/>
                <w:bCs/>
                <w:color w:val="333333"/>
                <w:sz w:val="20"/>
                <w:szCs w:val="20"/>
              </w:rPr>
            </w:pPr>
            <w:r>
              <w:rPr>
                <w:rFonts w:ascii="Arial Narrow" w:hAnsi="Arial Narrow"/>
                <w:b/>
                <w:bCs/>
                <w:color w:val="333333"/>
                <w:sz w:val="20"/>
                <w:szCs w:val="20"/>
              </w:rPr>
              <w:t>AND</w:t>
            </w:r>
          </w:p>
        </w:tc>
      </w:tr>
      <w:tr w:rsidR="00A1418F" w:rsidRPr="00D91E8A" w14:paraId="4D42F9BD" w14:textId="77777777" w:rsidTr="00BE10F4">
        <w:trPr>
          <w:trHeight w:val="227"/>
        </w:trPr>
        <w:tc>
          <w:tcPr>
            <w:tcW w:w="541" w:type="pct"/>
            <w:vMerge/>
            <w:tcMar>
              <w:left w:w="57" w:type="dxa"/>
              <w:right w:w="57" w:type="dxa"/>
            </w:tcMar>
            <w:vAlign w:val="center"/>
          </w:tcPr>
          <w:p w14:paraId="2D7E5C51"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hideMark/>
          </w:tcPr>
          <w:p w14:paraId="63A85EA0" w14:textId="77777777" w:rsidR="00A1418F" w:rsidRPr="00D91E8A" w:rsidRDefault="00A1418F" w:rsidP="00BE10F4">
            <w:pPr>
              <w:rPr>
                <w:rFonts w:ascii="Arial Narrow" w:hAnsi="Arial Narrow"/>
                <w:color w:val="333333"/>
                <w:sz w:val="20"/>
                <w:szCs w:val="20"/>
              </w:rPr>
            </w:pPr>
            <w:r w:rsidRPr="00D91E8A">
              <w:rPr>
                <w:rFonts w:ascii="Arial Narrow" w:hAnsi="Arial Narrow"/>
                <w:b/>
                <w:bCs/>
                <w:color w:val="333333"/>
                <w:sz w:val="20"/>
                <w:szCs w:val="20"/>
              </w:rPr>
              <w:t>Treatment criteria:</w:t>
            </w:r>
          </w:p>
        </w:tc>
      </w:tr>
      <w:tr w:rsidR="00A1418F" w:rsidRPr="00D91E8A" w14:paraId="3C7524D1" w14:textId="77777777" w:rsidTr="00BE10F4">
        <w:tblPrEx>
          <w:tblLook w:val="0000" w:firstRow="0" w:lastRow="0" w:firstColumn="0" w:lastColumn="0" w:noHBand="0" w:noVBand="0"/>
        </w:tblPrEx>
        <w:trPr>
          <w:trHeight w:val="227"/>
        </w:trPr>
        <w:tc>
          <w:tcPr>
            <w:tcW w:w="541" w:type="pct"/>
            <w:vMerge/>
            <w:tcMar>
              <w:left w:w="57" w:type="dxa"/>
              <w:right w:w="57" w:type="dxa"/>
            </w:tcMar>
            <w:vAlign w:val="center"/>
          </w:tcPr>
          <w:p w14:paraId="1D73AACB"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796BED22" w14:textId="77777777" w:rsidR="00A1418F" w:rsidRPr="00D91E8A" w:rsidRDefault="00A1418F" w:rsidP="00BE10F4">
            <w:pPr>
              <w:autoSpaceDE w:val="0"/>
              <w:autoSpaceDN w:val="0"/>
              <w:adjustRightInd w:val="0"/>
              <w:rPr>
                <w:rFonts w:ascii="Arial Narrow" w:hAnsi="Arial Narrow" w:cs="Arial Narrow"/>
                <w:sz w:val="20"/>
                <w:szCs w:val="20"/>
              </w:rPr>
            </w:pPr>
            <w:r w:rsidRPr="00D91E8A">
              <w:rPr>
                <w:rFonts w:ascii="Arial Narrow" w:hAnsi="Arial Narrow" w:cs="Arial Narrow"/>
                <w:sz w:val="20"/>
                <w:szCs w:val="20"/>
              </w:rPr>
              <w:t>Must not be in combination with another complement inhibitor</w:t>
            </w:r>
          </w:p>
        </w:tc>
      </w:tr>
      <w:tr w:rsidR="00A1418F" w:rsidRPr="00D91E8A" w14:paraId="50D14ACB" w14:textId="77777777" w:rsidTr="00BE10F4">
        <w:trPr>
          <w:trHeight w:val="227"/>
        </w:trPr>
        <w:tc>
          <w:tcPr>
            <w:tcW w:w="541" w:type="pct"/>
            <w:vMerge/>
            <w:tcMar>
              <w:left w:w="57" w:type="dxa"/>
              <w:right w:w="57" w:type="dxa"/>
            </w:tcMar>
            <w:vAlign w:val="center"/>
          </w:tcPr>
          <w:p w14:paraId="75123C51"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57A0D9D3" w14:textId="77777777" w:rsidR="00A1418F" w:rsidRPr="00D91E8A" w:rsidRDefault="00A1418F" w:rsidP="00BE10F4">
            <w:pPr>
              <w:autoSpaceDE w:val="0"/>
              <w:autoSpaceDN w:val="0"/>
              <w:adjustRightInd w:val="0"/>
              <w:rPr>
                <w:rFonts w:ascii="Arial Narrow" w:hAnsi="Arial Narrow" w:cs="Arial Narrow"/>
                <w:b/>
                <w:bCs/>
                <w:sz w:val="20"/>
                <w:szCs w:val="20"/>
              </w:rPr>
            </w:pPr>
            <w:r w:rsidRPr="00D91E8A">
              <w:rPr>
                <w:rFonts w:ascii="Arial Narrow" w:hAnsi="Arial Narrow" w:cs="Arial Narrow"/>
                <w:b/>
                <w:bCs/>
                <w:sz w:val="20"/>
                <w:szCs w:val="20"/>
              </w:rPr>
              <w:t>AND</w:t>
            </w:r>
          </w:p>
        </w:tc>
      </w:tr>
      <w:tr w:rsidR="00A1418F" w:rsidRPr="00D91E8A" w14:paraId="3EECE7C3" w14:textId="77777777" w:rsidTr="00BE10F4">
        <w:trPr>
          <w:trHeight w:val="227"/>
        </w:trPr>
        <w:tc>
          <w:tcPr>
            <w:tcW w:w="541" w:type="pct"/>
            <w:vMerge/>
            <w:tcMar>
              <w:left w:w="57" w:type="dxa"/>
              <w:right w:w="57" w:type="dxa"/>
            </w:tcMar>
            <w:vAlign w:val="center"/>
          </w:tcPr>
          <w:p w14:paraId="082F311B"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157B86BE" w14:textId="77777777" w:rsidR="00A1418F" w:rsidRPr="00D91E8A" w:rsidRDefault="00A1418F" w:rsidP="00BE10F4">
            <w:pPr>
              <w:autoSpaceDE w:val="0"/>
              <w:autoSpaceDN w:val="0"/>
              <w:adjustRightInd w:val="0"/>
              <w:rPr>
                <w:rFonts w:ascii="Arial Narrow" w:hAnsi="Arial Narrow" w:cs="Arial Narrow"/>
                <w:sz w:val="20"/>
                <w:szCs w:val="20"/>
              </w:rPr>
            </w:pPr>
            <w:r>
              <w:rPr>
                <w:rFonts w:ascii="Arial Narrow" w:hAnsi="Arial Narrow"/>
                <w:b/>
                <w:bCs/>
                <w:i/>
                <w:iCs/>
                <w:color w:val="333333"/>
                <w:sz w:val="20"/>
                <w:szCs w:val="20"/>
              </w:rPr>
              <w:t>Treatment</w:t>
            </w:r>
            <w:r w:rsidRPr="00D91E8A">
              <w:rPr>
                <w:rFonts w:ascii="Arial Narrow" w:hAnsi="Arial Narrow"/>
                <w:b/>
                <w:bCs/>
                <w:i/>
                <w:iCs/>
                <w:color w:val="333333"/>
                <w:sz w:val="20"/>
                <w:szCs w:val="20"/>
              </w:rPr>
              <w:t xml:space="preserve"> criteria:</w:t>
            </w:r>
          </w:p>
        </w:tc>
      </w:tr>
      <w:tr w:rsidR="00A1418F" w:rsidRPr="00D91E8A" w14:paraId="7AC4F3FD" w14:textId="77777777" w:rsidTr="00BE10F4">
        <w:trPr>
          <w:trHeight w:val="227"/>
        </w:trPr>
        <w:tc>
          <w:tcPr>
            <w:tcW w:w="541" w:type="pct"/>
            <w:vMerge/>
            <w:tcMar>
              <w:left w:w="57" w:type="dxa"/>
              <w:right w:w="57" w:type="dxa"/>
            </w:tcMar>
            <w:vAlign w:val="center"/>
          </w:tcPr>
          <w:p w14:paraId="2183FB49"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5F4BD205" w14:textId="77777777" w:rsidR="00A1418F" w:rsidRPr="00D91E8A" w:rsidRDefault="00A1418F" w:rsidP="00BE10F4">
            <w:pPr>
              <w:autoSpaceDE w:val="0"/>
              <w:autoSpaceDN w:val="0"/>
              <w:adjustRightInd w:val="0"/>
              <w:rPr>
                <w:rFonts w:ascii="Arial Narrow" w:hAnsi="Arial Narrow" w:cs="Arial Narrow"/>
                <w:sz w:val="20"/>
                <w:szCs w:val="20"/>
              </w:rPr>
            </w:pPr>
            <w:r w:rsidRPr="00D91E8A">
              <w:rPr>
                <w:rFonts w:ascii="Arial Narrow" w:hAnsi="Arial Narrow" w:cs="Arial Narrow"/>
                <w:sz w:val="20"/>
                <w:szCs w:val="20"/>
              </w:rPr>
              <w:t>Must be treated by a neurologist</w:t>
            </w:r>
          </w:p>
        </w:tc>
      </w:tr>
      <w:tr w:rsidR="00A1418F" w:rsidRPr="00D91E8A" w14:paraId="60553A28" w14:textId="77777777" w:rsidTr="00BE10F4">
        <w:trPr>
          <w:trHeight w:val="227"/>
        </w:trPr>
        <w:tc>
          <w:tcPr>
            <w:tcW w:w="541" w:type="pct"/>
            <w:vMerge/>
            <w:tcMar>
              <w:left w:w="57" w:type="dxa"/>
              <w:right w:w="57" w:type="dxa"/>
            </w:tcMar>
            <w:vAlign w:val="center"/>
          </w:tcPr>
          <w:p w14:paraId="70D11982"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20CC7FF2" w14:textId="77777777" w:rsidR="00A1418F" w:rsidRPr="00D91E8A" w:rsidRDefault="00A1418F" w:rsidP="00BE10F4">
            <w:pPr>
              <w:rPr>
                <w:rFonts w:ascii="Arial Narrow" w:hAnsi="Arial Narrow"/>
                <w:b/>
                <w:bCs/>
                <w:color w:val="333333"/>
                <w:sz w:val="20"/>
                <w:szCs w:val="20"/>
              </w:rPr>
            </w:pPr>
          </w:p>
        </w:tc>
      </w:tr>
      <w:tr w:rsidR="00A1418F" w:rsidRPr="00D91E8A" w14:paraId="1B45B587" w14:textId="77777777" w:rsidTr="00BE10F4">
        <w:trPr>
          <w:trHeight w:val="227"/>
        </w:trPr>
        <w:tc>
          <w:tcPr>
            <w:tcW w:w="541" w:type="pct"/>
            <w:vMerge/>
            <w:tcMar>
              <w:left w:w="57" w:type="dxa"/>
              <w:right w:w="57" w:type="dxa"/>
            </w:tcMar>
            <w:vAlign w:val="center"/>
          </w:tcPr>
          <w:p w14:paraId="40A5092B"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hideMark/>
          </w:tcPr>
          <w:p w14:paraId="165D7B09" w14:textId="77777777" w:rsidR="00A1418F" w:rsidRPr="00D91E8A" w:rsidRDefault="00A1418F" w:rsidP="00BE10F4">
            <w:pPr>
              <w:rPr>
                <w:rFonts w:ascii="Arial Narrow" w:hAnsi="Arial Narrow"/>
                <w:strike/>
                <w:color w:val="333333"/>
                <w:sz w:val="20"/>
                <w:szCs w:val="20"/>
              </w:rPr>
            </w:pPr>
            <w:r w:rsidRPr="00D91E8A">
              <w:rPr>
                <w:rFonts w:ascii="Arial Narrow" w:hAnsi="Arial Narrow"/>
                <w:b/>
                <w:bCs/>
                <w:strike/>
                <w:color w:val="333333"/>
                <w:sz w:val="20"/>
                <w:szCs w:val="20"/>
              </w:rPr>
              <w:t>Prescribing Instructions:</w:t>
            </w:r>
            <w:r w:rsidRPr="00D91E8A">
              <w:rPr>
                <w:rFonts w:ascii="Arial Narrow" w:hAnsi="Arial Narrow"/>
                <w:strike/>
                <w:color w:val="333333"/>
                <w:sz w:val="20"/>
                <w:szCs w:val="20"/>
              </w:rPr>
              <w:t xml:space="preserve"> </w:t>
            </w:r>
          </w:p>
        </w:tc>
      </w:tr>
      <w:tr w:rsidR="00A1418F" w:rsidRPr="00D91E8A" w14:paraId="74755797" w14:textId="77777777" w:rsidTr="00BE10F4">
        <w:trPr>
          <w:trHeight w:val="227"/>
        </w:trPr>
        <w:tc>
          <w:tcPr>
            <w:tcW w:w="541" w:type="pct"/>
            <w:vMerge/>
            <w:tcMar>
              <w:left w:w="57" w:type="dxa"/>
              <w:right w:w="57" w:type="dxa"/>
            </w:tcMar>
            <w:vAlign w:val="center"/>
          </w:tcPr>
          <w:p w14:paraId="5C51CACB"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48DDA3EA" w14:textId="77777777" w:rsidR="00A1418F" w:rsidRPr="00D91E8A" w:rsidRDefault="00A1418F" w:rsidP="00BE10F4">
            <w:pPr>
              <w:rPr>
                <w:rFonts w:ascii="Arial Narrow" w:hAnsi="Arial Narrow"/>
                <w:b/>
                <w:bCs/>
                <w:i/>
                <w:iCs/>
                <w:color w:val="333333"/>
                <w:sz w:val="20"/>
                <w:szCs w:val="20"/>
              </w:rPr>
            </w:pPr>
            <w:r w:rsidRPr="00D91E8A">
              <w:rPr>
                <w:rFonts w:ascii="Arial Narrow" w:hAnsi="Arial Narrow"/>
                <w:b/>
                <w:bCs/>
                <w:i/>
                <w:iCs/>
                <w:color w:val="333333"/>
                <w:sz w:val="20"/>
                <w:szCs w:val="20"/>
              </w:rPr>
              <w:t>Note:</w:t>
            </w:r>
          </w:p>
          <w:p w14:paraId="79E61D7F" w14:textId="77777777" w:rsidR="00A1418F" w:rsidRPr="00D91E8A" w:rsidRDefault="00A1418F" w:rsidP="00BE10F4">
            <w:pPr>
              <w:rPr>
                <w:rFonts w:ascii="Arial Narrow" w:hAnsi="Arial Narrow"/>
                <w:color w:val="333333"/>
                <w:sz w:val="20"/>
                <w:szCs w:val="20"/>
              </w:rPr>
            </w:pPr>
            <w:r w:rsidRPr="00D91E8A">
              <w:rPr>
                <w:rFonts w:ascii="Arial Narrow" w:hAnsi="Arial Narrow"/>
                <w:color w:val="333333"/>
                <w:sz w:val="20"/>
                <w:szCs w:val="20"/>
              </w:rPr>
              <w:t>The myasthenia gravis composite (MGC) referenced in this restriction is described in the following literature publication:</w:t>
            </w:r>
          </w:p>
          <w:p w14:paraId="0C069B02" w14:textId="77777777" w:rsidR="00A1418F" w:rsidRPr="00D91E8A" w:rsidRDefault="00A1418F" w:rsidP="00BE10F4">
            <w:pPr>
              <w:rPr>
                <w:rFonts w:ascii="Arial Narrow" w:hAnsi="Arial Narrow"/>
                <w:b/>
                <w:bCs/>
                <w:color w:val="333333"/>
                <w:sz w:val="20"/>
                <w:szCs w:val="20"/>
              </w:rPr>
            </w:pPr>
            <w:r w:rsidRPr="00D91E8A">
              <w:rPr>
                <w:rFonts w:ascii="Arial Narrow" w:hAnsi="Arial Narrow"/>
                <w:color w:val="333333"/>
                <w:sz w:val="20"/>
                <w:szCs w:val="20"/>
              </w:rPr>
              <w:t>Burns, T. M., Conaway, M. &amp; Sanders, D. B. 2010. The MG Composite: A valid and reliable outcome measure for myasthenia gravis. Neurology, 74, 1434-40.</w:t>
            </w:r>
          </w:p>
        </w:tc>
      </w:tr>
      <w:tr w:rsidR="00A1418F" w:rsidRPr="00D91E8A" w14:paraId="61928787" w14:textId="77777777" w:rsidTr="00BE10F4">
        <w:trPr>
          <w:trHeight w:val="227"/>
        </w:trPr>
        <w:tc>
          <w:tcPr>
            <w:tcW w:w="541" w:type="pct"/>
            <w:vMerge/>
            <w:tcMar>
              <w:left w:w="57" w:type="dxa"/>
              <w:right w:w="57" w:type="dxa"/>
            </w:tcMar>
            <w:vAlign w:val="center"/>
          </w:tcPr>
          <w:p w14:paraId="54AE4114"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3C03749B" w14:textId="77777777" w:rsidR="00A1418F" w:rsidRPr="00D91E8A" w:rsidRDefault="00A1418F" w:rsidP="00BE10F4">
            <w:pPr>
              <w:rPr>
                <w:rFonts w:ascii="Arial Narrow" w:hAnsi="Arial Narrow"/>
                <w:b/>
                <w:bCs/>
                <w:color w:val="333333"/>
                <w:sz w:val="20"/>
                <w:szCs w:val="20"/>
              </w:rPr>
            </w:pPr>
            <w:r w:rsidRPr="00D91E8A">
              <w:rPr>
                <w:rFonts w:ascii="Arial Narrow" w:hAnsi="Arial Narrow"/>
                <w:b/>
                <w:bCs/>
                <w:color w:val="333333"/>
                <w:sz w:val="20"/>
                <w:szCs w:val="20"/>
              </w:rPr>
              <w:t>Administrative Advice</w:t>
            </w:r>
          </w:p>
          <w:p w14:paraId="6B9D3E11" w14:textId="77777777" w:rsidR="00A1418F" w:rsidRPr="00D91E8A" w:rsidRDefault="00A1418F" w:rsidP="00BE10F4">
            <w:pPr>
              <w:rPr>
                <w:rFonts w:ascii="Arial Narrow" w:hAnsi="Arial Narrow"/>
                <w:color w:val="333333"/>
                <w:sz w:val="20"/>
                <w:szCs w:val="20"/>
              </w:rPr>
            </w:pPr>
            <w:r w:rsidRPr="00D91E8A">
              <w:rPr>
                <w:rFonts w:ascii="Arial Narrow" w:hAnsi="Arial Narrow"/>
                <w:color w:val="333333"/>
                <w:sz w:val="20"/>
                <w:szCs w:val="20"/>
              </w:rPr>
              <w:t>The authority application must be made in writing and must include:</w:t>
            </w:r>
          </w:p>
          <w:p w14:paraId="0A62F143" w14:textId="77777777" w:rsidR="00A1418F" w:rsidRPr="00D91E8A" w:rsidRDefault="00A1418F" w:rsidP="00BE10F4">
            <w:pPr>
              <w:rPr>
                <w:rFonts w:ascii="Arial Narrow" w:hAnsi="Arial Narrow"/>
                <w:color w:val="333333"/>
                <w:sz w:val="20"/>
                <w:szCs w:val="20"/>
              </w:rPr>
            </w:pPr>
            <w:r w:rsidRPr="00D91E8A">
              <w:rPr>
                <w:rFonts w:ascii="Arial Narrow" w:hAnsi="Arial Narrow"/>
                <w:color w:val="333333"/>
                <w:sz w:val="20"/>
                <w:szCs w:val="20"/>
              </w:rPr>
              <w:t xml:space="preserve"> (1) a completed authority prescription form; and</w:t>
            </w:r>
          </w:p>
          <w:p w14:paraId="10CE5E26" w14:textId="77777777" w:rsidR="00A1418F" w:rsidRPr="00D91E8A" w:rsidRDefault="00A1418F" w:rsidP="00BE10F4">
            <w:pPr>
              <w:rPr>
                <w:rFonts w:ascii="Arial Narrow" w:hAnsi="Arial Narrow"/>
                <w:color w:val="333333"/>
                <w:sz w:val="20"/>
                <w:szCs w:val="20"/>
              </w:rPr>
            </w:pPr>
            <w:r w:rsidRPr="00D91E8A">
              <w:rPr>
                <w:rFonts w:ascii="Arial Narrow" w:hAnsi="Arial Narrow"/>
                <w:color w:val="333333"/>
                <w:sz w:val="20"/>
                <w:szCs w:val="20"/>
              </w:rPr>
              <w:t xml:space="preserve"> (2) a completed authority application form relevant to the indication and treatment phase (the latest version is located on the website specified in the Administrative Advice); and</w:t>
            </w:r>
          </w:p>
          <w:p w14:paraId="57FEA43B" w14:textId="77777777" w:rsidR="00A1418F" w:rsidRPr="00665BC4" w:rsidRDefault="00A1418F" w:rsidP="00BE10F4">
            <w:pPr>
              <w:rPr>
                <w:rFonts w:ascii="Arial Narrow" w:hAnsi="Arial Narrow"/>
                <w:strike/>
                <w:color w:val="333333"/>
                <w:sz w:val="20"/>
                <w:szCs w:val="20"/>
              </w:rPr>
            </w:pPr>
            <w:r w:rsidRPr="00D91E8A">
              <w:rPr>
                <w:rFonts w:ascii="Arial Narrow" w:hAnsi="Arial Narrow"/>
                <w:color w:val="333333"/>
                <w:sz w:val="20"/>
                <w:szCs w:val="20"/>
              </w:rPr>
              <w:t xml:space="preserve"> (3) </w:t>
            </w:r>
            <w:r w:rsidRPr="00665BC4">
              <w:rPr>
                <w:rFonts w:ascii="Arial Narrow" w:hAnsi="Arial Narrow"/>
                <w:strike/>
                <w:color w:val="333333"/>
                <w:sz w:val="20"/>
                <w:szCs w:val="20"/>
              </w:rPr>
              <w:t>A detailed cover letter from the prescriber; and</w:t>
            </w:r>
          </w:p>
          <w:p w14:paraId="5EEF4FC3" w14:textId="77777777" w:rsidR="00A1418F" w:rsidRPr="00D91E8A" w:rsidRDefault="00A1418F" w:rsidP="00BE10F4">
            <w:pPr>
              <w:rPr>
                <w:rFonts w:ascii="Arial Narrow" w:hAnsi="Arial Narrow"/>
                <w:color w:val="333333"/>
                <w:sz w:val="20"/>
                <w:szCs w:val="20"/>
              </w:rPr>
            </w:pPr>
            <w:r w:rsidRPr="00665BC4">
              <w:rPr>
                <w:rFonts w:ascii="Arial Narrow" w:hAnsi="Arial Narrow"/>
                <w:strike/>
                <w:color w:val="333333"/>
                <w:sz w:val="20"/>
                <w:szCs w:val="20"/>
              </w:rPr>
              <w:t xml:space="preserve"> </w:t>
            </w:r>
            <w:r w:rsidRPr="00665BC4">
              <w:rPr>
                <w:rFonts w:ascii="Arial Narrow" w:hAnsi="Arial Narrow"/>
                <w:i/>
                <w:iCs/>
                <w:strike/>
                <w:color w:val="333333"/>
                <w:sz w:val="20"/>
                <w:szCs w:val="20"/>
              </w:rPr>
              <w:t>(4)</w:t>
            </w:r>
            <w:r>
              <w:rPr>
                <w:rFonts w:ascii="Arial Narrow" w:hAnsi="Arial Narrow"/>
                <w:color w:val="333333"/>
                <w:sz w:val="20"/>
                <w:szCs w:val="20"/>
              </w:rPr>
              <w:t xml:space="preserve"> </w:t>
            </w:r>
            <w:r w:rsidRPr="00D91E8A">
              <w:rPr>
                <w:rFonts w:ascii="Arial Narrow" w:hAnsi="Arial Narrow"/>
                <w:color w:val="333333"/>
                <w:sz w:val="20"/>
                <w:szCs w:val="20"/>
              </w:rPr>
              <w:t>At the time of the authority application, details (result and date of result) of the following monitoring requirements must be provided:</w:t>
            </w:r>
          </w:p>
          <w:p w14:paraId="1DD3CE00" w14:textId="77777777" w:rsidR="00A1418F" w:rsidRPr="00D91E8A" w:rsidRDefault="00A1418F" w:rsidP="00BE10F4">
            <w:pPr>
              <w:rPr>
                <w:rFonts w:ascii="Arial Narrow" w:hAnsi="Arial Narrow"/>
                <w:color w:val="333333"/>
                <w:sz w:val="20"/>
                <w:szCs w:val="20"/>
              </w:rPr>
            </w:pPr>
            <w:r w:rsidRPr="00D91E8A">
              <w:rPr>
                <w:rFonts w:ascii="Arial Narrow" w:hAnsi="Arial Narrow"/>
                <w:color w:val="333333"/>
                <w:sz w:val="20"/>
                <w:szCs w:val="20"/>
              </w:rPr>
              <w:t>Baseline MGC score at treatment initiation of non-PBS subsidised drug for this condition</w:t>
            </w:r>
          </w:p>
        </w:tc>
      </w:tr>
      <w:tr w:rsidR="00A1418F" w:rsidRPr="00D91E8A" w14:paraId="59192089" w14:textId="77777777" w:rsidTr="00BE10F4">
        <w:trPr>
          <w:trHeight w:val="227"/>
        </w:trPr>
        <w:tc>
          <w:tcPr>
            <w:tcW w:w="541" w:type="pct"/>
            <w:tcMar>
              <w:left w:w="57" w:type="dxa"/>
              <w:right w:w="57" w:type="dxa"/>
            </w:tcMar>
            <w:vAlign w:val="center"/>
          </w:tcPr>
          <w:p w14:paraId="4D66225B" w14:textId="77777777" w:rsidR="00A1418F" w:rsidRPr="00D91E8A" w:rsidRDefault="00A1418F" w:rsidP="00BE10F4">
            <w:pPr>
              <w:jc w:val="center"/>
              <w:rPr>
                <w:rFonts w:ascii="Arial Narrow" w:hAnsi="Arial Narrow"/>
                <w:color w:val="333333"/>
                <w:sz w:val="20"/>
                <w:szCs w:val="20"/>
              </w:rPr>
            </w:pPr>
          </w:p>
        </w:tc>
        <w:tc>
          <w:tcPr>
            <w:tcW w:w="4459" w:type="pct"/>
            <w:tcMar>
              <w:left w:w="57" w:type="dxa"/>
              <w:right w:w="57" w:type="dxa"/>
            </w:tcMar>
            <w:vAlign w:val="center"/>
          </w:tcPr>
          <w:p w14:paraId="6240CE81" w14:textId="77777777" w:rsidR="00A1418F" w:rsidRPr="00D91E8A" w:rsidRDefault="00A1418F" w:rsidP="00BE10F4">
            <w:pPr>
              <w:jc w:val="left"/>
              <w:rPr>
                <w:rFonts w:ascii="Arial Narrow" w:hAnsi="Arial Narrow" w:cs="Times New Roman"/>
                <w:b/>
                <w:bCs/>
                <w:i/>
                <w:iCs/>
                <w:color w:val="333333"/>
                <w:sz w:val="20"/>
                <w:szCs w:val="20"/>
              </w:rPr>
            </w:pPr>
            <w:r w:rsidRPr="00D91E8A">
              <w:rPr>
                <w:rFonts w:ascii="Arial Narrow" w:hAnsi="Arial Narrow" w:cs="Times New Roman"/>
                <w:b/>
                <w:bCs/>
                <w:i/>
                <w:iCs/>
                <w:color w:val="333333"/>
                <w:sz w:val="20"/>
                <w:szCs w:val="20"/>
              </w:rPr>
              <w:t>Administrative Advice:</w:t>
            </w:r>
          </w:p>
          <w:p w14:paraId="6B3F15B5"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Any queries concerning the arrangements to prescribe may be directed to Services Australia on 1800 700 270 (hours of operation 8 a.m. to 5 p.m. Monday to Friday).</w:t>
            </w:r>
          </w:p>
          <w:p w14:paraId="6E30C1B4"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Prescribing information (including Authority Application forms and other relevant documentation as applicable) is available on the Services Australia website at www.servicesaustralia.gov.au</w:t>
            </w:r>
          </w:p>
          <w:p w14:paraId="5F840775"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Applications for authority to prescribe should be submitted online using the form upload facility in Health Professional Online Services (HPOS) at www.servicesaustralia.gov.au/hpos</w:t>
            </w:r>
          </w:p>
          <w:p w14:paraId="671EF116"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Or mailed to:</w:t>
            </w:r>
          </w:p>
          <w:p w14:paraId="2913D42D"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Services Australia</w:t>
            </w:r>
          </w:p>
          <w:p w14:paraId="78BF8D7F"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Complex Drugs</w:t>
            </w:r>
          </w:p>
          <w:p w14:paraId="67A44875" w14:textId="77777777" w:rsidR="00A1418F" w:rsidRPr="00D91E8A" w:rsidRDefault="00A1418F" w:rsidP="00BE10F4">
            <w:pPr>
              <w:jc w:val="left"/>
              <w:rPr>
                <w:rFonts w:ascii="Arial Narrow" w:hAnsi="Arial Narrow" w:cs="Times New Roman"/>
                <w:i/>
                <w:iCs/>
                <w:color w:val="333333"/>
                <w:sz w:val="20"/>
                <w:szCs w:val="20"/>
              </w:rPr>
            </w:pPr>
            <w:r w:rsidRPr="00D91E8A">
              <w:rPr>
                <w:rFonts w:ascii="Arial Narrow" w:hAnsi="Arial Narrow" w:cs="Times New Roman"/>
                <w:i/>
                <w:iCs/>
                <w:color w:val="333333"/>
                <w:sz w:val="20"/>
                <w:szCs w:val="20"/>
              </w:rPr>
              <w:t>Reply Paid 9826</w:t>
            </w:r>
          </w:p>
          <w:p w14:paraId="247C8C25" w14:textId="77777777" w:rsidR="00A1418F" w:rsidRPr="00D91E8A" w:rsidRDefault="00A1418F" w:rsidP="00BE10F4">
            <w:pPr>
              <w:rPr>
                <w:rFonts w:ascii="Arial Narrow" w:hAnsi="Arial Narrow"/>
                <w:b/>
                <w:bCs/>
                <w:color w:val="333333"/>
                <w:sz w:val="20"/>
                <w:szCs w:val="20"/>
              </w:rPr>
            </w:pPr>
            <w:r w:rsidRPr="00D91E8A">
              <w:rPr>
                <w:rFonts w:ascii="Arial Narrow" w:hAnsi="Arial Narrow" w:cs="Times New Roman"/>
                <w:i/>
                <w:iCs/>
                <w:color w:val="333333"/>
                <w:sz w:val="20"/>
                <w:szCs w:val="20"/>
              </w:rPr>
              <w:t>HOBART TAS 7001</w:t>
            </w:r>
          </w:p>
        </w:tc>
      </w:tr>
    </w:tbl>
    <w:p w14:paraId="34021158" w14:textId="77777777" w:rsidR="00A1418F" w:rsidRDefault="00A1418F" w:rsidP="00A141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2097"/>
        <w:gridCol w:w="1800"/>
        <w:gridCol w:w="959"/>
        <w:gridCol w:w="959"/>
        <w:gridCol w:w="959"/>
        <w:gridCol w:w="1219"/>
      </w:tblGrid>
      <w:tr w:rsidR="00A1418F" w:rsidRPr="00B162C2" w14:paraId="049BB7EF" w14:textId="77777777" w:rsidTr="00164E34">
        <w:trPr>
          <w:cantSplit/>
          <w:trHeight w:val="397"/>
        </w:trPr>
        <w:tc>
          <w:tcPr>
            <w:tcW w:w="1730" w:type="pct"/>
            <w:gridSpan w:val="2"/>
            <w:vAlign w:val="center"/>
          </w:tcPr>
          <w:p w14:paraId="43A6EE3A" w14:textId="77777777" w:rsidR="00A1418F" w:rsidRPr="00B162C2" w:rsidRDefault="00A1418F" w:rsidP="0041042D">
            <w:pPr>
              <w:keepLines/>
              <w:jc w:val="left"/>
              <w:rPr>
                <w:rFonts w:ascii="Arial Narrow" w:hAnsi="Arial Narrow"/>
                <w:b/>
                <w:bCs/>
                <w:sz w:val="20"/>
                <w:szCs w:val="20"/>
              </w:rPr>
            </w:pPr>
            <w:r w:rsidRPr="00B162C2">
              <w:rPr>
                <w:rFonts w:ascii="Arial Narrow" w:hAnsi="Arial Narrow"/>
                <w:b/>
                <w:bCs/>
                <w:sz w:val="20"/>
                <w:szCs w:val="20"/>
              </w:rPr>
              <w:t>MEDICINAL PRODUCT</w:t>
            </w:r>
          </w:p>
          <w:p w14:paraId="760E0E8B" w14:textId="77777777" w:rsidR="00A1418F" w:rsidRPr="00B162C2" w:rsidRDefault="00A1418F" w:rsidP="0041042D">
            <w:pPr>
              <w:keepLines/>
              <w:jc w:val="left"/>
              <w:rPr>
                <w:rFonts w:ascii="Arial Narrow" w:hAnsi="Arial Narrow"/>
                <w:b/>
                <w:bCs/>
                <w:sz w:val="20"/>
                <w:szCs w:val="20"/>
              </w:rPr>
            </w:pPr>
            <w:r w:rsidRPr="00B162C2">
              <w:rPr>
                <w:rFonts w:ascii="Arial Narrow" w:hAnsi="Arial Narrow"/>
                <w:b/>
                <w:bCs/>
                <w:sz w:val="20"/>
                <w:szCs w:val="20"/>
              </w:rPr>
              <w:t>medicinal product pack</w:t>
            </w:r>
          </w:p>
        </w:tc>
        <w:tc>
          <w:tcPr>
            <w:tcW w:w="998" w:type="pct"/>
            <w:vAlign w:val="center"/>
          </w:tcPr>
          <w:p w14:paraId="1450E4C8" w14:textId="77777777" w:rsidR="00A1418F" w:rsidRPr="00B162C2" w:rsidRDefault="00A1418F" w:rsidP="0041042D">
            <w:pPr>
              <w:pStyle w:val="COMTabletext"/>
              <w:keepNext w:val="0"/>
              <w:keepLines/>
              <w:jc w:val="center"/>
              <w:rPr>
                <w:b/>
                <w:bCs w:val="0"/>
                <w:snapToGrid w:val="0"/>
              </w:rPr>
            </w:pPr>
            <w:r>
              <w:rPr>
                <w:b/>
                <w:bCs w:val="0"/>
                <w:snapToGrid w:val="0"/>
              </w:rPr>
              <w:t>PBS item code</w:t>
            </w:r>
          </w:p>
        </w:tc>
        <w:tc>
          <w:tcPr>
            <w:tcW w:w="532" w:type="pct"/>
            <w:vAlign w:val="center"/>
          </w:tcPr>
          <w:p w14:paraId="7E6590EA" w14:textId="77777777" w:rsidR="00A1418F" w:rsidRPr="00B162C2" w:rsidRDefault="00A1418F" w:rsidP="0041042D">
            <w:pPr>
              <w:keepLines/>
              <w:jc w:val="center"/>
              <w:rPr>
                <w:rFonts w:ascii="Arial Narrow" w:hAnsi="Arial Narrow"/>
                <w:b/>
                <w:sz w:val="20"/>
                <w:szCs w:val="20"/>
              </w:rPr>
            </w:pPr>
            <w:r w:rsidRPr="00B162C2">
              <w:rPr>
                <w:rFonts w:ascii="Arial Narrow" w:hAnsi="Arial Narrow"/>
                <w:b/>
                <w:sz w:val="20"/>
                <w:szCs w:val="20"/>
              </w:rPr>
              <w:t>Max. qty packs</w:t>
            </w:r>
          </w:p>
        </w:tc>
        <w:tc>
          <w:tcPr>
            <w:tcW w:w="532" w:type="pct"/>
            <w:vAlign w:val="center"/>
          </w:tcPr>
          <w:p w14:paraId="19754D0F" w14:textId="77777777" w:rsidR="00A1418F" w:rsidRPr="00B162C2" w:rsidRDefault="00A1418F" w:rsidP="0041042D">
            <w:pPr>
              <w:keepLines/>
              <w:jc w:val="center"/>
              <w:rPr>
                <w:rFonts w:ascii="Arial Narrow" w:hAnsi="Arial Narrow"/>
                <w:b/>
                <w:sz w:val="20"/>
                <w:szCs w:val="20"/>
              </w:rPr>
            </w:pPr>
            <w:r w:rsidRPr="00B162C2">
              <w:rPr>
                <w:rFonts w:ascii="Arial Narrow" w:hAnsi="Arial Narrow"/>
                <w:b/>
                <w:sz w:val="20"/>
                <w:szCs w:val="20"/>
              </w:rPr>
              <w:t>Max. qty units</w:t>
            </w:r>
          </w:p>
        </w:tc>
        <w:tc>
          <w:tcPr>
            <w:tcW w:w="532" w:type="pct"/>
            <w:vAlign w:val="center"/>
          </w:tcPr>
          <w:p w14:paraId="4419E93A" w14:textId="77777777" w:rsidR="00A1418F" w:rsidRPr="00B162C2" w:rsidRDefault="00A1418F" w:rsidP="0041042D">
            <w:pPr>
              <w:keepLines/>
              <w:jc w:val="center"/>
              <w:rPr>
                <w:rFonts w:ascii="Arial Narrow" w:hAnsi="Arial Narrow"/>
                <w:b/>
                <w:sz w:val="20"/>
                <w:szCs w:val="20"/>
              </w:rPr>
            </w:pPr>
            <w:r w:rsidRPr="00B162C2">
              <w:rPr>
                <w:rFonts w:ascii="Arial Narrow" w:hAnsi="Arial Narrow"/>
                <w:b/>
                <w:sz w:val="20"/>
                <w:szCs w:val="20"/>
              </w:rPr>
              <w:t>№.of</w:t>
            </w:r>
          </w:p>
          <w:p w14:paraId="3115396D" w14:textId="77777777" w:rsidR="00A1418F" w:rsidRPr="00B162C2" w:rsidRDefault="00A1418F" w:rsidP="0041042D">
            <w:pPr>
              <w:keepLines/>
              <w:jc w:val="center"/>
              <w:rPr>
                <w:rFonts w:ascii="Arial Narrow" w:hAnsi="Arial Narrow"/>
                <w:b/>
                <w:sz w:val="20"/>
                <w:szCs w:val="20"/>
              </w:rPr>
            </w:pPr>
            <w:r w:rsidRPr="00B162C2">
              <w:rPr>
                <w:rFonts w:ascii="Arial Narrow" w:hAnsi="Arial Narrow"/>
                <w:b/>
                <w:sz w:val="20"/>
                <w:szCs w:val="20"/>
              </w:rPr>
              <w:t>Rpts</w:t>
            </w:r>
          </w:p>
        </w:tc>
        <w:tc>
          <w:tcPr>
            <w:tcW w:w="677" w:type="pct"/>
            <w:vAlign w:val="center"/>
          </w:tcPr>
          <w:p w14:paraId="1648DEE5" w14:textId="77777777" w:rsidR="00A1418F" w:rsidRPr="00B162C2" w:rsidRDefault="00A1418F" w:rsidP="0041042D">
            <w:pPr>
              <w:keepLines/>
              <w:jc w:val="center"/>
              <w:rPr>
                <w:rFonts w:ascii="Arial Narrow" w:hAnsi="Arial Narrow"/>
                <w:b/>
                <w:sz w:val="20"/>
                <w:szCs w:val="20"/>
              </w:rPr>
            </w:pPr>
            <w:r w:rsidRPr="00B162C2">
              <w:rPr>
                <w:rFonts w:ascii="Arial Narrow" w:hAnsi="Arial Narrow"/>
                <w:b/>
                <w:sz w:val="20"/>
                <w:szCs w:val="20"/>
              </w:rPr>
              <w:t>Available brands</w:t>
            </w:r>
          </w:p>
        </w:tc>
      </w:tr>
      <w:tr w:rsidR="00A1418F" w:rsidRPr="00B162C2" w14:paraId="4C5202C8" w14:textId="77777777" w:rsidTr="00164E34">
        <w:trPr>
          <w:cantSplit/>
          <w:trHeight w:val="20"/>
        </w:trPr>
        <w:tc>
          <w:tcPr>
            <w:tcW w:w="5000" w:type="pct"/>
            <w:gridSpan w:val="7"/>
          </w:tcPr>
          <w:p w14:paraId="64EBFCE6" w14:textId="77777777" w:rsidR="00A1418F" w:rsidRPr="00B162C2" w:rsidRDefault="00A1418F" w:rsidP="00BE10F4">
            <w:pPr>
              <w:pStyle w:val="COMTabletext"/>
              <w:keepNext w:val="0"/>
              <w:keepLines/>
              <w:rPr>
                <w:rFonts w:cs="Arial"/>
                <w:szCs w:val="20"/>
              </w:rPr>
            </w:pPr>
            <w:r w:rsidRPr="00B162C2">
              <w:rPr>
                <w:smallCaps/>
              </w:rPr>
              <w:t>Zilucoplan</w:t>
            </w:r>
            <w:r w:rsidRPr="00B162C2">
              <w:rPr>
                <w:rFonts w:cs="Arial"/>
                <w:color w:val="0066FF"/>
                <w:szCs w:val="20"/>
              </w:rPr>
              <w:t xml:space="preserve"> </w:t>
            </w:r>
          </w:p>
        </w:tc>
      </w:tr>
      <w:tr w:rsidR="00A1418F" w:rsidRPr="00B162C2" w14:paraId="29F22DCC" w14:textId="77777777" w:rsidTr="00164E34">
        <w:trPr>
          <w:cantSplit/>
          <w:trHeight w:val="20"/>
        </w:trPr>
        <w:tc>
          <w:tcPr>
            <w:tcW w:w="1730" w:type="pct"/>
            <w:gridSpan w:val="2"/>
          </w:tcPr>
          <w:p w14:paraId="01419CD5" w14:textId="77777777" w:rsidR="00A1418F" w:rsidRPr="00D91E8A" w:rsidRDefault="00A1418F" w:rsidP="00BE10F4">
            <w:pPr>
              <w:keepLines/>
              <w:rPr>
                <w:rFonts w:ascii="Arial Narrow" w:hAnsi="Arial Narrow"/>
                <w:sz w:val="20"/>
                <w:szCs w:val="20"/>
              </w:rPr>
            </w:pPr>
            <w:r>
              <w:rPr>
                <w:rFonts w:ascii="Arial Narrow" w:hAnsi="Arial Narrow"/>
                <w:sz w:val="20"/>
                <w:szCs w:val="20"/>
              </w:rPr>
              <w:t>z</w:t>
            </w:r>
            <w:r w:rsidRPr="00B162C2">
              <w:rPr>
                <w:rFonts w:ascii="Arial Narrow" w:hAnsi="Arial Narrow"/>
                <w:sz w:val="20"/>
                <w:szCs w:val="20"/>
              </w:rPr>
              <w:t>ilucoplan</w:t>
            </w:r>
            <w:r>
              <w:rPr>
                <w:rFonts w:ascii="Arial Narrow" w:hAnsi="Arial Narrow"/>
                <w:sz w:val="20"/>
                <w:szCs w:val="20"/>
              </w:rPr>
              <w:t xml:space="preserve"> </w:t>
            </w:r>
            <w:r w:rsidRPr="00B162C2">
              <w:rPr>
                <w:rFonts w:ascii="Arial Narrow" w:hAnsi="Arial Narrow"/>
                <w:sz w:val="20"/>
                <w:szCs w:val="20"/>
              </w:rPr>
              <w:t>40 mg/mL 0.416 mL injection, 28 pre-filled syringes</w:t>
            </w:r>
          </w:p>
        </w:tc>
        <w:tc>
          <w:tcPr>
            <w:tcW w:w="998" w:type="pct"/>
            <w:vAlign w:val="center"/>
          </w:tcPr>
          <w:p w14:paraId="4D2A599D" w14:textId="77777777" w:rsidR="00A1418F" w:rsidRDefault="00A1418F" w:rsidP="00BE10F4">
            <w:pPr>
              <w:keepLines/>
              <w:spacing w:line="256" w:lineRule="auto"/>
              <w:jc w:val="center"/>
              <w:rPr>
                <w:rFonts w:ascii="Arial Narrow" w:hAnsi="Arial Narrow"/>
                <w:sz w:val="20"/>
                <w:szCs w:val="20"/>
              </w:rPr>
            </w:pPr>
            <w:r>
              <w:rPr>
                <w:rFonts w:ascii="Arial Narrow" w:hAnsi="Arial Narrow"/>
                <w:sz w:val="20"/>
                <w:szCs w:val="20"/>
              </w:rPr>
              <w:t>NEW HSD (Public)</w:t>
            </w:r>
          </w:p>
          <w:p w14:paraId="6CBCCBC1" w14:textId="77777777" w:rsidR="00A1418F" w:rsidRPr="00B162C2" w:rsidRDefault="00A1418F" w:rsidP="00BE10F4">
            <w:pPr>
              <w:pStyle w:val="Tabletext0"/>
              <w:jc w:val="center"/>
              <w:rPr>
                <w:szCs w:val="20"/>
              </w:rPr>
            </w:pPr>
            <w:r>
              <w:rPr>
                <w:szCs w:val="20"/>
              </w:rPr>
              <w:t>NEW HSD (Private)</w:t>
            </w:r>
          </w:p>
        </w:tc>
        <w:tc>
          <w:tcPr>
            <w:tcW w:w="532" w:type="pct"/>
            <w:vAlign w:val="center"/>
          </w:tcPr>
          <w:p w14:paraId="21E189C0"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1</w:t>
            </w:r>
          </w:p>
        </w:tc>
        <w:tc>
          <w:tcPr>
            <w:tcW w:w="532" w:type="pct"/>
            <w:vAlign w:val="center"/>
          </w:tcPr>
          <w:p w14:paraId="646E4E1C"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28</w:t>
            </w:r>
          </w:p>
        </w:tc>
        <w:tc>
          <w:tcPr>
            <w:tcW w:w="532" w:type="pct"/>
            <w:vAlign w:val="center"/>
          </w:tcPr>
          <w:p w14:paraId="76B76D52"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5</w:t>
            </w:r>
          </w:p>
        </w:tc>
        <w:tc>
          <w:tcPr>
            <w:tcW w:w="677" w:type="pct"/>
            <w:vMerge w:val="restart"/>
            <w:vAlign w:val="center"/>
          </w:tcPr>
          <w:p w14:paraId="75E9EB3B" w14:textId="77777777" w:rsidR="00A1418F" w:rsidRPr="00B162C2" w:rsidRDefault="00A1418F" w:rsidP="00BE10F4">
            <w:pPr>
              <w:keepLines/>
              <w:jc w:val="left"/>
              <w:rPr>
                <w:rFonts w:ascii="Arial Narrow" w:hAnsi="Arial Narrow"/>
                <w:sz w:val="20"/>
                <w:szCs w:val="20"/>
              </w:rPr>
            </w:pPr>
            <w:r w:rsidRPr="00B162C2">
              <w:rPr>
                <w:rFonts w:ascii="Arial Narrow" w:hAnsi="Arial Narrow"/>
                <w:sz w:val="20"/>
                <w:szCs w:val="20"/>
              </w:rPr>
              <w:t>Zilbrysq</w:t>
            </w:r>
          </w:p>
        </w:tc>
      </w:tr>
      <w:tr w:rsidR="00A1418F" w:rsidRPr="00B162C2" w14:paraId="7FFA0A1E" w14:textId="77777777" w:rsidTr="00164E34">
        <w:trPr>
          <w:cantSplit/>
          <w:trHeight w:val="20"/>
        </w:trPr>
        <w:tc>
          <w:tcPr>
            <w:tcW w:w="1730" w:type="pct"/>
            <w:gridSpan w:val="2"/>
          </w:tcPr>
          <w:p w14:paraId="4AD3AC39" w14:textId="77777777" w:rsidR="00A1418F" w:rsidRPr="00D91E8A" w:rsidRDefault="00A1418F" w:rsidP="00BE10F4">
            <w:pPr>
              <w:keepLines/>
              <w:rPr>
                <w:rFonts w:ascii="Arial Narrow" w:hAnsi="Arial Narrow"/>
                <w:sz w:val="20"/>
                <w:szCs w:val="20"/>
              </w:rPr>
            </w:pPr>
            <w:r>
              <w:rPr>
                <w:rFonts w:ascii="Arial Narrow" w:hAnsi="Arial Narrow"/>
                <w:sz w:val="20"/>
                <w:szCs w:val="20"/>
              </w:rPr>
              <w:t>z</w:t>
            </w:r>
            <w:r w:rsidRPr="00B162C2">
              <w:rPr>
                <w:rFonts w:ascii="Arial Narrow" w:hAnsi="Arial Narrow"/>
                <w:sz w:val="20"/>
                <w:szCs w:val="20"/>
              </w:rPr>
              <w:t>ilucoplan</w:t>
            </w:r>
            <w:r>
              <w:rPr>
                <w:rFonts w:ascii="Arial Narrow" w:hAnsi="Arial Narrow"/>
                <w:sz w:val="20"/>
                <w:szCs w:val="20"/>
              </w:rPr>
              <w:t xml:space="preserve"> </w:t>
            </w:r>
            <w:r w:rsidRPr="00B162C2">
              <w:rPr>
                <w:rFonts w:ascii="Arial Narrow" w:hAnsi="Arial Narrow"/>
                <w:sz w:val="20"/>
                <w:szCs w:val="20"/>
              </w:rPr>
              <w:t>40 mg/mL 0.574 mL injection, 28 pre-filled syringes</w:t>
            </w:r>
          </w:p>
        </w:tc>
        <w:tc>
          <w:tcPr>
            <w:tcW w:w="998" w:type="pct"/>
            <w:vAlign w:val="center"/>
          </w:tcPr>
          <w:p w14:paraId="3582DAA1" w14:textId="77777777" w:rsidR="00A1418F" w:rsidRDefault="00A1418F" w:rsidP="00BE10F4">
            <w:pPr>
              <w:keepLines/>
              <w:spacing w:line="256" w:lineRule="auto"/>
              <w:jc w:val="center"/>
              <w:rPr>
                <w:rFonts w:ascii="Arial Narrow" w:hAnsi="Arial Narrow"/>
                <w:sz w:val="20"/>
                <w:szCs w:val="20"/>
              </w:rPr>
            </w:pPr>
            <w:r>
              <w:rPr>
                <w:rFonts w:ascii="Arial Narrow" w:hAnsi="Arial Narrow"/>
                <w:sz w:val="20"/>
                <w:szCs w:val="20"/>
              </w:rPr>
              <w:t>NEW HSD (Public)</w:t>
            </w:r>
          </w:p>
          <w:p w14:paraId="780A16BF" w14:textId="77777777" w:rsidR="00A1418F" w:rsidRPr="00B162C2" w:rsidRDefault="00A1418F" w:rsidP="00BE10F4">
            <w:pPr>
              <w:pStyle w:val="Tabletext0"/>
              <w:jc w:val="center"/>
              <w:rPr>
                <w:szCs w:val="20"/>
              </w:rPr>
            </w:pPr>
            <w:r>
              <w:rPr>
                <w:szCs w:val="20"/>
              </w:rPr>
              <w:t>NEW HSD (Private)</w:t>
            </w:r>
          </w:p>
        </w:tc>
        <w:tc>
          <w:tcPr>
            <w:tcW w:w="532" w:type="pct"/>
            <w:vAlign w:val="center"/>
          </w:tcPr>
          <w:p w14:paraId="3617896F"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1</w:t>
            </w:r>
          </w:p>
        </w:tc>
        <w:tc>
          <w:tcPr>
            <w:tcW w:w="532" w:type="pct"/>
            <w:vAlign w:val="center"/>
          </w:tcPr>
          <w:p w14:paraId="40003E77"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28</w:t>
            </w:r>
          </w:p>
        </w:tc>
        <w:tc>
          <w:tcPr>
            <w:tcW w:w="532" w:type="pct"/>
            <w:vAlign w:val="center"/>
          </w:tcPr>
          <w:p w14:paraId="64693E95"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5</w:t>
            </w:r>
          </w:p>
        </w:tc>
        <w:tc>
          <w:tcPr>
            <w:tcW w:w="677" w:type="pct"/>
            <w:vMerge/>
            <w:vAlign w:val="center"/>
          </w:tcPr>
          <w:p w14:paraId="3492D4CA" w14:textId="77777777" w:rsidR="00A1418F" w:rsidRPr="00B162C2" w:rsidRDefault="00A1418F" w:rsidP="00BE10F4">
            <w:pPr>
              <w:keepLines/>
              <w:jc w:val="center"/>
              <w:rPr>
                <w:rFonts w:ascii="Arial Narrow" w:hAnsi="Arial Narrow"/>
                <w:sz w:val="20"/>
                <w:szCs w:val="20"/>
              </w:rPr>
            </w:pPr>
          </w:p>
        </w:tc>
      </w:tr>
      <w:tr w:rsidR="00A1418F" w:rsidRPr="00B162C2" w14:paraId="37680D28" w14:textId="77777777" w:rsidTr="00164E34">
        <w:trPr>
          <w:cantSplit/>
          <w:trHeight w:val="20"/>
        </w:trPr>
        <w:tc>
          <w:tcPr>
            <w:tcW w:w="1730" w:type="pct"/>
            <w:gridSpan w:val="2"/>
          </w:tcPr>
          <w:p w14:paraId="36631EB4" w14:textId="77777777" w:rsidR="00A1418F" w:rsidRPr="00D91E8A" w:rsidRDefault="00A1418F" w:rsidP="00BE10F4">
            <w:pPr>
              <w:keepLines/>
              <w:rPr>
                <w:rFonts w:ascii="Arial Narrow" w:hAnsi="Arial Narrow"/>
                <w:sz w:val="20"/>
                <w:szCs w:val="20"/>
              </w:rPr>
            </w:pPr>
            <w:r>
              <w:rPr>
                <w:rFonts w:ascii="Arial Narrow" w:hAnsi="Arial Narrow"/>
                <w:sz w:val="20"/>
                <w:szCs w:val="20"/>
              </w:rPr>
              <w:t>z</w:t>
            </w:r>
            <w:r w:rsidRPr="00B162C2">
              <w:rPr>
                <w:rFonts w:ascii="Arial Narrow" w:hAnsi="Arial Narrow"/>
                <w:sz w:val="20"/>
                <w:szCs w:val="20"/>
              </w:rPr>
              <w:t>ilucoplan</w:t>
            </w:r>
            <w:r>
              <w:rPr>
                <w:rFonts w:ascii="Arial Narrow" w:hAnsi="Arial Narrow"/>
                <w:sz w:val="20"/>
                <w:szCs w:val="20"/>
              </w:rPr>
              <w:t xml:space="preserve"> </w:t>
            </w:r>
            <w:r w:rsidRPr="00B162C2">
              <w:rPr>
                <w:rFonts w:ascii="Arial Narrow" w:hAnsi="Arial Narrow"/>
                <w:sz w:val="20"/>
                <w:szCs w:val="20"/>
              </w:rPr>
              <w:t>40 mg/mL 0.810 mL injection, 28 pre-filled syringes</w:t>
            </w:r>
          </w:p>
        </w:tc>
        <w:tc>
          <w:tcPr>
            <w:tcW w:w="998" w:type="pct"/>
            <w:vAlign w:val="center"/>
          </w:tcPr>
          <w:p w14:paraId="139DB855" w14:textId="77777777" w:rsidR="00A1418F" w:rsidRDefault="00A1418F" w:rsidP="00BE10F4">
            <w:pPr>
              <w:keepLines/>
              <w:spacing w:line="256" w:lineRule="auto"/>
              <w:jc w:val="center"/>
              <w:rPr>
                <w:rFonts w:ascii="Arial Narrow" w:hAnsi="Arial Narrow"/>
                <w:sz w:val="20"/>
                <w:szCs w:val="20"/>
              </w:rPr>
            </w:pPr>
            <w:r>
              <w:rPr>
                <w:rFonts w:ascii="Arial Narrow" w:hAnsi="Arial Narrow"/>
                <w:sz w:val="20"/>
                <w:szCs w:val="20"/>
              </w:rPr>
              <w:t>NEW HSD (Public)</w:t>
            </w:r>
          </w:p>
          <w:p w14:paraId="24B55FA9" w14:textId="77777777" w:rsidR="00A1418F" w:rsidRPr="00B162C2" w:rsidRDefault="00A1418F" w:rsidP="00BE10F4">
            <w:pPr>
              <w:pStyle w:val="Tabletext0"/>
              <w:jc w:val="center"/>
              <w:rPr>
                <w:szCs w:val="20"/>
              </w:rPr>
            </w:pPr>
            <w:r>
              <w:rPr>
                <w:szCs w:val="20"/>
              </w:rPr>
              <w:t>NEW HSD (Private)</w:t>
            </w:r>
          </w:p>
        </w:tc>
        <w:tc>
          <w:tcPr>
            <w:tcW w:w="532" w:type="pct"/>
            <w:vAlign w:val="center"/>
          </w:tcPr>
          <w:p w14:paraId="5D239482"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1</w:t>
            </w:r>
          </w:p>
        </w:tc>
        <w:tc>
          <w:tcPr>
            <w:tcW w:w="532" w:type="pct"/>
            <w:vAlign w:val="center"/>
          </w:tcPr>
          <w:p w14:paraId="39052F52"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28</w:t>
            </w:r>
          </w:p>
        </w:tc>
        <w:tc>
          <w:tcPr>
            <w:tcW w:w="532" w:type="pct"/>
            <w:vAlign w:val="center"/>
          </w:tcPr>
          <w:p w14:paraId="16F52C71"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5</w:t>
            </w:r>
          </w:p>
        </w:tc>
        <w:tc>
          <w:tcPr>
            <w:tcW w:w="677" w:type="pct"/>
            <w:vMerge/>
            <w:vAlign w:val="center"/>
          </w:tcPr>
          <w:p w14:paraId="56B6A1BF" w14:textId="77777777" w:rsidR="00A1418F" w:rsidRPr="00B162C2" w:rsidRDefault="00A1418F" w:rsidP="00BE10F4">
            <w:pPr>
              <w:keepLines/>
              <w:jc w:val="center"/>
              <w:rPr>
                <w:rFonts w:ascii="Arial Narrow" w:hAnsi="Arial Narrow"/>
                <w:sz w:val="20"/>
                <w:szCs w:val="20"/>
              </w:rPr>
            </w:pPr>
          </w:p>
        </w:tc>
      </w:tr>
      <w:tr w:rsidR="00A1418F" w:rsidRPr="00B162C2" w14:paraId="3D623D09" w14:textId="77777777" w:rsidTr="00164E34">
        <w:trPr>
          <w:cantSplit/>
          <w:trHeight w:val="20"/>
        </w:trPr>
        <w:tc>
          <w:tcPr>
            <w:tcW w:w="1730" w:type="pct"/>
            <w:gridSpan w:val="2"/>
          </w:tcPr>
          <w:p w14:paraId="2DCD792B" w14:textId="77777777" w:rsidR="00A1418F" w:rsidRPr="00B162C2" w:rsidRDefault="00A1418F" w:rsidP="00BE10F4">
            <w:pPr>
              <w:keepLines/>
              <w:rPr>
                <w:rFonts w:ascii="Arial Narrow" w:hAnsi="Arial Narrow"/>
                <w:color w:val="0066FF"/>
                <w:sz w:val="20"/>
                <w:szCs w:val="20"/>
              </w:rPr>
            </w:pPr>
            <w:r>
              <w:rPr>
                <w:rFonts w:ascii="Arial Narrow" w:hAnsi="Arial Narrow"/>
                <w:sz w:val="20"/>
                <w:szCs w:val="20"/>
              </w:rPr>
              <w:t>z</w:t>
            </w:r>
            <w:r w:rsidRPr="00B162C2">
              <w:rPr>
                <w:rFonts w:ascii="Arial Narrow" w:hAnsi="Arial Narrow"/>
                <w:sz w:val="20"/>
                <w:szCs w:val="20"/>
              </w:rPr>
              <w:t>ilucoplan 40 mg/mL 0.416 mL injection, 7 pre-filled syringes</w:t>
            </w:r>
          </w:p>
        </w:tc>
        <w:tc>
          <w:tcPr>
            <w:tcW w:w="998" w:type="pct"/>
            <w:vAlign w:val="center"/>
          </w:tcPr>
          <w:p w14:paraId="3EAE44F5" w14:textId="77777777" w:rsidR="00A1418F" w:rsidRDefault="00A1418F" w:rsidP="00BE10F4">
            <w:pPr>
              <w:keepLines/>
              <w:spacing w:line="256" w:lineRule="auto"/>
              <w:jc w:val="center"/>
              <w:rPr>
                <w:rFonts w:ascii="Arial Narrow" w:hAnsi="Arial Narrow"/>
                <w:sz w:val="20"/>
                <w:szCs w:val="20"/>
              </w:rPr>
            </w:pPr>
            <w:r>
              <w:rPr>
                <w:rFonts w:ascii="Arial Narrow" w:hAnsi="Arial Narrow"/>
                <w:sz w:val="20"/>
                <w:szCs w:val="20"/>
              </w:rPr>
              <w:t>NEW HSD (Public)</w:t>
            </w:r>
          </w:p>
          <w:p w14:paraId="3E9838C8" w14:textId="77777777" w:rsidR="00A1418F" w:rsidRPr="00B162C2" w:rsidRDefault="00A1418F" w:rsidP="00BE10F4">
            <w:pPr>
              <w:pStyle w:val="Tabletext0"/>
              <w:jc w:val="center"/>
              <w:rPr>
                <w:szCs w:val="20"/>
              </w:rPr>
            </w:pPr>
            <w:r>
              <w:rPr>
                <w:szCs w:val="20"/>
              </w:rPr>
              <w:t>NEW HSD (Private)</w:t>
            </w:r>
          </w:p>
        </w:tc>
        <w:tc>
          <w:tcPr>
            <w:tcW w:w="532" w:type="pct"/>
            <w:vAlign w:val="center"/>
          </w:tcPr>
          <w:p w14:paraId="70C718F6"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4</w:t>
            </w:r>
          </w:p>
        </w:tc>
        <w:tc>
          <w:tcPr>
            <w:tcW w:w="532" w:type="pct"/>
            <w:vAlign w:val="center"/>
          </w:tcPr>
          <w:p w14:paraId="21157A13"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28</w:t>
            </w:r>
          </w:p>
        </w:tc>
        <w:tc>
          <w:tcPr>
            <w:tcW w:w="532" w:type="pct"/>
            <w:vAlign w:val="center"/>
          </w:tcPr>
          <w:p w14:paraId="4FF8E32C"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5</w:t>
            </w:r>
          </w:p>
        </w:tc>
        <w:tc>
          <w:tcPr>
            <w:tcW w:w="677" w:type="pct"/>
            <w:vMerge/>
            <w:vAlign w:val="center"/>
          </w:tcPr>
          <w:p w14:paraId="1A2FF8A3" w14:textId="77777777" w:rsidR="00A1418F" w:rsidRPr="00B162C2" w:rsidRDefault="00A1418F" w:rsidP="00BE10F4">
            <w:pPr>
              <w:keepLines/>
              <w:jc w:val="center"/>
              <w:rPr>
                <w:rFonts w:ascii="Arial Narrow" w:hAnsi="Arial Narrow"/>
                <w:sz w:val="20"/>
                <w:szCs w:val="20"/>
              </w:rPr>
            </w:pPr>
          </w:p>
        </w:tc>
      </w:tr>
      <w:tr w:rsidR="00A1418F" w:rsidRPr="00B162C2" w14:paraId="5AA116EB" w14:textId="77777777" w:rsidTr="00164E34">
        <w:trPr>
          <w:cantSplit/>
          <w:trHeight w:val="20"/>
        </w:trPr>
        <w:tc>
          <w:tcPr>
            <w:tcW w:w="1730" w:type="pct"/>
            <w:gridSpan w:val="2"/>
          </w:tcPr>
          <w:p w14:paraId="7CCC6878" w14:textId="77777777" w:rsidR="00A1418F" w:rsidRPr="00B162C2" w:rsidRDefault="00A1418F" w:rsidP="00BE10F4">
            <w:pPr>
              <w:keepLines/>
              <w:rPr>
                <w:rFonts w:ascii="Arial Narrow" w:hAnsi="Arial Narrow"/>
                <w:color w:val="0066FF"/>
                <w:sz w:val="20"/>
                <w:szCs w:val="20"/>
              </w:rPr>
            </w:pPr>
            <w:r>
              <w:rPr>
                <w:rFonts w:ascii="Arial Narrow" w:hAnsi="Arial Narrow"/>
                <w:sz w:val="20"/>
                <w:szCs w:val="20"/>
              </w:rPr>
              <w:t>z</w:t>
            </w:r>
            <w:r w:rsidRPr="00B162C2">
              <w:rPr>
                <w:rFonts w:ascii="Arial Narrow" w:hAnsi="Arial Narrow"/>
                <w:sz w:val="20"/>
                <w:szCs w:val="20"/>
              </w:rPr>
              <w:t>ilucoplan</w:t>
            </w:r>
            <w:r>
              <w:rPr>
                <w:rFonts w:ascii="Arial Narrow" w:hAnsi="Arial Narrow"/>
                <w:sz w:val="20"/>
                <w:szCs w:val="20"/>
              </w:rPr>
              <w:t xml:space="preserve"> 4</w:t>
            </w:r>
            <w:r w:rsidRPr="00B162C2">
              <w:rPr>
                <w:rFonts w:ascii="Arial Narrow" w:hAnsi="Arial Narrow"/>
                <w:sz w:val="20"/>
                <w:szCs w:val="20"/>
              </w:rPr>
              <w:t>0 mg/mL 0.574 mL injection, 7 pre-filled syringes</w:t>
            </w:r>
          </w:p>
        </w:tc>
        <w:tc>
          <w:tcPr>
            <w:tcW w:w="998" w:type="pct"/>
            <w:vAlign w:val="center"/>
          </w:tcPr>
          <w:p w14:paraId="48D0BA81" w14:textId="77777777" w:rsidR="00A1418F" w:rsidRDefault="00A1418F" w:rsidP="00BE10F4">
            <w:pPr>
              <w:keepLines/>
              <w:spacing w:line="256" w:lineRule="auto"/>
              <w:jc w:val="center"/>
              <w:rPr>
                <w:rFonts w:ascii="Arial Narrow" w:hAnsi="Arial Narrow"/>
                <w:sz w:val="20"/>
                <w:szCs w:val="20"/>
              </w:rPr>
            </w:pPr>
            <w:r>
              <w:rPr>
                <w:rFonts w:ascii="Arial Narrow" w:hAnsi="Arial Narrow"/>
                <w:sz w:val="20"/>
                <w:szCs w:val="20"/>
              </w:rPr>
              <w:t>NEW HSD (Public)</w:t>
            </w:r>
          </w:p>
          <w:p w14:paraId="0A8FCAE5" w14:textId="77777777" w:rsidR="00A1418F" w:rsidRPr="00B162C2" w:rsidRDefault="00A1418F" w:rsidP="00BE10F4">
            <w:pPr>
              <w:pStyle w:val="Tabletext0"/>
              <w:jc w:val="center"/>
              <w:rPr>
                <w:szCs w:val="20"/>
              </w:rPr>
            </w:pPr>
            <w:r>
              <w:rPr>
                <w:szCs w:val="20"/>
              </w:rPr>
              <w:t>NEW HSD (Private)</w:t>
            </w:r>
          </w:p>
        </w:tc>
        <w:tc>
          <w:tcPr>
            <w:tcW w:w="532" w:type="pct"/>
            <w:vAlign w:val="center"/>
          </w:tcPr>
          <w:p w14:paraId="49677979"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4</w:t>
            </w:r>
          </w:p>
        </w:tc>
        <w:tc>
          <w:tcPr>
            <w:tcW w:w="532" w:type="pct"/>
            <w:vAlign w:val="center"/>
          </w:tcPr>
          <w:p w14:paraId="21ABFF56"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28</w:t>
            </w:r>
          </w:p>
        </w:tc>
        <w:tc>
          <w:tcPr>
            <w:tcW w:w="532" w:type="pct"/>
            <w:vAlign w:val="center"/>
          </w:tcPr>
          <w:p w14:paraId="5E6F3AB1"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5</w:t>
            </w:r>
          </w:p>
        </w:tc>
        <w:tc>
          <w:tcPr>
            <w:tcW w:w="677" w:type="pct"/>
            <w:vMerge/>
            <w:vAlign w:val="center"/>
          </w:tcPr>
          <w:p w14:paraId="6C2B77D5" w14:textId="77777777" w:rsidR="00A1418F" w:rsidRPr="00B162C2" w:rsidRDefault="00A1418F" w:rsidP="00BE10F4">
            <w:pPr>
              <w:keepLines/>
              <w:jc w:val="center"/>
              <w:rPr>
                <w:rFonts w:ascii="Arial Narrow" w:hAnsi="Arial Narrow"/>
                <w:sz w:val="20"/>
                <w:szCs w:val="20"/>
              </w:rPr>
            </w:pPr>
          </w:p>
        </w:tc>
      </w:tr>
      <w:tr w:rsidR="00A1418F" w:rsidRPr="00B162C2" w14:paraId="24716431" w14:textId="77777777" w:rsidTr="00164E34">
        <w:trPr>
          <w:cantSplit/>
          <w:trHeight w:val="20"/>
        </w:trPr>
        <w:tc>
          <w:tcPr>
            <w:tcW w:w="1730" w:type="pct"/>
            <w:gridSpan w:val="2"/>
            <w:tcBorders>
              <w:bottom w:val="single" w:sz="4" w:space="0" w:color="auto"/>
            </w:tcBorders>
          </w:tcPr>
          <w:p w14:paraId="70F92EFA" w14:textId="77777777" w:rsidR="00A1418F" w:rsidRPr="00B162C2" w:rsidRDefault="00A1418F" w:rsidP="00BE10F4">
            <w:pPr>
              <w:keepLines/>
              <w:rPr>
                <w:rFonts w:ascii="Arial Narrow" w:hAnsi="Arial Narrow"/>
                <w:color w:val="0066FF"/>
                <w:sz w:val="20"/>
                <w:szCs w:val="20"/>
              </w:rPr>
            </w:pPr>
            <w:r>
              <w:rPr>
                <w:rFonts w:ascii="Arial Narrow" w:hAnsi="Arial Narrow"/>
                <w:sz w:val="20"/>
                <w:szCs w:val="20"/>
              </w:rPr>
              <w:t>z</w:t>
            </w:r>
            <w:r w:rsidRPr="00B162C2">
              <w:rPr>
                <w:rFonts w:ascii="Arial Narrow" w:hAnsi="Arial Narrow"/>
                <w:sz w:val="20"/>
                <w:szCs w:val="20"/>
              </w:rPr>
              <w:t>ilucoplan</w:t>
            </w:r>
            <w:r>
              <w:rPr>
                <w:rFonts w:ascii="Arial Narrow" w:hAnsi="Arial Narrow"/>
                <w:sz w:val="20"/>
                <w:szCs w:val="20"/>
              </w:rPr>
              <w:t xml:space="preserve"> </w:t>
            </w:r>
            <w:r w:rsidRPr="00B162C2">
              <w:rPr>
                <w:rFonts w:ascii="Arial Narrow" w:hAnsi="Arial Narrow"/>
                <w:sz w:val="20"/>
                <w:szCs w:val="20"/>
              </w:rPr>
              <w:t>40 mg/mL 0.810 mL injection, 7 pre-filled syringes</w:t>
            </w:r>
          </w:p>
        </w:tc>
        <w:tc>
          <w:tcPr>
            <w:tcW w:w="998" w:type="pct"/>
            <w:tcBorders>
              <w:bottom w:val="single" w:sz="4" w:space="0" w:color="auto"/>
            </w:tcBorders>
            <w:vAlign w:val="center"/>
          </w:tcPr>
          <w:p w14:paraId="228C2575" w14:textId="77777777" w:rsidR="00A1418F" w:rsidRDefault="00A1418F" w:rsidP="00BE10F4">
            <w:pPr>
              <w:keepLines/>
              <w:spacing w:line="256" w:lineRule="auto"/>
              <w:jc w:val="center"/>
              <w:rPr>
                <w:rFonts w:ascii="Arial Narrow" w:hAnsi="Arial Narrow"/>
                <w:sz w:val="20"/>
                <w:szCs w:val="20"/>
              </w:rPr>
            </w:pPr>
            <w:r>
              <w:rPr>
                <w:rFonts w:ascii="Arial Narrow" w:hAnsi="Arial Narrow"/>
                <w:sz w:val="20"/>
                <w:szCs w:val="20"/>
              </w:rPr>
              <w:t>NEW HSD (Public)</w:t>
            </w:r>
          </w:p>
          <w:p w14:paraId="7585BE0F" w14:textId="77777777" w:rsidR="00A1418F" w:rsidRPr="00B162C2" w:rsidRDefault="00A1418F" w:rsidP="00BE10F4">
            <w:pPr>
              <w:pStyle w:val="Tabletext0"/>
              <w:jc w:val="center"/>
              <w:rPr>
                <w:szCs w:val="20"/>
              </w:rPr>
            </w:pPr>
            <w:r>
              <w:rPr>
                <w:szCs w:val="20"/>
              </w:rPr>
              <w:t>NEW HSD (Private)</w:t>
            </w:r>
          </w:p>
        </w:tc>
        <w:tc>
          <w:tcPr>
            <w:tcW w:w="532" w:type="pct"/>
            <w:tcBorders>
              <w:bottom w:val="single" w:sz="4" w:space="0" w:color="auto"/>
            </w:tcBorders>
            <w:vAlign w:val="center"/>
          </w:tcPr>
          <w:p w14:paraId="26D94D5F"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4</w:t>
            </w:r>
          </w:p>
        </w:tc>
        <w:tc>
          <w:tcPr>
            <w:tcW w:w="532" w:type="pct"/>
            <w:tcBorders>
              <w:bottom w:val="single" w:sz="4" w:space="0" w:color="auto"/>
            </w:tcBorders>
            <w:vAlign w:val="center"/>
          </w:tcPr>
          <w:p w14:paraId="7979FC2A"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28</w:t>
            </w:r>
          </w:p>
        </w:tc>
        <w:tc>
          <w:tcPr>
            <w:tcW w:w="532" w:type="pct"/>
            <w:tcBorders>
              <w:bottom w:val="single" w:sz="4" w:space="0" w:color="auto"/>
            </w:tcBorders>
            <w:vAlign w:val="center"/>
          </w:tcPr>
          <w:p w14:paraId="57CBE279" w14:textId="77777777" w:rsidR="00A1418F" w:rsidRPr="00B162C2" w:rsidRDefault="00A1418F" w:rsidP="00BE10F4">
            <w:pPr>
              <w:keepLines/>
              <w:jc w:val="center"/>
              <w:rPr>
                <w:rFonts w:ascii="Arial Narrow" w:hAnsi="Arial Narrow"/>
                <w:sz w:val="20"/>
                <w:szCs w:val="20"/>
              </w:rPr>
            </w:pPr>
            <w:r w:rsidRPr="00B162C2">
              <w:rPr>
                <w:rFonts w:ascii="Arial Narrow" w:hAnsi="Arial Narrow"/>
                <w:sz w:val="20"/>
              </w:rPr>
              <w:t>5</w:t>
            </w:r>
          </w:p>
        </w:tc>
        <w:tc>
          <w:tcPr>
            <w:tcW w:w="677" w:type="pct"/>
            <w:vMerge/>
            <w:tcBorders>
              <w:bottom w:val="single" w:sz="4" w:space="0" w:color="auto"/>
            </w:tcBorders>
            <w:vAlign w:val="center"/>
          </w:tcPr>
          <w:p w14:paraId="43BC28AE" w14:textId="77777777" w:rsidR="00A1418F" w:rsidRPr="00B162C2" w:rsidRDefault="00A1418F" w:rsidP="00BE10F4">
            <w:pPr>
              <w:keepLines/>
              <w:jc w:val="center"/>
              <w:rPr>
                <w:rFonts w:ascii="Arial Narrow" w:hAnsi="Arial Narrow"/>
                <w:sz w:val="20"/>
                <w:szCs w:val="20"/>
              </w:rPr>
            </w:pPr>
          </w:p>
        </w:tc>
      </w:tr>
      <w:tr w:rsidR="00A1418F" w:rsidRPr="00B162C2" w14:paraId="6023FBAE" w14:textId="77777777" w:rsidTr="00164E34">
        <w:tblPrEx>
          <w:tblCellMar>
            <w:top w:w="15" w:type="dxa"/>
            <w:bottom w:w="15" w:type="dxa"/>
          </w:tblCellMar>
          <w:tblLook w:val="04A0" w:firstRow="1" w:lastRow="0" w:firstColumn="1" w:lastColumn="0" w:noHBand="0" w:noVBand="1"/>
        </w:tblPrEx>
        <w:trPr>
          <w:cantSplit/>
          <w:trHeight w:val="20"/>
        </w:trPr>
        <w:tc>
          <w:tcPr>
            <w:tcW w:w="5000" w:type="pct"/>
            <w:gridSpan w:val="7"/>
            <w:tcBorders>
              <w:top w:val="single" w:sz="4" w:space="0" w:color="auto"/>
              <w:bottom w:val="single" w:sz="4" w:space="0" w:color="auto"/>
            </w:tcBorders>
          </w:tcPr>
          <w:p w14:paraId="2D1D827F" w14:textId="77777777" w:rsidR="00A1418F" w:rsidRPr="00B162C2" w:rsidRDefault="00A1418F" w:rsidP="00BE10F4">
            <w:pPr>
              <w:pStyle w:val="COMTabletext"/>
              <w:keepNext w:val="0"/>
              <w:keepLines/>
              <w:rPr>
                <w:b/>
              </w:rPr>
            </w:pPr>
          </w:p>
        </w:tc>
      </w:tr>
      <w:tr w:rsidR="00A1418F" w:rsidRPr="00B162C2" w14:paraId="26501018" w14:textId="77777777" w:rsidTr="00164E34">
        <w:tblPrEx>
          <w:tblCellMar>
            <w:top w:w="15" w:type="dxa"/>
            <w:bottom w:w="15" w:type="dxa"/>
          </w:tblCellMar>
          <w:tblLook w:val="04A0" w:firstRow="1" w:lastRow="0" w:firstColumn="1" w:lastColumn="0" w:noHBand="0" w:noVBand="1"/>
        </w:tblPrEx>
        <w:trPr>
          <w:cantSplit/>
          <w:trHeight w:val="20"/>
        </w:trPr>
        <w:tc>
          <w:tcPr>
            <w:tcW w:w="567" w:type="pct"/>
            <w:tcBorders>
              <w:top w:val="single" w:sz="4" w:space="0" w:color="auto"/>
            </w:tcBorders>
          </w:tcPr>
          <w:p w14:paraId="5F7B2F3B" w14:textId="77777777" w:rsidR="00A1418F" w:rsidRPr="00B162C2" w:rsidRDefault="00A1418F" w:rsidP="00BE10F4">
            <w:pPr>
              <w:pStyle w:val="COMTabletext"/>
              <w:keepNext w:val="0"/>
              <w:keepLines/>
              <w:rPr>
                <w:b/>
              </w:rPr>
            </w:pPr>
          </w:p>
        </w:tc>
        <w:tc>
          <w:tcPr>
            <w:tcW w:w="4433" w:type="pct"/>
            <w:gridSpan w:val="6"/>
            <w:tcBorders>
              <w:top w:val="single" w:sz="4" w:space="0" w:color="auto"/>
            </w:tcBorders>
          </w:tcPr>
          <w:p w14:paraId="13CFCF4A" w14:textId="596D3926" w:rsidR="00A1418F" w:rsidRPr="00B162C2" w:rsidRDefault="00A1418F" w:rsidP="00BE10F4">
            <w:pPr>
              <w:pStyle w:val="COMTabletext"/>
              <w:keepNext w:val="0"/>
              <w:keepLines/>
            </w:pPr>
            <w:r w:rsidRPr="00B162C2">
              <w:rPr>
                <w:b/>
              </w:rPr>
              <w:t xml:space="preserve">Category / Program: </w:t>
            </w:r>
            <w:r w:rsidRPr="00B162C2">
              <w:rPr>
                <w:bCs w:val="0"/>
              </w:rPr>
              <w:t>Section 85</w:t>
            </w:r>
            <w:r w:rsidRPr="00B162C2">
              <w:rPr>
                <w:b/>
              </w:rPr>
              <w:t xml:space="preserve"> </w:t>
            </w:r>
            <w:r w:rsidRPr="00B162C2">
              <w:rPr>
                <w:bCs w:val="0"/>
              </w:rPr>
              <w:t>– General schedule</w:t>
            </w:r>
          </w:p>
        </w:tc>
      </w:tr>
      <w:tr w:rsidR="00A1418F" w:rsidRPr="00B162C2" w14:paraId="6F076116"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688623C3" w14:textId="77777777" w:rsidR="00A1418F" w:rsidRPr="00B162C2" w:rsidRDefault="00A1418F" w:rsidP="00BE10F4">
            <w:pPr>
              <w:pStyle w:val="COMTabletext"/>
              <w:keepNext w:val="0"/>
              <w:keepLines/>
              <w:rPr>
                <w:b/>
              </w:rPr>
            </w:pPr>
          </w:p>
        </w:tc>
        <w:tc>
          <w:tcPr>
            <w:tcW w:w="4433" w:type="pct"/>
            <w:gridSpan w:val="6"/>
          </w:tcPr>
          <w:p w14:paraId="7D16CEC5" w14:textId="77777777" w:rsidR="00A1418F" w:rsidRPr="00B162C2" w:rsidRDefault="00A1418F" w:rsidP="00BE10F4">
            <w:pPr>
              <w:pStyle w:val="COMTabletext"/>
              <w:keepNext w:val="0"/>
              <w:keepLines/>
              <w:rPr>
                <w:b/>
              </w:rPr>
            </w:pPr>
            <w:r w:rsidRPr="00B162C2">
              <w:rPr>
                <w:b/>
              </w:rPr>
              <w:t xml:space="preserve">Prescriber type: </w:t>
            </w:r>
            <w:r w:rsidRPr="00B162C2">
              <w:fldChar w:fldCharType="begin" w:fldLock="1">
                <w:ffData>
                  <w:name w:val=""/>
                  <w:enabled/>
                  <w:calcOnExit w:val="0"/>
                  <w:checkBox>
                    <w:sizeAuto/>
                    <w:default w:val="1"/>
                  </w:checkBox>
                </w:ffData>
              </w:fldChar>
            </w:r>
            <w:r w:rsidRPr="00B162C2">
              <w:instrText xml:space="preserve"> FORMCHECKBOX </w:instrText>
            </w:r>
            <w:r w:rsidRPr="00B162C2">
              <w:fldChar w:fldCharType="separate"/>
            </w:r>
            <w:r w:rsidRPr="00B162C2">
              <w:fldChar w:fldCharType="end"/>
            </w:r>
            <w:r w:rsidRPr="00B162C2">
              <w:t xml:space="preserve">Medical Practitioners </w:t>
            </w:r>
          </w:p>
        </w:tc>
      </w:tr>
      <w:tr w:rsidR="00A1418F" w:rsidRPr="00B162C2" w14:paraId="671CE07F"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09247D36" w14:textId="77777777" w:rsidR="00A1418F" w:rsidRPr="00B162C2" w:rsidRDefault="00A1418F" w:rsidP="00BE10F4">
            <w:pPr>
              <w:pStyle w:val="COMTabletext"/>
              <w:keepNext w:val="0"/>
              <w:keepLines/>
              <w:rPr>
                <w:b/>
              </w:rPr>
            </w:pPr>
          </w:p>
        </w:tc>
        <w:tc>
          <w:tcPr>
            <w:tcW w:w="4433" w:type="pct"/>
            <w:gridSpan w:val="6"/>
          </w:tcPr>
          <w:p w14:paraId="57E4299A" w14:textId="25FCE8B0" w:rsidR="00A1418F" w:rsidRPr="00B162C2" w:rsidRDefault="00A1418F" w:rsidP="00BE10F4">
            <w:pPr>
              <w:pStyle w:val="COMTabletext"/>
              <w:keepNext w:val="0"/>
              <w:keepLines/>
              <w:rPr>
                <w:rFonts w:eastAsia="Times New Roman"/>
              </w:rPr>
            </w:pPr>
            <w:r w:rsidRPr="00B162C2">
              <w:rPr>
                <w:b/>
              </w:rPr>
              <w:t xml:space="preserve">Restriction type: </w:t>
            </w:r>
            <w:r w:rsidRPr="00B162C2">
              <w:rPr>
                <w:rFonts w:eastAsia="Times New Roman"/>
              </w:rPr>
              <w:fldChar w:fldCharType="begin" w:fldLock="1">
                <w:ffData>
                  <w:name w:val=""/>
                  <w:enabled/>
                  <w:calcOnExit w:val="0"/>
                  <w:checkBox>
                    <w:sizeAuto/>
                    <w:default w:val="1"/>
                  </w:checkBox>
                </w:ffData>
              </w:fldChar>
            </w:r>
            <w:r w:rsidRPr="00B162C2">
              <w:rPr>
                <w:rFonts w:eastAsia="Times New Roman"/>
              </w:rPr>
              <w:instrText xml:space="preserve"> FORMCHECKBOX </w:instrText>
            </w:r>
            <w:r w:rsidRPr="00B162C2">
              <w:rPr>
                <w:rFonts w:eastAsia="Times New Roman"/>
              </w:rPr>
            </w:r>
            <w:r w:rsidRPr="00B162C2">
              <w:rPr>
                <w:rFonts w:eastAsia="Times New Roman"/>
              </w:rPr>
              <w:fldChar w:fldCharType="separate"/>
            </w:r>
            <w:r w:rsidRPr="00B162C2">
              <w:rPr>
                <w:rFonts w:eastAsia="Times New Roman"/>
              </w:rPr>
              <w:fldChar w:fldCharType="end"/>
            </w:r>
            <w:r w:rsidRPr="00B162C2">
              <w:rPr>
                <w:rFonts w:eastAsia="Times New Roman"/>
              </w:rPr>
              <w:t xml:space="preserve">Authority Required </w:t>
            </w:r>
            <w:r w:rsidRPr="00D91E8A">
              <w:rPr>
                <w:rFonts w:eastAsia="Times New Roman"/>
                <w:strike/>
              </w:rPr>
              <w:t>(in writing only via post/HPOS upload)</w:t>
            </w:r>
            <w:r w:rsidRPr="00B162C2">
              <w:rPr>
                <w:rFonts w:eastAsia="Times New Roman"/>
              </w:rPr>
              <w:t xml:space="preserve"> </w:t>
            </w:r>
            <w:r w:rsidRPr="00771374">
              <w:rPr>
                <w:rFonts w:eastAsia="Calibri"/>
                <w:i/>
                <w:iCs/>
                <w:szCs w:val="20"/>
              </w:rPr>
              <w:t>non-immediate/delayed assessment by Services Australia (in-writing only via mail/postal service or electronic upload to Hobart; requires at least one concept ID to be marked as ‘FULL’ for full assessment by Services Australia)</w:t>
            </w:r>
          </w:p>
        </w:tc>
      </w:tr>
      <w:tr w:rsidR="00A1418F" w:rsidRPr="00B162C2" w14:paraId="61A2B6A1"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59DD4306" w14:textId="77777777" w:rsidR="00A1418F" w:rsidRPr="00B162C2" w:rsidRDefault="00A1418F" w:rsidP="00BE10F4">
            <w:pPr>
              <w:pStyle w:val="COMTabletext"/>
              <w:keepLines/>
              <w:rPr>
                <w:bCs w:val="0"/>
              </w:rPr>
            </w:pPr>
          </w:p>
        </w:tc>
        <w:tc>
          <w:tcPr>
            <w:tcW w:w="4433" w:type="pct"/>
            <w:gridSpan w:val="6"/>
            <w:vAlign w:val="center"/>
          </w:tcPr>
          <w:p w14:paraId="186123AF" w14:textId="77777777" w:rsidR="00A1418F" w:rsidRPr="00B162C2" w:rsidRDefault="00A1418F" w:rsidP="00BE10F4">
            <w:pPr>
              <w:pStyle w:val="COMTabletext"/>
              <w:keepLines/>
              <w:rPr>
                <w:b/>
              </w:rPr>
            </w:pPr>
            <w:r w:rsidRPr="00D91E8A">
              <w:rPr>
                <w:bCs w:val="0"/>
                <w:strike/>
              </w:rPr>
              <w:t>WARNING: Zilucoplan</w:t>
            </w:r>
            <w:r w:rsidRPr="00B162C2">
              <w:rPr>
                <w:bCs w:val="0"/>
              </w:rPr>
              <w:t xml:space="preserve"> </w:t>
            </w:r>
            <w:r w:rsidRPr="00D91E8A">
              <w:rPr>
                <w:b/>
                <w:i/>
                <w:iCs/>
              </w:rPr>
              <w:t>Caution:</w:t>
            </w:r>
            <w:r w:rsidRPr="00D91E8A">
              <w:rPr>
                <w:bCs w:val="0"/>
                <w:i/>
                <w:iCs/>
              </w:rPr>
              <w:t xml:space="preserve"> C5 inhibitors</w:t>
            </w:r>
            <w:r>
              <w:rPr>
                <w:bCs w:val="0"/>
              </w:rPr>
              <w:t xml:space="preserve"> </w:t>
            </w:r>
            <w:r w:rsidRPr="00B162C2">
              <w:rPr>
                <w:bCs w:val="0"/>
              </w:rPr>
              <w:t>increases the risk of meningococcal infections (septicaemia and/or meningitis).</w:t>
            </w:r>
            <w:r>
              <w:rPr>
                <w:bCs w:val="0"/>
              </w:rPr>
              <w:t xml:space="preserve"> </w:t>
            </w:r>
            <w:r w:rsidRPr="00B162C2">
              <w:rPr>
                <w:bCs w:val="0"/>
              </w:rPr>
              <w:t>Please consult the approved PI for information about vaccination against meningococcal infection.</w:t>
            </w:r>
          </w:p>
        </w:tc>
      </w:tr>
      <w:tr w:rsidR="00A1418F" w:rsidRPr="00B162C2" w14:paraId="53294A24"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3A453853" w14:textId="77777777" w:rsidR="00A1418F" w:rsidRPr="00B162C2" w:rsidRDefault="00A1418F" w:rsidP="00BE10F4">
            <w:pPr>
              <w:pStyle w:val="COMTabletext"/>
              <w:keepNext w:val="0"/>
              <w:keepLines/>
              <w:rPr>
                <w:b/>
              </w:rPr>
            </w:pPr>
          </w:p>
        </w:tc>
        <w:tc>
          <w:tcPr>
            <w:tcW w:w="4433" w:type="pct"/>
            <w:gridSpan w:val="6"/>
          </w:tcPr>
          <w:p w14:paraId="0C8E88F8" w14:textId="77777777" w:rsidR="00A1418F" w:rsidRPr="00771374" w:rsidRDefault="00A1418F" w:rsidP="00BE10F4">
            <w:pPr>
              <w:pStyle w:val="COMTabletext"/>
              <w:keepNext w:val="0"/>
              <w:keepLines/>
              <w:rPr>
                <w:b/>
                <w:i/>
                <w:iCs/>
              </w:rPr>
            </w:pPr>
            <w:r w:rsidRPr="00771374">
              <w:rPr>
                <w:b/>
                <w:i/>
                <w:iCs/>
              </w:rPr>
              <w:t xml:space="preserve">Episodicity: </w:t>
            </w:r>
            <w:r w:rsidRPr="00771374">
              <w:rPr>
                <w:bCs w:val="0"/>
                <w:i/>
                <w:iCs/>
              </w:rPr>
              <w:t>blank</w:t>
            </w:r>
          </w:p>
        </w:tc>
      </w:tr>
      <w:tr w:rsidR="00A1418F" w:rsidRPr="00B162C2" w14:paraId="2CDAC3F9"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720E1BD2" w14:textId="77777777" w:rsidR="00A1418F" w:rsidRPr="00B162C2" w:rsidRDefault="00A1418F" w:rsidP="00BE10F4">
            <w:pPr>
              <w:pStyle w:val="COMTabletext"/>
              <w:keepNext w:val="0"/>
              <w:keepLines/>
              <w:rPr>
                <w:b/>
              </w:rPr>
            </w:pPr>
          </w:p>
        </w:tc>
        <w:tc>
          <w:tcPr>
            <w:tcW w:w="4433" w:type="pct"/>
            <w:gridSpan w:val="6"/>
          </w:tcPr>
          <w:p w14:paraId="224E31D7" w14:textId="70673997" w:rsidR="00A1418F" w:rsidRPr="00771374" w:rsidRDefault="00A1418F" w:rsidP="00BE10F4">
            <w:pPr>
              <w:pStyle w:val="COMTabletext"/>
              <w:keepNext w:val="0"/>
              <w:keepLines/>
              <w:rPr>
                <w:b/>
                <w:i/>
                <w:iCs/>
              </w:rPr>
            </w:pPr>
            <w:r w:rsidRPr="00771374">
              <w:rPr>
                <w:b/>
                <w:i/>
                <w:iCs/>
              </w:rPr>
              <w:t xml:space="preserve">Severity: </w:t>
            </w:r>
            <w:r w:rsidR="0097639E" w:rsidRPr="00771374">
              <w:rPr>
                <w:bCs w:val="0"/>
                <w:i/>
                <w:iCs/>
              </w:rPr>
              <w:t>blan</w:t>
            </w:r>
            <w:r w:rsidR="0097639E">
              <w:rPr>
                <w:bCs w:val="0"/>
                <w:i/>
                <w:iCs/>
              </w:rPr>
              <w:t>k</w:t>
            </w:r>
          </w:p>
        </w:tc>
      </w:tr>
      <w:tr w:rsidR="00A1418F" w:rsidRPr="00771374" w14:paraId="2AC5DD55"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5F9CEA24" w14:textId="77777777" w:rsidR="00A1418F" w:rsidRPr="00771374" w:rsidRDefault="00A1418F" w:rsidP="00BE10F4">
            <w:pPr>
              <w:pStyle w:val="COMTabletext"/>
              <w:keepNext w:val="0"/>
              <w:keepLines/>
              <w:rPr>
                <w:b/>
                <w:i/>
                <w:iCs/>
              </w:rPr>
            </w:pPr>
          </w:p>
        </w:tc>
        <w:tc>
          <w:tcPr>
            <w:tcW w:w="4433" w:type="pct"/>
            <w:gridSpan w:val="6"/>
            <w:vAlign w:val="center"/>
          </w:tcPr>
          <w:p w14:paraId="21CF5A3F" w14:textId="77777777" w:rsidR="00A1418F" w:rsidRPr="00771374" w:rsidRDefault="00A1418F" w:rsidP="00BE10F4">
            <w:pPr>
              <w:pStyle w:val="COMTabletext"/>
              <w:keepNext w:val="0"/>
              <w:keepLines/>
              <w:rPr>
                <w:b/>
                <w:i/>
                <w:iCs/>
              </w:rPr>
            </w:pPr>
            <w:r w:rsidRPr="00771374">
              <w:rPr>
                <w:b/>
                <w:i/>
                <w:iCs/>
              </w:rPr>
              <w:t xml:space="preserve">Condition: </w:t>
            </w:r>
            <w:r w:rsidRPr="00771374">
              <w:rPr>
                <w:bCs w:val="0"/>
                <w:i/>
                <w:iCs/>
              </w:rPr>
              <w:t>generalised myasthenia gravis (gMG)</w:t>
            </w:r>
          </w:p>
        </w:tc>
      </w:tr>
      <w:tr w:rsidR="00A1418F" w:rsidRPr="00B162C2" w14:paraId="78E33645"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03C8D36F" w14:textId="77777777" w:rsidR="00A1418F" w:rsidRPr="00B162C2" w:rsidRDefault="00A1418F" w:rsidP="00BE10F4">
            <w:pPr>
              <w:pStyle w:val="COMTabletext"/>
              <w:keepNext w:val="0"/>
              <w:keepLines/>
              <w:rPr>
                <w:b/>
              </w:rPr>
            </w:pPr>
          </w:p>
        </w:tc>
        <w:tc>
          <w:tcPr>
            <w:tcW w:w="4433" w:type="pct"/>
            <w:gridSpan w:val="6"/>
            <w:vAlign w:val="center"/>
            <w:hideMark/>
          </w:tcPr>
          <w:p w14:paraId="4A63FCBA" w14:textId="77777777" w:rsidR="00A1418F" w:rsidRPr="00B162C2" w:rsidRDefault="00A1418F" w:rsidP="00BE10F4">
            <w:pPr>
              <w:pStyle w:val="COMTabletext"/>
              <w:keepNext w:val="0"/>
              <w:keepLines/>
            </w:pPr>
            <w:r w:rsidRPr="00B162C2">
              <w:rPr>
                <w:b/>
              </w:rPr>
              <w:t>Indication:</w:t>
            </w:r>
            <w:r w:rsidRPr="00B162C2">
              <w:t xml:space="preserve"> </w:t>
            </w:r>
            <w:r>
              <w:t>g</w:t>
            </w:r>
            <w:r w:rsidRPr="00B162C2">
              <w:t>eneralised myasthenia gravis</w:t>
            </w:r>
            <w:r>
              <w:t xml:space="preserve"> </w:t>
            </w:r>
            <w:r w:rsidRPr="00771374">
              <w:rPr>
                <w:i/>
                <w:iCs/>
              </w:rPr>
              <w:t>(gMG)</w:t>
            </w:r>
          </w:p>
        </w:tc>
      </w:tr>
      <w:tr w:rsidR="00A1418F" w:rsidRPr="00B162C2" w14:paraId="482B55B1"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3FA5F8F1" w14:textId="77777777" w:rsidR="00A1418F" w:rsidRPr="00B162C2" w:rsidRDefault="00A1418F" w:rsidP="00BE10F4">
            <w:pPr>
              <w:pStyle w:val="COMTabletext"/>
              <w:keepNext w:val="0"/>
              <w:keepLines/>
              <w:rPr>
                <w:b/>
              </w:rPr>
            </w:pPr>
          </w:p>
        </w:tc>
        <w:tc>
          <w:tcPr>
            <w:tcW w:w="4433" w:type="pct"/>
            <w:gridSpan w:val="6"/>
            <w:vAlign w:val="center"/>
            <w:hideMark/>
          </w:tcPr>
          <w:p w14:paraId="5D4C0366" w14:textId="77777777" w:rsidR="00A1418F" w:rsidRPr="00B162C2" w:rsidRDefault="00A1418F" w:rsidP="00BE10F4">
            <w:pPr>
              <w:pStyle w:val="COMTabletext"/>
              <w:keepNext w:val="0"/>
              <w:keepLines/>
            </w:pPr>
            <w:r w:rsidRPr="00B162C2">
              <w:rPr>
                <w:b/>
              </w:rPr>
              <w:t>Indication:</w:t>
            </w:r>
            <w:r w:rsidRPr="00B162C2">
              <w:t xml:space="preserve"> Generalised myasthenia gravis</w:t>
            </w:r>
          </w:p>
        </w:tc>
      </w:tr>
      <w:tr w:rsidR="00A1418F" w:rsidRPr="00B162C2" w14:paraId="3F97804D"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418347E2" w14:textId="77777777" w:rsidR="00A1418F" w:rsidRPr="00B162C2" w:rsidRDefault="00A1418F" w:rsidP="00BE10F4">
            <w:pPr>
              <w:pStyle w:val="COMTabletext"/>
              <w:keepNext w:val="0"/>
              <w:keepLines/>
              <w:rPr>
                <w:b/>
              </w:rPr>
            </w:pPr>
          </w:p>
        </w:tc>
        <w:tc>
          <w:tcPr>
            <w:tcW w:w="4433" w:type="pct"/>
            <w:gridSpan w:val="6"/>
            <w:vAlign w:val="center"/>
            <w:hideMark/>
          </w:tcPr>
          <w:p w14:paraId="6469881C" w14:textId="77777777" w:rsidR="00A1418F" w:rsidRPr="00B162C2" w:rsidRDefault="00A1418F" w:rsidP="00BE10F4">
            <w:pPr>
              <w:pStyle w:val="COMTabletext"/>
              <w:keepNext w:val="0"/>
              <w:keepLines/>
            </w:pPr>
            <w:r w:rsidRPr="00B162C2">
              <w:rPr>
                <w:b/>
              </w:rPr>
              <w:t>Treatment Phase:</w:t>
            </w:r>
            <w:r w:rsidRPr="00B162C2">
              <w:t xml:space="preserve"> Continuing treatment</w:t>
            </w:r>
          </w:p>
        </w:tc>
      </w:tr>
      <w:tr w:rsidR="00A1418F" w:rsidRPr="00B162C2" w14:paraId="462138EA"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3221D38E" w14:textId="77777777" w:rsidR="00A1418F" w:rsidRPr="00B162C2" w:rsidRDefault="00A1418F" w:rsidP="00BE10F4">
            <w:pPr>
              <w:pStyle w:val="COMTabletext"/>
              <w:keepNext w:val="0"/>
              <w:keepLines/>
              <w:rPr>
                <w:b/>
              </w:rPr>
            </w:pPr>
          </w:p>
        </w:tc>
        <w:tc>
          <w:tcPr>
            <w:tcW w:w="4433" w:type="pct"/>
            <w:gridSpan w:val="6"/>
            <w:vAlign w:val="center"/>
          </w:tcPr>
          <w:p w14:paraId="56BDB04C" w14:textId="77777777" w:rsidR="00A1418F" w:rsidRPr="00B162C2" w:rsidRDefault="00A1418F" w:rsidP="00BE10F4">
            <w:pPr>
              <w:pStyle w:val="COMTabletext"/>
              <w:keepNext w:val="0"/>
              <w:keepLines/>
              <w:rPr>
                <w:b/>
              </w:rPr>
            </w:pPr>
          </w:p>
        </w:tc>
      </w:tr>
      <w:tr w:rsidR="00A1418F" w:rsidRPr="00B162C2" w14:paraId="72B9E5DE"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039132AB" w14:textId="77777777" w:rsidR="00A1418F" w:rsidRPr="00B162C2" w:rsidRDefault="00A1418F" w:rsidP="00BE10F4">
            <w:pPr>
              <w:pStyle w:val="COMTabletext"/>
              <w:keepNext w:val="0"/>
              <w:keepLines/>
              <w:rPr>
                <w:b/>
              </w:rPr>
            </w:pPr>
          </w:p>
        </w:tc>
        <w:tc>
          <w:tcPr>
            <w:tcW w:w="4433" w:type="pct"/>
            <w:gridSpan w:val="6"/>
            <w:vAlign w:val="center"/>
            <w:hideMark/>
          </w:tcPr>
          <w:p w14:paraId="74516C6F" w14:textId="77777777" w:rsidR="00A1418F" w:rsidRPr="00B162C2" w:rsidRDefault="00A1418F" w:rsidP="00BE10F4">
            <w:pPr>
              <w:pStyle w:val="COMTabletext"/>
              <w:keepNext w:val="0"/>
              <w:keepLines/>
            </w:pPr>
            <w:r w:rsidRPr="00B162C2">
              <w:rPr>
                <w:b/>
              </w:rPr>
              <w:t>Clinical criteria:</w:t>
            </w:r>
          </w:p>
        </w:tc>
      </w:tr>
      <w:tr w:rsidR="00A1418F" w:rsidRPr="00B162C2" w14:paraId="386D09DF"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60B4661D" w14:textId="77777777" w:rsidR="00A1418F" w:rsidRPr="00B162C2" w:rsidRDefault="00A1418F" w:rsidP="00BE10F4">
            <w:pPr>
              <w:pStyle w:val="COMTabletext"/>
              <w:keepNext w:val="0"/>
              <w:keepLines/>
            </w:pPr>
          </w:p>
        </w:tc>
        <w:tc>
          <w:tcPr>
            <w:tcW w:w="4433" w:type="pct"/>
            <w:gridSpan w:val="6"/>
            <w:vAlign w:val="center"/>
            <w:hideMark/>
          </w:tcPr>
          <w:p w14:paraId="03BE591B" w14:textId="77777777" w:rsidR="00A1418F" w:rsidRPr="00B162C2" w:rsidRDefault="00A1418F" w:rsidP="00BE10F4">
            <w:pPr>
              <w:pStyle w:val="COMTabletext"/>
              <w:keepNext w:val="0"/>
              <w:keepLines/>
            </w:pPr>
            <w:r w:rsidRPr="00D91E8A">
              <w:rPr>
                <w:strike/>
              </w:rPr>
              <w:t>The</w:t>
            </w:r>
            <w:r w:rsidRPr="00B162C2">
              <w:t xml:space="preserve"> </w:t>
            </w:r>
            <w:r>
              <w:t>P</w:t>
            </w:r>
            <w:r w:rsidRPr="00B162C2">
              <w:t xml:space="preserve">atient must have previously received </w:t>
            </w:r>
            <w:r w:rsidRPr="009B6F06">
              <w:rPr>
                <w:i/>
                <w:iCs/>
              </w:rPr>
              <w:t>PBS-subsidised treatment with</w:t>
            </w:r>
            <w:r>
              <w:t xml:space="preserve"> </w:t>
            </w:r>
            <w:r w:rsidRPr="00B162C2">
              <w:t>this drug for this condition</w:t>
            </w:r>
          </w:p>
        </w:tc>
      </w:tr>
      <w:tr w:rsidR="00A1418F" w:rsidRPr="00B162C2" w14:paraId="01E31CD8"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4A20782B" w14:textId="77777777" w:rsidR="00A1418F" w:rsidRPr="00B162C2" w:rsidRDefault="00A1418F" w:rsidP="00BE10F4">
            <w:pPr>
              <w:pStyle w:val="COMTabletext"/>
              <w:keepNext w:val="0"/>
              <w:keepLines/>
              <w:rPr>
                <w:b/>
              </w:rPr>
            </w:pPr>
          </w:p>
        </w:tc>
        <w:tc>
          <w:tcPr>
            <w:tcW w:w="4433" w:type="pct"/>
            <w:gridSpan w:val="6"/>
            <w:vAlign w:val="center"/>
            <w:hideMark/>
          </w:tcPr>
          <w:p w14:paraId="5AAEE063" w14:textId="77777777" w:rsidR="00A1418F" w:rsidRPr="00B162C2" w:rsidRDefault="00A1418F" w:rsidP="00BE10F4">
            <w:pPr>
              <w:pStyle w:val="COMTabletext"/>
              <w:keepNext w:val="0"/>
              <w:keepLines/>
            </w:pPr>
            <w:r w:rsidRPr="00B162C2">
              <w:rPr>
                <w:b/>
              </w:rPr>
              <w:t>AND</w:t>
            </w:r>
          </w:p>
        </w:tc>
      </w:tr>
      <w:tr w:rsidR="00A1418F" w:rsidRPr="00B162C2" w14:paraId="309E14E7"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00D64D02" w14:textId="77777777" w:rsidR="00A1418F" w:rsidRPr="00B162C2" w:rsidRDefault="00A1418F" w:rsidP="00BE10F4">
            <w:pPr>
              <w:pStyle w:val="COMTabletext"/>
              <w:keepNext w:val="0"/>
              <w:keepLines/>
              <w:rPr>
                <w:b/>
              </w:rPr>
            </w:pPr>
          </w:p>
        </w:tc>
        <w:tc>
          <w:tcPr>
            <w:tcW w:w="4433" w:type="pct"/>
            <w:gridSpan w:val="6"/>
            <w:vAlign w:val="center"/>
            <w:hideMark/>
          </w:tcPr>
          <w:p w14:paraId="38550498" w14:textId="77777777" w:rsidR="00A1418F" w:rsidRPr="00B162C2" w:rsidRDefault="00A1418F" w:rsidP="00BE10F4">
            <w:pPr>
              <w:pStyle w:val="COMTabletext"/>
              <w:keepNext w:val="0"/>
              <w:keepLines/>
            </w:pPr>
            <w:r w:rsidRPr="00B162C2">
              <w:rPr>
                <w:b/>
              </w:rPr>
              <w:t>Clinical criteria:</w:t>
            </w:r>
          </w:p>
        </w:tc>
      </w:tr>
      <w:tr w:rsidR="00A1418F" w:rsidRPr="00B162C2" w14:paraId="6D847A59"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3B94B8E9" w14:textId="77777777" w:rsidR="00A1418F" w:rsidRPr="00B162C2" w:rsidRDefault="00A1418F" w:rsidP="00BE10F4">
            <w:pPr>
              <w:pStyle w:val="COMTabletext"/>
              <w:keepNext w:val="0"/>
              <w:keepLines/>
            </w:pPr>
          </w:p>
        </w:tc>
        <w:tc>
          <w:tcPr>
            <w:tcW w:w="4433" w:type="pct"/>
            <w:gridSpan w:val="6"/>
            <w:vAlign w:val="center"/>
            <w:hideMark/>
          </w:tcPr>
          <w:p w14:paraId="53869810" w14:textId="77777777" w:rsidR="00A1418F" w:rsidRPr="00B162C2" w:rsidRDefault="00A1418F" w:rsidP="00BE10F4">
            <w:pPr>
              <w:pStyle w:val="COMTabletext"/>
              <w:keepNext w:val="0"/>
              <w:keepLines/>
              <w:rPr>
                <w:color w:val="0066FF"/>
              </w:rPr>
            </w:pPr>
            <w:r w:rsidRPr="00D91E8A">
              <w:rPr>
                <w:strike/>
              </w:rPr>
              <w:t>The</w:t>
            </w:r>
            <w:r w:rsidRPr="00B162C2">
              <w:t xml:space="preserve"> </w:t>
            </w:r>
            <w:r>
              <w:t>P</w:t>
            </w:r>
            <w:r w:rsidRPr="00B162C2">
              <w:t>atient must have demonstrated or sustained an adequate response to treatment, defined as at least a 3-point reduction in MGC score from baseline</w:t>
            </w:r>
          </w:p>
        </w:tc>
      </w:tr>
      <w:tr w:rsidR="00A1418F" w:rsidRPr="00B162C2" w14:paraId="60A410E7"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0E568EB0" w14:textId="77777777" w:rsidR="00A1418F" w:rsidRPr="00B162C2" w:rsidRDefault="00A1418F" w:rsidP="00BE10F4">
            <w:pPr>
              <w:pStyle w:val="COMTabletext"/>
              <w:keepNext w:val="0"/>
              <w:keepLines/>
              <w:rPr>
                <w:b/>
              </w:rPr>
            </w:pPr>
          </w:p>
        </w:tc>
        <w:tc>
          <w:tcPr>
            <w:tcW w:w="4433" w:type="pct"/>
            <w:gridSpan w:val="6"/>
            <w:vAlign w:val="center"/>
          </w:tcPr>
          <w:p w14:paraId="29ACAE36" w14:textId="77777777" w:rsidR="00A1418F" w:rsidRPr="00B162C2" w:rsidRDefault="00A1418F" w:rsidP="00BE10F4">
            <w:pPr>
              <w:pStyle w:val="COMTabletext"/>
              <w:keepNext w:val="0"/>
              <w:keepLines/>
            </w:pPr>
            <w:r w:rsidRPr="00B162C2">
              <w:rPr>
                <w:b/>
              </w:rPr>
              <w:t>AND</w:t>
            </w:r>
          </w:p>
        </w:tc>
      </w:tr>
      <w:tr w:rsidR="00A1418F" w:rsidRPr="00B162C2" w14:paraId="18EA1BDB"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11294C1B" w14:textId="77777777" w:rsidR="00A1418F" w:rsidRPr="00B162C2" w:rsidRDefault="00A1418F" w:rsidP="00BE10F4">
            <w:pPr>
              <w:pStyle w:val="COMTabletext"/>
              <w:keepNext w:val="0"/>
              <w:keepLines/>
              <w:rPr>
                <w:b/>
              </w:rPr>
            </w:pPr>
          </w:p>
        </w:tc>
        <w:tc>
          <w:tcPr>
            <w:tcW w:w="4433" w:type="pct"/>
            <w:gridSpan w:val="6"/>
            <w:vAlign w:val="center"/>
          </w:tcPr>
          <w:p w14:paraId="785967A5" w14:textId="77777777" w:rsidR="00A1418F" w:rsidRPr="00B162C2" w:rsidRDefault="00A1418F" w:rsidP="00BE10F4">
            <w:pPr>
              <w:pStyle w:val="COMTabletext"/>
              <w:keepNext w:val="0"/>
              <w:keepLines/>
            </w:pPr>
            <w:r w:rsidRPr="00B162C2">
              <w:rPr>
                <w:b/>
              </w:rPr>
              <w:t>Clinical criteria:</w:t>
            </w:r>
          </w:p>
        </w:tc>
      </w:tr>
      <w:tr w:rsidR="00A1418F" w:rsidRPr="00B162C2" w14:paraId="6E936E11"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683B5E39" w14:textId="77777777" w:rsidR="00A1418F" w:rsidRPr="00B162C2" w:rsidRDefault="00A1418F" w:rsidP="00BE10F4">
            <w:pPr>
              <w:pStyle w:val="COMTabletext"/>
              <w:keepNext w:val="0"/>
              <w:keepLines/>
            </w:pPr>
          </w:p>
        </w:tc>
        <w:tc>
          <w:tcPr>
            <w:tcW w:w="4433" w:type="pct"/>
            <w:gridSpan w:val="6"/>
            <w:vAlign w:val="center"/>
          </w:tcPr>
          <w:p w14:paraId="489A9D5A" w14:textId="77777777" w:rsidR="00A1418F" w:rsidRPr="00B162C2" w:rsidRDefault="00A1418F" w:rsidP="00BE10F4">
            <w:pPr>
              <w:pStyle w:val="COMTabletext"/>
              <w:keepNext w:val="0"/>
              <w:keepLines/>
            </w:pPr>
            <w:r w:rsidRPr="00B162C2">
              <w:t>Treatment must not be in combination with another complement inhibitor</w:t>
            </w:r>
          </w:p>
        </w:tc>
      </w:tr>
      <w:tr w:rsidR="00A1418F" w:rsidRPr="00B162C2" w14:paraId="4B70E89D"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28F2835B" w14:textId="77777777" w:rsidR="00A1418F" w:rsidRPr="00B162C2" w:rsidRDefault="00A1418F" w:rsidP="00BE10F4">
            <w:pPr>
              <w:pStyle w:val="COMTabletext"/>
              <w:keepNext w:val="0"/>
              <w:keepLines/>
              <w:rPr>
                <w:b/>
              </w:rPr>
            </w:pPr>
          </w:p>
        </w:tc>
        <w:tc>
          <w:tcPr>
            <w:tcW w:w="4433" w:type="pct"/>
            <w:gridSpan w:val="6"/>
            <w:vAlign w:val="center"/>
          </w:tcPr>
          <w:p w14:paraId="7AA5F33A" w14:textId="77777777" w:rsidR="00A1418F" w:rsidRPr="00D91E8A" w:rsidRDefault="00A1418F" w:rsidP="00BE10F4">
            <w:pPr>
              <w:pStyle w:val="COMTabletext"/>
              <w:keepNext w:val="0"/>
              <w:keepLines/>
              <w:rPr>
                <w:b/>
                <w:i/>
                <w:iCs/>
              </w:rPr>
            </w:pPr>
            <w:r w:rsidRPr="00D91E8A">
              <w:rPr>
                <w:b/>
                <w:i/>
                <w:iCs/>
              </w:rPr>
              <w:t>AND</w:t>
            </w:r>
          </w:p>
        </w:tc>
      </w:tr>
      <w:tr w:rsidR="00A1418F" w:rsidRPr="00B162C2" w14:paraId="264A1E5F"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4598A248" w14:textId="77777777" w:rsidR="00A1418F" w:rsidRPr="00B162C2" w:rsidRDefault="00A1418F" w:rsidP="00BE10F4">
            <w:pPr>
              <w:pStyle w:val="COMTabletext"/>
              <w:keepNext w:val="0"/>
              <w:keepLines/>
              <w:rPr>
                <w:b/>
              </w:rPr>
            </w:pPr>
          </w:p>
        </w:tc>
        <w:tc>
          <w:tcPr>
            <w:tcW w:w="4433" w:type="pct"/>
            <w:gridSpan w:val="6"/>
            <w:vAlign w:val="center"/>
            <w:hideMark/>
          </w:tcPr>
          <w:p w14:paraId="0B96766E" w14:textId="77777777" w:rsidR="00A1418F" w:rsidRPr="00B162C2" w:rsidRDefault="00A1418F" w:rsidP="00BE10F4">
            <w:pPr>
              <w:pStyle w:val="COMTabletext"/>
              <w:keepNext w:val="0"/>
              <w:keepLines/>
            </w:pPr>
            <w:r w:rsidRPr="00B162C2">
              <w:rPr>
                <w:b/>
              </w:rPr>
              <w:t>Treatment criteria:</w:t>
            </w:r>
          </w:p>
        </w:tc>
      </w:tr>
      <w:tr w:rsidR="00A1418F" w:rsidRPr="00B162C2" w14:paraId="2CCDCC9D"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047BF623" w14:textId="77777777" w:rsidR="00A1418F" w:rsidRPr="00B162C2" w:rsidRDefault="00A1418F" w:rsidP="00BE10F4">
            <w:pPr>
              <w:pStyle w:val="COMTabletext"/>
              <w:keepNext w:val="0"/>
              <w:keepLines/>
            </w:pPr>
          </w:p>
        </w:tc>
        <w:tc>
          <w:tcPr>
            <w:tcW w:w="4433" w:type="pct"/>
            <w:gridSpan w:val="6"/>
            <w:vAlign w:val="center"/>
            <w:hideMark/>
          </w:tcPr>
          <w:p w14:paraId="229E451A" w14:textId="77777777" w:rsidR="00A1418F" w:rsidRPr="00B162C2" w:rsidRDefault="00A1418F" w:rsidP="00BE10F4">
            <w:pPr>
              <w:pStyle w:val="COMTabletext"/>
              <w:keepNext w:val="0"/>
              <w:keepLines/>
            </w:pPr>
            <w:r w:rsidRPr="00B162C2">
              <w:t>Must be treated by a neurologist</w:t>
            </w:r>
          </w:p>
        </w:tc>
      </w:tr>
      <w:tr w:rsidR="00A1418F" w:rsidRPr="00B162C2" w14:paraId="777AFB16"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6E2F7887" w14:textId="77777777" w:rsidR="00A1418F" w:rsidRPr="00B162C2" w:rsidRDefault="00A1418F" w:rsidP="00BE10F4">
            <w:pPr>
              <w:pStyle w:val="COMTabletext"/>
              <w:keepNext w:val="0"/>
              <w:keepLines/>
            </w:pPr>
          </w:p>
        </w:tc>
        <w:tc>
          <w:tcPr>
            <w:tcW w:w="4433" w:type="pct"/>
            <w:gridSpan w:val="6"/>
            <w:vAlign w:val="center"/>
          </w:tcPr>
          <w:p w14:paraId="2E2FB68D" w14:textId="77777777" w:rsidR="00A1418F" w:rsidRPr="00B162C2" w:rsidRDefault="00A1418F" w:rsidP="00BE10F4">
            <w:pPr>
              <w:pStyle w:val="COMTabletext"/>
              <w:keepNext w:val="0"/>
              <w:keepLines/>
            </w:pPr>
          </w:p>
        </w:tc>
      </w:tr>
      <w:tr w:rsidR="00A1418F" w:rsidRPr="00B162C2" w14:paraId="1821A78D"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43FF8037" w14:textId="77777777" w:rsidR="00A1418F" w:rsidRPr="00B162C2" w:rsidRDefault="00A1418F" w:rsidP="00BE10F4">
            <w:pPr>
              <w:pStyle w:val="COMTabletext"/>
              <w:keepNext w:val="0"/>
              <w:keepLines/>
              <w:rPr>
                <w:b/>
              </w:rPr>
            </w:pPr>
          </w:p>
        </w:tc>
        <w:tc>
          <w:tcPr>
            <w:tcW w:w="4433" w:type="pct"/>
            <w:gridSpan w:val="6"/>
            <w:vAlign w:val="center"/>
            <w:hideMark/>
          </w:tcPr>
          <w:p w14:paraId="3BE69652" w14:textId="77777777" w:rsidR="00A1418F" w:rsidRPr="00D91E8A" w:rsidRDefault="00A1418F" w:rsidP="00BE10F4">
            <w:pPr>
              <w:pStyle w:val="COMTabletext"/>
              <w:keepNext w:val="0"/>
              <w:keepLines/>
              <w:rPr>
                <w:strike/>
              </w:rPr>
            </w:pPr>
            <w:r w:rsidRPr="00D91E8A">
              <w:rPr>
                <w:b/>
                <w:strike/>
              </w:rPr>
              <w:t>Prescribing Instructions:</w:t>
            </w:r>
          </w:p>
        </w:tc>
      </w:tr>
      <w:tr w:rsidR="00A1418F" w:rsidRPr="00B162C2" w14:paraId="7B2D78A9"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5E2584F1" w14:textId="77777777" w:rsidR="00A1418F" w:rsidRPr="00B162C2" w:rsidRDefault="00A1418F" w:rsidP="00BE10F4">
            <w:pPr>
              <w:pStyle w:val="COMTabletext"/>
              <w:keepLines/>
              <w:rPr>
                <w:bCs w:val="0"/>
              </w:rPr>
            </w:pPr>
          </w:p>
        </w:tc>
        <w:tc>
          <w:tcPr>
            <w:tcW w:w="4433" w:type="pct"/>
            <w:gridSpan w:val="6"/>
            <w:vAlign w:val="center"/>
          </w:tcPr>
          <w:p w14:paraId="6069FEA5" w14:textId="77777777" w:rsidR="00A1418F" w:rsidRPr="00D91E8A" w:rsidRDefault="00A1418F" w:rsidP="00BE10F4">
            <w:pPr>
              <w:pStyle w:val="COMTabletext"/>
              <w:keepLines/>
              <w:rPr>
                <w:b/>
                <w:i/>
                <w:iCs/>
              </w:rPr>
            </w:pPr>
            <w:r w:rsidRPr="00D91E8A">
              <w:rPr>
                <w:b/>
                <w:i/>
                <w:iCs/>
              </w:rPr>
              <w:t xml:space="preserve">Note: </w:t>
            </w:r>
          </w:p>
          <w:p w14:paraId="5D5AEBC3" w14:textId="77777777" w:rsidR="00A1418F" w:rsidRPr="00B162C2" w:rsidRDefault="00A1418F" w:rsidP="00BE10F4">
            <w:pPr>
              <w:pStyle w:val="COMTabletext"/>
              <w:keepLines/>
              <w:rPr>
                <w:bCs w:val="0"/>
              </w:rPr>
            </w:pPr>
            <w:r w:rsidRPr="00B162C2">
              <w:rPr>
                <w:bCs w:val="0"/>
              </w:rPr>
              <w:t>The myasthenia gravis composite (MGC) referenced in this restriction is described in the following literature publication:</w:t>
            </w:r>
          </w:p>
          <w:p w14:paraId="0413804B" w14:textId="77777777" w:rsidR="00A1418F" w:rsidRPr="00B162C2" w:rsidRDefault="00A1418F" w:rsidP="00BE10F4">
            <w:pPr>
              <w:pStyle w:val="COMTabletext"/>
              <w:keepNext w:val="0"/>
              <w:keepLines/>
              <w:rPr>
                <w:bCs w:val="0"/>
              </w:rPr>
            </w:pPr>
            <w:r w:rsidRPr="00B162C2">
              <w:rPr>
                <w:bCs w:val="0"/>
              </w:rPr>
              <w:t>Burns, T. M., Conaway, M. &amp; Sanders, D. B. 2010. The MG Composite: A valid and reliable outcome measure for myasthenia gravis. Neurology, 74, 1434-40.</w:t>
            </w:r>
          </w:p>
        </w:tc>
      </w:tr>
      <w:tr w:rsidR="00A1418F" w:rsidRPr="00B162C2" w14:paraId="0300F200"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1A7AED2C" w14:textId="77777777" w:rsidR="00A1418F" w:rsidRPr="00B162C2" w:rsidRDefault="00A1418F" w:rsidP="00BE10F4">
            <w:pPr>
              <w:pStyle w:val="COMTabletext"/>
              <w:keepNext w:val="0"/>
              <w:keepLines/>
              <w:rPr>
                <w:bCs w:val="0"/>
              </w:rPr>
            </w:pPr>
          </w:p>
        </w:tc>
        <w:tc>
          <w:tcPr>
            <w:tcW w:w="4433" w:type="pct"/>
            <w:gridSpan w:val="6"/>
            <w:vAlign w:val="center"/>
          </w:tcPr>
          <w:p w14:paraId="78E97B89" w14:textId="77777777" w:rsidR="00A1418F" w:rsidRPr="00D91E8A" w:rsidRDefault="00A1418F" w:rsidP="00BE10F4">
            <w:pPr>
              <w:pStyle w:val="COMTabletext"/>
              <w:keepNext w:val="0"/>
              <w:keepLines/>
              <w:rPr>
                <w:b/>
                <w:i/>
                <w:iCs/>
              </w:rPr>
            </w:pPr>
            <w:r w:rsidRPr="00D91E8A">
              <w:rPr>
                <w:b/>
                <w:i/>
                <w:iCs/>
              </w:rPr>
              <w:t>Prescribing instructions:</w:t>
            </w:r>
          </w:p>
          <w:p w14:paraId="30352CB5" w14:textId="77777777" w:rsidR="00A1418F" w:rsidRPr="00B162C2" w:rsidRDefault="00A1418F" w:rsidP="00BE10F4">
            <w:pPr>
              <w:pStyle w:val="COMTabletext"/>
              <w:keepNext w:val="0"/>
              <w:keepLines/>
              <w:rPr>
                <w:bCs w:val="0"/>
              </w:rPr>
            </w:pPr>
            <w:r w:rsidRPr="00B162C2">
              <w:rPr>
                <w:bCs w:val="0"/>
              </w:rPr>
              <w:t>Patients are eligible to receive continuing treatment with this drug in courses of up to 24 weeks providing they continue to maintain a response.</w:t>
            </w:r>
          </w:p>
        </w:tc>
      </w:tr>
      <w:tr w:rsidR="00A1418F" w:rsidRPr="00B162C2" w14:paraId="1309D4D8"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5650A019" w14:textId="77777777" w:rsidR="00A1418F" w:rsidRPr="00B162C2" w:rsidRDefault="00A1418F" w:rsidP="00BE10F4">
            <w:pPr>
              <w:pStyle w:val="COMTabletext"/>
              <w:keepNext w:val="0"/>
              <w:keepLines/>
              <w:rPr>
                <w:bCs w:val="0"/>
              </w:rPr>
            </w:pPr>
          </w:p>
        </w:tc>
        <w:tc>
          <w:tcPr>
            <w:tcW w:w="4433" w:type="pct"/>
            <w:gridSpan w:val="6"/>
            <w:vAlign w:val="center"/>
          </w:tcPr>
          <w:p w14:paraId="6E1ABE77" w14:textId="77777777" w:rsidR="00A1418F" w:rsidRPr="00D91E8A" w:rsidRDefault="00A1418F" w:rsidP="00BE10F4">
            <w:pPr>
              <w:pStyle w:val="COMTabletext"/>
              <w:keepNext w:val="0"/>
              <w:keepLines/>
              <w:rPr>
                <w:b/>
                <w:i/>
                <w:iCs/>
              </w:rPr>
            </w:pPr>
          </w:p>
        </w:tc>
      </w:tr>
      <w:tr w:rsidR="00A1418F" w:rsidRPr="00B162C2" w14:paraId="0F1A4A27" w14:textId="77777777" w:rsidTr="00164E34">
        <w:tblPrEx>
          <w:tblCellMar>
            <w:top w:w="15" w:type="dxa"/>
            <w:bottom w:w="15" w:type="dxa"/>
          </w:tblCellMar>
          <w:tblLook w:val="04A0" w:firstRow="1" w:lastRow="0" w:firstColumn="1" w:lastColumn="0" w:noHBand="0" w:noVBand="1"/>
        </w:tblPrEx>
        <w:trPr>
          <w:cantSplit/>
          <w:trHeight w:val="20"/>
        </w:trPr>
        <w:tc>
          <w:tcPr>
            <w:tcW w:w="567" w:type="pct"/>
          </w:tcPr>
          <w:p w14:paraId="7B370E73" w14:textId="77777777" w:rsidR="00A1418F" w:rsidRPr="00B162C2" w:rsidRDefault="00A1418F" w:rsidP="00BE10F4">
            <w:pPr>
              <w:pStyle w:val="COMTabletext"/>
              <w:keepLines/>
              <w:rPr>
                <w:bCs w:val="0"/>
              </w:rPr>
            </w:pPr>
          </w:p>
        </w:tc>
        <w:tc>
          <w:tcPr>
            <w:tcW w:w="4433" w:type="pct"/>
            <w:gridSpan w:val="6"/>
            <w:vAlign w:val="center"/>
          </w:tcPr>
          <w:p w14:paraId="0A324386" w14:textId="77777777" w:rsidR="00A1418F" w:rsidRPr="00D91E8A" w:rsidRDefault="00A1418F" w:rsidP="00BE10F4">
            <w:pPr>
              <w:pStyle w:val="COMTabletext"/>
              <w:keepLines/>
              <w:rPr>
                <w:b/>
              </w:rPr>
            </w:pPr>
            <w:r w:rsidRPr="00D91E8A">
              <w:rPr>
                <w:b/>
              </w:rPr>
              <w:t>Administrative Advice:</w:t>
            </w:r>
          </w:p>
          <w:p w14:paraId="455514F7" w14:textId="77777777" w:rsidR="00A1418F" w:rsidRPr="00B162C2" w:rsidRDefault="00A1418F" w:rsidP="00BE10F4">
            <w:pPr>
              <w:pStyle w:val="COMTabletext"/>
              <w:keepLines/>
              <w:rPr>
                <w:bCs w:val="0"/>
              </w:rPr>
            </w:pPr>
            <w:r w:rsidRPr="00B162C2">
              <w:rPr>
                <w:bCs w:val="0"/>
              </w:rPr>
              <w:t>The authority application must be made in writing and must include:</w:t>
            </w:r>
          </w:p>
          <w:p w14:paraId="6C1224CA" w14:textId="77777777" w:rsidR="00A1418F" w:rsidRPr="00B162C2" w:rsidRDefault="00A1418F" w:rsidP="00BE10F4">
            <w:pPr>
              <w:pStyle w:val="COMTabletext"/>
              <w:keepNext w:val="0"/>
              <w:keepLines/>
              <w:rPr>
                <w:bCs w:val="0"/>
              </w:rPr>
            </w:pPr>
            <w:r w:rsidRPr="00B162C2">
              <w:rPr>
                <w:bCs w:val="0"/>
              </w:rPr>
              <w:t>An assessment of response, defined as at least a 3-point reduction in MGC from baseline, following a minimum of 12 weeks and up to 16 weeks of treatment with this drug.</w:t>
            </w:r>
          </w:p>
        </w:tc>
      </w:tr>
      <w:tr w:rsidR="00A1418F" w:rsidRPr="00771374" w14:paraId="0566757C" w14:textId="77777777" w:rsidTr="00164E34">
        <w:tblPrEx>
          <w:tblCellMar>
            <w:top w:w="15" w:type="dxa"/>
            <w:bottom w:w="15" w:type="dxa"/>
          </w:tblCellMar>
          <w:tblLook w:val="04A0" w:firstRow="1" w:lastRow="0" w:firstColumn="1" w:lastColumn="0" w:noHBand="0" w:noVBand="1"/>
        </w:tblPrEx>
        <w:trPr>
          <w:cantSplit/>
          <w:trHeight w:val="20"/>
        </w:trPr>
        <w:tc>
          <w:tcPr>
            <w:tcW w:w="567" w:type="pct"/>
            <w:tcBorders>
              <w:top w:val="single" w:sz="4" w:space="0" w:color="auto"/>
              <w:left w:val="single" w:sz="4" w:space="0" w:color="auto"/>
              <w:bottom w:val="single" w:sz="4" w:space="0" w:color="auto"/>
              <w:right w:val="single" w:sz="4" w:space="0" w:color="auto"/>
            </w:tcBorders>
          </w:tcPr>
          <w:p w14:paraId="2DEC4C0B" w14:textId="77777777" w:rsidR="00A1418F" w:rsidRPr="00771374" w:rsidRDefault="00A1418F" w:rsidP="00BE10F4">
            <w:pPr>
              <w:pStyle w:val="COMTabletext"/>
              <w:keepLines/>
              <w:rPr>
                <w:bCs w:val="0"/>
                <w:i/>
                <w:iCs/>
              </w:rPr>
            </w:pPr>
          </w:p>
        </w:tc>
        <w:tc>
          <w:tcPr>
            <w:tcW w:w="4433" w:type="pct"/>
            <w:gridSpan w:val="6"/>
            <w:tcBorders>
              <w:top w:val="single" w:sz="4" w:space="0" w:color="auto"/>
              <w:left w:val="single" w:sz="4" w:space="0" w:color="auto"/>
              <w:bottom w:val="single" w:sz="4" w:space="0" w:color="auto"/>
              <w:right w:val="single" w:sz="4" w:space="0" w:color="auto"/>
            </w:tcBorders>
            <w:vAlign w:val="center"/>
          </w:tcPr>
          <w:p w14:paraId="5D2E0BA6" w14:textId="77777777" w:rsidR="00A1418F" w:rsidRPr="00771374" w:rsidRDefault="00A1418F" w:rsidP="00BE10F4">
            <w:pPr>
              <w:pStyle w:val="COMTabletext"/>
              <w:keepLines/>
              <w:rPr>
                <w:b/>
                <w:i/>
                <w:iCs/>
              </w:rPr>
            </w:pPr>
            <w:r w:rsidRPr="00771374">
              <w:rPr>
                <w:b/>
                <w:i/>
                <w:iCs/>
              </w:rPr>
              <w:t>Administrative Advice:</w:t>
            </w:r>
          </w:p>
          <w:p w14:paraId="4A81CE59" w14:textId="77777777" w:rsidR="00A1418F" w:rsidRPr="00771374" w:rsidRDefault="00A1418F" w:rsidP="00BE10F4">
            <w:pPr>
              <w:pStyle w:val="COMTabletext"/>
              <w:keepLines/>
              <w:rPr>
                <w:bCs w:val="0"/>
                <w:i/>
                <w:iCs/>
              </w:rPr>
            </w:pPr>
            <w:r w:rsidRPr="00771374">
              <w:rPr>
                <w:bCs w:val="0"/>
                <w:i/>
                <w:iCs/>
              </w:rPr>
              <w:t>Any queries concerning the arrangements to prescribe may be directed to Services Australia on 1800 700 270 (hours of operation 8 a.m. to 5 p.m. Monday to Friday).</w:t>
            </w:r>
          </w:p>
          <w:p w14:paraId="70D60D83" w14:textId="77777777" w:rsidR="00A1418F" w:rsidRPr="00771374" w:rsidRDefault="00A1418F" w:rsidP="00BE10F4">
            <w:pPr>
              <w:pStyle w:val="COMTabletext"/>
              <w:keepLines/>
              <w:rPr>
                <w:bCs w:val="0"/>
                <w:i/>
                <w:iCs/>
              </w:rPr>
            </w:pPr>
            <w:r w:rsidRPr="00771374">
              <w:rPr>
                <w:bCs w:val="0"/>
                <w:i/>
                <w:iCs/>
              </w:rPr>
              <w:t>Prescribing information (including Authority Application forms and other relevant documentation as applicable) is available on the Services Australia website at www.servicesaustralia.gov.au</w:t>
            </w:r>
          </w:p>
          <w:p w14:paraId="5ED14AFB" w14:textId="77777777" w:rsidR="00A1418F" w:rsidRPr="00771374" w:rsidRDefault="00A1418F" w:rsidP="00BE10F4">
            <w:pPr>
              <w:pStyle w:val="COMTabletext"/>
              <w:keepLines/>
              <w:rPr>
                <w:bCs w:val="0"/>
                <w:i/>
                <w:iCs/>
              </w:rPr>
            </w:pPr>
            <w:r w:rsidRPr="00771374">
              <w:rPr>
                <w:bCs w:val="0"/>
                <w:i/>
                <w:iCs/>
              </w:rPr>
              <w:t>Applications for authority to prescribe should be submitted online using the form upload facility in Health Professional Online Services (HPOS) at www.servicesaustralia.gov.au/hpos</w:t>
            </w:r>
          </w:p>
          <w:p w14:paraId="1E366AB5" w14:textId="77777777" w:rsidR="00A1418F" w:rsidRPr="00771374" w:rsidRDefault="00A1418F" w:rsidP="00BE10F4">
            <w:pPr>
              <w:pStyle w:val="COMTabletext"/>
              <w:keepLines/>
              <w:rPr>
                <w:bCs w:val="0"/>
                <w:i/>
                <w:iCs/>
              </w:rPr>
            </w:pPr>
            <w:r w:rsidRPr="00771374">
              <w:rPr>
                <w:bCs w:val="0"/>
                <w:i/>
                <w:iCs/>
              </w:rPr>
              <w:t>Or mailed to:</w:t>
            </w:r>
          </w:p>
          <w:p w14:paraId="28A86E55" w14:textId="77777777" w:rsidR="00A1418F" w:rsidRPr="00771374" w:rsidRDefault="00A1418F" w:rsidP="00BE10F4">
            <w:pPr>
              <w:pStyle w:val="COMTabletext"/>
              <w:keepLines/>
              <w:rPr>
                <w:bCs w:val="0"/>
                <w:i/>
                <w:iCs/>
              </w:rPr>
            </w:pPr>
            <w:r w:rsidRPr="00771374">
              <w:rPr>
                <w:bCs w:val="0"/>
                <w:i/>
                <w:iCs/>
              </w:rPr>
              <w:t>Services Australia</w:t>
            </w:r>
          </w:p>
          <w:p w14:paraId="609D7EC8" w14:textId="77777777" w:rsidR="00A1418F" w:rsidRPr="00771374" w:rsidRDefault="00A1418F" w:rsidP="00BE10F4">
            <w:pPr>
              <w:pStyle w:val="COMTabletext"/>
              <w:keepLines/>
              <w:rPr>
                <w:bCs w:val="0"/>
                <w:i/>
                <w:iCs/>
              </w:rPr>
            </w:pPr>
            <w:r w:rsidRPr="00771374">
              <w:rPr>
                <w:bCs w:val="0"/>
                <w:i/>
                <w:iCs/>
              </w:rPr>
              <w:t>Complex Drugs</w:t>
            </w:r>
          </w:p>
          <w:p w14:paraId="15159893" w14:textId="77777777" w:rsidR="00A1418F" w:rsidRPr="00771374" w:rsidRDefault="00A1418F" w:rsidP="00BE10F4">
            <w:pPr>
              <w:pStyle w:val="COMTabletext"/>
              <w:keepLines/>
              <w:rPr>
                <w:bCs w:val="0"/>
                <w:i/>
                <w:iCs/>
              </w:rPr>
            </w:pPr>
            <w:r w:rsidRPr="00771374">
              <w:rPr>
                <w:bCs w:val="0"/>
                <w:i/>
                <w:iCs/>
              </w:rPr>
              <w:t>Reply Paid 9826</w:t>
            </w:r>
          </w:p>
          <w:p w14:paraId="788AF1AD" w14:textId="77777777" w:rsidR="00A1418F" w:rsidRPr="00771374" w:rsidRDefault="00A1418F" w:rsidP="00BE10F4">
            <w:pPr>
              <w:pStyle w:val="COMTabletext"/>
              <w:keepLines/>
              <w:rPr>
                <w:bCs w:val="0"/>
                <w:i/>
                <w:iCs/>
              </w:rPr>
            </w:pPr>
            <w:r w:rsidRPr="00771374">
              <w:rPr>
                <w:bCs w:val="0"/>
                <w:i/>
                <w:iCs/>
              </w:rPr>
              <w:t>HOBART TAS 7001</w:t>
            </w:r>
          </w:p>
        </w:tc>
      </w:tr>
    </w:tbl>
    <w:p w14:paraId="15E82C8A" w14:textId="253B94B8" w:rsidR="00FC394B" w:rsidRPr="007F52A5" w:rsidRDefault="00FC394B" w:rsidP="00164E34">
      <w:pPr>
        <w:pStyle w:val="3-BodyText"/>
        <w:spacing w:before="120"/>
      </w:pPr>
      <w:r>
        <w:t xml:space="preserve">The submission proposed a special pricing arrangement for zilucoplan which represented a rebate of approximately </w:t>
      </w:r>
      <w:r w:rsidR="0069051D" w:rsidRPr="00BD6FFA">
        <w:rPr>
          <w:color w:val="000000"/>
          <w:w w:val="15"/>
          <w:shd w:val="solid" w:color="000000" w:fill="000000"/>
          <w:fitText w:val="-20" w:id="-893204480"/>
          <w14:textFill>
            <w14:solidFill>
              <w14:srgbClr w14:val="000000">
                <w14:alpha w14:val="100000"/>
              </w14:srgbClr>
            </w14:solidFill>
          </w14:textFill>
        </w:rPr>
        <w:t xml:space="preserve">|  </w:t>
      </w:r>
      <w:r w:rsidR="0069051D" w:rsidRPr="00BD6FFA">
        <w:rPr>
          <w:color w:val="000000"/>
          <w:spacing w:val="-69"/>
          <w:w w:val="15"/>
          <w:shd w:val="solid" w:color="000000" w:fill="000000"/>
          <w:fitText w:val="-20" w:id="-893204480"/>
          <w14:textFill>
            <w14:solidFill>
              <w14:srgbClr w14:val="000000">
                <w14:alpha w14:val="100000"/>
              </w14:srgbClr>
            </w14:solidFill>
          </w14:textFill>
        </w:rPr>
        <w:t>|</w:t>
      </w:r>
      <w:r w:rsidRPr="006A55AE">
        <w:t xml:space="preserve">% </w:t>
      </w:r>
      <w:r>
        <w:t>of the published DPMQ per script.</w:t>
      </w:r>
    </w:p>
    <w:p w14:paraId="181B37B5" w14:textId="2449FCAC" w:rsidR="00E03266" w:rsidRPr="007F52A5" w:rsidRDefault="00E03266" w:rsidP="00164E34">
      <w:pPr>
        <w:pStyle w:val="3-BodyText"/>
      </w:pPr>
      <w:r w:rsidRPr="007F52A5">
        <w:t xml:space="preserve">The submission </w:t>
      </w:r>
      <w:r w:rsidR="00F115C5" w:rsidRPr="007F52A5">
        <w:t xml:space="preserve">requested </w:t>
      </w:r>
      <w:r w:rsidRPr="007F52A5">
        <w:t>a Section 100 listing for initial treatment (to allow for dispensing at a hospital pharmacy) and Section 85 listing</w:t>
      </w:r>
      <w:r w:rsidR="00AC24D2" w:rsidRPr="007F52A5">
        <w:t>s</w:t>
      </w:r>
      <w:r w:rsidRPr="007F52A5">
        <w:t xml:space="preserve"> for all other restrictions (to allow for dispensing at a community pharmacy). The submission did not adequately justify these requests.</w:t>
      </w:r>
      <w:r w:rsidR="00137786" w:rsidRPr="007F52A5">
        <w:t xml:space="preserve"> </w:t>
      </w:r>
      <w:r w:rsidR="00137786" w:rsidRPr="007F52A5">
        <w:rPr>
          <w:lang w:eastAsia="en-US"/>
        </w:rPr>
        <w:t>The ESC considered it was unclear if a General Schedule – Section 85 (Written: delayed assessment) restriction was appropriate for on-going therapy given the specialised nature of treatment and the stopping rules that would be required.</w:t>
      </w:r>
    </w:p>
    <w:p w14:paraId="68A66785" w14:textId="5DE8345C" w:rsidR="001169AA" w:rsidRPr="007F52A5" w:rsidRDefault="001169AA" w:rsidP="00164E34">
      <w:pPr>
        <w:pStyle w:val="3-BodyText"/>
      </w:pPr>
      <w:bookmarkStart w:id="15" w:name="_Ref169179564"/>
      <w:r w:rsidRPr="007F52A5">
        <w:t xml:space="preserve">The commentary noted there were key differences between the inclusion criteria for the key trial (RAISE) and the proposed PBS restriction. The </w:t>
      </w:r>
      <w:r w:rsidR="00A57990">
        <w:t>Pre-Sub-Committee Response (</w:t>
      </w:r>
      <w:r w:rsidRPr="007F52A5">
        <w:t>PSCR</w:t>
      </w:r>
      <w:r w:rsidR="00A57990">
        <w:t>)</w:t>
      </w:r>
      <w:r w:rsidRPr="007F52A5">
        <w:t xml:space="preserve"> stated that a simplified restriction had been proposed ‘to reduce the amount of burden on clinicians to administer additional assessments’ and to reflect the concomitant treatments of patients enrolled in the trial. The sponsor stated it was amenable to changes to better align the PBS initiation restriction with the eligibility criteria and patient characteristics of the RAISE trial. The ESC considered that, </w:t>
      </w:r>
      <w:r w:rsidR="00B410BB" w:rsidRPr="007F52A5">
        <w:t>to</w:t>
      </w:r>
      <w:r w:rsidRPr="007F52A5">
        <w:t xml:space="preserve"> more closely align with the population enrolled in the clinical trial, the following elements should be included in the restriction:</w:t>
      </w:r>
      <w:bookmarkEnd w:id="15"/>
      <w:r w:rsidRPr="007F52A5">
        <w:t xml:space="preserve"> </w:t>
      </w:r>
    </w:p>
    <w:p w14:paraId="52DE4FED" w14:textId="265FA256" w:rsidR="001169AA" w:rsidRPr="007F52A5" w:rsidRDefault="001169AA" w:rsidP="00164E34">
      <w:pPr>
        <w:pStyle w:val="ListParagraph"/>
      </w:pPr>
      <w:r w:rsidRPr="007F52A5">
        <w:t xml:space="preserve">a </w:t>
      </w:r>
      <w:r w:rsidR="00B410BB" w:rsidRPr="007F52A5">
        <w:t>functional impairment criterion</w:t>
      </w:r>
      <w:r w:rsidRPr="007F52A5">
        <w:t xml:space="preserve"> based on the Myasthenia Gravis Composite (MGC) instrument; and</w:t>
      </w:r>
    </w:p>
    <w:p w14:paraId="35AD258B" w14:textId="6DE671D1" w:rsidR="001169AA" w:rsidRPr="007F52A5" w:rsidRDefault="001169AA" w:rsidP="00164E34">
      <w:pPr>
        <w:pStyle w:val="ListParagraph"/>
      </w:pPr>
      <w:r w:rsidRPr="007F52A5">
        <w:t xml:space="preserve">the concomitant therapies required at initiation (or trialled previously in the refractory setting) must have been optimised and ineffective (paragraph </w:t>
      </w:r>
      <w:r w:rsidRPr="007F52A5">
        <w:fldChar w:fldCharType="begin" w:fldLock="1"/>
      </w:r>
      <w:r w:rsidRPr="007F52A5">
        <w:instrText xml:space="preserve"> REF _Ref169173828 \r \h  \* MERGEFORMAT </w:instrText>
      </w:r>
      <w:r w:rsidRPr="007F52A5">
        <w:fldChar w:fldCharType="separate"/>
      </w:r>
      <w:r w:rsidR="00FC355E">
        <w:t>3.18</w:t>
      </w:r>
      <w:r w:rsidRPr="007F52A5">
        <w:fldChar w:fldCharType="end"/>
      </w:r>
      <w:r w:rsidRPr="007F52A5">
        <w:t>).</w:t>
      </w:r>
      <w:r w:rsidR="00A05A71">
        <w:t xml:space="preserve"> </w:t>
      </w:r>
    </w:p>
    <w:p w14:paraId="4E86154B" w14:textId="7779F86E" w:rsidR="001169AA" w:rsidRPr="007F52A5" w:rsidRDefault="001169AA" w:rsidP="00A10F29">
      <w:pPr>
        <w:pStyle w:val="COMexecsumnumberedpara"/>
        <w:ind w:left="720"/>
      </w:pPr>
      <w:r w:rsidRPr="007F52A5">
        <w:t>However, the ESC considered this would still represent a broad population. Given the clinical issues with the use of zilucoplan in this broad patient population (e.g. the modest clinical efficacy demonstrated in RAISE, the availability of therapies that are effective for many patients, and the inferior safety profile versus standard therapy), such a listing would require a substantially lower ICER (based on a model that incorporates the ESC advice below) and an RSA.</w:t>
      </w:r>
    </w:p>
    <w:p w14:paraId="1F1D5867" w14:textId="42F345D1" w:rsidR="00387349" w:rsidRPr="007F52A5" w:rsidRDefault="00387349" w:rsidP="00A14C27">
      <w:pPr>
        <w:pStyle w:val="3-BodyText"/>
      </w:pPr>
      <w:r w:rsidRPr="007F52A5">
        <w:t>The submission proposed a broad restriction for zilucoplan that included its use as a second-line therapy and as an option for treatment-refractory disease but did not differentiate between these two indications.</w:t>
      </w:r>
      <w:r w:rsidR="001169AA" w:rsidRPr="007F52A5">
        <w:t xml:space="preserve"> The ESC considered that separate restrictions would likely be required for each of these two distinct places in therapy. </w:t>
      </w:r>
    </w:p>
    <w:p w14:paraId="422DE347" w14:textId="464DD796" w:rsidR="00BC0A02" w:rsidRPr="00000151" w:rsidRDefault="00BC0A02" w:rsidP="00000151">
      <w:pPr>
        <w:spacing w:after="120"/>
        <w:rPr>
          <w:i/>
          <w:iCs/>
          <w:u w:val="single"/>
        </w:rPr>
      </w:pPr>
      <w:r w:rsidRPr="00000151">
        <w:rPr>
          <w:i/>
          <w:iCs/>
          <w:u w:val="single"/>
        </w:rPr>
        <w:t xml:space="preserve">Instrument to determine </w:t>
      </w:r>
      <w:r w:rsidR="00734024" w:rsidRPr="00000151">
        <w:rPr>
          <w:i/>
          <w:iCs/>
          <w:u w:val="single"/>
        </w:rPr>
        <w:t>eligibility</w:t>
      </w:r>
    </w:p>
    <w:p w14:paraId="27022760" w14:textId="4DE446B3" w:rsidR="000A1422" w:rsidRPr="007F52A5" w:rsidRDefault="000A1422" w:rsidP="006E4561">
      <w:pPr>
        <w:pStyle w:val="3-BodyText"/>
      </w:pPr>
      <w:bookmarkStart w:id="16" w:name="_Ref167189775"/>
      <w:r>
        <w:t>The</w:t>
      </w:r>
      <w:r w:rsidRPr="007F52A5">
        <w:t xml:space="preserve"> submission proposed using the Myasthenia Gravis Composite (MGC) instrument to assess functional impairment criteria</w:t>
      </w:r>
      <w:r>
        <w:t xml:space="preserve"> (albeit for the continuing restriction</w:t>
      </w:r>
      <w:r w:rsidRPr="000A1422">
        <w:t xml:space="preserve"> </w:t>
      </w:r>
      <w:r>
        <w:t xml:space="preserve">only), </w:t>
      </w:r>
      <w:r w:rsidRPr="007F52A5">
        <w:t xml:space="preserve">consistent with the National Blood Authority listing of chronic IVIg for myasthenia gravis and feedback from Australian physicians indicating that this is the predominant instrument used in Australia. </w:t>
      </w:r>
    </w:p>
    <w:p w14:paraId="1C066E6A" w14:textId="77777777" w:rsidR="00C2433B" w:rsidRPr="007F52A5" w:rsidRDefault="00C2433B" w:rsidP="006E4561">
      <w:pPr>
        <w:pStyle w:val="3-BodyText"/>
      </w:pPr>
      <w:r w:rsidRPr="007F52A5">
        <w:t>The MGC instrument is a 10-item assessment tool capturing patient-reported outcomes and physician assessments of impairment to different domains including ocular (2 items), bulbar (3 items), respiratory (1 item) and generalised (4 items). Each item is scored on an ordinal scale with 4 possible categories (variable scores between items), with a total score ranging from 0 to 50, where lower scores indicate better functional outcomes.</w:t>
      </w:r>
    </w:p>
    <w:p w14:paraId="3DC6A0F7" w14:textId="200AEE75" w:rsidR="00C2433B" w:rsidRPr="007F52A5" w:rsidRDefault="00C2433B" w:rsidP="006E4561">
      <w:pPr>
        <w:pStyle w:val="3-BodyText"/>
      </w:pPr>
      <w:bookmarkStart w:id="17" w:name="_Ref169165227"/>
      <w:r w:rsidRPr="007F52A5">
        <w:t>On the other hand, the MG-ADL (used in the trial as part of the inclusion criteria and the primary outcome) is an 8-item assessment tool capturing patient-reported outcomes of functional disability related to different domains including ocular (</w:t>
      </w:r>
      <w:r w:rsidR="006C7C38" w:rsidRPr="007F52A5">
        <w:t>2</w:t>
      </w:r>
      <w:r w:rsidR="006C7C38">
        <w:t> </w:t>
      </w:r>
      <w:r w:rsidRPr="007F52A5">
        <w:t>items), bulbar (3 items), respiratory (1 item), and gross motor or limb impairment (2</w:t>
      </w:r>
      <w:r w:rsidR="006C7C38">
        <w:t> </w:t>
      </w:r>
      <w:r w:rsidRPr="007F52A5">
        <w:t>items). Each item is scored on a 0-4 scale, with a total score ranging from 0 to 24, where lower scores indicate better functional outcomes.</w:t>
      </w:r>
      <w:bookmarkEnd w:id="17"/>
    </w:p>
    <w:p w14:paraId="0819F003" w14:textId="7FBF6BD8" w:rsidR="00C2433B" w:rsidRDefault="00C2433B" w:rsidP="006E4561">
      <w:pPr>
        <w:pStyle w:val="3-BodyText"/>
      </w:pPr>
      <w:bookmarkStart w:id="18" w:name="_Ref169165569"/>
      <w:r w:rsidRPr="007F52A5">
        <w:t>Overall, the ESC considered it would be more appropriate for the PBS restriction to be based on the MGC score as: (a) it would be consistent with the NBA criteria for IVIg; (b) MGC appears to be more commonly used in clinical practice; and (c) MGC includes elements of both physician and patient assessment. However, the ESC considered that the degree of correlation between the two instruments was unclear and the assumption of a 1:1 relationship between the instruments may not be appropriate given that correlation estimates range from moderate (correlation coefficient: 0.57, Regnault 2022</w:t>
      </w:r>
      <w:r w:rsidRPr="007F52A5">
        <w:rPr>
          <w:rStyle w:val="FootnoteReference"/>
        </w:rPr>
        <w:footnoteReference w:id="2"/>
      </w:r>
      <w:r w:rsidRPr="007F52A5">
        <w:t>; 0.59, Luo 2021) to high (correlation coefficient: 0.96; Rozmilowska 2018) and the instruments are based on different scales (MG-ADL: 25 point scale; MGC: 51-point scale) which makes it highly unlikely that a 3-point reduction in MG-ADL would be equivalent to a 3-point reduction in MGC score. Further, the ESC noted that the established minimal clinically important difference (MCID) differs between the two instruments, i.e. the MCID for the MG-ADL scale is a 2-point change, while the MCID for the MGC scale is a 3-point change.</w:t>
      </w:r>
      <w:r w:rsidRPr="007F52A5">
        <w:rPr>
          <w:rStyle w:val="FootnoteReference"/>
        </w:rPr>
        <w:footnoteReference w:id="3"/>
      </w:r>
      <w:bookmarkEnd w:id="18"/>
    </w:p>
    <w:p w14:paraId="6619531E" w14:textId="77777777" w:rsidR="00C2433B" w:rsidRPr="007F52A5" w:rsidRDefault="00C2433B" w:rsidP="006E4561">
      <w:pPr>
        <w:pStyle w:val="3-BodyText"/>
      </w:pPr>
      <w:r>
        <w:t xml:space="preserve">Given the ESC’s concerns regarding the degree of </w:t>
      </w:r>
      <w:r w:rsidRPr="00C6452A">
        <w:t>correlation between the MGC and MG-ADL scales</w:t>
      </w:r>
      <w:r>
        <w:t xml:space="preserve"> and advice from clinicians (at the stakeholder meeting and the sponsor hearing) that the MG-ADL score would be appropriate, the pre-PBAC response proposed that the initial and continuing restrictions be based on the MG-ADL score (consistent with the trial). </w:t>
      </w:r>
    </w:p>
    <w:p w14:paraId="76D672FE" w14:textId="3AC65395" w:rsidR="00C2433B" w:rsidRPr="0095010D" w:rsidRDefault="000A1422" w:rsidP="00A10F29">
      <w:pPr>
        <w:pStyle w:val="COMexecsumnumberedpara"/>
        <w:rPr>
          <w:i/>
          <w:iCs/>
          <w:u w:val="single"/>
        </w:rPr>
      </w:pPr>
      <w:r w:rsidRPr="0095010D">
        <w:rPr>
          <w:i/>
          <w:iCs/>
          <w:u w:val="single"/>
        </w:rPr>
        <w:t>I</w:t>
      </w:r>
      <w:r w:rsidRPr="0095010D">
        <w:rPr>
          <w:rFonts w:ascii="Calibri" w:hAnsi="Calibri"/>
          <w:i/>
          <w:iCs/>
          <w:snapToGrid/>
          <w:u w:val="single"/>
        </w:rPr>
        <w:t>nitiation criteria</w:t>
      </w:r>
    </w:p>
    <w:p w14:paraId="6882CA05" w14:textId="50CA2ABD" w:rsidR="00192B17" w:rsidRPr="007F52A5" w:rsidRDefault="00192B17" w:rsidP="0095010D">
      <w:pPr>
        <w:pStyle w:val="3-BodyText"/>
      </w:pPr>
      <w:r w:rsidRPr="007F52A5">
        <w:t>The submission did not include any functional impairment criteria for treatment initiation. Th</w:t>
      </w:r>
      <w:r w:rsidR="000C1E1F" w:rsidRPr="007F52A5">
        <w:t xml:space="preserve">e </w:t>
      </w:r>
      <w:r w:rsidR="0027762C" w:rsidRPr="007F52A5">
        <w:t xml:space="preserve">ESC </w:t>
      </w:r>
      <w:r w:rsidR="00A05A71" w:rsidRPr="00C6452A">
        <w:t>and DUSC</w:t>
      </w:r>
      <w:r w:rsidR="00A05A71">
        <w:t xml:space="preserve"> </w:t>
      </w:r>
      <w:r w:rsidR="000C1E1F" w:rsidRPr="007F52A5">
        <w:t>considered th</w:t>
      </w:r>
      <w:r w:rsidRPr="007F52A5">
        <w:t xml:space="preserve">is omission was </w:t>
      </w:r>
      <w:r w:rsidR="0027762C" w:rsidRPr="007F52A5">
        <w:t>inappropriate</w:t>
      </w:r>
      <w:r w:rsidRPr="007F52A5">
        <w:t xml:space="preserve"> a</w:t>
      </w:r>
      <w:r w:rsidR="0027762C" w:rsidRPr="007F52A5">
        <w:t xml:space="preserve">s it </w:t>
      </w:r>
      <w:r w:rsidRPr="007F52A5">
        <w:t xml:space="preserve">was inconsistent with the key trial eligibility criteria (MG-ADL ≥ 6; QMG ≥ 12 and four or more QMG items scored ≥ 2) and the current National Blood Authority listing for chronic IVIg (MGC ≥ 4). </w:t>
      </w:r>
      <w:r w:rsidR="00293DF4" w:rsidRPr="007F52A5">
        <w:t>P</w:t>
      </w:r>
      <w:r w:rsidRPr="007F52A5">
        <w:t>atients in the key trial had a mean/median baseline MGC of 20-21 points (minimum value of 7), indicating substantial functional impairment at treatment initiation.</w:t>
      </w:r>
      <w:bookmarkEnd w:id="16"/>
      <w:r w:rsidRPr="007F52A5">
        <w:t xml:space="preserve"> </w:t>
      </w:r>
      <w:r w:rsidR="00C6452A">
        <w:t xml:space="preserve">The pre-PBAC response </w:t>
      </w:r>
      <w:r w:rsidR="00C6452A" w:rsidRPr="00C6452A">
        <w:t xml:space="preserve">proposed inclusion of </w:t>
      </w:r>
      <w:r w:rsidR="00C6452A">
        <w:t xml:space="preserve">a requirement for patients to have an </w:t>
      </w:r>
      <w:r w:rsidR="00C6452A" w:rsidRPr="00C6452A">
        <w:t>MG-ADL score ≥ 6</w:t>
      </w:r>
      <w:r w:rsidR="00C6452A">
        <w:t xml:space="preserve"> in the initial treatment restriction.</w:t>
      </w:r>
    </w:p>
    <w:p w14:paraId="14C24C7A" w14:textId="11004326" w:rsidR="00BC0A02" w:rsidRPr="0095010D" w:rsidRDefault="00BC0A02" w:rsidP="0095010D">
      <w:pPr>
        <w:pStyle w:val="COMexecsumnumberedpara"/>
        <w:rPr>
          <w:i/>
          <w:iCs/>
          <w:u w:val="single"/>
        </w:rPr>
      </w:pPr>
      <w:r w:rsidRPr="0095010D">
        <w:rPr>
          <w:i/>
          <w:iCs/>
          <w:u w:val="single"/>
        </w:rPr>
        <w:t>Continuation criteria</w:t>
      </w:r>
    </w:p>
    <w:p w14:paraId="3AAEB1A2" w14:textId="490CD6DA" w:rsidR="00FC394B" w:rsidRPr="007F52A5" w:rsidRDefault="00FC394B" w:rsidP="0095010D">
      <w:pPr>
        <w:pStyle w:val="3-BodyText"/>
      </w:pPr>
      <w:r w:rsidRPr="007F52A5">
        <w:t xml:space="preserve">The submission proposed assessing treatment response as a 3-point reduction in MGC score from baseline. The submission noted that the nominated response threshold is consistent with the minimal clinically important difference for the MGC instrument. The proposed continuation criterion is also broadly consistent with the current National Blood Authority listing for chronic IVIg which requires a 3-point reduction in MGC score from baseline or symptom improvement in severe patients with end-of-cycle deterioration. </w:t>
      </w:r>
      <w:r w:rsidR="00A21AE2" w:rsidRPr="007F52A5">
        <w:t>Under the restriction</w:t>
      </w:r>
      <w:r w:rsidR="004A79FF" w:rsidRPr="004A79FF">
        <w:t xml:space="preserve"> </w:t>
      </w:r>
      <w:r w:rsidR="004A79FF" w:rsidRPr="007F52A5">
        <w:t>proposed</w:t>
      </w:r>
      <w:r w:rsidR="004A79FF">
        <w:t xml:space="preserve"> in the submission</w:t>
      </w:r>
      <w:r w:rsidR="00A21AE2" w:rsidRPr="007F52A5">
        <w:t xml:space="preserve">, patients </w:t>
      </w:r>
      <w:r w:rsidR="00610C43">
        <w:t xml:space="preserve">would be able to </w:t>
      </w:r>
      <w:r w:rsidR="00A21AE2" w:rsidRPr="007F52A5">
        <w:t xml:space="preserve">continue zilucoplan </w:t>
      </w:r>
      <w:proofErr w:type="gramStart"/>
      <w:r w:rsidR="00A21AE2" w:rsidRPr="007F52A5">
        <w:t>as long as</w:t>
      </w:r>
      <w:proofErr w:type="gramEnd"/>
      <w:r w:rsidR="00A21AE2" w:rsidRPr="007F52A5">
        <w:t xml:space="preserve"> they maintain a 3-point reduction in MGC score. The proposed restriction also allows re-treatment (including in patients who did not previously achieve an adequate response to zilucoplan treatment).</w:t>
      </w:r>
      <w:r w:rsidR="004A79FF">
        <w:t xml:space="preserve"> </w:t>
      </w:r>
    </w:p>
    <w:p w14:paraId="11D8B7E7" w14:textId="3DFF8411" w:rsidR="00FC394B" w:rsidRPr="007F52A5" w:rsidRDefault="00FC394B" w:rsidP="0095010D">
      <w:pPr>
        <w:pStyle w:val="3-BodyText"/>
      </w:pPr>
      <w:r w:rsidRPr="007F52A5">
        <w:t xml:space="preserve">The </w:t>
      </w:r>
      <w:r w:rsidR="000D5A3F" w:rsidRPr="007F52A5">
        <w:t xml:space="preserve">evaluation and the ESC considered that the </w:t>
      </w:r>
      <w:r w:rsidRPr="007F52A5">
        <w:t xml:space="preserve">response criterion may be appropriate. However, the submission </w:t>
      </w:r>
      <w:r w:rsidR="00AC24D2" w:rsidRPr="007F52A5">
        <w:t>did not provide</w:t>
      </w:r>
      <w:r w:rsidRPr="007F52A5">
        <w:t xml:space="preserve"> any clinical data using this threshold and the cost-effectiveness and financial impact of using this continuation criterion is unclear.</w:t>
      </w:r>
      <w:r w:rsidR="00E1771A" w:rsidRPr="007F52A5">
        <w:t xml:space="preserve"> </w:t>
      </w:r>
      <w:r w:rsidR="004A79FF">
        <w:t xml:space="preserve">The pre-PBAC proposed that, </w:t>
      </w:r>
      <w:r w:rsidR="0085421C">
        <w:t>in line with the inclusion of the MG</w:t>
      </w:r>
      <w:r w:rsidR="00610C43">
        <w:noBreakHyphen/>
      </w:r>
      <w:r w:rsidR="0085421C">
        <w:t xml:space="preserve">ADL requirement for initiation, </w:t>
      </w:r>
      <w:r w:rsidR="004A79FF">
        <w:t xml:space="preserve">an </w:t>
      </w:r>
      <w:r w:rsidR="004A79FF" w:rsidRPr="00C6452A">
        <w:t>adequate response to treatment</w:t>
      </w:r>
      <w:r w:rsidR="004A79FF">
        <w:t xml:space="preserve"> </w:t>
      </w:r>
      <w:r w:rsidR="004A79FF" w:rsidRPr="00C6452A">
        <w:t>be ‘defined as at least a 3-point reduction in MG-ADL score from baseline’</w:t>
      </w:r>
      <w:r w:rsidR="004A79FF">
        <w:t xml:space="preserve"> (rather than MGC score)</w:t>
      </w:r>
      <w:r w:rsidR="004A79FF" w:rsidRPr="00C6452A">
        <w:t xml:space="preserve">. </w:t>
      </w:r>
      <w:r w:rsidR="00CD0F68">
        <w:t xml:space="preserve">The pre-PBAC response proposed that MG-ADL response be </w:t>
      </w:r>
      <w:r w:rsidR="00CD0F68" w:rsidRPr="00CD0F68">
        <w:t>evaluated at 24 weeks and every 24 weeks thereafter</w:t>
      </w:r>
      <w:r w:rsidR="00CD0F68">
        <w:t>.</w:t>
      </w:r>
    </w:p>
    <w:p w14:paraId="0E6F5B07" w14:textId="0FB925AC" w:rsidR="00FC394B" w:rsidRPr="007F52A5" w:rsidRDefault="00FC394B" w:rsidP="0095010D">
      <w:pPr>
        <w:pStyle w:val="3-BodyText"/>
      </w:pPr>
      <w:r w:rsidRPr="007F52A5">
        <w:t xml:space="preserve">The submission noted that while the </w:t>
      </w:r>
      <w:r w:rsidR="00AC24D2" w:rsidRPr="007F52A5">
        <w:t>key comparative data were</w:t>
      </w:r>
      <w:r w:rsidRPr="007F52A5">
        <w:t xml:space="preserve"> limited to 12 weeks, a further reduction in symptoms was observed with zilucoplan treatment at 16 weeks in an open-label extension study. The submission also suggested an alternative assessment time point of 24 weeks based on the planned endpoint assessment in the extension study. The </w:t>
      </w:r>
      <w:r w:rsidR="000D5A3F" w:rsidRPr="007F52A5">
        <w:t xml:space="preserve">evaluation and the ESC considered that the </w:t>
      </w:r>
      <w:r w:rsidRPr="007F52A5">
        <w:t>appropriate time point to assess response was unclear given the lack of clinical data on MGC responders in the key trial and extension study</w:t>
      </w:r>
      <w:r w:rsidR="00F51E46" w:rsidRPr="007F52A5">
        <w:t xml:space="preserve"> (and given the degree of correlation between the two instruments was unclear)</w:t>
      </w:r>
      <w:r w:rsidRPr="007F52A5">
        <w:t>. The current National Blood Authority listing for chronic IVIg requires assessment of treatment response at 4 months.</w:t>
      </w:r>
      <w:r w:rsidR="00B030F3" w:rsidRPr="007F52A5">
        <w:t xml:space="preserve"> The ESC noted the stakeholder meeting suggested that these agents work quickly, and it would be possible to determine whether they were having an effect within 12 weeks.</w:t>
      </w:r>
      <w:r w:rsidR="000A1422">
        <w:t xml:space="preserve"> The PBAC noted the maximum quantity and repeats for the initial treatment phase allows for a minimum 12 weeks and up to 16 weeks treatment.</w:t>
      </w:r>
    </w:p>
    <w:p w14:paraId="149525F3" w14:textId="57902626" w:rsidR="00734024" w:rsidRPr="0095010D" w:rsidRDefault="00734024" w:rsidP="0095010D">
      <w:pPr>
        <w:pStyle w:val="COMexecsumnumberedpara"/>
        <w:rPr>
          <w:i/>
          <w:iCs/>
          <w:u w:val="single"/>
        </w:rPr>
      </w:pPr>
      <w:bookmarkStart w:id="19" w:name="_Hlk168999213"/>
      <w:r w:rsidRPr="0095010D">
        <w:rPr>
          <w:i/>
          <w:iCs/>
          <w:u w:val="single"/>
        </w:rPr>
        <w:t>Concomitant therapies</w:t>
      </w:r>
      <w:r w:rsidR="00EA6296" w:rsidRPr="0095010D">
        <w:rPr>
          <w:i/>
          <w:iCs/>
          <w:u w:val="single"/>
        </w:rPr>
        <w:t xml:space="preserve"> at initiation</w:t>
      </w:r>
    </w:p>
    <w:bookmarkEnd w:id="19"/>
    <w:p w14:paraId="33E514D4" w14:textId="146A1F6B" w:rsidR="001F1EB4" w:rsidRPr="007F52A5" w:rsidRDefault="00FC394B" w:rsidP="0095010D">
      <w:pPr>
        <w:pStyle w:val="3-BodyText"/>
      </w:pPr>
      <w:r w:rsidRPr="007F52A5">
        <w:t xml:space="preserve">The proposed PBS </w:t>
      </w:r>
      <w:r w:rsidR="00EA6296" w:rsidRPr="007F52A5">
        <w:t xml:space="preserve">initiation </w:t>
      </w:r>
      <w:r w:rsidRPr="007F52A5">
        <w:t xml:space="preserve">restriction requires </w:t>
      </w:r>
      <w:r w:rsidR="00EA6296" w:rsidRPr="007F52A5">
        <w:t xml:space="preserve">patients to be receiving concomitant treatment with </w:t>
      </w:r>
      <w:r w:rsidRPr="007F52A5">
        <w:t xml:space="preserve">an anticholinesterase </w:t>
      </w:r>
      <w:r w:rsidR="00EA6296" w:rsidRPr="007F52A5">
        <w:t xml:space="preserve">inhibitor </w:t>
      </w:r>
      <w:r w:rsidRPr="007F52A5">
        <w:t xml:space="preserve">(unless intolerant) and at least </w:t>
      </w:r>
      <w:r w:rsidR="00EA6296" w:rsidRPr="007F52A5">
        <w:t xml:space="preserve">one </w:t>
      </w:r>
      <w:r w:rsidRPr="007F52A5">
        <w:t xml:space="preserve">immunosuppressive therapy (corticosteroids or other immunosuppressants). </w:t>
      </w:r>
    </w:p>
    <w:p w14:paraId="3DE11BC0" w14:textId="57DF4968" w:rsidR="001F1EB4" w:rsidRPr="007F52A5" w:rsidRDefault="00FC394B" w:rsidP="0095010D">
      <w:pPr>
        <w:pStyle w:val="3-BodyText"/>
      </w:pPr>
      <w:r w:rsidRPr="007F52A5">
        <w:t>The submission claimed that this is broadly consistent with baseline characteristics of the key trial population (approximately 65%-76% of the trial population m</w:t>
      </w:r>
      <w:r w:rsidR="00E03266" w:rsidRPr="007F52A5">
        <w:t>et this criterion</w:t>
      </w:r>
      <w:r w:rsidRPr="007F52A5">
        <w:t xml:space="preserve">). </w:t>
      </w:r>
      <w:r w:rsidR="001F1EB4" w:rsidRPr="007F52A5">
        <w:t>The evaluation considered i</w:t>
      </w:r>
      <w:r w:rsidRPr="007F52A5">
        <w:t>t was unclear whether this criterion was adequately justified given that the magnitude of benefit associated with zilucoplan appears to vary between refractory and non-refractory populations, however the baseline medication use for each of these populations was not reported.</w:t>
      </w:r>
      <w:r w:rsidR="00DA1466" w:rsidRPr="007F52A5">
        <w:t xml:space="preserve"> The ESC noted that while 23.5% of enrolled patients were not on immunosuppressive therapies at baseline (paragraph </w:t>
      </w:r>
      <w:r w:rsidR="00DA1466" w:rsidRPr="007F52A5">
        <w:fldChar w:fldCharType="begin" w:fldLock="1"/>
      </w:r>
      <w:r w:rsidR="00DA1466" w:rsidRPr="007F52A5">
        <w:instrText xml:space="preserve"> REF _Ref169164366 \r \h </w:instrText>
      </w:r>
      <w:r w:rsidR="007F52A5" w:rsidRPr="007F52A5">
        <w:instrText xml:space="preserve"> \* MERGEFORMAT </w:instrText>
      </w:r>
      <w:r w:rsidR="00DA1466" w:rsidRPr="007F52A5">
        <w:fldChar w:fldCharType="separate"/>
      </w:r>
      <w:r w:rsidR="00FC355E">
        <w:t>6.11</w:t>
      </w:r>
      <w:r w:rsidR="00DA1466" w:rsidRPr="007F52A5">
        <w:fldChar w:fldCharType="end"/>
      </w:r>
      <w:r w:rsidR="00DA1466" w:rsidRPr="007F52A5">
        <w:t xml:space="preserve">), the reasons for this were unclear e.g. it was unclear whether these patients were treatment-naive </w:t>
      </w:r>
      <w:r w:rsidR="001169AA" w:rsidRPr="007F52A5">
        <w:t>or</w:t>
      </w:r>
      <w:r w:rsidR="00DA1466" w:rsidRPr="007F52A5">
        <w:t xml:space="preserve"> treatment-experienced patients </w:t>
      </w:r>
      <w:r w:rsidR="00F93BC9" w:rsidRPr="007F52A5">
        <w:t>in</w:t>
      </w:r>
      <w:r w:rsidR="00DA1466" w:rsidRPr="007F52A5">
        <w:t xml:space="preserve"> whom these therapies were </w:t>
      </w:r>
      <w:r w:rsidR="00F93BC9" w:rsidRPr="007F52A5">
        <w:t xml:space="preserve">ceased due to a lack of efficacy or intolerance. </w:t>
      </w:r>
    </w:p>
    <w:p w14:paraId="04817DF7" w14:textId="7E55C4D5" w:rsidR="00FC394B" w:rsidRPr="007F52A5" w:rsidRDefault="00FC394B" w:rsidP="0095010D">
      <w:pPr>
        <w:pStyle w:val="3-BodyText"/>
      </w:pPr>
      <w:r w:rsidRPr="007F52A5">
        <w:t xml:space="preserve">Additionally, </w:t>
      </w:r>
      <w:r w:rsidR="001F1EB4" w:rsidRPr="007F52A5">
        <w:t xml:space="preserve">the ESC noted that there was no requirement </w:t>
      </w:r>
      <w:r w:rsidR="003179EF" w:rsidRPr="007F52A5">
        <w:t xml:space="preserve">in the proposed restriction </w:t>
      </w:r>
      <w:r w:rsidR="001F1EB4" w:rsidRPr="007F52A5">
        <w:t xml:space="preserve">for the concomitant therapies at initiation to have been optimised </w:t>
      </w:r>
      <w:r w:rsidR="00044FB4" w:rsidRPr="007F52A5">
        <w:t>and</w:t>
      </w:r>
      <w:r w:rsidR="001F1EB4" w:rsidRPr="007F52A5">
        <w:t xml:space="preserve"> ineffective. </w:t>
      </w:r>
      <w:r w:rsidR="00DA1466" w:rsidRPr="007F52A5">
        <w:t xml:space="preserve">The ESC </w:t>
      </w:r>
      <w:r w:rsidR="00044FB4" w:rsidRPr="007F52A5">
        <w:t>consider</w:t>
      </w:r>
      <w:r w:rsidR="00DA1466" w:rsidRPr="007F52A5">
        <w:t>ed that, w</w:t>
      </w:r>
      <w:r w:rsidR="00A02493" w:rsidRPr="007F52A5">
        <w:t xml:space="preserve">hile this aligns with the </w:t>
      </w:r>
      <w:r w:rsidR="00DA1466" w:rsidRPr="007F52A5">
        <w:t xml:space="preserve">RAISE trial </w:t>
      </w:r>
      <w:r w:rsidR="00A02493" w:rsidRPr="007F52A5">
        <w:t>inclusion criteria</w:t>
      </w:r>
      <w:r w:rsidR="00DA1466" w:rsidRPr="007F52A5">
        <w:t xml:space="preserve">, it was unclear whether it </w:t>
      </w:r>
      <w:r w:rsidR="00A02493" w:rsidRPr="007F52A5">
        <w:t>reflect</w:t>
      </w:r>
      <w:r w:rsidR="00DA1466" w:rsidRPr="007F52A5">
        <w:t>ed</w:t>
      </w:r>
      <w:r w:rsidR="00A02493" w:rsidRPr="007F52A5">
        <w:t xml:space="preserve"> </w:t>
      </w:r>
      <w:r w:rsidR="00DA1466" w:rsidRPr="007F52A5">
        <w:t xml:space="preserve">the enrolled </w:t>
      </w:r>
      <w:r w:rsidR="00A02493" w:rsidRPr="007F52A5">
        <w:t>population</w:t>
      </w:r>
      <w:r w:rsidR="00DA1466" w:rsidRPr="007F52A5">
        <w:t xml:space="preserve"> given the mean time since diagnosis in the trial was 9.2 years</w:t>
      </w:r>
      <w:r w:rsidR="004171A9" w:rsidRPr="007F52A5">
        <w:t xml:space="preserve"> indicating that a relatively treatment-experienced population were enrolled</w:t>
      </w:r>
      <w:r w:rsidR="00DA1466" w:rsidRPr="007F52A5">
        <w:t xml:space="preserve"> (paragraph </w:t>
      </w:r>
      <w:r w:rsidR="00DA1466" w:rsidRPr="007F52A5">
        <w:fldChar w:fldCharType="begin" w:fldLock="1"/>
      </w:r>
      <w:r w:rsidR="00DA1466" w:rsidRPr="007F52A5">
        <w:instrText xml:space="preserve"> REF _Ref169166686 \r \h </w:instrText>
      </w:r>
      <w:r w:rsidR="007F52A5" w:rsidRPr="007F52A5">
        <w:instrText xml:space="preserve"> \* MERGEFORMAT </w:instrText>
      </w:r>
      <w:r w:rsidR="00DA1466" w:rsidRPr="007F52A5">
        <w:fldChar w:fldCharType="separate"/>
      </w:r>
      <w:r w:rsidR="00FC355E">
        <w:t>6.12</w:t>
      </w:r>
      <w:r w:rsidR="00DA1466" w:rsidRPr="007F52A5">
        <w:fldChar w:fldCharType="end"/>
      </w:r>
      <w:r w:rsidR="00DA1466" w:rsidRPr="007F52A5">
        <w:t>).</w:t>
      </w:r>
      <w:r w:rsidR="007D57DE" w:rsidRPr="007D57DE">
        <w:t xml:space="preserve"> </w:t>
      </w:r>
    </w:p>
    <w:p w14:paraId="35EDD2F2" w14:textId="7CD2D400" w:rsidR="00DA1466" w:rsidRPr="007F52A5" w:rsidRDefault="00DA1466" w:rsidP="0095010D">
      <w:pPr>
        <w:pStyle w:val="3-BodyText"/>
      </w:pPr>
      <w:bookmarkStart w:id="20" w:name="_Ref169173828"/>
      <w:r w:rsidRPr="007F52A5">
        <w:t xml:space="preserve">The ESC considered that, in order to </w:t>
      </w:r>
      <w:r w:rsidR="00465794" w:rsidRPr="007F52A5">
        <w:t xml:space="preserve">better </w:t>
      </w:r>
      <w:r w:rsidR="00044FB4" w:rsidRPr="007F52A5">
        <w:t>align the PBS restriction with the population enrolled in the RAISE trial, the</w:t>
      </w:r>
      <w:r w:rsidR="004171A9" w:rsidRPr="007F52A5">
        <w:t xml:space="preserve"> restriction could include a criterion for the</w:t>
      </w:r>
      <w:r w:rsidR="00044FB4" w:rsidRPr="007F52A5">
        <w:t xml:space="preserve"> concomitant therapies required at initiation</w:t>
      </w:r>
      <w:r w:rsidR="00F93BC9" w:rsidRPr="007F52A5">
        <w:t xml:space="preserve"> (or, in the refractory setting, the therapies that were previously trialled)</w:t>
      </w:r>
      <w:r w:rsidR="00044FB4" w:rsidRPr="007F52A5">
        <w:t xml:space="preserve"> to have been optimised and ineffective e.g. this would require definitions as to what represents an adequate trial of immunosuppressive therapy and what would be considered treatment failure.</w:t>
      </w:r>
      <w:bookmarkEnd w:id="20"/>
      <w:r w:rsidR="007D57DE" w:rsidRPr="007D57DE">
        <w:t xml:space="preserve"> </w:t>
      </w:r>
      <w:r w:rsidR="007D57DE">
        <w:t>The pre-PBAC response argued that ‘b</w:t>
      </w:r>
      <w:r w:rsidR="007D57DE" w:rsidRPr="004A79FF">
        <w:t>y incorporating the criterion of MG-ADL ≥6 into the proposed initial PBS restriction, patients will necessarily be uncontrolled</w:t>
      </w:r>
      <w:r w:rsidR="007D57DE">
        <w:t>.’</w:t>
      </w:r>
    </w:p>
    <w:p w14:paraId="2C085BA3" w14:textId="27E572CB" w:rsidR="00734024" w:rsidRPr="0095010D" w:rsidRDefault="00734024" w:rsidP="0095010D">
      <w:pPr>
        <w:pStyle w:val="COMexecsumnumberedpara"/>
        <w:rPr>
          <w:i/>
          <w:iCs/>
          <w:u w:val="single"/>
        </w:rPr>
      </w:pPr>
      <w:r w:rsidRPr="0095010D">
        <w:rPr>
          <w:i/>
          <w:iCs/>
          <w:u w:val="single"/>
        </w:rPr>
        <w:t>Stopping rule</w:t>
      </w:r>
    </w:p>
    <w:p w14:paraId="04971EF4" w14:textId="6202E416" w:rsidR="00734024" w:rsidRPr="007F52A5" w:rsidRDefault="00465794" w:rsidP="0095010D">
      <w:pPr>
        <w:pStyle w:val="3-BodyText"/>
      </w:pPr>
      <w:r>
        <w:t xml:space="preserve">The submission did not propose a </w:t>
      </w:r>
      <w:r w:rsidR="00734024">
        <w:t>stopping rule</w:t>
      </w:r>
      <w:r w:rsidR="00F91D93">
        <w:t>, however t</w:t>
      </w:r>
      <w:r>
        <w:t>he ES</w:t>
      </w:r>
      <w:r w:rsidR="00F91D93">
        <w:t xml:space="preserve">C </w:t>
      </w:r>
      <w:r w:rsidR="00A05A71">
        <w:t xml:space="preserve">and DUSC </w:t>
      </w:r>
      <w:r w:rsidR="00F91D93">
        <w:t xml:space="preserve">considered there should be robust stopping rules to prevent ongoing use as outlined at the stakeholder meeting (i.e. </w:t>
      </w:r>
      <w:r w:rsidR="00F93BC9">
        <w:t>per</w:t>
      </w:r>
      <w:r w:rsidR="00F91D93">
        <w:t xml:space="preserve"> paragraph </w:t>
      </w:r>
      <w:r>
        <w:fldChar w:fldCharType="begin" w:fldLock="1"/>
      </w:r>
      <w:r>
        <w:instrText xml:space="preserve"> REF _Ref169170181 \r \h  \* MERGEFORMAT </w:instrText>
      </w:r>
      <w:r>
        <w:fldChar w:fldCharType="separate"/>
      </w:r>
      <w:r w:rsidR="00FC355E">
        <w:t>2.5</w:t>
      </w:r>
      <w:r>
        <w:fldChar w:fldCharType="end"/>
      </w:r>
      <w:r w:rsidR="00F91D93">
        <w:t>, the clinicians present at the stakeholder meeting proposed that, in patients who met the initial response/continuation criteria, the complement inhibitor should be ceased after 12</w:t>
      </w:r>
      <w:r w:rsidR="0095010D">
        <w:t> </w:t>
      </w:r>
      <w:r w:rsidR="00F91D93">
        <w:t xml:space="preserve">months of treatment. If the patient deteriorates, the complement inhibitor could be restarted, with 6-monthly rechallenges up to 2 years of total treatment. At that point treatment with the complement inhibitor would cease). </w:t>
      </w:r>
      <w:r w:rsidR="000F492E">
        <w:t>The pre-PBAC response stated there is no clinical evidence to support the proposed stopping rules</w:t>
      </w:r>
      <w:r w:rsidR="00C86C7E">
        <w:t xml:space="preserve"> and that the extension trial RAISE-XT provides clinical evidence for zilucoplan as continuing treatment.</w:t>
      </w:r>
      <w:r w:rsidR="00CD0F68">
        <w:t xml:space="preserve"> </w:t>
      </w:r>
    </w:p>
    <w:p w14:paraId="6D43428F" w14:textId="1706F09F" w:rsidR="00F91D93" w:rsidRPr="007F52A5" w:rsidRDefault="00F91D93" w:rsidP="0095010D">
      <w:pPr>
        <w:pStyle w:val="3-BodyText"/>
      </w:pPr>
      <w:r w:rsidRPr="007F52A5">
        <w:t xml:space="preserve">The ESC noted that the clinicians present at the stakeholder meeting proposed that patients may access re-treatment if the </w:t>
      </w:r>
      <w:r w:rsidR="00F93BC9" w:rsidRPr="007F52A5">
        <w:t>condition</w:t>
      </w:r>
      <w:r w:rsidRPr="007F52A5">
        <w:t xml:space="preserve"> is refractory, or if the patient experiences an exacerbation or is at risk of a myasthenia crisis.</w:t>
      </w:r>
      <w:r w:rsidR="007D57DE">
        <w:t xml:space="preserve"> </w:t>
      </w:r>
      <w:r w:rsidR="00E131F4">
        <w:t>The PBAC noted r</w:t>
      </w:r>
      <w:r w:rsidR="007D57DE">
        <w:t>e-treatment was not considered in the cost-effectiveness analysis.</w:t>
      </w:r>
    </w:p>
    <w:p w14:paraId="10B7E6F7" w14:textId="5358A7C0" w:rsidR="00734024" w:rsidRPr="0095010D" w:rsidRDefault="00734024" w:rsidP="0095010D">
      <w:pPr>
        <w:pStyle w:val="COMexecsumnumberedpara"/>
        <w:rPr>
          <w:i/>
          <w:iCs/>
          <w:u w:val="single"/>
        </w:rPr>
      </w:pPr>
      <w:r w:rsidRPr="0095010D">
        <w:rPr>
          <w:i/>
          <w:iCs/>
          <w:u w:val="single"/>
        </w:rPr>
        <w:t>Balance of supply and grandfathering restriction</w:t>
      </w:r>
    </w:p>
    <w:p w14:paraId="5EC6F6C9" w14:textId="329337D4" w:rsidR="00E03266" w:rsidRPr="007F52A5" w:rsidRDefault="00E03266" w:rsidP="0095010D">
      <w:pPr>
        <w:pStyle w:val="3-BodyText"/>
      </w:pPr>
      <w:r w:rsidRPr="007F52A5">
        <w:t xml:space="preserve">The submission also proposed a balance of supply restriction for patients who needed to prematurely discontinue therapy (for reasons other than efficacy) during the initial </w:t>
      </w:r>
      <w:r w:rsidR="00EA4249" w:rsidRPr="007F52A5">
        <w:t>12-week</w:t>
      </w:r>
      <w:r w:rsidRPr="007F52A5">
        <w:t xml:space="preserve"> period </w:t>
      </w:r>
      <w:proofErr w:type="gramStart"/>
      <w:r w:rsidRPr="007F52A5">
        <w:t>in order to</w:t>
      </w:r>
      <w:proofErr w:type="gramEnd"/>
      <w:r w:rsidRPr="007F52A5">
        <w:t xml:space="preserve"> achieve a sufficient </w:t>
      </w:r>
      <w:proofErr w:type="gramStart"/>
      <w:r w:rsidRPr="007F52A5">
        <w:t>time period</w:t>
      </w:r>
      <w:proofErr w:type="gramEnd"/>
      <w:r w:rsidRPr="007F52A5">
        <w:t xml:space="preserve"> to assess response. It was unclear whether this restriction was needed as the initial restriction does not prevent patients from re-initiating therapy. </w:t>
      </w:r>
    </w:p>
    <w:p w14:paraId="20943670" w14:textId="57FF8AFC" w:rsidR="007F52A5" w:rsidRDefault="00E03266" w:rsidP="0095010D">
      <w:pPr>
        <w:pStyle w:val="3-BodyText"/>
      </w:pPr>
      <w:r w:rsidRPr="007F52A5">
        <w:t xml:space="preserve">The submission proposed a grandfathering restriction that appears to be largely modelled on the initiation restriction but does not require patients to be aged </w:t>
      </w:r>
      <w:r w:rsidR="00FE3E51" w:rsidRPr="007F52A5">
        <w:t>≥</w:t>
      </w:r>
      <w:r w:rsidR="00FE3E51">
        <w:t> </w:t>
      </w:r>
      <w:r w:rsidRPr="007F52A5">
        <w:t>18</w:t>
      </w:r>
      <w:r w:rsidR="00FE3E51">
        <w:t> </w:t>
      </w:r>
      <w:r w:rsidRPr="007F52A5">
        <w:t>years and does not require any specific co-administered therapies. It was unclear whether this population would me</w:t>
      </w:r>
      <w:r w:rsidR="00214ECB" w:rsidRPr="007F52A5">
        <w:t>e</w:t>
      </w:r>
      <w:r w:rsidRPr="007F52A5">
        <w:t xml:space="preserve">t the response criterion for treatment continuation that applies to non-grandfathered patients. </w:t>
      </w:r>
      <w:r w:rsidR="00AC24D2" w:rsidRPr="007F52A5">
        <w:t xml:space="preserve">The submission stated that </w:t>
      </w:r>
      <w:r w:rsidR="00FF49F6">
        <w:t>&lt;500</w:t>
      </w:r>
      <w:r w:rsidR="00AC24D2" w:rsidRPr="007F52A5">
        <w:t xml:space="preserve"> patients receiving zilucoplan under </w:t>
      </w:r>
      <w:r w:rsidR="00AA5153" w:rsidRPr="007F52A5">
        <w:t xml:space="preserve">the sponsor’s </w:t>
      </w:r>
      <w:r w:rsidR="00AC24D2" w:rsidRPr="007F52A5">
        <w:t>managed access program would require grandfathered treatment.</w:t>
      </w:r>
    </w:p>
    <w:p w14:paraId="7F222BDE" w14:textId="7BA2689D" w:rsidR="007F52A5" w:rsidRDefault="00EB6518" w:rsidP="0095010D">
      <w:pPr>
        <w:pStyle w:val="3-BodyText"/>
      </w:pPr>
      <w:r w:rsidRPr="007F52A5">
        <w:t>The ESC considered that, should zilucoplan and ravulizumab both become available on the PBS,</w:t>
      </w:r>
      <w:r w:rsidR="001169AA" w:rsidRPr="007F52A5">
        <w:t xml:space="preserve"> the restrictions should prevent patients from trialling more than one complement inhibitor</w:t>
      </w:r>
      <w:r w:rsidRPr="007F52A5">
        <w:t xml:space="preserve"> </w:t>
      </w:r>
      <w:r w:rsidR="001169AA" w:rsidRPr="007F52A5">
        <w:t>gi</w:t>
      </w:r>
      <w:r w:rsidRPr="007F52A5">
        <w:t>ven the</w:t>
      </w:r>
      <w:r w:rsidR="001169AA" w:rsidRPr="007F52A5">
        <w:t xml:space="preserve"> </w:t>
      </w:r>
      <w:r w:rsidRPr="007F52A5">
        <w:t>similar mechanism of action (i.e. if a patient w</w:t>
      </w:r>
      <w:r w:rsidR="00F93BC9" w:rsidRPr="007F52A5">
        <w:t>as</w:t>
      </w:r>
      <w:r w:rsidRPr="007F52A5">
        <w:t xml:space="preserve"> non-responsive to one complement inhibitor, they would not be expected to respond to another agent from the same class).</w:t>
      </w:r>
      <w:r w:rsidR="007F52A5">
        <w:t xml:space="preserve"> </w:t>
      </w:r>
    </w:p>
    <w:p w14:paraId="3731AC3D" w14:textId="7ABEB266" w:rsidR="00EB6518" w:rsidRPr="007F52A5" w:rsidRDefault="007F52A5" w:rsidP="007F52A5">
      <w:pPr>
        <w:pStyle w:val="ListBullet"/>
        <w:numPr>
          <w:ilvl w:val="0"/>
          <w:numId w:val="0"/>
        </w:numPr>
        <w:ind w:left="720"/>
        <w:rPr>
          <w:i/>
          <w:iCs/>
        </w:rPr>
      </w:pPr>
      <w:r w:rsidRPr="007F52A5">
        <w:rPr>
          <w:i/>
          <w:iCs/>
        </w:rPr>
        <w:t>For more detail on PBAC’s view, see section 7 PBAC outcome.</w:t>
      </w:r>
    </w:p>
    <w:p w14:paraId="7075B85C" w14:textId="321C9B30" w:rsidR="00B50DB8" w:rsidRPr="00B162C2" w:rsidDel="00195452" w:rsidRDefault="00203181" w:rsidP="0095010D">
      <w:pPr>
        <w:pStyle w:val="2-SectionHeading"/>
      </w:pPr>
      <w:bookmarkStart w:id="21" w:name="_Toc167199644"/>
      <w:r w:rsidRPr="00B162C2" w:rsidDel="00195452">
        <w:t xml:space="preserve">Population and </w:t>
      </w:r>
      <w:r w:rsidR="008E0D3C" w:rsidRPr="00B162C2" w:rsidDel="00195452">
        <w:t>d</w:t>
      </w:r>
      <w:r w:rsidRPr="00B162C2" w:rsidDel="00195452">
        <w:t>isease</w:t>
      </w:r>
      <w:bookmarkEnd w:id="21"/>
    </w:p>
    <w:p w14:paraId="796A66BB" w14:textId="0183BF77" w:rsidR="00E03266" w:rsidRPr="00906ED7" w:rsidRDefault="00E03266" w:rsidP="0095010D">
      <w:pPr>
        <w:pStyle w:val="3-BodyText"/>
      </w:pPr>
      <w:r w:rsidRPr="00906ED7">
        <w:t xml:space="preserve">Myasthenia gravis is a chronic autoimmune disorder caused by antibodies attacking components of the neuromuscular junction leading to impaired signal transmission between nerves and muscles. Patients can be classified into subgroups based on the antibodies involved, with </w:t>
      </w:r>
      <w:proofErr w:type="gramStart"/>
      <w:r w:rsidRPr="00906ED7">
        <w:t>the majority of</w:t>
      </w:r>
      <w:proofErr w:type="gramEnd"/>
      <w:r w:rsidRPr="00906ED7">
        <w:t xml:space="preserve"> patients (approximately 80%) having autoantibodies against acetylcholine receptors (AChR).</w:t>
      </w:r>
    </w:p>
    <w:p w14:paraId="702FD5FB" w14:textId="6E3C0FF1" w:rsidR="00E03266" w:rsidRPr="00906ED7" w:rsidRDefault="00E03266" w:rsidP="0095010D">
      <w:pPr>
        <w:pStyle w:val="3-BodyText"/>
      </w:pPr>
      <w:r w:rsidRPr="00906ED7">
        <w:t>Myasthenia gravis can develop at any age (including childhood) but more commonly impacts young adult women and older men. Based on information presented in the submission, the worldwide prevalence of myasthenia gravis ranges from approximately 10 to 19 patients per 100,000 population. A published Australian study that derived epidemiology estimates based on anticholinesterase prescriptions indicated an annual incidence of 2.5 patients per 100,000 population and a prevalence of 11.7 per 100,000 population in 2009 (Gattellari 2012). The epidemiology estimates presented in the submission were not well-supported and it is likely that the incidence and prevalence of myasthenia gravis in Australia is substantially higher than estimated in the submission.</w:t>
      </w:r>
    </w:p>
    <w:p w14:paraId="3FEA9E05" w14:textId="5FA6CD89" w:rsidR="00E03266" w:rsidRPr="00906ED7" w:rsidRDefault="00E03266" w:rsidP="0095010D">
      <w:pPr>
        <w:pStyle w:val="3-BodyText"/>
      </w:pPr>
      <w:r w:rsidRPr="00906ED7">
        <w:t>The disease is characterised by muscle weakness which may be localised to ocular muscles (ocular myasthenia gravis) or generalised to include othe</w:t>
      </w:r>
      <w:r w:rsidR="00AC24D2" w:rsidRPr="00906ED7">
        <w:t>r muscles such as limb</w:t>
      </w:r>
      <w:r w:rsidRPr="00906ED7">
        <w:t xml:space="preserve">, bulbar and respiratory system (generalised myasthenia gravis). Typical symptoms associated with myasthenia gravis include drooping eyelids, blurred or double vision, shortness of breath, difficulty chewing and swallowing, impaired speech, fatigue, pain, muscle spasms and general muscle weakness. </w:t>
      </w:r>
    </w:p>
    <w:p w14:paraId="26BD0726" w14:textId="59BC5565" w:rsidR="00E03266" w:rsidRPr="00906ED7" w:rsidRDefault="00E03266" w:rsidP="0095010D">
      <w:pPr>
        <w:pStyle w:val="3-BodyText"/>
      </w:pPr>
      <w:r w:rsidRPr="00906ED7">
        <w:t>The intensity of muscle weakness can fluctuate from day to day and can be worsened due to fatigue, stress, current illness and other factors. Transient periods of rapid symptom worsening are referred to as disease exace</w:t>
      </w:r>
      <w:r w:rsidR="00AC24D2" w:rsidRPr="00906ED7">
        <w:t>rbations. Of particular concern</w:t>
      </w:r>
      <w:r w:rsidRPr="00906ED7">
        <w:t xml:space="preserve"> are myasthenic crises</w:t>
      </w:r>
      <w:r w:rsidR="00AC24D2" w:rsidRPr="00906ED7">
        <w:t>,</w:t>
      </w:r>
      <w:r w:rsidRPr="00906ED7">
        <w:t xml:space="preserve"> which are severe, life-threatening exacerbations that are due to weakness in respiratory muscles which results in respiratory failure requiring mechanical ventilation. However, the submission noted that the mortality of patients with myasthenia gravis has decreased over the years and most patients have a normal lifespan.</w:t>
      </w:r>
    </w:p>
    <w:p w14:paraId="7055DF8B" w14:textId="556FCFD4" w:rsidR="00E03266" w:rsidRPr="00906ED7" w:rsidRDefault="00E03266" w:rsidP="0095010D">
      <w:pPr>
        <w:pStyle w:val="3-BodyText"/>
      </w:pPr>
      <w:r w:rsidRPr="00906ED7">
        <w:t>The submission noted that the fluctuating and unpredictable nature of generalised myasthenia gravis symptoms substantially impact quality of life, with increased burden associated with planning daily activities to cope with the variable symptoms (Jackson 2023, Twork 2010, Petersson 2021, Law 2021). Persistent fatigue and physical impairments are associated with reduced workforce participation and can prevent patients from performing everyday tasks, contributing to a loss of independence (Cleanthous 2021, Blum 2015). Other concerns noted during the evaluation include the social/emotional impacts of the disease (such as anxiety, depression and feeling isolated) as well as the treatment burden associated with current therapies (Nadali 2023, Sansoni 2023).</w:t>
      </w:r>
    </w:p>
    <w:p w14:paraId="592564B5" w14:textId="458551A7" w:rsidR="00D019D2" w:rsidRPr="007F52A5" w:rsidRDefault="00591C73" w:rsidP="0095010D">
      <w:pPr>
        <w:pStyle w:val="3-BodyText"/>
      </w:pPr>
      <w:r w:rsidRPr="007F52A5">
        <w:t xml:space="preserve">As outlined in </w:t>
      </w:r>
      <w:r w:rsidRPr="007F52A5">
        <w:fldChar w:fldCharType="begin" w:fldLock="1"/>
      </w:r>
      <w:r w:rsidRPr="007F52A5">
        <w:instrText xml:space="preserve"> REF _Ref169171724 \h  \* MERGEFORMAT </w:instrText>
      </w:r>
      <w:r w:rsidRPr="007F52A5">
        <w:fldChar w:fldCharType="separate"/>
      </w:r>
      <w:r w:rsidR="00FC355E" w:rsidRPr="00874261">
        <w:t xml:space="preserve">Figure </w:t>
      </w:r>
      <w:r w:rsidR="00FC355E">
        <w:rPr>
          <w:noProof/>
        </w:rPr>
        <w:t>1</w:t>
      </w:r>
      <w:r w:rsidRPr="007F52A5">
        <w:fldChar w:fldCharType="end"/>
      </w:r>
      <w:r w:rsidR="007D64F8" w:rsidRPr="007F52A5">
        <w:t xml:space="preserve"> and as discussed at the stakeholder meeting</w:t>
      </w:r>
      <w:r w:rsidRPr="007F52A5">
        <w:t>, c</w:t>
      </w:r>
      <w:r w:rsidR="00E03266" w:rsidRPr="007F52A5">
        <w:t>urrent treatment guidelines</w:t>
      </w:r>
      <w:r w:rsidR="00AC24D2" w:rsidRPr="007F52A5">
        <w:t xml:space="preserve"> (Sanders 2016 updated in Narayanaswami 2021)</w:t>
      </w:r>
      <w:r w:rsidR="00E03266" w:rsidRPr="007F52A5">
        <w:t xml:space="preserve"> recommend the use of</w:t>
      </w:r>
      <w:r w:rsidR="00D019D2" w:rsidRPr="007F52A5">
        <w:t>:</w:t>
      </w:r>
    </w:p>
    <w:p w14:paraId="5C1B1918" w14:textId="77777777" w:rsidR="00D019D2" w:rsidRPr="007F52A5" w:rsidRDefault="00D019D2" w:rsidP="0095010D">
      <w:pPr>
        <w:pStyle w:val="ListParagraph"/>
      </w:pPr>
      <w:r w:rsidRPr="007F52A5">
        <w:t xml:space="preserve">anti-cholinesterases i.e. pyridostigmine. While pyridostigmine has a rapid onset of action, its efficacy commonly decreases over time. </w:t>
      </w:r>
    </w:p>
    <w:p w14:paraId="169E96EC" w14:textId="6F7BFCD0" w:rsidR="00D019D2" w:rsidRPr="007F52A5" w:rsidRDefault="00D019D2" w:rsidP="0095010D">
      <w:pPr>
        <w:pStyle w:val="ListParagraph"/>
      </w:pPr>
      <w:r w:rsidRPr="007F52A5">
        <w:t xml:space="preserve">immunosuppressive therapy (which is required in </w:t>
      </w:r>
      <w:proofErr w:type="gramStart"/>
      <w:r w:rsidRPr="007F52A5">
        <w:t>the majority of</w:t>
      </w:r>
      <w:proofErr w:type="gramEnd"/>
      <w:r w:rsidRPr="007F52A5">
        <w:t xml:space="preserve"> patients), with corticosteroids used as the main first-line treatment option. The guidelines state that non-steroid immunosuppressive agents (e.g. mycophenolate mofetil, azathioprine, methotrexate, tacrolimus, cyclosporin) may be used as monotherap</w:t>
      </w:r>
      <w:r w:rsidR="005611E7" w:rsidRPr="007F52A5">
        <w:t>y</w:t>
      </w:r>
      <w:r w:rsidRPr="007F52A5">
        <w:t xml:space="preserve"> (for patients who refuse corticosteroids or who are contraindicated to corticosteroids) or in combination with corticosteroids (for patients with an inadequate response, for patients with significant steroid side-effects or who require high corticosteroid doses that cannot be tapered down). </w:t>
      </w:r>
      <w:r w:rsidR="00591C73" w:rsidRPr="007F52A5">
        <w:t>Response to non</w:t>
      </w:r>
      <w:r w:rsidR="00591C73" w:rsidRPr="007F52A5">
        <w:noBreakHyphen/>
        <w:t>steroid immunosuppressive agents can range from 1 to 24 months, with the ESC noting that response</w:t>
      </w:r>
      <w:r w:rsidRPr="007F52A5">
        <w:t xml:space="preserve"> typically </w:t>
      </w:r>
      <w:r w:rsidR="00591C73" w:rsidRPr="007F52A5">
        <w:t xml:space="preserve">occurs </w:t>
      </w:r>
      <w:r w:rsidRPr="007F52A5">
        <w:t>within six months of therapy.</w:t>
      </w:r>
    </w:p>
    <w:p w14:paraId="5D10901C" w14:textId="160677C0" w:rsidR="00D019D2" w:rsidRPr="007F52A5" w:rsidRDefault="00D019D2" w:rsidP="0095010D">
      <w:pPr>
        <w:pStyle w:val="ListParagraph"/>
      </w:pPr>
      <w:r w:rsidRPr="007F52A5">
        <w:t>chronic plasma exchange (PLEX) and chronic intravenous immunoglobulin (IVIg) can be used (a) as bridging therapies while patients adjust to other slower-acting immunosuppressive agents; and/or (b) in patients with treatment-refractory disease (variable definitions in the literature). The ESC noted that IVIg is funded by the NBA for the indication: As maintenance therapy for moderate to severe myasthenia gravis when other treatments have been ineffective or caused intolerable side effects. The NBA criteria for IVIg requires (a) a patient to have a MGC score ≥ 4 points; and (b) ≥ 2 other treatments to have been ineffective, contra-indicated, unavailable or caused intolerable side effects. The NBA criteria state ‘IVIg should be regarded as a stopgap treatment while using short-term drugs such as pyridostigmine and while introducing effective immunotherapy’ and requires evidence of response for ongoing therapy after 4 months and then annually thereafter.</w:t>
      </w:r>
    </w:p>
    <w:p w14:paraId="5F755ABC" w14:textId="77777777" w:rsidR="00D019D2" w:rsidRPr="007F52A5" w:rsidRDefault="00D019D2" w:rsidP="0095010D">
      <w:pPr>
        <w:pStyle w:val="ListParagraph"/>
      </w:pPr>
      <w:r w:rsidRPr="007F52A5">
        <w:t xml:space="preserve">Patients with refractory disease can receive treatment with chronic PLEX/IVIg, eculizumab (not registered in Australia for myasthenia gravis), cyclophosphamide or rituximab. </w:t>
      </w:r>
    </w:p>
    <w:p w14:paraId="3426D2F6" w14:textId="77777777" w:rsidR="00D019D2" w:rsidRPr="007F52A5" w:rsidRDefault="00D019D2" w:rsidP="0095010D">
      <w:pPr>
        <w:pStyle w:val="ListParagraph"/>
      </w:pPr>
      <w:r w:rsidRPr="007F52A5">
        <w:t>Acute management of exacerbations typically involves the use of high dose corticosteroids, IVIg or PLEX in the community or hospital setting depending on severity.</w:t>
      </w:r>
    </w:p>
    <w:p w14:paraId="0DB9C9D8" w14:textId="31D85A4C" w:rsidR="00E03266" w:rsidRPr="007F52A5" w:rsidRDefault="00D019D2" w:rsidP="0095010D">
      <w:pPr>
        <w:pStyle w:val="ListParagraph"/>
      </w:pPr>
      <w:r w:rsidRPr="007F52A5">
        <w:t>Thymectomy can be considered in a small subset of patients, particularly younger patients.</w:t>
      </w:r>
    </w:p>
    <w:p w14:paraId="36563021" w14:textId="0F3C8119" w:rsidR="005F0B24" w:rsidRPr="007F52A5" w:rsidRDefault="005F0B24" w:rsidP="0095010D">
      <w:pPr>
        <w:pStyle w:val="3-BodyText"/>
      </w:pPr>
      <w:r w:rsidRPr="007F52A5">
        <w:t>While these standard therapies have shown good efficacy in improving myasthenia gravis-related symptoms, they can carry a considerable burden of long-term adverse effects. Extended use of corticosteroids can result in the development of diabetes, hypertension and osteoporosis. Most non-steroid immunosuppressants have a delayed onset of action, requiring several months of treatment before their full benefits appear. Abrupt discontinuation of non-steroid immunosuppressants may result in a clinical relapse, so slow tapering and discontinuation over 1-2 years is required. These treatments also have a risk of adverse effects in the liver and bone marrow. Immunosuppressive therapies also leave patients vulnerable to severe infections, and a small but significant long-term risk of developing malignancies and drug-related toxicity (Iorio 2024; Alhaidar 2022).</w:t>
      </w:r>
    </w:p>
    <w:p w14:paraId="5E6BB732" w14:textId="249078B0" w:rsidR="00591C73" w:rsidRDefault="00591C73" w:rsidP="0095010D">
      <w:pPr>
        <w:pStyle w:val="TableFigureHeading"/>
      </w:pPr>
      <w:bookmarkStart w:id="22" w:name="_Ref169171724"/>
      <w:r w:rsidRPr="00874261">
        <w:t xml:space="preserve">Figure </w:t>
      </w:r>
      <w:r w:rsidR="002F23E8">
        <w:fldChar w:fldCharType="begin" w:fldLock="1"/>
      </w:r>
      <w:r w:rsidR="002F23E8">
        <w:instrText xml:space="preserve"> SEQ Figure \* ARABIC </w:instrText>
      </w:r>
      <w:r w:rsidR="002F23E8">
        <w:fldChar w:fldCharType="separate"/>
      </w:r>
      <w:r w:rsidR="00FC355E">
        <w:rPr>
          <w:noProof/>
        </w:rPr>
        <w:t>1</w:t>
      </w:r>
      <w:r w:rsidR="002F23E8">
        <w:rPr>
          <w:noProof/>
        </w:rPr>
        <w:fldChar w:fldCharType="end"/>
      </w:r>
      <w:bookmarkEnd w:id="22"/>
      <w:r w:rsidRPr="00874261">
        <w:t>: Current treatment management algorithm for AChR+ generalised myasthenia gravis</w:t>
      </w:r>
    </w:p>
    <w:p w14:paraId="2846552C" w14:textId="5BD4BC99" w:rsidR="0027707D" w:rsidRPr="00874261" w:rsidRDefault="0027707D" w:rsidP="0095010D">
      <w:pPr>
        <w:pStyle w:val="TableFigureHeading"/>
      </w:pPr>
      <w:r>
        <w:rPr>
          <w:noProof/>
        </w:rPr>
        <w:drawing>
          <wp:inline distT="0" distB="0" distL="0" distR="0" wp14:anchorId="568B774C" wp14:editId="1B31C4D8">
            <wp:extent cx="4771390" cy="5495290"/>
            <wp:effectExtent l="0" t="0" r="0" b="0"/>
            <wp:docPr id="1589389237" name="Picture 1" descr="Figure 1: Current treatment management algorithm for AChR+ generalised myasthenia gra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89237" name="Picture 1" descr="Figure 1: Current treatment management algorithm for AChR+ generalised myasthenia grav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1390" cy="5495290"/>
                    </a:xfrm>
                    <a:prstGeom prst="rect">
                      <a:avLst/>
                    </a:prstGeom>
                    <a:noFill/>
                  </pic:spPr>
                </pic:pic>
              </a:graphicData>
            </a:graphic>
          </wp:inline>
        </w:drawing>
      </w:r>
    </w:p>
    <w:p w14:paraId="27DE22A8" w14:textId="77777777" w:rsidR="00591C73" w:rsidRDefault="00591C73" w:rsidP="00591C73">
      <w:pPr>
        <w:pStyle w:val="COMTablefooter"/>
        <w:keepNext/>
        <w:keepLines/>
        <w:snapToGrid w:val="0"/>
      </w:pPr>
      <w:r>
        <w:t>Source: Adapted from Sanders 2016.</w:t>
      </w:r>
    </w:p>
    <w:p w14:paraId="0FE460B9" w14:textId="77777777" w:rsidR="00591C73" w:rsidRDefault="00591C73" w:rsidP="00591C73">
      <w:pPr>
        <w:pStyle w:val="COMTablefooter"/>
        <w:keepNext/>
        <w:keepLines/>
        <w:snapToGrid w:val="0"/>
      </w:pPr>
      <w:r>
        <w:t>Abbreviations: AChR+, acetylcholine receptor antibody positive; IVIg, Intravenous immunoglobulin; PLEX, plasma exchange</w:t>
      </w:r>
    </w:p>
    <w:p w14:paraId="475F5CF1" w14:textId="77777777" w:rsidR="00591C73" w:rsidRDefault="00591C73" w:rsidP="00591C73">
      <w:pPr>
        <w:pStyle w:val="COMTablefooter"/>
        <w:keepNext/>
        <w:keepLines/>
        <w:snapToGrid w:val="0"/>
      </w:pPr>
      <w:r>
        <w:rPr>
          <w:vertAlign w:val="superscript"/>
        </w:rPr>
        <w:t>a</w:t>
      </w:r>
      <w:r>
        <w:t xml:space="preserve"> Defined as corticosteroid refusal or contraindication</w:t>
      </w:r>
    </w:p>
    <w:p w14:paraId="307D6B2F" w14:textId="77777777" w:rsidR="00591C73" w:rsidRDefault="00591C73" w:rsidP="0095010D">
      <w:pPr>
        <w:pStyle w:val="COMTablefooter"/>
        <w:keepLines/>
        <w:snapToGrid w:val="0"/>
      </w:pPr>
      <w:r>
        <w:t>Note: The algorithm does not include the use of thymectomy in the management of myasthenia gravis symptoms</w:t>
      </w:r>
    </w:p>
    <w:p w14:paraId="3113E6F1" w14:textId="265F5C00" w:rsidR="00E03266" w:rsidRPr="00906ED7" w:rsidRDefault="00E03266" w:rsidP="0095010D">
      <w:pPr>
        <w:pStyle w:val="3-BodyText"/>
      </w:pPr>
      <w:r w:rsidRPr="00906ED7">
        <w:t>Zilucoplan is a PEGylated, macrocyclic peptide that binds to the C5 terminal complement protein and inhibits its cleavage into pro-inflammatory components (C5a and C5b). Additionally, because zilucoplan binds to the C5b moiety it may reduce any residual activity specifically associated with this component. It is presumed that the therapeutic effects of zilucoplan are due to a reduction in inflammation (potentially by reducing membrane attack complex-mediated destruction of the neuromuscular junction), although the exact mechanism of action in generalised myasthenia gravis is currently unknown.</w:t>
      </w:r>
    </w:p>
    <w:p w14:paraId="7E7D43D6" w14:textId="5C714143" w:rsidR="005F0B24" w:rsidRPr="00906ED7" w:rsidRDefault="005B59FA" w:rsidP="0095010D">
      <w:pPr>
        <w:pStyle w:val="3-BodyText"/>
      </w:pPr>
      <w:r w:rsidRPr="00906ED7">
        <w:t xml:space="preserve">The </w:t>
      </w:r>
      <w:r w:rsidR="00126E5D">
        <w:t xml:space="preserve">proposed </w:t>
      </w:r>
      <w:r w:rsidR="0023484D" w:rsidRPr="00906ED7">
        <w:t xml:space="preserve">clinical management algorithm </w:t>
      </w:r>
      <w:r w:rsidR="005611E7">
        <w:t xml:space="preserve">in the submission </w:t>
      </w:r>
      <w:r w:rsidRPr="00906ED7">
        <w:t xml:space="preserve">is presented </w:t>
      </w:r>
      <w:r w:rsidR="0023484D" w:rsidRPr="00906ED7">
        <w:t>in</w:t>
      </w:r>
      <w:r w:rsidR="005F0B24" w:rsidRPr="00906ED7">
        <w:t xml:space="preserve"> </w:t>
      </w:r>
      <w:r w:rsidR="00BF4405" w:rsidRPr="00906ED7">
        <w:fldChar w:fldCharType="begin" w:fldLock="1"/>
      </w:r>
      <w:r w:rsidR="00BF4405" w:rsidRPr="00906ED7">
        <w:instrText xml:space="preserve"> REF _Ref167105875 \h  \* MERGEFORMAT </w:instrText>
      </w:r>
      <w:r w:rsidR="00BF4405" w:rsidRPr="00906ED7">
        <w:fldChar w:fldCharType="separate"/>
      </w:r>
      <w:r w:rsidR="00FC355E">
        <w:t xml:space="preserve">Figure </w:t>
      </w:r>
      <w:r w:rsidR="00FC355E">
        <w:rPr>
          <w:noProof/>
        </w:rPr>
        <w:t>2</w:t>
      </w:r>
      <w:r w:rsidR="00BF4405" w:rsidRPr="00906ED7">
        <w:fldChar w:fldCharType="end"/>
      </w:r>
      <w:r w:rsidRPr="00906ED7">
        <w:t>.</w:t>
      </w:r>
    </w:p>
    <w:p w14:paraId="2F7EEBFE" w14:textId="68F30E83" w:rsidR="0023484D" w:rsidRDefault="005F0B24" w:rsidP="00A91166">
      <w:pPr>
        <w:pStyle w:val="TableFigureHeading"/>
      </w:pPr>
      <w:bookmarkStart w:id="23" w:name="_Ref167105875"/>
      <w:r>
        <w:t xml:space="preserve">Figure </w:t>
      </w:r>
      <w:r w:rsidR="002F23E8">
        <w:fldChar w:fldCharType="begin" w:fldLock="1"/>
      </w:r>
      <w:r w:rsidR="002F23E8">
        <w:instrText xml:space="preserve"> SEQ Figure \* ARABIC </w:instrText>
      </w:r>
      <w:r w:rsidR="002F23E8">
        <w:fldChar w:fldCharType="separate"/>
      </w:r>
      <w:r w:rsidR="00FC355E">
        <w:rPr>
          <w:noProof/>
        </w:rPr>
        <w:t>2</w:t>
      </w:r>
      <w:r w:rsidR="002F23E8">
        <w:rPr>
          <w:noProof/>
        </w:rPr>
        <w:fldChar w:fldCharType="end"/>
      </w:r>
      <w:bookmarkEnd w:id="23"/>
      <w:r w:rsidRPr="005F0B24">
        <w:t>: Proposed clinical management algorithm for AChR+ generalised myasthenia gravis</w:t>
      </w:r>
    </w:p>
    <w:p w14:paraId="5BAE8F05" w14:textId="77777777" w:rsidR="0023484D" w:rsidRPr="00B162C2" w:rsidRDefault="0023484D" w:rsidP="0023484D">
      <w:pPr>
        <w:keepNext/>
      </w:pPr>
      <w:r w:rsidRPr="00B162C2">
        <w:rPr>
          <w:rFonts w:cs="Calibri"/>
          <w:noProof/>
        </w:rPr>
        <w:drawing>
          <wp:inline distT="0" distB="0" distL="0" distR="0" wp14:anchorId="39122D16" wp14:editId="74A7982B">
            <wp:extent cx="5231130" cy="4090670"/>
            <wp:effectExtent l="0" t="0" r="7620" b="5080"/>
            <wp:docPr id="2" name="Picture 2" descr="Figure 2: Proposed clinical management algorithm for AChR+ generalised myasthenia gra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Proposed clinical management algorithm for AChR+ generalised myasthenia grav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1130" cy="4090670"/>
                    </a:xfrm>
                    <a:prstGeom prst="rect">
                      <a:avLst/>
                    </a:prstGeom>
                    <a:noFill/>
                  </pic:spPr>
                </pic:pic>
              </a:graphicData>
            </a:graphic>
          </wp:inline>
        </w:drawing>
      </w:r>
    </w:p>
    <w:p w14:paraId="52B19C8A" w14:textId="77777777" w:rsidR="0023484D" w:rsidRPr="00B162C2" w:rsidRDefault="0023484D" w:rsidP="00A91166">
      <w:pPr>
        <w:pStyle w:val="COMTablefooter"/>
        <w:keepNext/>
      </w:pPr>
      <w:r w:rsidRPr="00B162C2">
        <w:t>Source: Figure 1.2-2, p29 of the submission</w:t>
      </w:r>
    </w:p>
    <w:p w14:paraId="02CF3F4A" w14:textId="33ED867E" w:rsidR="0023484D" w:rsidRPr="00B162C2" w:rsidRDefault="0023484D" w:rsidP="00A91166">
      <w:pPr>
        <w:pStyle w:val="COMTablefooter"/>
        <w:keepNext/>
      </w:pPr>
      <w:r w:rsidRPr="00B162C2">
        <w:t>Abbreviations: ACHr, acetylcholine receptor; gMG, generalised myasthenia gravis; IVIg, Intravenous immunoglobulin; NBA, National Blood Authority; NS-IST, non-steroid immunosuppressive therapy; PLEX, plasma exchange</w:t>
      </w:r>
    </w:p>
    <w:p w14:paraId="63BBB599" w14:textId="77777777" w:rsidR="0023484D" w:rsidRPr="00B162C2" w:rsidRDefault="0023484D" w:rsidP="00A91166">
      <w:pPr>
        <w:pStyle w:val="COMTablefooter"/>
        <w:keepNext/>
      </w:pPr>
      <w:r w:rsidRPr="00B162C2">
        <w:t xml:space="preserve">* While maintenance/chronic treatment is permitted by the NBA criteria for IVIg maintenance therapy, the international treatment guidelines only recommend short-term treatment in non-refractory patients. </w:t>
      </w:r>
    </w:p>
    <w:p w14:paraId="6D659A10" w14:textId="1D4DDC6D" w:rsidR="0023484D" w:rsidRDefault="0023484D" w:rsidP="005F0B24">
      <w:pPr>
        <w:pStyle w:val="COMTablefooter"/>
      </w:pPr>
      <w:r w:rsidRPr="00B162C2">
        <w:t xml:space="preserve">Note: While there are multiple definitions of treatment-refractory disease used in clinical practice, the key clinical trial for zilucoplan defined treatment-refractory disease as treatment for at least one year with two or more of the following therapies (prednisone, azathioprine, mycophenolate, cyclosporine, cyclophosphamide, methotrexate, tacrolimus, rituximab, eculizumab, other corticosteroids) OR history of treatment with at least one of the above therapies for 1 year or more and required chronic IVIg/PLEX at least every 3 months for the 12 months. </w:t>
      </w:r>
    </w:p>
    <w:p w14:paraId="71450DC8" w14:textId="37FBB50C" w:rsidR="005F0B24" w:rsidRPr="00906ED7" w:rsidRDefault="005F0B24" w:rsidP="00A91166">
      <w:pPr>
        <w:pStyle w:val="3-BodyText"/>
      </w:pPr>
      <w:r w:rsidRPr="00906ED7">
        <w:t>The simplified algorithm presented in the submission did not adequately capture the sequential use of immunosuppressive therapies or the use of chronic IVIg/PLEX as bridging therapies while patients adjust to other slower-acting immunosuppressive agents.</w:t>
      </w:r>
    </w:p>
    <w:p w14:paraId="353ACEC5" w14:textId="35B1638E" w:rsidR="00E03266" w:rsidRPr="00906ED7" w:rsidRDefault="00E03266" w:rsidP="00A91166">
      <w:pPr>
        <w:pStyle w:val="3-BodyText"/>
      </w:pPr>
      <w:r w:rsidRPr="00906ED7">
        <w:t>The clinical management algorithm positions zilucoplan in two places in therapy:</w:t>
      </w:r>
    </w:p>
    <w:p w14:paraId="2C1B2778" w14:textId="77777777" w:rsidR="00E03266" w:rsidRPr="00906ED7" w:rsidRDefault="00E03266" w:rsidP="00A91166">
      <w:pPr>
        <w:pStyle w:val="ListParagraph"/>
      </w:pPr>
      <w:r w:rsidRPr="00906ED7">
        <w:t>As an add-on therapy for patients with significant symptoms despite treatment with an anticholinesterase and at least one immunosuppressive treatment (referred to as second-line therapy during the evaluation).</w:t>
      </w:r>
    </w:p>
    <w:p w14:paraId="211E1670" w14:textId="79C6D61E" w:rsidR="00E03266" w:rsidRPr="00906ED7" w:rsidRDefault="00E03266" w:rsidP="00A91166">
      <w:pPr>
        <w:pStyle w:val="ListParagraph"/>
      </w:pPr>
      <w:r w:rsidRPr="00906ED7">
        <w:t>As an alternative to chronic IVIg/PLEX in patients with treatment refractory disease.</w:t>
      </w:r>
    </w:p>
    <w:p w14:paraId="77D70D6E" w14:textId="7EF79370" w:rsidR="00906BF9" w:rsidRDefault="00906BF9" w:rsidP="00A91166">
      <w:pPr>
        <w:pStyle w:val="3-BodyText"/>
      </w:pPr>
      <w:bookmarkStart w:id="24" w:name="_Ref174263823"/>
      <w:r>
        <w:t xml:space="preserve">While the zilucoplan trial </w:t>
      </w:r>
      <w:r w:rsidR="00583AE9">
        <w:t xml:space="preserve">(RAISE) </w:t>
      </w:r>
      <w:r>
        <w:t xml:space="preserve">defined </w:t>
      </w:r>
      <w:r w:rsidRPr="00906BF9">
        <w:t xml:space="preserve">treatment-refractory disease as treatment for at least one year with </w:t>
      </w:r>
      <w:r>
        <w:t xml:space="preserve">specific therapies (see footnote under </w:t>
      </w:r>
      <w:r>
        <w:fldChar w:fldCharType="begin" w:fldLock="1"/>
      </w:r>
      <w:r>
        <w:instrText xml:space="preserve"> REF _Ref167105875 \h </w:instrText>
      </w:r>
      <w:r w:rsidR="00A91166">
        <w:instrText xml:space="preserve"> \* MERGEFORMAT </w:instrText>
      </w:r>
      <w:r>
        <w:fldChar w:fldCharType="separate"/>
      </w:r>
      <w:r w:rsidR="00FC355E">
        <w:t xml:space="preserve">Figure </w:t>
      </w:r>
      <w:r w:rsidR="00FC355E">
        <w:rPr>
          <w:noProof/>
        </w:rPr>
        <w:t>2</w:t>
      </w:r>
      <w:r>
        <w:fldChar w:fldCharType="end"/>
      </w:r>
      <w:r>
        <w:t>), there are multiple definitions in the literature</w:t>
      </w:r>
      <w:r w:rsidR="00B66646">
        <w:t xml:space="preserve">. </w:t>
      </w:r>
      <w:r w:rsidR="000A40AB">
        <w:t>The PBAC noted, i</w:t>
      </w:r>
      <w:r>
        <w:t xml:space="preserve">n clinical practice, </w:t>
      </w:r>
      <w:r w:rsidR="00B66646" w:rsidRPr="00906BF9">
        <w:t xml:space="preserve">treatment-refractory disease </w:t>
      </w:r>
      <w:r>
        <w:t xml:space="preserve">may also include </w:t>
      </w:r>
      <w:r w:rsidR="00B66646">
        <w:t xml:space="preserve">patients who: have </w:t>
      </w:r>
      <w:r>
        <w:t xml:space="preserve">disease that is unchanged or worse after corticosteroids and at least one other immunosuppressive agent (used </w:t>
      </w:r>
      <w:r w:rsidR="00914BF2">
        <w:t xml:space="preserve">at an </w:t>
      </w:r>
      <w:r>
        <w:t xml:space="preserve">adequate dose and </w:t>
      </w:r>
      <w:r w:rsidR="00914BF2">
        <w:t xml:space="preserve">for an adequate </w:t>
      </w:r>
      <w:r>
        <w:t>duration) with persistent symptoms or side effects that limit function</w:t>
      </w:r>
      <w:r w:rsidR="00B66646">
        <w:t>;</w:t>
      </w:r>
      <w:r>
        <w:t xml:space="preserve"> n</w:t>
      </w:r>
      <w:r w:rsidRPr="00906BF9">
        <w:t>eed ongoing rescue therapy</w:t>
      </w:r>
      <w:r>
        <w:t xml:space="preserve"> with IVIg/PLEX or </w:t>
      </w:r>
      <w:r w:rsidR="00914BF2">
        <w:t xml:space="preserve">who </w:t>
      </w:r>
      <w:r w:rsidR="00B66646">
        <w:t xml:space="preserve">experience </w:t>
      </w:r>
      <w:r>
        <w:t>frequent crises while on immunotherapy</w:t>
      </w:r>
      <w:r w:rsidR="00B66646">
        <w:t>;</w:t>
      </w:r>
      <w:r>
        <w:t xml:space="preserve"> or </w:t>
      </w:r>
      <w:r w:rsidR="00B66646">
        <w:t xml:space="preserve">with </w:t>
      </w:r>
      <w:r>
        <w:t>i</w:t>
      </w:r>
      <w:r w:rsidRPr="00906BF9">
        <w:t>ntolerable adverse reactions or the presence of comorbid illnesses that preclude use of conventional immunotherapies</w:t>
      </w:r>
      <w:r w:rsidR="003428D1">
        <w:t xml:space="preserve"> (Bird, S, Feb 27, 2024, ‘Chronic immunotherapy for myasthenia gravis’, </w:t>
      </w:r>
      <w:r w:rsidR="003428D1">
        <w:rPr>
          <w:i/>
        </w:rPr>
        <w:t>UpToDate</w:t>
      </w:r>
      <w:r w:rsidR="003428D1">
        <w:t>)</w:t>
      </w:r>
      <w:r>
        <w:t>.</w:t>
      </w:r>
      <w:bookmarkEnd w:id="24"/>
    </w:p>
    <w:p w14:paraId="008942F1" w14:textId="486578C6" w:rsidR="007F52A5" w:rsidRDefault="00E03266" w:rsidP="00A91166">
      <w:pPr>
        <w:pStyle w:val="3-BodyText"/>
      </w:pPr>
      <w:r w:rsidRPr="00906ED7">
        <w:t xml:space="preserve">The </w:t>
      </w:r>
      <w:r w:rsidR="005611E7">
        <w:t xml:space="preserve">evaluation considered that the </w:t>
      </w:r>
      <w:r w:rsidRPr="00906ED7">
        <w:t xml:space="preserve">clinical place in therapy for zilucoplan </w:t>
      </w:r>
      <w:r w:rsidR="00126E5D">
        <w:t>wa</w:t>
      </w:r>
      <w:r w:rsidRPr="00906ED7">
        <w:t>s currently unclear, particularly as the use of newer agents such as complement inhibitors (zilucoplan, ravulizumab) and FcRN blockers (rozanolixizumab, efgartigimod) have yet to be incorporated into most treatment guidelines.</w:t>
      </w:r>
    </w:p>
    <w:p w14:paraId="233EE2F6" w14:textId="480B5A4E" w:rsidR="007F52A5" w:rsidRPr="007F52A5" w:rsidRDefault="007F52A5" w:rsidP="00A10F29">
      <w:pPr>
        <w:pStyle w:val="COMexecsumnumberedpara"/>
        <w:ind w:left="720"/>
      </w:pPr>
      <w:r w:rsidRPr="007F52A5">
        <w:t>For more detail on PBAC’s view, see section 7 PBAC outcome.</w:t>
      </w:r>
    </w:p>
    <w:p w14:paraId="51E5AE96" w14:textId="5945884B" w:rsidR="00B50DB8" w:rsidRPr="00B162C2" w:rsidRDefault="00B50DB8" w:rsidP="00A91166">
      <w:pPr>
        <w:pStyle w:val="2-SectionHeading"/>
      </w:pPr>
      <w:bookmarkStart w:id="25" w:name="_Toc167199645"/>
      <w:r w:rsidRPr="00B162C2">
        <w:t>Comparator</w:t>
      </w:r>
      <w:bookmarkEnd w:id="25"/>
    </w:p>
    <w:p w14:paraId="3BBA3ED0" w14:textId="237EF5C7" w:rsidR="00E03266" w:rsidRPr="007F52A5" w:rsidRDefault="00E03266" w:rsidP="00D63CC3">
      <w:pPr>
        <w:pStyle w:val="3-BodyText"/>
      </w:pPr>
      <w:r w:rsidRPr="007F52A5">
        <w:t xml:space="preserve">The submission nominated placebo as the main comparator. The main argument provided in support of this nomination was zilucoplan would primarily be used as an add-on therapy and would not replace any PBS-listed medicines currently used for myasthenia gravis. The </w:t>
      </w:r>
      <w:r w:rsidR="00F51E46" w:rsidRPr="007F52A5">
        <w:t xml:space="preserve">evaluation and the ESC considered that the </w:t>
      </w:r>
      <w:r w:rsidRPr="007F52A5">
        <w:t xml:space="preserve">claim that zilucoplan would not substitute for existing therapies was not adequately supported. In particular, </w:t>
      </w:r>
      <w:r w:rsidR="007976B1" w:rsidRPr="007F52A5">
        <w:t xml:space="preserve">under the submission’s proposed restriction, </w:t>
      </w:r>
      <w:r w:rsidRPr="007F52A5">
        <w:t>the early use of zilucoplan in the second-line setting for patients who have only used one immunosuppressive therapy is likely to displace other existing therapies</w:t>
      </w:r>
      <w:r w:rsidR="005F0B24" w:rsidRPr="007F52A5">
        <w:t xml:space="preserve"> </w:t>
      </w:r>
      <w:r w:rsidR="00141133" w:rsidRPr="007F52A5">
        <w:t>(</w:t>
      </w:r>
      <w:r w:rsidR="005F0B24" w:rsidRPr="007F52A5">
        <w:t>such as corticosteroids, mycophenolate mofetil, azathioprine, methotrexate, tacrolimus and ciclosporin</w:t>
      </w:r>
      <w:r w:rsidR="00141133" w:rsidRPr="007F52A5">
        <w:t>)</w:t>
      </w:r>
      <w:r w:rsidRPr="007F52A5">
        <w:t xml:space="preserve"> given that these patients have additional treatment options (such as the optimisation of existing agents and/or the addition of a second immunosuppressive agent).</w:t>
      </w:r>
    </w:p>
    <w:p w14:paraId="2B2BF0D5" w14:textId="53AA636D" w:rsidR="00E03266" w:rsidRPr="007F52A5" w:rsidRDefault="00E03266" w:rsidP="00D63CC3">
      <w:pPr>
        <w:pStyle w:val="3-BodyText"/>
      </w:pPr>
      <w:r w:rsidRPr="007F52A5">
        <w:t>The submission nominated chronic IVIg/PLEX as secondary comparators, noting that zilucoplan will likely replace these therapies in the treatment-refractory setting. However, the submission argued that these therapies are not primary comparators as they are provided under other government programs (National Blood Authority, State/Territory hospital system) and are not subsidised under the PBS. Th</w:t>
      </w:r>
      <w:r w:rsidR="007976B1" w:rsidRPr="007F52A5">
        <w:t>e ESC considered th</w:t>
      </w:r>
      <w:r w:rsidRPr="007F52A5">
        <w:t xml:space="preserve">is argument </w:t>
      </w:r>
      <w:r w:rsidR="007976B1" w:rsidRPr="007F52A5">
        <w:t>wa</w:t>
      </w:r>
      <w:r w:rsidRPr="007F52A5">
        <w:t>s not reasonable and these treatments should be considered primary comparators</w:t>
      </w:r>
      <w:r w:rsidR="007976B1" w:rsidRPr="007F52A5">
        <w:t>, particularly in the refractory setting,</w:t>
      </w:r>
      <w:r w:rsidRPr="007F52A5">
        <w:t xml:space="preserve"> given that the submission has acknowledged that these therapies are the most likely to be replaced in clinical practice.</w:t>
      </w:r>
    </w:p>
    <w:p w14:paraId="13703116" w14:textId="67FDED37" w:rsidR="007F52A5" w:rsidRDefault="00AC24D2" w:rsidP="00D63CC3">
      <w:pPr>
        <w:pStyle w:val="3-BodyText"/>
      </w:pPr>
      <w:r w:rsidRPr="007F52A5">
        <w:t>The submission</w:t>
      </w:r>
      <w:r w:rsidR="00E03266" w:rsidRPr="007F52A5">
        <w:t xml:space="preserve"> acknowledged that rituximab and cyclophosphamide (which both have PBS listings that would allow use for generalised myasthenia gravis) are also included in current treatment guidelines as treatment options for treatment-refractory patients. However, the submission argued that these therapies are not comparators due to their limited evidence base and rarity of usage. </w:t>
      </w:r>
      <w:r w:rsidR="00ED7C60" w:rsidRPr="007F52A5">
        <w:t>The PSCR argued the evidence for rituximab is of low quality and its efficacy is uncertain, however t</w:t>
      </w:r>
      <w:r w:rsidR="00F51E46" w:rsidRPr="007F52A5">
        <w:t>he ESC considered that zilucoplan would displace existing therapies</w:t>
      </w:r>
      <w:r w:rsidR="00ED7C60" w:rsidRPr="007F52A5">
        <w:t xml:space="preserve"> such as</w:t>
      </w:r>
      <w:r w:rsidR="007976B1" w:rsidRPr="007F52A5">
        <w:t xml:space="preserve"> rituximab</w:t>
      </w:r>
      <w:r w:rsidR="0000587B" w:rsidRPr="007F52A5">
        <w:t>,</w:t>
      </w:r>
      <w:r w:rsidR="007976B1" w:rsidRPr="007F52A5">
        <w:t xml:space="preserve"> </w:t>
      </w:r>
      <w:r w:rsidR="0054542A" w:rsidRPr="007F52A5">
        <w:t xml:space="preserve">which is unrestricted on the PBS, </w:t>
      </w:r>
      <w:r w:rsidR="00ED7C60" w:rsidRPr="007F52A5">
        <w:t xml:space="preserve">and, thus </w:t>
      </w:r>
      <w:r w:rsidR="0054542A" w:rsidRPr="007F52A5">
        <w:t xml:space="preserve">it </w:t>
      </w:r>
      <w:r w:rsidR="00F51E46" w:rsidRPr="007F52A5">
        <w:t xml:space="preserve">should be considered as </w:t>
      </w:r>
      <w:r w:rsidR="0054542A" w:rsidRPr="007F52A5">
        <w:t xml:space="preserve">a </w:t>
      </w:r>
      <w:r w:rsidR="00F51E46" w:rsidRPr="007F52A5">
        <w:t>treatment comparator</w:t>
      </w:r>
      <w:r w:rsidR="007976B1" w:rsidRPr="007F52A5">
        <w:t>.</w:t>
      </w:r>
    </w:p>
    <w:p w14:paraId="77C69559" w14:textId="3B4F28EF" w:rsidR="007F52A5" w:rsidRDefault="00E03266" w:rsidP="00D63CC3">
      <w:pPr>
        <w:pStyle w:val="3-BodyText"/>
      </w:pPr>
      <w:r w:rsidRPr="007F52A5">
        <w:t>The submission nominated ravulizumab (another complement inhibitor) as a near-market comparator</w:t>
      </w:r>
      <w:r w:rsidR="00491ECA" w:rsidRPr="007F52A5">
        <w:t xml:space="preserve">. </w:t>
      </w:r>
      <w:r w:rsidRPr="007F52A5">
        <w:t>During the evaluation, it was noted that rozanolixizumab (FDA and EMA approved, under TGA review) and efgartigimod (FDA and EMA approved) should also be considered near-market comparators for the treatment of generalised myasthenia gravis.</w:t>
      </w:r>
      <w:r w:rsidR="007F52A5">
        <w:t xml:space="preserve"> </w:t>
      </w:r>
    </w:p>
    <w:p w14:paraId="0212E992" w14:textId="185C6242" w:rsidR="00E03266" w:rsidRPr="007F52A5" w:rsidRDefault="007F52A5" w:rsidP="00A10F29">
      <w:pPr>
        <w:pStyle w:val="COMexecsumnumberedpara"/>
        <w:ind w:left="720"/>
        <w:rPr>
          <w:snapToGrid/>
        </w:rPr>
      </w:pPr>
      <w:r w:rsidRPr="007F52A5">
        <w:t>For more detail on PBAC’s view, see section 7 PBAC outcome.</w:t>
      </w:r>
    </w:p>
    <w:p w14:paraId="7F9C27C8" w14:textId="73EBD390" w:rsidR="00223D5A" w:rsidRPr="00285A00" w:rsidRDefault="00223D5A" w:rsidP="00D63CC3">
      <w:pPr>
        <w:pStyle w:val="2-SectionHeading"/>
      </w:pPr>
      <w:bookmarkStart w:id="26" w:name="_Toc167199646"/>
      <w:r w:rsidRPr="00B162C2">
        <w:t>Conside</w:t>
      </w:r>
      <w:r w:rsidRPr="00285A00">
        <w:t>ration of the evidence</w:t>
      </w:r>
      <w:bookmarkStart w:id="27" w:name="_Toc22897640"/>
      <w:bookmarkEnd w:id="26"/>
    </w:p>
    <w:p w14:paraId="6AF58E07" w14:textId="77777777" w:rsidR="007F52A5" w:rsidRPr="00285A00" w:rsidRDefault="007F52A5" w:rsidP="00D63CC3">
      <w:pPr>
        <w:pStyle w:val="4-SubsectionHeading"/>
      </w:pPr>
      <w:bookmarkStart w:id="28" w:name="_Hlk76375935"/>
      <w:bookmarkStart w:id="29" w:name="_Toc167199647"/>
      <w:r w:rsidRPr="00285A00">
        <w:t>Sponsor hearing</w:t>
      </w:r>
    </w:p>
    <w:p w14:paraId="45463FDD" w14:textId="047E932A" w:rsidR="00752C7E" w:rsidRDefault="007F52A5" w:rsidP="00BB3AB1">
      <w:pPr>
        <w:pStyle w:val="3-BodyText"/>
        <w:rPr>
          <w:snapToGrid w:val="0"/>
        </w:rPr>
      </w:pPr>
      <w:bookmarkStart w:id="30" w:name="_Ref173847324"/>
      <w:bookmarkStart w:id="31" w:name="_Hlk76382586"/>
      <w:r w:rsidRPr="00285A00">
        <w:rPr>
          <w:snapToGrid w:val="0"/>
        </w:rPr>
        <w:t xml:space="preserve">The sponsor requested a hearing for this item. </w:t>
      </w:r>
      <w:bookmarkStart w:id="32" w:name="_Hlk173758533"/>
      <w:r w:rsidRPr="00285A00">
        <w:rPr>
          <w:snapToGrid w:val="0"/>
        </w:rPr>
        <w:t>The clinician</w:t>
      </w:r>
      <w:r w:rsidR="00DD5199" w:rsidRPr="00285A00">
        <w:rPr>
          <w:snapToGrid w:val="0"/>
        </w:rPr>
        <w:t xml:space="preserve">s </w:t>
      </w:r>
      <w:r w:rsidR="00752C7E">
        <w:rPr>
          <w:snapToGrid w:val="0"/>
        </w:rPr>
        <w:t xml:space="preserve">outlined that there is a significant unmet need for effective therapies for gMG. </w:t>
      </w:r>
      <w:bookmarkEnd w:id="32"/>
      <w:r w:rsidR="00752C7E">
        <w:rPr>
          <w:snapToGrid w:val="0"/>
        </w:rPr>
        <w:t>One clinician described that C5 inhibitors would be particularly beneficial for patients with refractory disease who currently require chronic IVIg/PLEX. Another clinician outlined that C5 inhibitors should also be available for patients with uncontrolled gMG early in the disease course. The clinicians noted the heterogeneity of effect of C5 inhibitors, with some patients experiencing substantial benefits, while others experience more modest benefit</w:t>
      </w:r>
      <w:r w:rsidR="00DB71A2">
        <w:rPr>
          <w:snapToGrid w:val="0"/>
        </w:rPr>
        <w:t>s</w:t>
      </w:r>
      <w:r w:rsidR="00752C7E">
        <w:rPr>
          <w:snapToGrid w:val="0"/>
        </w:rPr>
        <w:t>.</w:t>
      </w:r>
      <w:bookmarkEnd w:id="30"/>
      <w:r w:rsidR="00752C7E">
        <w:rPr>
          <w:snapToGrid w:val="0"/>
        </w:rPr>
        <w:t xml:space="preserve"> </w:t>
      </w:r>
    </w:p>
    <w:p w14:paraId="68E3FE4C" w14:textId="7AB78A7D" w:rsidR="00752C7E" w:rsidRDefault="00DB71A2" w:rsidP="00BB3AB1">
      <w:pPr>
        <w:pStyle w:val="3-BodyText"/>
        <w:rPr>
          <w:snapToGrid w:val="0"/>
        </w:rPr>
      </w:pPr>
      <w:bookmarkStart w:id="33" w:name="_Ref173847393"/>
      <w:r>
        <w:rPr>
          <w:snapToGrid w:val="0"/>
        </w:rPr>
        <w:t>A</w:t>
      </w:r>
      <w:r w:rsidR="00752C7E">
        <w:rPr>
          <w:snapToGrid w:val="0"/>
        </w:rPr>
        <w:t xml:space="preserve"> clinician </w:t>
      </w:r>
      <w:r>
        <w:rPr>
          <w:snapToGrid w:val="0"/>
        </w:rPr>
        <w:t xml:space="preserve">at the hearing </w:t>
      </w:r>
      <w:r w:rsidR="00752C7E">
        <w:rPr>
          <w:snapToGrid w:val="0"/>
        </w:rPr>
        <w:t xml:space="preserve">outlined that, in </w:t>
      </w:r>
      <w:r w:rsidR="00752C7E" w:rsidRPr="00285A00">
        <w:rPr>
          <w:snapToGrid w:val="0"/>
        </w:rPr>
        <w:t>some cases</w:t>
      </w:r>
      <w:r w:rsidR="00752C7E">
        <w:rPr>
          <w:snapToGrid w:val="0"/>
        </w:rPr>
        <w:t>,</w:t>
      </w:r>
      <w:r w:rsidR="00752C7E" w:rsidRPr="00285A00">
        <w:rPr>
          <w:snapToGrid w:val="0"/>
        </w:rPr>
        <w:t xml:space="preserve"> a modest </w:t>
      </w:r>
      <w:r w:rsidR="00752C7E">
        <w:rPr>
          <w:snapToGrid w:val="0"/>
        </w:rPr>
        <w:t>improvement</w:t>
      </w:r>
      <w:r w:rsidR="00752C7E" w:rsidRPr="00285A00">
        <w:rPr>
          <w:snapToGrid w:val="0"/>
        </w:rPr>
        <w:t xml:space="preserve"> in MGC</w:t>
      </w:r>
      <w:r w:rsidR="00AE591C">
        <w:rPr>
          <w:snapToGrid w:val="0"/>
        </w:rPr>
        <w:t xml:space="preserve"> score</w:t>
      </w:r>
      <w:r w:rsidR="00752C7E" w:rsidRPr="00285A00">
        <w:rPr>
          <w:snapToGrid w:val="0"/>
        </w:rPr>
        <w:t xml:space="preserve"> may still </w:t>
      </w:r>
      <w:r w:rsidR="00752C7E">
        <w:rPr>
          <w:snapToGrid w:val="0"/>
        </w:rPr>
        <w:t>represent a</w:t>
      </w:r>
      <w:r w:rsidR="00752C7E" w:rsidRPr="00285A00">
        <w:rPr>
          <w:snapToGrid w:val="0"/>
        </w:rPr>
        <w:t xml:space="preserve"> clinically or occupationally meaningful </w:t>
      </w:r>
      <w:r>
        <w:rPr>
          <w:snapToGrid w:val="0"/>
        </w:rPr>
        <w:t>benefit</w:t>
      </w:r>
      <w:r w:rsidR="00752C7E" w:rsidRPr="00285A00">
        <w:rPr>
          <w:snapToGrid w:val="0"/>
        </w:rPr>
        <w:t xml:space="preserve"> for some</w:t>
      </w:r>
      <w:r w:rsidR="00752C7E">
        <w:rPr>
          <w:snapToGrid w:val="0"/>
        </w:rPr>
        <w:t xml:space="preserve"> patients</w:t>
      </w:r>
      <w:r w:rsidR="00752C7E" w:rsidRPr="00285A00">
        <w:rPr>
          <w:snapToGrid w:val="0"/>
        </w:rPr>
        <w:t xml:space="preserve">. </w:t>
      </w:r>
      <w:r>
        <w:rPr>
          <w:snapToGrid w:val="0"/>
        </w:rPr>
        <w:t>In terms of which scale to use in the restriction, one clinician outlined that further discussion and clinical input may be required</w:t>
      </w:r>
      <w:r w:rsidR="00CD0F68">
        <w:rPr>
          <w:snapToGrid w:val="0"/>
        </w:rPr>
        <w:t>,</w:t>
      </w:r>
      <w:r>
        <w:rPr>
          <w:snapToGrid w:val="0"/>
        </w:rPr>
        <w:t xml:space="preserve"> but that from a clinician perspective there is limited difference between </w:t>
      </w:r>
      <w:r w:rsidR="00752C7E" w:rsidRPr="00285A00">
        <w:rPr>
          <w:snapToGrid w:val="0"/>
        </w:rPr>
        <w:t xml:space="preserve">the MG-ADL </w:t>
      </w:r>
      <w:r w:rsidR="00784308">
        <w:rPr>
          <w:snapToGrid w:val="0"/>
        </w:rPr>
        <w:t xml:space="preserve">(which was used in the trial) </w:t>
      </w:r>
      <w:r>
        <w:rPr>
          <w:snapToGrid w:val="0"/>
        </w:rPr>
        <w:t>and</w:t>
      </w:r>
      <w:r w:rsidR="00752C7E" w:rsidRPr="00285A00">
        <w:rPr>
          <w:snapToGrid w:val="0"/>
        </w:rPr>
        <w:t xml:space="preserve"> MGC </w:t>
      </w:r>
      <w:r w:rsidR="00784308">
        <w:rPr>
          <w:snapToGrid w:val="0"/>
        </w:rPr>
        <w:t xml:space="preserve">(which is used in the NBA listing for IVIg) </w:t>
      </w:r>
      <w:r w:rsidR="00752C7E" w:rsidRPr="00285A00">
        <w:rPr>
          <w:snapToGrid w:val="0"/>
        </w:rPr>
        <w:t>scoring systems</w:t>
      </w:r>
      <w:r w:rsidR="00784308">
        <w:rPr>
          <w:snapToGrid w:val="0"/>
        </w:rPr>
        <w:t>. The clinician outlined that the</w:t>
      </w:r>
      <w:r w:rsidR="00CD0F68">
        <w:rPr>
          <w:snapToGrid w:val="0"/>
        </w:rPr>
        <w:t xml:space="preserve"> MG-ADL </w:t>
      </w:r>
      <w:r w:rsidR="00784308">
        <w:rPr>
          <w:snapToGrid w:val="0"/>
        </w:rPr>
        <w:t xml:space="preserve">scoring system is </w:t>
      </w:r>
      <w:r w:rsidR="00CD0F68">
        <w:rPr>
          <w:snapToGrid w:val="0"/>
        </w:rPr>
        <w:t>a subset of the MGC</w:t>
      </w:r>
      <w:r w:rsidR="00784308">
        <w:rPr>
          <w:snapToGrid w:val="0"/>
        </w:rPr>
        <w:t xml:space="preserve"> that captures patient-reported outcomes only, while the MGC scale captures both </w:t>
      </w:r>
      <w:r w:rsidR="00784308" w:rsidRPr="00784308">
        <w:rPr>
          <w:snapToGrid w:val="0"/>
        </w:rPr>
        <w:t>patient and physician assessments</w:t>
      </w:r>
      <w:r w:rsidR="00784308">
        <w:rPr>
          <w:snapToGrid w:val="0"/>
        </w:rPr>
        <w:t>.</w:t>
      </w:r>
      <w:r w:rsidR="00752C7E" w:rsidRPr="00285A00">
        <w:rPr>
          <w:snapToGrid w:val="0"/>
        </w:rPr>
        <w:t xml:space="preserve"> The hearing noted that the expected duration of therapy with zilucoplan is currently unknown, but there is hope that patients will go into </w:t>
      </w:r>
      <w:r w:rsidR="00752C7E" w:rsidRPr="00B83878">
        <w:rPr>
          <w:snapToGrid w:val="0"/>
        </w:rPr>
        <w:t>remission and cease therapy.</w:t>
      </w:r>
      <w:bookmarkEnd w:id="33"/>
    </w:p>
    <w:bookmarkEnd w:id="31"/>
    <w:p w14:paraId="497EB9EC" w14:textId="77777777" w:rsidR="007F52A5" w:rsidRPr="00B83878" w:rsidRDefault="007F52A5" w:rsidP="00BB3AB1">
      <w:pPr>
        <w:pStyle w:val="4-SubsectionHeading"/>
      </w:pPr>
      <w:r w:rsidRPr="00B83878">
        <w:t>Consumer comments</w:t>
      </w:r>
    </w:p>
    <w:p w14:paraId="0B775696" w14:textId="7B50D7A6" w:rsidR="00202CE9" w:rsidRPr="00B83878" w:rsidRDefault="007F52A5" w:rsidP="00BB3AB1">
      <w:pPr>
        <w:pStyle w:val="3-BodyText"/>
        <w:rPr>
          <w:snapToGrid w:val="0"/>
        </w:rPr>
      </w:pPr>
      <w:bookmarkStart w:id="34" w:name="_Hlk76382618"/>
      <w:r w:rsidRPr="00B83878">
        <w:rPr>
          <w:snapToGrid w:val="0"/>
        </w:rPr>
        <w:t>The PBAC noted and welcomed the input from individuals (</w:t>
      </w:r>
      <w:r w:rsidR="007A464A" w:rsidRPr="00B83878">
        <w:rPr>
          <w:snapToGrid w:val="0"/>
        </w:rPr>
        <w:t>31</w:t>
      </w:r>
      <w:r w:rsidRPr="00B83878">
        <w:rPr>
          <w:snapToGrid w:val="0"/>
        </w:rPr>
        <w:t>), health care professionals (</w:t>
      </w:r>
      <w:r w:rsidR="00F42C4C" w:rsidRPr="00B83878">
        <w:rPr>
          <w:snapToGrid w:val="0"/>
        </w:rPr>
        <w:t>2</w:t>
      </w:r>
      <w:r w:rsidRPr="00B83878">
        <w:rPr>
          <w:snapToGrid w:val="0"/>
        </w:rPr>
        <w:t xml:space="preserve">) and organisations (1) via the Consumer Comments facility on the PBS website. </w:t>
      </w:r>
      <w:r w:rsidR="00202CE9" w:rsidRPr="00B83878">
        <w:rPr>
          <w:snapToGrid w:val="0"/>
        </w:rPr>
        <w:t xml:space="preserve">The comments described the significant impact that gMG can have on quality of life such as an inability to: perform daily tasks; work; study; drive; or participate in social activities. </w:t>
      </w:r>
      <w:bookmarkStart w:id="35" w:name="_Hlk173755761"/>
      <w:r w:rsidR="00B83878" w:rsidRPr="00B83878">
        <w:rPr>
          <w:snapToGrid w:val="0"/>
        </w:rPr>
        <w:t xml:space="preserve">Patients outlined that the fluctuating nature of gMG can create uncertainty. </w:t>
      </w:r>
      <w:bookmarkEnd w:id="35"/>
      <w:r w:rsidR="00202CE9" w:rsidRPr="00B83878">
        <w:rPr>
          <w:snapToGrid w:val="0"/>
        </w:rPr>
        <w:t xml:space="preserve">The comments noted that </w:t>
      </w:r>
      <w:r w:rsidR="005F1DFE" w:rsidRPr="00B83878">
        <w:rPr>
          <w:snapToGrid w:val="0"/>
        </w:rPr>
        <w:t xml:space="preserve">existing treatment options can be ineffective </w:t>
      </w:r>
      <w:r w:rsidR="00011733" w:rsidRPr="00B83878">
        <w:rPr>
          <w:snapToGrid w:val="0"/>
        </w:rPr>
        <w:t>o</w:t>
      </w:r>
      <w:r w:rsidR="005F1DFE" w:rsidRPr="00B83878">
        <w:rPr>
          <w:snapToGrid w:val="0"/>
        </w:rPr>
        <w:t xml:space="preserve">r have significant adverse events including the potential for </w:t>
      </w:r>
      <w:r w:rsidR="00202CE9" w:rsidRPr="00B83878">
        <w:rPr>
          <w:snapToGrid w:val="0"/>
        </w:rPr>
        <w:t>osteoporosis, diabetes, hypertension and weight gain with corticosteroids. The comments also highlighted that there are some patients who are unable to tolerate high doses of corticosteroids</w:t>
      </w:r>
      <w:r w:rsidR="00011733" w:rsidRPr="00B83878">
        <w:rPr>
          <w:snapToGrid w:val="0"/>
        </w:rPr>
        <w:t xml:space="preserve">, </w:t>
      </w:r>
      <w:bookmarkStart w:id="36" w:name="_Hlk173755802"/>
      <w:r w:rsidR="00011733" w:rsidRPr="00B83878">
        <w:rPr>
          <w:snapToGrid w:val="0"/>
        </w:rPr>
        <w:t>or in whom corticosteroids are contraindicated.</w:t>
      </w:r>
      <w:bookmarkEnd w:id="36"/>
    </w:p>
    <w:p w14:paraId="428CC265" w14:textId="21D0107D" w:rsidR="005F1DFE" w:rsidRPr="00B83878" w:rsidRDefault="007F52A5" w:rsidP="00BB3AB1">
      <w:pPr>
        <w:pStyle w:val="3-BodyText"/>
        <w:rPr>
          <w:snapToGrid w:val="0"/>
        </w:rPr>
      </w:pPr>
      <w:bookmarkStart w:id="37" w:name="_Hlk173755828"/>
      <w:r w:rsidRPr="00B83878">
        <w:rPr>
          <w:snapToGrid w:val="0"/>
        </w:rPr>
        <w:t xml:space="preserve">The comments described a range of </w:t>
      </w:r>
      <w:r w:rsidR="00AA5DE6" w:rsidRPr="00B83878">
        <w:rPr>
          <w:snapToGrid w:val="0"/>
        </w:rPr>
        <w:t xml:space="preserve">potential </w:t>
      </w:r>
      <w:r w:rsidRPr="00B83878">
        <w:rPr>
          <w:snapToGrid w:val="0"/>
        </w:rPr>
        <w:t xml:space="preserve">benefits of </w:t>
      </w:r>
      <w:r w:rsidR="00AA5DE6" w:rsidRPr="00B83878">
        <w:rPr>
          <w:snapToGrid w:val="0"/>
        </w:rPr>
        <w:t xml:space="preserve">zilucoplan </w:t>
      </w:r>
      <w:r w:rsidRPr="00B83878">
        <w:rPr>
          <w:snapToGrid w:val="0"/>
        </w:rPr>
        <w:t>including</w:t>
      </w:r>
      <w:r w:rsidR="00816615" w:rsidRPr="00B83878">
        <w:rPr>
          <w:snapToGrid w:val="0"/>
        </w:rPr>
        <w:t xml:space="preserve"> </w:t>
      </w:r>
      <w:bookmarkEnd w:id="37"/>
      <w:r w:rsidR="005F1DFE" w:rsidRPr="00B83878">
        <w:rPr>
          <w:snapToGrid w:val="0"/>
        </w:rPr>
        <w:t xml:space="preserve">that it is </w:t>
      </w:r>
      <w:r w:rsidR="00AA5DE6" w:rsidRPr="00B83878">
        <w:rPr>
          <w:snapToGrid w:val="0"/>
        </w:rPr>
        <w:t xml:space="preserve">effective, </w:t>
      </w:r>
      <w:r w:rsidR="00816615" w:rsidRPr="00B83878">
        <w:rPr>
          <w:snapToGrid w:val="0"/>
        </w:rPr>
        <w:t>fast</w:t>
      </w:r>
      <w:r w:rsidR="00F225DF" w:rsidRPr="00B83878">
        <w:rPr>
          <w:snapToGrid w:val="0"/>
        </w:rPr>
        <w:t>-</w:t>
      </w:r>
      <w:r w:rsidR="00816615" w:rsidRPr="00B83878">
        <w:rPr>
          <w:snapToGrid w:val="0"/>
        </w:rPr>
        <w:t>acting</w:t>
      </w:r>
      <w:r w:rsidR="00AA5DE6" w:rsidRPr="00B83878">
        <w:rPr>
          <w:snapToGrid w:val="0"/>
        </w:rPr>
        <w:t xml:space="preserve"> and</w:t>
      </w:r>
      <w:r w:rsidR="00816615" w:rsidRPr="00B83878">
        <w:rPr>
          <w:snapToGrid w:val="0"/>
        </w:rPr>
        <w:t xml:space="preserve"> </w:t>
      </w:r>
      <w:r w:rsidR="00AA5DE6" w:rsidRPr="00B83878">
        <w:rPr>
          <w:snapToGrid w:val="0"/>
        </w:rPr>
        <w:t>has a favourable</w:t>
      </w:r>
      <w:r w:rsidR="00816615" w:rsidRPr="00B83878">
        <w:rPr>
          <w:snapToGrid w:val="0"/>
        </w:rPr>
        <w:t xml:space="preserve"> </w:t>
      </w:r>
      <w:r w:rsidR="005F1DFE" w:rsidRPr="00B83878">
        <w:rPr>
          <w:snapToGrid w:val="0"/>
        </w:rPr>
        <w:t>adverse event</w:t>
      </w:r>
      <w:r w:rsidR="00AA5DE6" w:rsidRPr="00B83878">
        <w:rPr>
          <w:snapToGrid w:val="0"/>
        </w:rPr>
        <w:t xml:space="preserve"> profile.</w:t>
      </w:r>
      <w:r w:rsidR="005F1DFE" w:rsidRPr="00B83878">
        <w:rPr>
          <w:snapToGrid w:val="0"/>
        </w:rPr>
        <w:t xml:space="preserve"> </w:t>
      </w:r>
      <w:r w:rsidR="00AA5DE6" w:rsidRPr="00B83878">
        <w:rPr>
          <w:snapToGrid w:val="0"/>
        </w:rPr>
        <w:t xml:space="preserve">Further, the comments outlined that zilucoplan </w:t>
      </w:r>
      <w:r w:rsidR="005F1DFE" w:rsidRPr="00B83878">
        <w:rPr>
          <w:snapToGrid w:val="0"/>
        </w:rPr>
        <w:t xml:space="preserve">can be self-administered, which </w:t>
      </w:r>
      <w:r w:rsidR="00B83878" w:rsidRPr="00B83878">
        <w:rPr>
          <w:snapToGrid w:val="0"/>
        </w:rPr>
        <w:t>would</w:t>
      </w:r>
      <w:r w:rsidR="005F1DFE" w:rsidRPr="00B83878">
        <w:rPr>
          <w:snapToGrid w:val="0"/>
        </w:rPr>
        <w:t xml:space="preserve"> reduce </w:t>
      </w:r>
      <w:r w:rsidR="00011733" w:rsidRPr="00B83878">
        <w:rPr>
          <w:snapToGrid w:val="0"/>
        </w:rPr>
        <w:t xml:space="preserve">the need for </w:t>
      </w:r>
      <w:r w:rsidR="005F1DFE" w:rsidRPr="00B83878">
        <w:rPr>
          <w:snapToGrid w:val="0"/>
        </w:rPr>
        <w:t xml:space="preserve">hospital </w:t>
      </w:r>
      <w:r w:rsidR="00B83878" w:rsidRPr="00B83878">
        <w:rPr>
          <w:snapToGrid w:val="0"/>
        </w:rPr>
        <w:t>attendance</w:t>
      </w:r>
      <w:r w:rsidR="005F1DFE" w:rsidRPr="00B83878">
        <w:rPr>
          <w:snapToGrid w:val="0"/>
        </w:rPr>
        <w:t>s</w:t>
      </w:r>
      <w:r w:rsidR="00011733" w:rsidRPr="00B83878">
        <w:rPr>
          <w:snapToGrid w:val="0"/>
        </w:rPr>
        <w:t xml:space="preserve"> for therapy administration and </w:t>
      </w:r>
      <w:r w:rsidR="00AA5DE6" w:rsidRPr="00B83878">
        <w:rPr>
          <w:snapToGrid w:val="0"/>
        </w:rPr>
        <w:t xml:space="preserve">would </w:t>
      </w:r>
      <w:r w:rsidR="00011733" w:rsidRPr="00B83878">
        <w:rPr>
          <w:snapToGrid w:val="0"/>
        </w:rPr>
        <w:t>improve access for those patients living in regional and remote areas</w:t>
      </w:r>
      <w:r w:rsidR="00F225DF" w:rsidRPr="00B83878">
        <w:rPr>
          <w:snapToGrid w:val="0"/>
        </w:rPr>
        <w:t xml:space="preserve">. </w:t>
      </w:r>
      <w:r w:rsidR="005F1DFE" w:rsidRPr="00B83878">
        <w:rPr>
          <w:snapToGrid w:val="0"/>
        </w:rPr>
        <w:t>Individuals living with gMG who would like to access zilucoplan expressed hope that it would</w:t>
      </w:r>
      <w:r w:rsidR="005F1DFE" w:rsidRPr="00B83878">
        <w:t xml:space="preserve"> </w:t>
      </w:r>
      <w:r w:rsidR="005F1DFE" w:rsidRPr="00B83878">
        <w:rPr>
          <w:snapToGrid w:val="0"/>
        </w:rPr>
        <w:t xml:space="preserve">improve their </w:t>
      </w:r>
      <w:r w:rsidR="00011733" w:rsidRPr="00B83878">
        <w:rPr>
          <w:snapToGrid w:val="0"/>
        </w:rPr>
        <w:t>symptoms</w:t>
      </w:r>
      <w:r w:rsidR="00AA5DE6" w:rsidRPr="00B83878">
        <w:rPr>
          <w:snapToGrid w:val="0"/>
        </w:rPr>
        <w:t xml:space="preserve"> and</w:t>
      </w:r>
      <w:r w:rsidR="00011733" w:rsidRPr="00B83878">
        <w:rPr>
          <w:snapToGrid w:val="0"/>
        </w:rPr>
        <w:t xml:space="preserve"> quality of life and allow </w:t>
      </w:r>
      <w:r w:rsidR="00AA5DE6" w:rsidRPr="00B83878">
        <w:rPr>
          <w:snapToGrid w:val="0"/>
        </w:rPr>
        <w:t>them</w:t>
      </w:r>
      <w:r w:rsidR="00011733" w:rsidRPr="00B83878">
        <w:rPr>
          <w:snapToGrid w:val="0"/>
        </w:rPr>
        <w:t xml:space="preserve"> to resume daily activities. </w:t>
      </w:r>
      <w:r w:rsidR="005F1DFE" w:rsidRPr="00B83878">
        <w:rPr>
          <w:snapToGrid w:val="0"/>
        </w:rPr>
        <w:t>The comments also noted the need for other treatment options in the long-term, since zilucoplan is not a remission-inducing therapy.</w:t>
      </w:r>
      <w:r w:rsidR="00B83878" w:rsidRPr="00B83878">
        <w:rPr>
          <w:snapToGrid w:val="0"/>
        </w:rPr>
        <w:t xml:space="preserve"> </w:t>
      </w:r>
    </w:p>
    <w:p w14:paraId="0FFEC260" w14:textId="3B8004AA" w:rsidR="003C58C8" w:rsidRDefault="007F52A5" w:rsidP="00BB3AB1">
      <w:pPr>
        <w:pStyle w:val="3-BodyText"/>
        <w:rPr>
          <w:snapToGrid w:val="0"/>
        </w:rPr>
      </w:pPr>
      <w:bookmarkStart w:id="38" w:name="_Ref173847395"/>
      <w:bookmarkStart w:id="39" w:name="_Hlk173755576"/>
      <w:r w:rsidRPr="00B83878">
        <w:rPr>
          <w:snapToGrid w:val="0"/>
        </w:rPr>
        <w:t xml:space="preserve">The PBAC noted the advice received from </w:t>
      </w:r>
      <w:r w:rsidR="007A464A" w:rsidRPr="00B83878">
        <w:rPr>
          <w:snapToGrid w:val="0"/>
        </w:rPr>
        <w:t xml:space="preserve">Myasthenia Alliance Australia (MAA) </w:t>
      </w:r>
      <w:r w:rsidR="003C58C8" w:rsidRPr="00B83878">
        <w:rPr>
          <w:snapToGrid w:val="0"/>
        </w:rPr>
        <w:t>which outlined the results of a recent online survey it had conducted. Forty-four percent of the 194 respondents indicated their current treatment regimen was not keeping them stable or allowing them to undertake daily activities including family and work commitments. MAA stated that</w:t>
      </w:r>
      <w:r w:rsidR="006937D0" w:rsidRPr="00B83878">
        <w:rPr>
          <w:snapToGrid w:val="0"/>
        </w:rPr>
        <w:t>,</w:t>
      </w:r>
      <w:r w:rsidR="003C58C8" w:rsidRPr="00B83878">
        <w:rPr>
          <w:snapToGrid w:val="0"/>
        </w:rPr>
        <w:t xml:space="preserve"> fr</w:t>
      </w:r>
      <w:r w:rsidR="006937D0" w:rsidRPr="00B83878">
        <w:rPr>
          <w:snapToGrid w:val="0"/>
        </w:rPr>
        <w:t>o</w:t>
      </w:r>
      <w:r w:rsidR="003C58C8" w:rsidRPr="00B83878">
        <w:rPr>
          <w:snapToGrid w:val="0"/>
        </w:rPr>
        <w:t>m the patient perspective, the benefits of zilucoplan outweigh the disadvantages. MAA also outlined that the assessment criteria for accessing new gMG treatments and measuring response should not be complex or burdensome for the clinician or patient.</w:t>
      </w:r>
      <w:bookmarkEnd w:id="38"/>
    </w:p>
    <w:bookmarkEnd w:id="28"/>
    <w:bookmarkEnd w:id="34"/>
    <w:bookmarkEnd w:id="39"/>
    <w:p w14:paraId="609C0765" w14:textId="31C3E824" w:rsidR="00B60939" w:rsidRPr="00B162C2" w:rsidRDefault="00B60939" w:rsidP="00BB3AB1">
      <w:pPr>
        <w:pStyle w:val="4-SubsectionHeading"/>
      </w:pPr>
      <w:r w:rsidRPr="00B83878">
        <w:t xml:space="preserve">Clinical </w:t>
      </w:r>
      <w:r w:rsidR="00D5243B" w:rsidRPr="00B83878">
        <w:t>studies</w:t>
      </w:r>
      <w:bookmarkEnd w:id="27"/>
      <w:bookmarkEnd w:id="29"/>
    </w:p>
    <w:p w14:paraId="273AF36C" w14:textId="46B5E534" w:rsidR="00B47C56" w:rsidRPr="00B162C2" w:rsidRDefault="00B47C56" w:rsidP="00BB3AB1">
      <w:pPr>
        <w:pStyle w:val="3-BodyText"/>
      </w:pPr>
      <w:r w:rsidRPr="00B162C2">
        <w:t>The submission was primarily based on one head-to-head randomised trial comparing zilucoplan to placebo in patients with generalised myasthenia gravis (RAISE). The submission also presented an interim analysis from an open-label extension study of patients previously enrolled in the RAISE trial as supportive data.</w:t>
      </w:r>
    </w:p>
    <w:p w14:paraId="27888D83" w14:textId="15DBCBE2" w:rsidR="00B47C56" w:rsidRPr="00B162C2" w:rsidRDefault="00B47C56" w:rsidP="00BB3AB1">
      <w:pPr>
        <w:pStyle w:val="3-BodyText"/>
      </w:pPr>
      <w:r w:rsidRPr="00B162C2">
        <w:t xml:space="preserve">Additionally, the submission presented a series of indirect comparisons of zilucoplan versus chronic IVIg (NCT02473952, Wolfe 2002, Zinman 2007) </w:t>
      </w:r>
      <w:r w:rsidR="00F115C5">
        <w:t>and</w:t>
      </w:r>
      <w:r w:rsidR="00F115C5" w:rsidRPr="00B162C2">
        <w:t xml:space="preserve"> </w:t>
      </w:r>
      <w:r w:rsidRPr="00B162C2">
        <w:t>ravulizumab (CHAMPION-MG). The submission did not identify any trials that would allow for an indirect comparison of zilucoplan with chronic PLEX.</w:t>
      </w:r>
    </w:p>
    <w:p w14:paraId="2B59ABAC" w14:textId="481A2340" w:rsidR="00862502" w:rsidRPr="00B162C2" w:rsidRDefault="00A73134" w:rsidP="00BB3AB1">
      <w:pPr>
        <w:pStyle w:val="3-BodyText"/>
      </w:pPr>
      <w:r w:rsidRPr="00B162C2">
        <w:t xml:space="preserve">Details of the </w:t>
      </w:r>
      <w:r w:rsidR="00B47C56" w:rsidRPr="00B162C2">
        <w:t>included studies</w:t>
      </w:r>
      <w:r w:rsidRPr="00B162C2">
        <w:t xml:space="preserve"> are provided i</w:t>
      </w:r>
      <w:r w:rsidR="00B47C56" w:rsidRPr="00B162C2">
        <w:t xml:space="preserve">n </w:t>
      </w:r>
      <w:r w:rsidR="00B47C56" w:rsidRPr="00B162C2">
        <w:fldChar w:fldCharType="begin" w:fldLock="1"/>
      </w:r>
      <w:r w:rsidR="00B47C56" w:rsidRPr="00B162C2">
        <w:instrText xml:space="preserve"> REF _Ref164430031 \h </w:instrText>
      </w:r>
      <w:r w:rsidR="00BB3AB1">
        <w:instrText xml:space="preserve"> \* MERGEFORMAT </w:instrText>
      </w:r>
      <w:r w:rsidR="00B47C56" w:rsidRPr="00B162C2">
        <w:fldChar w:fldCharType="separate"/>
      </w:r>
      <w:r w:rsidR="00FC355E" w:rsidRPr="00B162C2">
        <w:t xml:space="preserve">Table </w:t>
      </w:r>
      <w:r w:rsidR="00FC355E">
        <w:rPr>
          <w:noProof/>
        </w:rPr>
        <w:t>2</w:t>
      </w:r>
      <w:r w:rsidR="00B47C56" w:rsidRPr="00B162C2">
        <w:fldChar w:fldCharType="end"/>
      </w:r>
      <w:r w:rsidRPr="00B162C2">
        <w:t>.</w:t>
      </w:r>
    </w:p>
    <w:p w14:paraId="54C137DF" w14:textId="7ABECD88" w:rsidR="00B47C56" w:rsidRPr="00B162C2" w:rsidRDefault="00B47C56" w:rsidP="0012753A">
      <w:pPr>
        <w:pStyle w:val="COMtablefigcaption"/>
      </w:pPr>
      <w:bookmarkStart w:id="40" w:name="_Ref164430031"/>
      <w:r w:rsidRPr="00B162C2">
        <w:t xml:space="preserve">Table </w:t>
      </w:r>
      <w:r w:rsidR="002F23E8">
        <w:fldChar w:fldCharType="begin" w:fldLock="1"/>
      </w:r>
      <w:r w:rsidR="002F23E8">
        <w:instrText xml:space="preserve"> SEQ Table \* ARABIC </w:instrText>
      </w:r>
      <w:r w:rsidR="002F23E8">
        <w:fldChar w:fldCharType="separate"/>
      </w:r>
      <w:r w:rsidR="00FC355E">
        <w:rPr>
          <w:noProof/>
        </w:rPr>
        <w:t>2</w:t>
      </w:r>
      <w:r w:rsidR="002F23E8">
        <w:rPr>
          <w:noProof/>
        </w:rPr>
        <w:fldChar w:fldCharType="end"/>
      </w:r>
      <w:bookmarkEnd w:id="40"/>
      <w:r w:rsidRPr="00B162C2">
        <w:rPr>
          <w:rStyle w:val="CommentReference"/>
          <w:b/>
          <w:szCs w:val="24"/>
        </w:rPr>
        <w:t>: Studies and associated reports presented in the submission</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Pr>
      <w:tblGrid>
        <w:gridCol w:w="1725"/>
        <w:gridCol w:w="4487"/>
        <w:gridCol w:w="2953"/>
      </w:tblGrid>
      <w:tr w:rsidR="00B47C56" w:rsidRPr="00B162C2" w14:paraId="53BAEB52" w14:textId="77777777" w:rsidTr="0079023C">
        <w:trPr>
          <w:tblHeader/>
        </w:trPr>
        <w:tc>
          <w:tcPr>
            <w:tcW w:w="941" w:type="pct"/>
            <w:tcBorders>
              <w:bottom w:val="single" w:sz="4" w:space="0" w:color="auto"/>
            </w:tcBorders>
            <w:vAlign w:val="center"/>
          </w:tcPr>
          <w:p w14:paraId="13893BF5" w14:textId="77777777" w:rsidR="00B47C56" w:rsidRPr="00B162C2" w:rsidRDefault="00B47C56" w:rsidP="0012753A">
            <w:pPr>
              <w:pStyle w:val="Tabletext0"/>
              <w:keepNext/>
              <w:rPr>
                <w:b/>
              </w:rPr>
            </w:pPr>
            <w:r w:rsidRPr="00B162C2">
              <w:rPr>
                <w:b/>
              </w:rPr>
              <w:t>Trial ID</w:t>
            </w:r>
          </w:p>
        </w:tc>
        <w:tc>
          <w:tcPr>
            <w:tcW w:w="2448" w:type="pct"/>
            <w:tcBorders>
              <w:bottom w:val="single" w:sz="4" w:space="0" w:color="auto"/>
            </w:tcBorders>
            <w:vAlign w:val="center"/>
          </w:tcPr>
          <w:p w14:paraId="12CDF4FB" w14:textId="77777777" w:rsidR="00B47C56" w:rsidRPr="00B162C2" w:rsidRDefault="00B47C56" w:rsidP="0012753A">
            <w:pPr>
              <w:pStyle w:val="Tabletext0"/>
              <w:keepNext/>
              <w:jc w:val="center"/>
              <w:rPr>
                <w:b/>
              </w:rPr>
            </w:pPr>
            <w:r w:rsidRPr="00B162C2">
              <w:rPr>
                <w:b/>
              </w:rPr>
              <w:t>Protocol title/ Publication title</w:t>
            </w:r>
          </w:p>
        </w:tc>
        <w:tc>
          <w:tcPr>
            <w:tcW w:w="1611" w:type="pct"/>
            <w:tcBorders>
              <w:bottom w:val="single" w:sz="4" w:space="0" w:color="auto"/>
            </w:tcBorders>
            <w:vAlign w:val="center"/>
          </w:tcPr>
          <w:p w14:paraId="023C05E6" w14:textId="77777777" w:rsidR="00B47C56" w:rsidRPr="00B162C2" w:rsidRDefault="00B47C56" w:rsidP="0012753A">
            <w:pPr>
              <w:pStyle w:val="Tabletext0"/>
              <w:keepNext/>
              <w:jc w:val="center"/>
              <w:rPr>
                <w:b/>
              </w:rPr>
            </w:pPr>
            <w:r w:rsidRPr="00B162C2">
              <w:rPr>
                <w:b/>
              </w:rPr>
              <w:t>Publication citation</w:t>
            </w:r>
          </w:p>
        </w:tc>
      </w:tr>
      <w:tr w:rsidR="00B47C56" w:rsidRPr="00B162C2" w14:paraId="4258308A" w14:textId="77777777" w:rsidTr="0079023C">
        <w:tc>
          <w:tcPr>
            <w:tcW w:w="5000" w:type="pct"/>
            <w:gridSpan w:val="3"/>
            <w:tcBorders>
              <w:top w:val="single" w:sz="4" w:space="0" w:color="auto"/>
              <w:left w:val="single" w:sz="4" w:space="0" w:color="auto"/>
              <w:right w:val="single" w:sz="4" w:space="0" w:color="auto"/>
            </w:tcBorders>
            <w:vAlign w:val="center"/>
          </w:tcPr>
          <w:p w14:paraId="44E28D6C" w14:textId="77777777" w:rsidR="00B47C56" w:rsidRPr="00B162C2" w:rsidRDefault="00B47C56" w:rsidP="0012753A">
            <w:pPr>
              <w:pStyle w:val="Tabletext0"/>
              <w:keepNext/>
              <w:rPr>
                <w:b/>
                <w:bCs/>
              </w:rPr>
            </w:pPr>
            <w:r w:rsidRPr="00B162C2">
              <w:rPr>
                <w:b/>
                <w:bCs/>
              </w:rPr>
              <w:t>Zilucoplan studies</w:t>
            </w:r>
          </w:p>
        </w:tc>
      </w:tr>
      <w:tr w:rsidR="00B47C56" w:rsidRPr="00B162C2" w14:paraId="280DAC4E" w14:textId="77777777" w:rsidTr="00B47C56">
        <w:tc>
          <w:tcPr>
            <w:tcW w:w="941" w:type="pct"/>
            <w:vMerge w:val="restart"/>
            <w:tcBorders>
              <w:top w:val="single" w:sz="4" w:space="0" w:color="auto"/>
              <w:left w:val="single" w:sz="4" w:space="0" w:color="auto"/>
              <w:right w:val="single" w:sz="4" w:space="0" w:color="auto"/>
            </w:tcBorders>
            <w:vAlign w:val="center"/>
          </w:tcPr>
          <w:p w14:paraId="4C4B02D6" w14:textId="77777777" w:rsidR="00B47C56" w:rsidRPr="00B162C2" w:rsidRDefault="00B47C56" w:rsidP="0012753A">
            <w:pPr>
              <w:pStyle w:val="Tabletext0"/>
              <w:keepNext/>
            </w:pPr>
            <w:r w:rsidRPr="00B162C2">
              <w:t>MG0010</w:t>
            </w:r>
          </w:p>
          <w:p w14:paraId="74B8AA60" w14:textId="77777777" w:rsidR="00B47C56" w:rsidRPr="00B162C2" w:rsidRDefault="00B47C56" w:rsidP="0012753A">
            <w:pPr>
              <w:pStyle w:val="Tabletext0"/>
              <w:keepNext/>
            </w:pPr>
            <w:r w:rsidRPr="00B162C2">
              <w:t>(RAISE)</w:t>
            </w:r>
          </w:p>
        </w:tc>
        <w:tc>
          <w:tcPr>
            <w:tcW w:w="2448" w:type="pct"/>
            <w:tcBorders>
              <w:top w:val="single" w:sz="4" w:space="0" w:color="auto"/>
              <w:left w:val="single" w:sz="4" w:space="0" w:color="auto"/>
              <w:bottom w:val="nil"/>
              <w:right w:val="single" w:sz="4" w:space="0" w:color="auto"/>
            </w:tcBorders>
            <w:vAlign w:val="center"/>
          </w:tcPr>
          <w:p w14:paraId="6B6D0E86" w14:textId="77777777" w:rsidR="00B47C56" w:rsidRPr="00B162C2" w:rsidRDefault="00B47C56" w:rsidP="0012753A">
            <w:pPr>
              <w:pStyle w:val="Tabletext0"/>
              <w:keepNext/>
              <w:rPr>
                <w:szCs w:val="18"/>
              </w:rPr>
            </w:pPr>
            <w:r w:rsidRPr="00B162C2">
              <w:rPr>
                <w:szCs w:val="18"/>
              </w:rPr>
              <w:t>UCB (2022). A Phase 3, Multicenter, Randomized, Double Blind, Placebo Controlled Study to Confirm the Safety, Tolerability, and Efficacy of Zilucoplan in Subjects With Generalized Myasthenia Gravis</w:t>
            </w:r>
          </w:p>
        </w:tc>
        <w:tc>
          <w:tcPr>
            <w:tcW w:w="1611" w:type="pct"/>
            <w:tcBorders>
              <w:top w:val="single" w:sz="4" w:space="0" w:color="auto"/>
              <w:left w:val="single" w:sz="4" w:space="0" w:color="auto"/>
              <w:bottom w:val="nil"/>
              <w:right w:val="single" w:sz="4" w:space="0" w:color="auto"/>
            </w:tcBorders>
            <w:vAlign w:val="center"/>
          </w:tcPr>
          <w:p w14:paraId="51D30903" w14:textId="77777777" w:rsidR="00B47C56" w:rsidRPr="00B162C2" w:rsidRDefault="00B47C56" w:rsidP="0012753A">
            <w:pPr>
              <w:pStyle w:val="Tabletext0"/>
              <w:keepNext/>
            </w:pPr>
            <w:r w:rsidRPr="00B162C2">
              <w:t>Internal study report</w:t>
            </w:r>
          </w:p>
        </w:tc>
      </w:tr>
      <w:tr w:rsidR="00B47C56" w:rsidRPr="00B162C2" w14:paraId="6B0755E3" w14:textId="77777777" w:rsidTr="00B47C56">
        <w:tc>
          <w:tcPr>
            <w:tcW w:w="941" w:type="pct"/>
            <w:vMerge/>
            <w:tcBorders>
              <w:left w:val="single" w:sz="4" w:space="0" w:color="auto"/>
              <w:right w:val="single" w:sz="4" w:space="0" w:color="auto"/>
            </w:tcBorders>
            <w:vAlign w:val="center"/>
          </w:tcPr>
          <w:p w14:paraId="2F97FB9D" w14:textId="77777777" w:rsidR="00B47C56" w:rsidRPr="00B162C2" w:rsidRDefault="00B47C56" w:rsidP="0012753A">
            <w:pPr>
              <w:pStyle w:val="Tabletext0"/>
              <w:keepNext/>
            </w:pPr>
          </w:p>
        </w:tc>
        <w:tc>
          <w:tcPr>
            <w:tcW w:w="2448" w:type="pct"/>
            <w:tcBorders>
              <w:top w:val="nil"/>
              <w:left w:val="single" w:sz="4" w:space="0" w:color="auto"/>
              <w:bottom w:val="single" w:sz="4" w:space="0" w:color="auto"/>
              <w:right w:val="single" w:sz="4" w:space="0" w:color="auto"/>
            </w:tcBorders>
            <w:vAlign w:val="center"/>
          </w:tcPr>
          <w:p w14:paraId="749C7040" w14:textId="77777777" w:rsidR="00B47C56" w:rsidRPr="00B162C2" w:rsidRDefault="00B47C56" w:rsidP="0012753A">
            <w:pPr>
              <w:pStyle w:val="Tabletext0"/>
              <w:keepNext/>
              <w:rPr>
                <w:szCs w:val="18"/>
              </w:rPr>
            </w:pPr>
            <w:r w:rsidRPr="00B162C2">
              <w:rPr>
                <w:szCs w:val="18"/>
              </w:rPr>
              <w:t>Howard et al (2023). Safety and efficacy of zilucoplan in patients with generalised myasthenia gravis (RAISE): a randomised, double blind, placebo controlled, phase 3 study</w:t>
            </w:r>
          </w:p>
        </w:tc>
        <w:tc>
          <w:tcPr>
            <w:tcW w:w="1611" w:type="pct"/>
            <w:tcBorders>
              <w:top w:val="nil"/>
              <w:left w:val="single" w:sz="4" w:space="0" w:color="auto"/>
              <w:bottom w:val="single" w:sz="4" w:space="0" w:color="auto"/>
              <w:right w:val="single" w:sz="4" w:space="0" w:color="auto"/>
            </w:tcBorders>
            <w:vAlign w:val="center"/>
          </w:tcPr>
          <w:p w14:paraId="308B4CA0" w14:textId="77777777" w:rsidR="00B47C56" w:rsidRPr="00B162C2" w:rsidRDefault="00B47C56" w:rsidP="0012753A">
            <w:pPr>
              <w:pStyle w:val="Tabletext0"/>
              <w:keepNext/>
            </w:pPr>
            <w:r w:rsidRPr="00B162C2">
              <w:t>Lancet: Neurology 22: 395-406</w:t>
            </w:r>
          </w:p>
        </w:tc>
      </w:tr>
      <w:tr w:rsidR="00B47C56" w:rsidRPr="00B162C2" w14:paraId="55EFADA3" w14:textId="77777777" w:rsidTr="00B47C56">
        <w:tc>
          <w:tcPr>
            <w:tcW w:w="941" w:type="pct"/>
            <w:vMerge w:val="restart"/>
            <w:tcBorders>
              <w:left w:val="single" w:sz="4" w:space="0" w:color="auto"/>
              <w:right w:val="single" w:sz="4" w:space="0" w:color="auto"/>
            </w:tcBorders>
            <w:vAlign w:val="center"/>
          </w:tcPr>
          <w:p w14:paraId="1376D569" w14:textId="77777777" w:rsidR="00B47C56" w:rsidRPr="00B162C2" w:rsidRDefault="00B47C56" w:rsidP="0012753A">
            <w:pPr>
              <w:pStyle w:val="Tabletext0"/>
              <w:keepNext/>
            </w:pPr>
            <w:r w:rsidRPr="00B162C2">
              <w:t>MG0011</w:t>
            </w:r>
          </w:p>
          <w:p w14:paraId="50E5DF01" w14:textId="77777777" w:rsidR="00B47C56" w:rsidRPr="00B162C2" w:rsidRDefault="00B47C56" w:rsidP="0012753A">
            <w:pPr>
              <w:pStyle w:val="Tabletext0"/>
              <w:keepNext/>
            </w:pPr>
            <w:r w:rsidRPr="00B162C2">
              <w:t>(RAISE-XT)</w:t>
            </w:r>
          </w:p>
        </w:tc>
        <w:tc>
          <w:tcPr>
            <w:tcW w:w="2448" w:type="pct"/>
            <w:tcBorders>
              <w:top w:val="single" w:sz="4" w:space="0" w:color="auto"/>
              <w:left w:val="single" w:sz="4" w:space="0" w:color="auto"/>
              <w:bottom w:val="nil"/>
              <w:right w:val="single" w:sz="4" w:space="0" w:color="auto"/>
            </w:tcBorders>
            <w:vAlign w:val="center"/>
          </w:tcPr>
          <w:p w14:paraId="1DA91C9B" w14:textId="77777777" w:rsidR="00B47C56" w:rsidRPr="00B162C2" w:rsidRDefault="00B47C56" w:rsidP="0012753A">
            <w:pPr>
              <w:pStyle w:val="Tabletext0"/>
              <w:keepNext/>
              <w:rPr>
                <w:szCs w:val="18"/>
              </w:rPr>
            </w:pPr>
            <w:r w:rsidRPr="00B162C2">
              <w:rPr>
                <w:szCs w:val="18"/>
              </w:rPr>
              <w:t>UCB (2024). A Phase 3, Multicenter, Open-Label Extension Study of Zilucoplan in Subjects with Generalized Myasthenia Gravis (data from 3 cut-offs, September 2022, May 2023, November 2023)</w:t>
            </w:r>
          </w:p>
        </w:tc>
        <w:tc>
          <w:tcPr>
            <w:tcW w:w="1611" w:type="pct"/>
            <w:tcBorders>
              <w:top w:val="single" w:sz="4" w:space="0" w:color="auto"/>
              <w:left w:val="single" w:sz="4" w:space="0" w:color="auto"/>
              <w:bottom w:val="nil"/>
              <w:right w:val="single" w:sz="4" w:space="0" w:color="auto"/>
            </w:tcBorders>
            <w:vAlign w:val="center"/>
          </w:tcPr>
          <w:p w14:paraId="7BBB27B8" w14:textId="77777777" w:rsidR="00B47C56" w:rsidRPr="00B162C2" w:rsidRDefault="00B47C56" w:rsidP="0012753A">
            <w:pPr>
              <w:pStyle w:val="Tabletext0"/>
              <w:keepNext/>
            </w:pPr>
            <w:r w:rsidRPr="00B162C2">
              <w:t>Internal study report</w:t>
            </w:r>
          </w:p>
        </w:tc>
      </w:tr>
      <w:tr w:rsidR="00B47C56" w:rsidRPr="00B162C2" w14:paraId="448F5979" w14:textId="77777777" w:rsidTr="00B47C56">
        <w:tc>
          <w:tcPr>
            <w:tcW w:w="941" w:type="pct"/>
            <w:vMerge/>
            <w:tcBorders>
              <w:left w:val="single" w:sz="4" w:space="0" w:color="auto"/>
              <w:right w:val="single" w:sz="4" w:space="0" w:color="auto"/>
            </w:tcBorders>
            <w:vAlign w:val="center"/>
          </w:tcPr>
          <w:p w14:paraId="66E5205A" w14:textId="77777777" w:rsidR="00B47C56" w:rsidRPr="00B162C2" w:rsidRDefault="00B47C56" w:rsidP="0012753A">
            <w:pPr>
              <w:pStyle w:val="Tabletext0"/>
              <w:keepNext/>
            </w:pPr>
          </w:p>
        </w:tc>
        <w:tc>
          <w:tcPr>
            <w:tcW w:w="2448" w:type="pct"/>
            <w:tcBorders>
              <w:top w:val="nil"/>
              <w:left w:val="single" w:sz="4" w:space="0" w:color="auto"/>
              <w:bottom w:val="single" w:sz="4" w:space="0" w:color="auto"/>
              <w:right w:val="single" w:sz="4" w:space="0" w:color="auto"/>
            </w:tcBorders>
            <w:vAlign w:val="center"/>
          </w:tcPr>
          <w:p w14:paraId="7F170A3D" w14:textId="77777777" w:rsidR="00B47C56" w:rsidRPr="00B162C2" w:rsidRDefault="00B47C56" w:rsidP="0012753A">
            <w:pPr>
              <w:pStyle w:val="Tabletext0"/>
              <w:keepNext/>
              <w:rPr>
                <w:szCs w:val="18"/>
              </w:rPr>
            </w:pPr>
            <w:r w:rsidRPr="00B162C2">
              <w:rPr>
                <w:szCs w:val="18"/>
              </w:rPr>
              <w:t>Weiss et al (2024). Improvement of fatigue in generalised myasthenia gravis with zilucoplan.</w:t>
            </w:r>
          </w:p>
        </w:tc>
        <w:tc>
          <w:tcPr>
            <w:tcW w:w="1611" w:type="pct"/>
            <w:tcBorders>
              <w:top w:val="nil"/>
              <w:left w:val="single" w:sz="4" w:space="0" w:color="auto"/>
              <w:bottom w:val="single" w:sz="4" w:space="0" w:color="auto"/>
              <w:right w:val="single" w:sz="4" w:space="0" w:color="auto"/>
            </w:tcBorders>
            <w:vAlign w:val="center"/>
          </w:tcPr>
          <w:p w14:paraId="31F0B56E" w14:textId="77777777" w:rsidR="00B47C56" w:rsidRPr="00B162C2" w:rsidRDefault="00B47C56" w:rsidP="0012753A">
            <w:pPr>
              <w:pStyle w:val="Tabletext0"/>
              <w:keepNext/>
            </w:pPr>
            <w:r w:rsidRPr="00B162C2">
              <w:t xml:space="preserve">Journal of Neurology </w:t>
            </w:r>
          </w:p>
          <w:p w14:paraId="7A6D0CC2" w14:textId="77777777" w:rsidR="00B47C56" w:rsidRPr="00B162C2" w:rsidRDefault="00B47C56" w:rsidP="0012753A">
            <w:pPr>
              <w:pStyle w:val="Tabletext0"/>
              <w:keepNext/>
            </w:pPr>
            <w:r w:rsidRPr="00B162C2">
              <w:t>doi: 10.1007/s00415-024-12209-3</w:t>
            </w:r>
          </w:p>
        </w:tc>
      </w:tr>
      <w:tr w:rsidR="00B47C56" w:rsidRPr="00B162C2" w14:paraId="1DB490F7" w14:textId="77777777" w:rsidTr="0079023C">
        <w:tc>
          <w:tcPr>
            <w:tcW w:w="5000" w:type="pct"/>
            <w:gridSpan w:val="3"/>
            <w:tcBorders>
              <w:left w:val="single" w:sz="4" w:space="0" w:color="auto"/>
              <w:right w:val="single" w:sz="4" w:space="0" w:color="auto"/>
            </w:tcBorders>
            <w:vAlign w:val="center"/>
          </w:tcPr>
          <w:p w14:paraId="778AAA4F" w14:textId="77777777" w:rsidR="00B47C56" w:rsidRPr="00B162C2" w:rsidRDefault="00B47C56" w:rsidP="0012753A">
            <w:pPr>
              <w:pStyle w:val="Tabletext0"/>
              <w:keepNext/>
              <w:rPr>
                <w:b/>
                <w:bCs/>
              </w:rPr>
            </w:pPr>
            <w:r w:rsidRPr="00B162C2">
              <w:rPr>
                <w:b/>
                <w:bCs/>
              </w:rPr>
              <w:t>Chronic IVIg studies</w:t>
            </w:r>
          </w:p>
        </w:tc>
      </w:tr>
      <w:tr w:rsidR="00B47C56" w:rsidRPr="00B162C2" w14:paraId="16C6B0DE" w14:textId="77777777" w:rsidTr="0079023C">
        <w:tc>
          <w:tcPr>
            <w:tcW w:w="941" w:type="pct"/>
            <w:tcBorders>
              <w:left w:val="single" w:sz="4" w:space="0" w:color="auto"/>
              <w:right w:val="single" w:sz="4" w:space="0" w:color="auto"/>
            </w:tcBorders>
            <w:vAlign w:val="center"/>
          </w:tcPr>
          <w:p w14:paraId="332A03C3" w14:textId="77777777" w:rsidR="00B47C56" w:rsidRPr="00B162C2" w:rsidRDefault="00B47C56" w:rsidP="0012753A">
            <w:pPr>
              <w:pStyle w:val="Tabletext0"/>
              <w:keepNext/>
            </w:pPr>
            <w:r w:rsidRPr="00B162C2">
              <w:t>NCT02473952</w:t>
            </w:r>
          </w:p>
        </w:tc>
        <w:tc>
          <w:tcPr>
            <w:tcW w:w="2448" w:type="pct"/>
            <w:tcBorders>
              <w:top w:val="single" w:sz="4" w:space="0" w:color="auto"/>
              <w:left w:val="single" w:sz="4" w:space="0" w:color="auto"/>
              <w:bottom w:val="single" w:sz="4" w:space="0" w:color="auto"/>
              <w:right w:val="single" w:sz="4" w:space="0" w:color="auto"/>
            </w:tcBorders>
            <w:vAlign w:val="center"/>
          </w:tcPr>
          <w:p w14:paraId="6DDF13DF" w14:textId="77777777" w:rsidR="00B47C56" w:rsidRPr="00B162C2" w:rsidRDefault="00B47C56" w:rsidP="0012753A">
            <w:pPr>
              <w:pStyle w:val="Tabletext0"/>
              <w:keepNext/>
              <w:rPr>
                <w:szCs w:val="18"/>
              </w:rPr>
            </w:pPr>
            <w:r w:rsidRPr="00B162C2">
              <w:rPr>
                <w:szCs w:val="18"/>
              </w:rPr>
              <w:t>Grifols Therapeutics LLC (2019). A Multi-center, Randomized, Double-blind, Placebo-controlled Study to Evaluate the Efficacy and Safety of Immune Globulin (Human), 10% Caprylate/Chromatography Purified (IGIV-C) in Symptomatic Subjects With Generalized Myasthenia Gravis</w:t>
            </w:r>
          </w:p>
        </w:tc>
        <w:tc>
          <w:tcPr>
            <w:tcW w:w="1611" w:type="pct"/>
            <w:tcBorders>
              <w:top w:val="single" w:sz="4" w:space="0" w:color="auto"/>
              <w:left w:val="single" w:sz="4" w:space="0" w:color="auto"/>
              <w:bottom w:val="single" w:sz="4" w:space="0" w:color="auto"/>
              <w:right w:val="single" w:sz="4" w:space="0" w:color="auto"/>
            </w:tcBorders>
            <w:vAlign w:val="center"/>
          </w:tcPr>
          <w:p w14:paraId="220A4F85" w14:textId="77777777" w:rsidR="00B47C56" w:rsidRPr="00B162C2" w:rsidRDefault="00B47C56" w:rsidP="0012753A">
            <w:pPr>
              <w:pStyle w:val="Tabletext0"/>
              <w:keepNext/>
            </w:pPr>
            <w:r w:rsidRPr="00B162C2">
              <w:t>NCT02473952</w:t>
            </w:r>
          </w:p>
          <w:p w14:paraId="00995E63" w14:textId="77777777" w:rsidR="00B47C56" w:rsidRPr="00B162C2" w:rsidRDefault="00B47C56" w:rsidP="0012753A">
            <w:pPr>
              <w:pStyle w:val="Tabletext0"/>
              <w:keepNext/>
            </w:pPr>
            <w:r w:rsidRPr="00B162C2">
              <w:t>Eudra CT: 2014-003997-18</w:t>
            </w:r>
          </w:p>
        </w:tc>
      </w:tr>
      <w:tr w:rsidR="00B47C56" w:rsidRPr="00B162C2" w14:paraId="04E70B3F" w14:textId="77777777" w:rsidTr="0079023C">
        <w:tc>
          <w:tcPr>
            <w:tcW w:w="941" w:type="pct"/>
            <w:tcBorders>
              <w:left w:val="single" w:sz="4" w:space="0" w:color="auto"/>
              <w:right w:val="single" w:sz="4" w:space="0" w:color="auto"/>
            </w:tcBorders>
            <w:vAlign w:val="center"/>
          </w:tcPr>
          <w:p w14:paraId="5F7BF144" w14:textId="77777777" w:rsidR="00B47C56" w:rsidRPr="00B162C2" w:rsidRDefault="00B47C56" w:rsidP="0012753A">
            <w:pPr>
              <w:pStyle w:val="Tabletext0"/>
              <w:keepNext/>
            </w:pPr>
            <w:r w:rsidRPr="00B162C2">
              <w:t>Wolfe (2002)</w:t>
            </w:r>
          </w:p>
        </w:tc>
        <w:tc>
          <w:tcPr>
            <w:tcW w:w="2448" w:type="pct"/>
            <w:tcBorders>
              <w:top w:val="single" w:sz="4" w:space="0" w:color="auto"/>
              <w:left w:val="single" w:sz="4" w:space="0" w:color="auto"/>
              <w:bottom w:val="single" w:sz="4" w:space="0" w:color="auto"/>
              <w:right w:val="single" w:sz="4" w:space="0" w:color="auto"/>
            </w:tcBorders>
            <w:vAlign w:val="center"/>
          </w:tcPr>
          <w:p w14:paraId="30E3A106" w14:textId="77777777" w:rsidR="00B47C56" w:rsidRPr="00B162C2" w:rsidRDefault="00B47C56" w:rsidP="0012753A">
            <w:pPr>
              <w:pStyle w:val="Tabletext0"/>
              <w:keepNext/>
              <w:rPr>
                <w:szCs w:val="18"/>
              </w:rPr>
            </w:pPr>
            <w:r w:rsidRPr="00B162C2">
              <w:rPr>
                <w:szCs w:val="18"/>
              </w:rPr>
              <w:t>Wolfe et al (2002). Myasthenia Gravis-IVIg Study Group. Randomised, controlled trial of intravenous immunoglobulin in myasthenia gravis</w:t>
            </w:r>
          </w:p>
        </w:tc>
        <w:tc>
          <w:tcPr>
            <w:tcW w:w="1611" w:type="pct"/>
            <w:tcBorders>
              <w:top w:val="single" w:sz="4" w:space="0" w:color="auto"/>
              <w:left w:val="single" w:sz="4" w:space="0" w:color="auto"/>
              <w:bottom w:val="single" w:sz="4" w:space="0" w:color="auto"/>
              <w:right w:val="single" w:sz="4" w:space="0" w:color="auto"/>
            </w:tcBorders>
            <w:vAlign w:val="center"/>
          </w:tcPr>
          <w:p w14:paraId="27A520C6" w14:textId="77777777" w:rsidR="00B47C56" w:rsidRPr="00B162C2" w:rsidRDefault="00B47C56" w:rsidP="0012753A">
            <w:pPr>
              <w:pStyle w:val="Tabletext0"/>
              <w:keepNext/>
            </w:pPr>
            <w:r w:rsidRPr="00B162C2">
              <w:t>Muscle &amp; Nerve 26:549-552</w:t>
            </w:r>
          </w:p>
        </w:tc>
      </w:tr>
      <w:tr w:rsidR="00B47C56" w:rsidRPr="00B162C2" w14:paraId="09F296E9" w14:textId="77777777" w:rsidTr="0079023C">
        <w:tc>
          <w:tcPr>
            <w:tcW w:w="941" w:type="pct"/>
            <w:tcBorders>
              <w:left w:val="single" w:sz="4" w:space="0" w:color="auto"/>
              <w:right w:val="single" w:sz="4" w:space="0" w:color="auto"/>
            </w:tcBorders>
            <w:vAlign w:val="center"/>
          </w:tcPr>
          <w:p w14:paraId="2EA73605" w14:textId="77777777" w:rsidR="00B47C56" w:rsidRPr="00B162C2" w:rsidRDefault="00B47C56" w:rsidP="0012753A">
            <w:pPr>
              <w:pStyle w:val="Tabletext0"/>
              <w:keepNext/>
            </w:pPr>
            <w:r w:rsidRPr="00B162C2">
              <w:t>Zinman (2007)</w:t>
            </w:r>
          </w:p>
        </w:tc>
        <w:tc>
          <w:tcPr>
            <w:tcW w:w="2448" w:type="pct"/>
            <w:tcBorders>
              <w:top w:val="single" w:sz="4" w:space="0" w:color="auto"/>
              <w:left w:val="single" w:sz="4" w:space="0" w:color="auto"/>
              <w:bottom w:val="single" w:sz="4" w:space="0" w:color="auto"/>
              <w:right w:val="single" w:sz="4" w:space="0" w:color="auto"/>
            </w:tcBorders>
            <w:vAlign w:val="center"/>
          </w:tcPr>
          <w:p w14:paraId="5FD03841" w14:textId="77777777" w:rsidR="00B47C56" w:rsidRPr="00B162C2" w:rsidRDefault="00B47C56" w:rsidP="0012753A">
            <w:pPr>
              <w:pStyle w:val="Tabletext0"/>
              <w:keepNext/>
              <w:rPr>
                <w:szCs w:val="18"/>
              </w:rPr>
            </w:pPr>
            <w:r w:rsidRPr="00B162C2">
              <w:rPr>
                <w:szCs w:val="18"/>
              </w:rPr>
              <w:t>Zinman et al (2007). IV immunoglobulin in patients with myasthenia gravis: a randomised controlled trial.</w:t>
            </w:r>
          </w:p>
        </w:tc>
        <w:tc>
          <w:tcPr>
            <w:tcW w:w="1611" w:type="pct"/>
            <w:tcBorders>
              <w:top w:val="single" w:sz="4" w:space="0" w:color="auto"/>
              <w:left w:val="single" w:sz="4" w:space="0" w:color="auto"/>
              <w:bottom w:val="single" w:sz="4" w:space="0" w:color="auto"/>
              <w:right w:val="single" w:sz="4" w:space="0" w:color="auto"/>
            </w:tcBorders>
            <w:vAlign w:val="center"/>
          </w:tcPr>
          <w:p w14:paraId="520AF8AB" w14:textId="77777777" w:rsidR="00B47C56" w:rsidRPr="00B162C2" w:rsidRDefault="00B47C56" w:rsidP="0012753A">
            <w:pPr>
              <w:pStyle w:val="Tabletext0"/>
              <w:keepNext/>
            </w:pPr>
            <w:r w:rsidRPr="00B162C2">
              <w:t>Neurology 68:837-841</w:t>
            </w:r>
          </w:p>
        </w:tc>
      </w:tr>
      <w:tr w:rsidR="00B47C56" w:rsidRPr="00B162C2" w14:paraId="5DBD11CE" w14:textId="77777777" w:rsidTr="0079023C">
        <w:tc>
          <w:tcPr>
            <w:tcW w:w="5000" w:type="pct"/>
            <w:gridSpan w:val="3"/>
            <w:tcBorders>
              <w:left w:val="single" w:sz="4" w:space="0" w:color="auto"/>
              <w:right w:val="single" w:sz="4" w:space="0" w:color="auto"/>
            </w:tcBorders>
            <w:vAlign w:val="center"/>
          </w:tcPr>
          <w:p w14:paraId="3A941381" w14:textId="77777777" w:rsidR="00B47C56" w:rsidRPr="00B162C2" w:rsidRDefault="00B47C56" w:rsidP="0012753A">
            <w:pPr>
              <w:pStyle w:val="Tabletext0"/>
              <w:keepNext/>
              <w:rPr>
                <w:b/>
                <w:bCs/>
              </w:rPr>
            </w:pPr>
            <w:r w:rsidRPr="00B162C2">
              <w:rPr>
                <w:b/>
                <w:bCs/>
              </w:rPr>
              <w:t>Ravulizumab studies</w:t>
            </w:r>
          </w:p>
        </w:tc>
      </w:tr>
      <w:tr w:rsidR="00B47C56" w:rsidRPr="00B162C2" w14:paraId="5342B376" w14:textId="77777777" w:rsidTr="00B47C56">
        <w:tc>
          <w:tcPr>
            <w:tcW w:w="941" w:type="pct"/>
            <w:vMerge w:val="restart"/>
            <w:tcBorders>
              <w:left w:val="single" w:sz="4" w:space="0" w:color="auto"/>
              <w:right w:val="single" w:sz="4" w:space="0" w:color="auto"/>
            </w:tcBorders>
            <w:vAlign w:val="center"/>
          </w:tcPr>
          <w:p w14:paraId="3960F2CA" w14:textId="77777777" w:rsidR="00B47C56" w:rsidRPr="00B162C2" w:rsidRDefault="00B47C56" w:rsidP="0012753A">
            <w:pPr>
              <w:pStyle w:val="Tabletext0"/>
              <w:keepNext/>
            </w:pPr>
            <w:r w:rsidRPr="00B162C2">
              <w:t>CHAMPION-MG</w:t>
            </w:r>
          </w:p>
        </w:tc>
        <w:tc>
          <w:tcPr>
            <w:tcW w:w="2448" w:type="pct"/>
            <w:tcBorders>
              <w:top w:val="single" w:sz="4" w:space="0" w:color="auto"/>
              <w:left w:val="single" w:sz="4" w:space="0" w:color="auto"/>
              <w:bottom w:val="nil"/>
              <w:right w:val="single" w:sz="4" w:space="0" w:color="auto"/>
            </w:tcBorders>
            <w:vAlign w:val="center"/>
          </w:tcPr>
          <w:p w14:paraId="574EF8E3" w14:textId="77777777" w:rsidR="00B47C56" w:rsidRPr="00B162C2" w:rsidRDefault="00B47C56" w:rsidP="0012753A">
            <w:pPr>
              <w:pStyle w:val="Tabletext0"/>
              <w:keepNext/>
              <w:rPr>
                <w:szCs w:val="18"/>
              </w:rPr>
            </w:pPr>
            <w:r w:rsidRPr="00B162C2">
              <w:rPr>
                <w:szCs w:val="18"/>
              </w:rPr>
              <w:t>Vu et al (2022). Terminal Complement Inhibitor Ravulizumab in Generalized Myasthenia Gravis</w:t>
            </w:r>
          </w:p>
        </w:tc>
        <w:tc>
          <w:tcPr>
            <w:tcW w:w="1611" w:type="pct"/>
            <w:tcBorders>
              <w:top w:val="single" w:sz="4" w:space="0" w:color="auto"/>
              <w:left w:val="single" w:sz="4" w:space="0" w:color="auto"/>
              <w:bottom w:val="nil"/>
              <w:right w:val="single" w:sz="4" w:space="0" w:color="auto"/>
            </w:tcBorders>
            <w:vAlign w:val="center"/>
          </w:tcPr>
          <w:p w14:paraId="0BAEFD93" w14:textId="77777777" w:rsidR="00B47C56" w:rsidRPr="00B162C2" w:rsidRDefault="00B47C56" w:rsidP="0012753A">
            <w:pPr>
              <w:pStyle w:val="Tabletext0"/>
              <w:keepNext/>
            </w:pPr>
            <w:r w:rsidRPr="00B162C2">
              <w:t>New England Journal of Medicine Evidence 1(5)</w:t>
            </w:r>
          </w:p>
        </w:tc>
      </w:tr>
      <w:tr w:rsidR="00B47C56" w:rsidRPr="00B162C2" w14:paraId="50FA9D24" w14:textId="77777777" w:rsidTr="00B47C56">
        <w:tc>
          <w:tcPr>
            <w:tcW w:w="941" w:type="pct"/>
            <w:vMerge/>
            <w:tcBorders>
              <w:left w:val="single" w:sz="4" w:space="0" w:color="auto"/>
              <w:right w:val="single" w:sz="4" w:space="0" w:color="auto"/>
            </w:tcBorders>
            <w:vAlign w:val="center"/>
          </w:tcPr>
          <w:p w14:paraId="40EBA583" w14:textId="77777777" w:rsidR="00B47C56" w:rsidRPr="00B162C2" w:rsidRDefault="00B47C56" w:rsidP="0012753A">
            <w:pPr>
              <w:pStyle w:val="Tabletext0"/>
              <w:keepNext/>
            </w:pPr>
          </w:p>
        </w:tc>
        <w:tc>
          <w:tcPr>
            <w:tcW w:w="2448" w:type="pct"/>
            <w:tcBorders>
              <w:top w:val="nil"/>
              <w:left w:val="single" w:sz="4" w:space="0" w:color="auto"/>
              <w:bottom w:val="nil"/>
              <w:right w:val="single" w:sz="4" w:space="0" w:color="auto"/>
            </w:tcBorders>
            <w:vAlign w:val="center"/>
          </w:tcPr>
          <w:p w14:paraId="2B395ECB" w14:textId="77777777" w:rsidR="00B47C56" w:rsidRPr="00B162C2" w:rsidRDefault="00B47C56" w:rsidP="0012753A">
            <w:pPr>
              <w:pStyle w:val="Tabletext0"/>
              <w:keepNext/>
              <w:rPr>
                <w:szCs w:val="18"/>
              </w:rPr>
            </w:pPr>
            <w:r w:rsidRPr="00B162C2">
              <w:rPr>
                <w:szCs w:val="18"/>
              </w:rPr>
              <w:t>Vu et al (2023). Ravulizumab pharmacokinetics and pharmacodynamics in patients with generalized myasthenia gravis</w:t>
            </w:r>
          </w:p>
        </w:tc>
        <w:tc>
          <w:tcPr>
            <w:tcW w:w="1611" w:type="pct"/>
            <w:tcBorders>
              <w:top w:val="nil"/>
              <w:left w:val="single" w:sz="4" w:space="0" w:color="auto"/>
              <w:bottom w:val="nil"/>
              <w:right w:val="single" w:sz="4" w:space="0" w:color="auto"/>
            </w:tcBorders>
            <w:vAlign w:val="center"/>
          </w:tcPr>
          <w:p w14:paraId="52F6612B" w14:textId="77777777" w:rsidR="00B47C56" w:rsidRPr="00B162C2" w:rsidRDefault="00B47C56" w:rsidP="0012753A">
            <w:pPr>
              <w:pStyle w:val="Tabletext0"/>
              <w:keepNext/>
            </w:pPr>
            <w:r w:rsidRPr="00B162C2">
              <w:t>Journal of Neurology 270: 3129-3137</w:t>
            </w:r>
          </w:p>
        </w:tc>
      </w:tr>
      <w:tr w:rsidR="00B47C56" w:rsidRPr="00B162C2" w14:paraId="08ED62E1" w14:textId="77777777" w:rsidTr="00B47C56">
        <w:tc>
          <w:tcPr>
            <w:tcW w:w="941" w:type="pct"/>
            <w:vMerge/>
            <w:tcBorders>
              <w:left w:val="single" w:sz="4" w:space="0" w:color="auto"/>
              <w:right w:val="single" w:sz="4" w:space="0" w:color="auto"/>
            </w:tcBorders>
            <w:vAlign w:val="center"/>
          </w:tcPr>
          <w:p w14:paraId="396B44D9" w14:textId="77777777" w:rsidR="00B47C56" w:rsidRPr="00B162C2" w:rsidRDefault="00B47C56" w:rsidP="0012753A">
            <w:pPr>
              <w:pStyle w:val="Tabletext0"/>
              <w:keepNext/>
            </w:pPr>
          </w:p>
        </w:tc>
        <w:tc>
          <w:tcPr>
            <w:tcW w:w="2448" w:type="pct"/>
            <w:tcBorders>
              <w:top w:val="nil"/>
              <w:left w:val="single" w:sz="4" w:space="0" w:color="auto"/>
              <w:bottom w:val="single" w:sz="4" w:space="0" w:color="auto"/>
              <w:right w:val="single" w:sz="4" w:space="0" w:color="auto"/>
            </w:tcBorders>
            <w:vAlign w:val="center"/>
          </w:tcPr>
          <w:p w14:paraId="633CF958" w14:textId="77777777" w:rsidR="00B47C56" w:rsidRPr="00B162C2" w:rsidRDefault="00B47C56" w:rsidP="0012753A">
            <w:pPr>
              <w:pStyle w:val="Tabletext0"/>
              <w:keepNext/>
              <w:rPr>
                <w:iCs/>
                <w:szCs w:val="18"/>
              </w:rPr>
            </w:pPr>
            <w:r w:rsidRPr="00B162C2">
              <w:rPr>
                <w:iCs/>
                <w:szCs w:val="18"/>
              </w:rPr>
              <w:t>Meisel et al (2023). Long-term efficacy and safety of ravulizumab in adults with anti-acetylcholine receptor antibody-positive generalized myasthenia gravis: results from the phase 3 CHAMPION MG open-label extension</w:t>
            </w:r>
          </w:p>
        </w:tc>
        <w:tc>
          <w:tcPr>
            <w:tcW w:w="1611" w:type="pct"/>
            <w:tcBorders>
              <w:top w:val="nil"/>
              <w:left w:val="single" w:sz="4" w:space="0" w:color="auto"/>
              <w:bottom w:val="single" w:sz="4" w:space="0" w:color="auto"/>
              <w:right w:val="single" w:sz="4" w:space="0" w:color="auto"/>
            </w:tcBorders>
            <w:vAlign w:val="center"/>
          </w:tcPr>
          <w:p w14:paraId="35368DDF" w14:textId="77777777" w:rsidR="00B47C56" w:rsidRPr="00B162C2" w:rsidRDefault="00B47C56" w:rsidP="0012753A">
            <w:pPr>
              <w:pStyle w:val="Tabletext0"/>
              <w:keepNext/>
              <w:rPr>
                <w:iCs/>
              </w:rPr>
            </w:pPr>
            <w:r w:rsidRPr="00B162C2">
              <w:rPr>
                <w:iCs/>
              </w:rPr>
              <w:t>Journal of Neurology 270: 3862-3875</w:t>
            </w:r>
          </w:p>
        </w:tc>
      </w:tr>
    </w:tbl>
    <w:p w14:paraId="15F7146D" w14:textId="77777777" w:rsidR="00B47C56" w:rsidRPr="00B162C2" w:rsidRDefault="00B47C56" w:rsidP="0012753A">
      <w:pPr>
        <w:pStyle w:val="TableFigureFooter"/>
        <w:keepNext/>
      </w:pPr>
      <w:r w:rsidRPr="00B162C2">
        <w:t>Source: Table 2.2-2, p45 of the submission; Table 2(a).2-1, p9 of Appendix 4 of the submission; Table 2.2-1, p8 of Appendix 8 of the submission</w:t>
      </w:r>
    </w:p>
    <w:p w14:paraId="321399ED" w14:textId="33B8A2F7" w:rsidR="009853AC" w:rsidRPr="00B162C2" w:rsidRDefault="00B47C56" w:rsidP="009853AC">
      <w:pPr>
        <w:pStyle w:val="TableFigureFooter"/>
        <w:rPr>
          <w:sz w:val="20"/>
        </w:rPr>
      </w:pPr>
      <w:r w:rsidRPr="00B162C2">
        <w:t>Note: Abstracts of studies with full publications are not presented</w:t>
      </w:r>
    </w:p>
    <w:p w14:paraId="7353F931" w14:textId="6F9C8BBC" w:rsidR="009853AC" w:rsidRPr="0012753A" w:rsidRDefault="008F120A" w:rsidP="0012753A">
      <w:pPr>
        <w:pStyle w:val="3-BodyText"/>
      </w:pPr>
      <w:r w:rsidRPr="0012753A">
        <w:t>The key features of the</w:t>
      </w:r>
      <w:r w:rsidR="009853AC" w:rsidRPr="0012753A">
        <w:t xml:space="preserve"> RAISE trial are summarised in </w:t>
      </w:r>
      <w:r w:rsidR="009853AC" w:rsidRPr="0012753A">
        <w:fldChar w:fldCharType="begin" w:fldLock="1"/>
      </w:r>
      <w:r w:rsidR="009853AC" w:rsidRPr="0012753A">
        <w:instrText xml:space="preserve"> REF _Ref164430911 \h </w:instrText>
      </w:r>
      <w:r w:rsidR="0012753A" w:rsidRPr="0012753A">
        <w:instrText xml:space="preserve"> \* MERGEFORMAT </w:instrText>
      </w:r>
      <w:r w:rsidR="009853AC" w:rsidRPr="0012753A">
        <w:fldChar w:fldCharType="separate"/>
      </w:r>
      <w:r w:rsidR="00FC355E" w:rsidRPr="00B162C2">
        <w:t xml:space="preserve">Table </w:t>
      </w:r>
      <w:r w:rsidR="00FC355E">
        <w:t>3</w:t>
      </w:r>
      <w:r w:rsidR="009853AC" w:rsidRPr="0012753A">
        <w:fldChar w:fldCharType="end"/>
      </w:r>
      <w:r w:rsidRPr="0012753A">
        <w:t>.</w:t>
      </w:r>
      <w:r w:rsidR="00BC591F" w:rsidRPr="0012753A">
        <w:t xml:space="preserve"> </w:t>
      </w:r>
    </w:p>
    <w:p w14:paraId="0AE4EC47" w14:textId="7D8218DC" w:rsidR="009853AC" w:rsidRPr="00B162C2" w:rsidRDefault="009853AC" w:rsidP="0012753A">
      <w:pPr>
        <w:pStyle w:val="COMtablefigcaption"/>
        <w:rPr>
          <w:rStyle w:val="CommentReference"/>
          <w:b/>
        </w:rPr>
      </w:pPr>
      <w:bookmarkStart w:id="41" w:name="_Ref164430911"/>
      <w:r w:rsidRPr="00B162C2">
        <w:t xml:space="preserve">Table </w:t>
      </w:r>
      <w:r w:rsidR="002F23E8">
        <w:fldChar w:fldCharType="begin" w:fldLock="1"/>
      </w:r>
      <w:r w:rsidR="002F23E8">
        <w:instrText xml:space="preserve"> SEQ Table \* ARABIC </w:instrText>
      </w:r>
      <w:r w:rsidR="002F23E8">
        <w:fldChar w:fldCharType="separate"/>
      </w:r>
      <w:r w:rsidR="00FC355E">
        <w:rPr>
          <w:noProof/>
        </w:rPr>
        <w:t>3</w:t>
      </w:r>
      <w:r w:rsidR="002F23E8">
        <w:rPr>
          <w:noProof/>
        </w:rPr>
        <w:fldChar w:fldCharType="end"/>
      </w:r>
      <w:bookmarkEnd w:id="41"/>
      <w:r w:rsidRPr="00B162C2">
        <w:rPr>
          <w:rStyle w:val="CommentReference"/>
          <w:b/>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89"/>
        <w:gridCol w:w="567"/>
        <w:gridCol w:w="1417"/>
        <w:gridCol w:w="851"/>
        <w:gridCol w:w="1558"/>
        <w:gridCol w:w="2126"/>
        <w:gridCol w:w="1509"/>
      </w:tblGrid>
      <w:tr w:rsidR="00D72A42" w:rsidRPr="00B162C2" w14:paraId="6EBA4E4D" w14:textId="77777777" w:rsidTr="0012753A">
        <w:trPr>
          <w:cantSplit/>
          <w:tblHeader/>
        </w:trPr>
        <w:tc>
          <w:tcPr>
            <w:tcW w:w="548" w:type="pct"/>
            <w:vAlign w:val="center"/>
          </w:tcPr>
          <w:p w14:paraId="0B49239B" w14:textId="77777777" w:rsidR="009853AC" w:rsidRPr="00B162C2" w:rsidRDefault="009853AC" w:rsidP="0012753A">
            <w:pPr>
              <w:pStyle w:val="COMtablefigcaption"/>
            </w:pPr>
            <w:r w:rsidRPr="00B162C2">
              <w:t>Trial</w:t>
            </w:r>
          </w:p>
        </w:tc>
        <w:tc>
          <w:tcPr>
            <w:tcW w:w="314" w:type="pct"/>
            <w:vAlign w:val="center"/>
          </w:tcPr>
          <w:p w14:paraId="0FE7B38C" w14:textId="77777777" w:rsidR="009853AC" w:rsidRPr="00B162C2" w:rsidRDefault="009853AC" w:rsidP="0012753A">
            <w:pPr>
              <w:pStyle w:val="COMtablefigcaption"/>
              <w:jc w:val="center"/>
            </w:pPr>
            <w:r w:rsidRPr="00B162C2">
              <w:t>N</w:t>
            </w:r>
          </w:p>
        </w:tc>
        <w:tc>
          <w:tcPr>
            <w:tcW w:w="786" w:type="pct"/>
            <w:vAlign w:val="center"/>
          </w:tcPr>
          <w:p w14:paraId="46DFCB37" w14:textId="77777777" w:rsidR="009853AC" w:rsidRPr="00B162C2" w:rsidRDefault="009853AC" w:rsidP="0012753A">
            <w:pPr>
              <w:pStyle w:val="COMtablefigcaption"/>
              <w:jc w:val="center"/>
            </w:pPr>
            <w:r w:rsidRPr="00B162C2">
              <w:t>Design/ duration</w:t>
            </w:r>
          </w:p>
        </w:tc>
        <w:tc>
          <w:tcPr>
            <w:tcW w:w="472" w:type="pct"/>
            <w:vAlign w:val="center"/>
          </w:tcPr>
          <w:p w14:paraId="1283D027" w14:textId="77777777" w:rsidR="009853AC" w:rsidRPr="00B162C2" w:rsidRDefault="009853AC" w:rsidP="0012753A">
            <w:pPr>
              <w:pStyle w:val="COMtablefigcaption"/>
              <w:jc w:val="center"/>
            </w:pPr>
            <w:r w:rsidRPr="00B162C2">
              <w:t>Risk of bias</w:t>
            </w:r>
          </w:p>
        </w:tc>
        <w:tc>
          <w:tcPr>
            <w:tcW w:w="864" w:type="pct"/>
            <w:vAlign w:val="center"/>
          </w:tcPr>
          <w:p w14:paraId="65D53378" w14:textId="77777777" w:rsidR="009853AC" w:rsidRPr="00B162C2" w:rsidRDefault="009853AC" w:rsidP="0012753A">
            <w:pPr>
              <w:pStyle w:val="COMtablefigcaption"/>
              <w:jc w:val="center"/>
            </w:pPr>
            <w:r w:rsidRPr="00B162C2">
              <w:t>Patient population</w:t>
            </w:r>
          </w:p>
        </w:tc>
        <w:tc>
          <w:tcPr>
            <w:tcW w:w="1179" w:type="pct"/>
            <w:vAlign w:val="center"/>
          </w:tcPr>
          <w:p w14:paraId="3F24717D" w14:textId="77777777" w:rsidR="009853AC" w:rsidRPr="00B162C2" w:rsidRDefault="009853AC" w:rsidP="0012753A">
            <w:pPr>
              <w:pStyle w:val="COMtablefigcaption"/>
              <w:jc w:val="center"/>
            </w:pPr>
            <w:r w:rsidRPr="00B162C2">
              <w:t>Outcomes</w:t>
            </w:r>
          </w:p>
        </w:tc>
        <w:tc>
          <w:tcPr>
            <w:tcW w:w="837" w:type="pct"/>
            <w:vAlign w:val="center"/>
          </w:tcPr>
          <w:p w14:paraId="74229BA7" w14:textId="77777777" w:rsidR="009853AC" w:rsidRPr="00B162C2" w:rsidRDefault="009853AC" w:rsidP="0012753A">
            <w:pPr>
              <w:pStyle w:val="COMtablefigcaption"/>
              <w:jc w:val="center"/>
            </w:pPr>
            <w:r w:rsidRPr="00B162C2">
              <w:t>Use in modelled evaluation</w:t>
            </w:r>
          </w:p>
        </w:tc>
      </w:tr>
      <w:tr w:rsidR="009853AC" w:rsidRPr="00B162C2" w14:paraId="422694D3" w14:textId="77777777" w:rsidTr="0079023C">
        <w:trPr>
          <w:cantSplit/>
        </w:trPr>
        <w:tc>
          <w:tcPr>
            <w:tcW w:w="5000" w:type="pct"/>
            <w:gridSpan w:val="7"/>
            <w:vAlign w:val="center"/>
          </w:tcPr>
          <w:p w14:paraId="7C5ACAE4" w14:textId="2EE5FA6D" w:rsidR="009853AC" w:rsidRPr="00B162C2" w:rsidRDefault="009853AC" w:rsidP="0012753A">
            <w:pPr>
              <w:pStyle w:val="COMTableheadingrow"/>
              <w:rPr>
                <w:lang w:val="en-AU"/>
              </w:rPr>
            </w:pPr>
            <w:r w:rsidRPr="00B162C2">
              <w:rPr>
                <w:lang w:val="en-AU"/>
              </w:rPr>
              <w:t>Zilucoplan vs. placebo</w:t>
            </w:r>
          </w:p>
        </w:tc>
      </w:tr>
      <w:tr w:rsidR="009853AC" w:rsidRPr="00B162C2" w14:paraId="237AAF83" w14:textId="77777777" w:rsidTr="0012753A">
        <w:trPr>
          <w:cantSplit/>
        </w:trPr>
        <w:tc>
          <w:tcPr>
            <w:tcW w:w="548" w:type="pct"/>
            <w:vAlign w:val="center"/>
          </w:tcPr>
          <w:p w14:paraId="5D283034" w14:textId="195A647D" w:rsidR="009853AC" w:rsidRPr="00B162C2" w:rsidRDefault="009853AC" w:rsidP="0012753A">
            <w:pPr>
              <w:pStyle w:val="COMTabletext"/>
            </w:pPr>
            <w:r w:rsidRPr="00B162C2">
              <w:t>RAISE</w:t>
            </w:r>
          </w:p>
        </w:tc>
        <w:tc>
          <w:tcPr>
            <w:tcW w:w="314" w:type="pct"/>
            <w:vAlign w:val="center"/>
          </w:tcPr>
          <w:p w14:paraId="69CE14A7" w14:textId="6B30DBC9" w:rsidR="009853AC" w:rsidRPr="00B162C2" w:rsidRDefault="009853AC" w:rsidP="0012753A">
            <w:pPr>
              <w:pStyle w:val="COMTabletext"/>
              <w:jc w:val="center"/>
            </w:pPr>
            <w:r w:rsidRPr="00B162C2">
              <w:t>174</w:t>
            </w:r>
          </w:p>
        </w:tc>
        <w:tc>
          <w:tcPr>
            <w:tcW w:w="786" w:type="pct"/>
            <w:vAlign w:val="center"/>
          </w:tcPr>
          <w:p w14:paraId="21FB3BBD" w14:textId="77777777" w:rsidR="009853AC" w:rsidRPr="00B162C2" w:rsidRDefault="009853AC" w:rsidP="0012753A">
            <w:pPr>
              <w:pStyle w:val="TableText"/>
              <w:jc w:val="center"/>
            </w:pPr>
            <w:r w:rsidRPr="00B162C2">
              <w:t xml:space="preserve">MC, R, DB, PC, </w:t>
            </w:r>
          </w:p>
          <w:p w14:paraId="3E2F78CF" w14:textId="3DB246C4" w:rsidR="009853AC" w:rsidRPr="00B162C2" w:rsidRDefault="009853AC" w:rsidP="0012753A">
            <w:pPr>
              <w:pStyle w:val="COMTabletext"/>
              <w:jc w:val="center"/>
            </w:pPr>
            <w:r w:rsidRPr="00B162C2">
              <w:t xml:space="preserve">12 weeks duration with </w:t>
            </w:r>
            <w:r w:rsidR="005F0B24">
              <w:t xml:space="preserve">an ongoing </w:t>
            </w:r>
            <w:r w:rsidRPr="00B162C2">
              <w:t xml:space="preserve">open-label extension </w:t>
            </w:r>
          </w:p>
        </w:tc>
        <w:tc>
          <w:tcPr>
            <w:tcW w:w="472" w:type="pct"/>
            <w:vAlign w:val="center"/>
          </w:tcPr>
          <w:p w14:paraId="3E3A6B0D" w14:textId="77777777" w:rsidR="009853AC" w:rsidRPr="00830093" w:rsidRDefault="009853AC" w:rsidP="0012753A">
            <w:pPr>
              <w:pStyle w:val="COMTabletext"/>
              <w:jc w:val="center"/>
              <w:rPr>
                <w:iCs/>
                <w:vertAlign w:val="superscript"/>
              </w:rPr>
            </w:pPr>
            <w:r w:rsidRPr="00830093">
              <w:rPr>
                <w:iCs/>
              </w:rPr>
              <w:t>Low</w:t>
            </w:r>
            <w:r w:rsidRPr="00830093">
              <w:rPr>
                <w:iCs/>
                <w:vertAlign w:val="superscript"/>
              </w:rPr>
              <w:t>a</w:t>
            </w:r>
          </w:p>
        </w:tc>
        <w:tc>
          <w:tcPr>
            <w:tcW w:w="864" w:type="pct"/>
            <w:vAlign w:val="center"/>
          </w:tcPr>
          <w:p w14:paraId="6229A0FF" w14:textId="373E1DA0" w:rsidR="009853AC" w:rsidRPr="00B162C2" w:rsidRDefault="009853AC" w:rsidP="0012753A">
            <w:pPr>
              <w:pStyle w:val="COMTabletext"/>
              <w:jc w:val="center"/>
            </w:pPr>
            <w:r w:rsidRPr="00B162C2">
              <w:t>AChR+ generalised myasthenia gravis with functional impairment (MG-ADL ≥ 6, QMG ≥ 12 and four or more QMG items scored ≥ 2) with stable background therapy</w:t>
            </w:r>
            <w:r w:rsidRPr="00B162C2">
              <w:rPr>
                <w:rStyle w:val="cf01"/>
              </w:rPr>
              <w:t xml:space="preserve"> </w:t>
            </w:r>
          </w:p>
        </w:tc>
        <w:tc>
          <w:tcPr>
            <w:tcW w:w="1179" w:type="pct"/>
            <w:vAlign w:val="center"/>
          </w:tcPr>
          <w:p w14:paraId="72123737" w14:textId="77777777" w:rsidR="009853AC" w:rsidRPr="00B162C2" w:rsidRDefault="009853AC" w:rsidP="0012753A">
            <w:pPr>
              <w:pStyle w:val="COMTabletext"/>
              <w:jc w:val="center"/>
            </w:pPr>
            <w:r w:rsidRPr="00B162C2">
              <w:t>Primary: Change in MG-ADL score.</w:t>
            </w:r>
          </w:p>
          <w:p w14:paraId="3FDD3E5A" w14:textId="77777777" w:rsidR="009853AC" w:rsidRPr="00B162C2" w:rsidRDefault="009853AC" w:rsidP="0012753A">
            <w:pPr>
              <w:pStyle w:val="COMTabletext"/>
              <w:jc w:val="center"/>
            </w:pPr>
            <w:r w:rsidRPr="00B162C2">
              <w:t xml:space="preserve"> </w:t>
            </w:r>
          </w:p>
          <w:p w14:paraId="25ADE8D3" w14:textId="4F5AB88A" w:rsidR="009853AC" w:rsidRPr="00B162C2" w:rsidRDefault="009853AC" w:rsidP="0012753A">
            <w:pPr>
              <w:pStyle w:val="COMTabletext"/>
              <w:jc w:val="center"/>
            </w:pPr>
            <w:r w:rsidRPr="00B162C2">
              <w:t>Other outcomes: Change in other functional measures (MGC, QMG), global assessments (MGFA-PIS), quality of life (EQ-5D-5L, MG-QoL15r, Neuro-QoL Fatigue) and time to rescue therapy</w:t>
            </w:r>
          </w:p>
        </w:tc>
        <w:tc>
          <w:tcPr>
            <w:tcW w:w="837" w:type="pct"/>
            <w:vAlign w:val="center"/>
          </w:tcPr>
          <w:p w14:paraId="1BC9B03C" w14:textId="5FC0D2A4" w:rsidR="009853AC" w:rsidRPr="00B162C2" w:rsidRDefault="009853AC" w:rsidP="0012753A">
            <w:pPr>
              <w:pStyle w:val="COMTabletext"/>
              <w:jc w:val="center"/>
            </w:pPr>
            <w:r w:rsidRPr="00B162C2">
              <w:t>Baseline characteristics, treatment response, change in MG-ADL and health state utility values.</w:t>
            </w:r>
          </w:p>
        </w:tc>
      </w:tr>
    </w:tbl>
    <w:p w14:paraId="34ABF388" w14:textId="6295E168" w:rsidR="009853AC" w:rsidRPr="00B162C2" w:rsidRDefault="009853AC" w:rsidP="0012753A">
      <w:pPr>
        <w:pStyle w:val="TableFigureFooter"/>
        <w:keepNext/>
      </w:pPr>
      <w:r w:rsidRPr="00B162C2">
        <w:t>Source: Table 2.3-1, p47 of the submission</w:t>
      </w:r>
    </w:p>
    <w:p w14:paraId="43AA7210" w14:textId="77777777" w:rsidR="009853AC" w:rsidRPr="00B162C2" w:rsidRDefault="009853AC" w:rsidP="0012753A">
      <w:pPr>
        <w:pStyle w:val="TableFigureFooter"/>
        <w:keepNext/>
      </w:pPr>
      <w:r w:rsidRPr="00B162C2">
        <w:t>Abbreviations: AChR+, anti-acetylcholine receptor antibody positive; DB, double-blind; MC, multicentre; MG-ADL, Myasthenia Gravis Activities of Daily Living; MGC, myasthenia gravis composite score; MGFA-PIS, modified Myasthenia Gravis Foundation of America Post-Intervention Status; MG-QoL15r, revised Myasthenia Gravis Quality of Life; Neuro-QoL Fatigue, Quality of Life in Neurological Disorders Fatigue subscale; PC, placebo-controlled; QMG, Quantitative Myasthenia Gravis score; R, randomised.</w:t>
      </w:r>
    </w:p>
    <w:p w14:paraId="7B8B5CDF" w14:textId="3A4EF572" w:rsidR="005F0B24" w:rsidRPr="00906ED7" w:rsidRDefault="009853AC" w:rsidP="005F0B24">
      <w:pPr>
        <w:pStyle w:val="TableFigureFooter"/>
        <w:rPr>
          <w:iCs/>
        </w:rPr>
      </w:pPr>
      <w:r w:rsidRPr="00906ED7">
        <w:rPr>
          <w:iCs/>
          <w:vertAlign w:val="superscript"/>
        </w:rPr>
        <w:t xml:space="preserve">a </w:t>
      </w:r>
      <w:r w:rsidRPr="00906ED7">
        <w:rPr>
          <w:iCs/>
        </w:rPr>
        <w:t xml:space="preserve">The RAISE trial had a low risk of bias. However, the interim analysis from the ongoing extension study, in which all patients received </w:t>
      </w:r>
      <w:r w:rsidR="00830093">
        <w:rPr>
          <w:iCs/>
        </w:rPr>
        <w:t>zilucoplan</w:t>
      </w:r>
      <w:r w:rsidR="00830093" w:rsidRPr="00906ED7">
        <w:rPr>
          <w:iCs/>
        </w:rPr>
        <w:t xml:space="preserve"> </w:t>
      </w:r>
      <w:r w:rsidRPr="00906ED7">
        <w:rPr>
          <w:iCs/>
        </w:rPr>
        <w:t xml:space="preserve">treatment, </w:t>
      </w:r>
      <w:proofErr w:type="gramStart"/>
      <w:r w:rsidRPr="00906ED7">
        <w:rPr>
          <w:iCs/>
        </w:rPr>
        <w:t>was considered to be</w:t>
      </w:r>
      <w:proofErr w:type="gramEnd"/>
      <w:r w:rsidRPr="00906ED7">
        <w:rPr>
          <w:iCs/>
        </w:rPr>
        <w:t xml:space="preserve"> at high risk of bias given the observational study design and incomplete follow-up.</w:t>
      </w:r>
    </w:p>
    <w:p w14:paraId="1B4BE1B6" w14:textId="312AAC34" w:rsidR="005F0B24" w:rsidRPr="00906ED7" w:rsidRDefault="005F0B24" w:rsidP="0012753A">
      <w:pPr>
        <w:pStyle w:val="3-BodyText"/>
      </w:pPr>
      <w:bookmarkStart w:id="42" w:name="_Ref169164364"/>
      <w:r w:rsidRPr="00906ED7">
        <w:t>Trial participants predominantly reported moderate generalised weakness at baseline including ocular, bulbar, limb and respiratory symptoms (</w:t>
      </w:r>
      <w:r w:rsidR="006B7FE8">
        <w:t>mean baseline MG-ADL score [0</w:t>
      </w:r>
      <w:r w:rsidR="006B7FE8">
        <w:rPr>
          <w:rFonts w:ascii="Symbol" w:eastAsia="Symbol" w:hAnsi="Symbol" w:cs="Symbol"/>
        </w:rPr>
        <w:t>-</w:t>
      </w:r>
      <w:r w:rsidR="006B7FE8">
        <w:t xml:space="preserve">24]: 10.6, </w:t>
      </w:r>
      <w:r w:rsidRPr="00906ED7">
        <w:t>me</w:t>
      </w:r>
      <w:r w:rsidR="00784308">
        <w:t>dian</w:t>
      </w:r>
      <w:r w:rsidRPr="00906ED7">
        <w:t xml:space="preserve"> baseline MGC score</w:t>
      </w:r>
      <w:r w:rsidR="006B7FE8">
        <w:t xml:space="preserve"> [0</w:t>
      </w:r>
      <w:r w:rsidR="006B7FE8">
        <w:rPr>
          <w:rFonts w:ascii="Symbol" w:eastAsia="Symbol" w:hAnsi="Symbol" w:cs="Symbol"/>
        </w:rPr>
        <w:t>-</w:t>
      </w:r>
      <w:r w:rsidR="006B7FE8">
        <w:t>50]</w:t>
      </w:r>
      <w:r w:rsidRPr="00906ED7">
        <w:t xml:space="preserve">: 20-21, median baseline MGC score: 20-21). The average time since diagnosis was 9.2 years and many patients had an extensive history of prior therapy use; including a substantial proportion who had previously used rescue/chronic IVIg (63.8%), rescue/chronic PLEX (33.9%) or rituximab (9.8%). At baseline, 50.6% of patients were considered </w:t>
      </w:r>
      <w:bookmarkStart w:id="43" w:name="_Hlk169179278"/>
      <w:r w:rsidRPr="00906ED7">
        <w:t>treatment-refractory which was defined as treatment for at least one year with two or more of the following therapies (prednisone, azathioprine, mycophenolate mofetil, cyclosporine, cyclophosphamide, methotrexate, tacrolimus, rituximab, eculizumab, other corticosteroids) OR history of treatment with at least one of the above therapies for 1</w:t>
      </w:r>
      <w:r w:rsidR="00823B1B">
        <w:t> </w:t>
      </w:r>
      <w:r w:rsidRPr="00906ED7">
        <w:t xml:space="preserve">year or more and required chronic IVIg/PLEX at least every 3 months for the </w:t>
      </w:r>
      <w:r w:rsidR="00823B1B" w:rsidRPr="00906ED7">
        <w:t>12</w:t>
      </w:r>
      <w:r w:rsidR="00823B1B">
        <w:t> </w:t>
      </w:r>
      <w:r w:rsidRPr="00906ED7">
        <w:t>months.</w:t>
      </w:r>
      <w:bookmarkEnd w:id="42"/>
      <w:r w:rsidRPr="00906ED7">
        <w:t xml:space="preserve"> </w:t>
      </w:r>
      <w:bookmarkEnd w:id="43"/>
    </w:p>
    <w:p w14:paraId="51B3EF1C" w14:textId="52F806DE" w:rsidR="00C37380" w:rsidRDefault="005F0B24" w:rsidP="0012753A">
      <w:pPr>
        <w:pStyle w:val="3-BodyText"/>
      </w:pPr>
      <w:bookmarkStart w:id="44" w:name="_Ref169164366"/>
      <w:r w:rsidRPr="00906ED7">
        <w:t>At baseline, 4.0% of the trial population were using no therapy, 19.5% were using anticholinesterase treatments only, 11.5% were using immunosuppressive therapies only and 64.9% were using anticholinesterase treatment in combination with immunosuppressive treatment (primarily anticholinesterase with corticosteroids; or anticholinesterase with corticosteroids and azathioprine or mycophenolate mofetil). Patients included in the trial were not allowed to have used IVIg or PLEX in the prior 4</w:t>
      </w:r>
      <w:r w:rsidR="00823B1B">
        <w:t> </w:t>
      </w:r>
      <w:r w:rsidRPr="00906ED7">
        <w:t>weeks before baseline or rituximab in the prior 12 months before baseline. The trial eligibility criteria required patients to be using stable standard therapy doses but did not require patients to be using optimised therapy.</w:t>
      </w:r>
      <w:r w:rsidR="00C93E59" w:rsidRPr="00906ED7">
        <w:t xml:space="preserve"> The submission did not provide a breakdown on baseline medication use in refractory and non-refractory populations and therefore it is unclear how many patients in each setting were using at least one immunosuppressive therapy.</w:t>
      </w:r>
      <w:bookmarkEnd w:id="44"/>
    </w:p>
    <w:p w14:paraId="6A3D2A96" w14:textId="4EAC7557" w:rsidR="000D5A3F" w:rsidRPr="007F52A5" w:rsidRDefault="000D5A3F" w:rsidP="0012753A">
      <w:pPr>
        <w:pStyle w:val="3-BodyText"/>
      </w:pPr>
      <w:bookmarkStart w:id="45" w:name="_Ref169166686"/>
      <w:r w:rsidRPr="007F52A5">
        <w:t xml:space="preserve">The ESC noted that the inclusion criteria for the RAISE trial encompassed a broad patient population with mild to severe symptoms. While the trial did not require any specific prior therapies, a relatively treatment-experienced population were enrolled as indicated by a mean time since diagnosis of 9.2 years. The ESC considered this may have been indicative of a large </w:t>
      </w:r>
      <w:r w:rsidR="006021F5">
        <w:t>prevalent</w:t>
      </w:r>
      <w:r w:rsidR="006021F5" w:rsidRPr="007F52A5">
        <w:t xml:space="preserve"> </w:t>
      </w:r>
      <w:r w:rsidRPr="007F52A5">
        <w:t>population seeking alternative treatment options.</w:t>
      </w:r>
      <w:bookmarkEnd w:id="45"/>
      <w:r w:rsidRPr="007F52A5">
        <w:t xml:space="preserve"> </w:t>
      </w:r>
    </w:p>
    <w:p w14:paraId="79796E1D" w14:textId="111B52B6" w:rsidR="00C37380" w:rsidRPr="007F52A5" w:rsidRDefault="00C37380" w:rsidP="0012753A">
      <w:pPr>
        <w:pStyle w:val="3-BodyText"/>
      </w:pPr>
      <w:r w:rsidRPr="007F52A5">
        <w:t>The primary outcome in the submission was mean change in Myasthenia Gravis Activities of Daily Living (MG-ADL) scores from baseline to Week 12</w:t>
      </w:r>
      <w:r w:rsidR="000C1E1F" w:rsidRPr="007F52A5">
        <w:t xml:space="preserve"> (refer to paragraph </w:t>
      </w:r>
      <w:r w:rsidR="000C1E1F" w:rsidRPr="007F52A5">
        <w:fldChar w:fldCharType="begin" w:fldLock="1"/>
      </w:r>
      <w:r w:rsidR="000C1E1F" w:rsidRPr="007F52A5">
        <w:instrText xml:space="preserve"> REF _Ref169165227 \r \h </w:instrText>
      </w:r>
      <w:r w:rsidR="007F52A5">
        <w:instrText xml:space="preserve"> \* MERGEFORMAT </w:instrText>
      </w:r>
      <w:r w:rsidR="000C1E1F" w:rsidRPr="007F52A5">
        <w:fldChar w:fldCharType="separate"/>
      </w:r>
      <w:r w:rsidR="00FC355E">
        <w:t>3.8</w:t>
      </w:r>
      <w:r w:rsidR="000C1E1F" w:rsidRPr="007F52A5">
        <w:fldChar w:fldCharType="end"/>
      </w:r>
      <w:r w:rsidR="000C1E1F" w:rsidRPr="007F52A5">
        <w:t>)</w:t>
      </w:r>
      <w:r w:rsidRPr="007F52A5">
        <w:t>. The instrument has been externally validated and has an established minimal clinically important difference of a 2-point change in total score (Muppidi 2011).</w:t>
      </w:r>
    </w:p>
    <w:p w14:paraId="4A4FE085" w14:textId="43823699" w:rsidR="00B60939" w:rsidRPr="00B162C2" w:rsidRDefault="00B60939" w:rsidP="0012753A">
      <w:pPr>
        <w:pStyle w:val="4-SubsectionHeading"/>
      </w:pPr>
      <w:bookmarkStart w:id="46" w:name="_Toc22897641"/>
      <w:bookmarkStart w:id="47" w:name="_Toc167199648"/>
      <w:r w:rsidRPr="00B162C2">
        <w:t>Comparative effectiveness</w:t>
      </w:r>
      <w:bookmarkEnd w:id="46"/>
      <w:bookmarkEnd w:id="47"/>
    </w:p>
    <w:p w14:paraId="463192BD" w14:textId="246DD25F" w:rsidR="000336DE" w:rsidRPr="000E4BD0" w:rsidRDefault="000336DE" w:rsidP="000E4BD0">
      <w:pPr>
        <w:pStyle w:val="5-SubsectionSubheading"/>
        <w:spacing w:before="0" w:after="120"/>
        <w:rPr>
          <w:i/>
          <w:iCs/>
        </w:rPr>
      </w:pPr>
      <w:bookmarkStart w:id="48" w:name="_Hlk164697182"/>
      <w:r w:rsidRPr="000E4BD0">
        <w:rPr>
          <w:i/>
          <w:iCs/>
        </w:rPr>
        <w:t>Zilucoplan versus placebo</w:t>
      </w:r>
    </w:p>
    <w:bookmarkEnd w:id="48"/>
    <w:p w14:paraId="338796BE" w14:textId="28C31916" w:rsidR="007D0269" w:rsidRPr="00B162C2" w:rsidRDefault="007D0269" w:rsidP="000E4BD0">
      <w:pPr>
        <w:pStyle w:val="3-BodyText"/>
      </w:pPr>
      <w:r w:rsidRPr="00B162C2">
        <w:t xml:space="preserve">The mean change in functional outcome measures from baseline to Week 12 with zilucoplan and placebo in the RAISE trial are summarised in </w:t>
      </w:r>
      <w:r w:rsidRPr="00B162C2">
        <w:fldChar w:fldCharType="begin" w:fldLock="1"/>
      </w:r>
      <w:r w:rsidRPr="00B162C2">
        <w:instrText xml:space="preserve"> REF _Ref164431551 \h </w:instrText>
      </w:r>
      <w:r w:rsidR="000E4BD0">
        <w:instrText xml:space="preserve"> \* MERGEFORMAT </w:instrText>
      </w:r>
      <w:r w:rsidRPr="00B162C2">
        <w:fldChar w:fldCharType="separate"/>
      </w:r>
      <w:r w:rsidR="00FC355E" w:rsidRPr="00B162C2">
        <w:t xml:space="preserve">Table </w:t>
      </w:r>
      <w:r w:rsidR="00FC355E">
        <w:rPr>
          <w:noProof/>
        </w:rPr>
        <w:t>4</w:t>
      </w:r>
      <w:r w:rsidRPr="00B162C2">
        <w:fldChar w:fldCharType="end"/>
      </w:r>
      <w:r w:rsidRPr="00B162C2">
        <w:t>.</w:t>
      </w:r>
    </w:p>
    <w:p w14:paraId="57CF1553" w14:textId="4396677C" w:rsidR="007D0269" w:rsidRPr="00B162C2" w:rsidRDefault="007D0269" w:rsidP="00175200">
      <w:pPr>
        <w:pStyle w:val="COMtablefigcaption"/>
        <w:keepLines/>
      </w:pPr>
      <w:bookmarkStart w:id="49" w:name="_Ref164431551"/>
      <w:r w:rsidRPr="00B162C2">
        <w:t xml:space="preserve">Table </w:t>
      </w:r>
      <w:r w:rsidR="002F23E8">
        <w:fldChar w:fldCharType="begin" w:fldLock="1"/>
      </w:r>
      <w:r w:rsidR="002F23E8">
        <w:instrText xml:space="preserve"> SEQ Table \* ARABIC </w:instrText>
      </w:r>
      <w:r w:rsidR="002F23E8">
        <w:fldChar w:fldCharType="separate"/>
      </w:r>
      <w:r w:rsidR="00FC355E">
        <w:rPr>
          <w:noProof/>
        </w:rPr>
        <w:t>4</w:t>
      </w:r>
      <w:r w:rsidR="002F23E8">
        <w:rPr>
          <w:noProof/>
        </w:rPr>
        <w:fldChar w:fldCharType="end"/>
      </w:r>
      <w:bookmarkEnd w:id="49"/>
      <w:r w:rsidRPr="00B162C2">
        <w:t>: Mean change in functional outcome measures from baseline to Week 12 with zilucoplan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4: Mean change in functional outcome measures from baseline to Week 12 with zilucoplan and placebo"/>
      </w:tblPr>
      <w:tblGrid>
        <w:gridCol w:w="2268"/>
        <w:gridCol w:w="1559"/>
        <w:gridCol w:w="1560"/>
        <w:gridCol w:w="1701"/>
        <w:gridCol w:w="1929"/>
      </w:tblGrid>
      <w:tr w:rsidR="007D0269" w:rsidRPr="00B162C2" w14:paraId="1C1440EA" w14:textId="77777777" w:rsidTr="0079023C">
        <w:trPr>
          <w:trHeight w:val="76"/>
          <w:tblHeader/>
        </w:trPr>
        <w:tc>
          <w:tcPr>
            <w:tcW w:w="2268" w:type="dxa"/>
            <w:tcBorders>
              <w:top w:val="single" w:sz="4" w:space="0" w:color="auto"/>
              <w:left w:val="single" w:sz="4" w:space="0" w:color="auto"/>
              <w:right w:val="single" w:sz="4" w:space="0" w:color="auto"/>
            </w:tcBorders>
            <w:vAlign w:val="center"/>
          </w:tcPr>
          <w:p w14:paraId="3E71F735" w14:textId="77777777" w:rsidR="007D0269" w:rsidRPr="00B162C2" w:rsidRDefault="007D0269" w:rsidP="00175200">
            <w:pPr>
              <w:pStyle w:val="TableText"/>
              <w:keepLines/>
              <w:widowControl w:val="0"/>
              <w:rPr>
                <w:b/>
              </w:rPr>
            </w:pPr>
            <w:r w:rsidRPr="00B162C2">
              <w:rPr>
                <w:b/>
              </w:rPr>
              <w:t>Treatment arm</w:t>
            </w:r>
          </w:p>
        </w:tc>
        <w:tc>
          <w:tcPr>
            <w:tcW w:w="1559" w:type="dxa"/>
            <w:tcBorders>
              <w:top w:val="single" w:sz="4" w:space="0" w:color="auto"/>
              <w:left w:val="single" w:sz="4" w:space="0" w:color="auto"/>
              <w:right w:val="single" w:sz="4" w:space="0" w:color="auto"/>
            </w:tcBorders>
            <w:vAlign w:val="center"/>
          </w:tcPr>
          <w:p w14:paraId="35256EDE" w14:textId="77777777" w:rsidR="007D0269" w:rsidRPr="00B162C2" w:rsidRDefault="007D0269" w:rsidP="00175200">
            <w:pPr>
              <w:pStyle w:val="TableText"/>
              <w:keepLines/>
              <w:widowControl w:val="0"/>
              <w:jc w:val="center"/>
              <w:rPr>
                <w:b/>
              </w:rPr>
            </w:pPr>
            <w:r w:rsidRPr="00B162C2">
              <w:rPr>
                <w:b/>
              </w:rPr>
              <w:t>Baseline,</w:t>
            </w:r>
          </w:p>
          <w:p w14:paraId="781B007A" w14:textId="77777777" w:rsidR="007D0269" w:rsidRPr="00B162C2" w:rsidRDefault="007D0269" w:rsidP="00175200">
            <w:pPr>
              <w:pStyle w:val="TableText"/>
              <w:keepLines/>
              <w:widowControl w:val="0"/>
              <w:jc w:val="center"/>
              <w:rPr>
                <w:b/>
              </w:rPr>
            </w:pPr>
            <w:r w:rsidRPr="00B162C2">
              <w:rPr>
                <w:b/>
              </w:rPr>
              <w:t>Mean (SD)</w:t>
            </w:r>
          </w:p>
        </w:tc>
        <w:tc>
          <w:tcPr>
            <w:tcW w:w="1560" w:type="dxa"/>
            <w:tcBorders>
              <w:top w:val="single" w:sz="4" w:space="0" w:color="auto"/>
              <w:left w:val="single" w:sz="4" w:space="0" w:color="auto"/>
              <w:right w:val="single" w:sz="4" w:space="0" w:color="auto"/>
            </w:tcBorders>
            <w:vAlign w:val="center"/>
          </w:tcPr>
          <w:p w14:paraId="3EEE539D" w14:textId="77777777" w:rsidR="007D0269" w:rsidRPr="00B162C2" w:rsidRDefault="007D0269" w:rsidP="00175200">
            <w:pPr>
              <w:pStyle w:val="TableText"/>
              <w:keepLines/>
              <w:widowControl w:val="0"/>
              <w:jc w:val="center"/>
              <w:rPr>
                <w:b/>
              </w:rPr>
            </w:pPr>
            <w:r w:rsidRPr="00B162C2">
              <w:rPr>
                <w:b/>
              </w:rPr>
              <w:t>Final,</w:t>
            </w:r>
          </w:p>
          <w:p w14:paraId="580A7B49" w14:textId="77777777" w:rsidR="007D0269" w:rsidRPr="00B162C2" w:rsidRDefault="007D0269" w:rsidP="00175200">
            <w:pPr>
              <w:pStyle w:val="TableText"/>
              <w:keepLines/>
              <w:widowControl w:val="0"/>
              <w:jc w:val="center"/>
              <w:rPr>
                <w:b/>
              </w:rPr>
            </w:pPr>
            <w:r w:rsidRPr="00B162C2">
              <w:rPr>
                <w:b/>
              </w:rPr>
              <w:t>Mean (SD)</w:t>
            </w:r>
          </w:p>
        </w:tc>
        <w:tc>
          <w:tcPr>
            <w:tcW w:w="1701" w:type="dxa"/>
            <w:tcBorders>
              <w:top w:val="single" w:sz="4" w:space="0" w:color="auto"/>
              <w:left w:val="single" w:sz="4" w:space="0" w:color="auto"/>
              <w:right w:val="single" w:sz="4" w:space="0" w:color="auto"/>
            </w:tcBorders>
            <w:vAlign w:val="center"/>
          </w:tcPr>
          <w:p w14:paraId="252883C7" w14:textId="77777777" w:rsidR="007D0269" w:rsidRPr="00B162C2" w:rsidRDefault="007D0269" w:rsidP="00175200">
            <w:pPr>
              <w:pStyle w:val="TableText"/>
              <w:keepLines/>
              <w:widowControl w:val="0"/>
              <w:jc w:val="center"/>
              <w:rPr>
                <w:b/>
              </w:rPr>
            </w:pPr>
            <w:r w:rsidRPr="00B162C2">
              <w:rPr>
                <w:b/>
              </w:rPr>
              <w:t>LS mean change (95% CI)</w:t>
            </w:r>
          </w:p>
        </w:tc>
        <w:tc>
          <w:tcPr>
            <w:tcW w:w="1929" w:type="dxa"/>
            <w:tcBorders>
              <w:top w:val="single" w:sz="4" w:space="0" w:color="auto"/>
              <w:left w:val="single" w:sz="4" w:space="0" w:color="auto"/>
              <w:right w:val="single" w:sz="4" w:space="0" w:color="auto"/>
            </w:tcBorders>
            <w:vAlign w:val="center"/>
          </w:tcPr>
          <w:p w14:paraId="1E541E1F" w14:textId="77777777" w:rsidR="007D0269" w:rsidRPr="00B162C2" w:rsidRDefault="007D0269" w:rsidP="00175200">
            <w:pPr>
              <w:pStyle w:val="TableText"/>
              <w:keepLines/>
              <w:widowControl w:val="0"/>
              <w:jc w:val="center"/>
              <w:rPr>
                <w:b/>
              </w:rPr>
            </w:pPr>
            <w:r w:rsidRPr="00B162C2">
              <w:rPr>
                <w:b/>
              </w:rPr>
              <w:t>Treatment difference (95% CI)</w:t>
            </w:r>
          </w:p>
        </w:tc>
      </w:tr>
      <w:tr w:rsidR="007D0269" w:rsidRPr="00B162C2" w14:paraId="52085719" w14:textId="77777777" w:rsidTr="0079023C">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500B0695" w14:textId="77777777" w:rsidR="007D0269" w:rsidRPr="00B162C2" w:rsidRDefault="007D0269" w:rsidP="00175200">
            <w:pPr>
              <w:pStyle w:val="TableText"/>
              <w:keepLines/>
              <w:widowControl w:val="0"/>
              <w:rPr>
                <w:b/>
                <w:bCs w:val="0"/>
              </w:rPr>
            </w:pPr>
            <w:r w:rsidRPr="00B162C2">
              <w:rPr>
                <w:b/>
                <w:bCs w:val="0"/>
              </w:rPr>
              <w:t>Myasthenia Gravis Activities of Daily Living (MG-ADL) score [primary outcome]</w:t>
            </w:r>
          </w:p>
        </w:tc>
      </w:tr>
      <w:tr w:rsidR="007D0269" w:rsidRPr="00B162C2" w14:paraId="4E066FBE"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6071F7B3" w14:textId="55EF4174" w:rsidR="007D0269" w:rsidRPr="00B162C2" w:rsidRDefault="007D0269" w:rsidP="00175200">
            <w:pPr>
              <w:pStyle w:val="TableText"/>
              <w:keepLines/>
              <w:widowControl w:val="0"/>
            </w:pPr>
            <w:r w:rsidRPr="00B162C2">
              <w:t>Zilucoplan</w:t>
            </w:r>
            <w:r w:rsidR="00AC24D2" w:rsidRPr="00B162C2">
              <w:t xml:space="preserve"> (</w:t>
            </w:r>
            <w:r w:rsidRPr="00B162C2">
              <w:t>N = 86</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0F386A44" w14:textId="3E27FD1A" w:rsidR="007D0269" w:rsidRPr="00B162C2" w:rsidRDefault="007D0269" w:rsidP="00175200">
            <w:pPr>
              <w:pStyle w:val="TableText"/>
              <w:keepLines/>
              <w:widowControl w:val="0"/>
              <w:jc w:val="center"/>
            </w:pPr>
            <w:r w:rsidRPr="00B162C2">
              <w:t>10.3 (2.5)</w:t>
            </w:r>
          </w:p>
        </w:tc>
        <w:tc>
          <w:tcPr>
            <w:tcW w:w="1560" w:type="dxa"/>
            <w:tcBorders>
              <w:top w:val="single" w:sz="4" w:space="0" w:color="auto"/>
              <w:left w:val="single" w:sz="4" w:space="0" w:color="auto"/>
              <w:bottom w:val="single" w:sz="4" w:space="0" w:color="auto"/>
              <w:right w:val="single" w:sz="4" w:space="0" w:color="auto"/>
            </w:tcBorders>
            <w:vAlign w:val="center"/>
          </w:tcPr>
          <w:p w14:paraId="02517D30" w14:textId="1F25AA89" w:rsidR="007D0269" w:rsidRPr="00B162C2" w:rsidRDefault="007D0269" w:rsidP="00175200">
            <w:pPr>
              <w:pStyle w:val="TableText"/>
              <w:keepLines/>
              <w:widowControl w:val="0"/>
              <w:jc w:val="center"/>
            </w:pPr>
            <w:r w:rsidRPr="00B162C2">
              <w:t>5.6 (4.0)</w:t>
            </w:r>
          </w:p>
        </w:tc>
        <w:tc>
          <w:tcPr>
            <w:tcW w:w="1701" w:type="dxa"/>
            <w:tcBorders>
              <w:top w:val="single" w:sz="4" w:space="0" w:color="auto"/>
              <w:left w:val="single" w:sz="4" w:space="0" w:color="auto"/>
              <w:right w:val="single" w:sz="4" w:space="0" w:color="auto"/>
            </w:tcBorders>
            <w:vAlign w:val="center"/>
          </w:tcPr>
          <w:p w14:paraId="0B3C3CAF" w14:textId="030C0651" w:rsidR="007D0269" w:rsidRPr="00B162C2" w:rsidRDefault="007D0269" w:rsidP="00175200">
            <w:pPr>
              <w:pStyle w:val="TableText"/>
              <w:keepLines/>
              <w:widowControl w:val="0"/>
              <w:jc w:val="center"/>
            </w:pPr>
            <w:r w:rsidRPr="00B162C2">
              <w:t>-4.39 (-5.28, -3.50)</w:t>
            </w:r>
          </w:p>
        </w:tc>
        <w:tc>
          <w:tcPr>
            <w:tcW w:w="1929" w:type="dxa"/>
            <w:vMerge w:val="restart"/>
            <w:tcBorders>
              <w:top w:val="single" w:sz="4" w:space="0" w:color="auto"/>
              <w:left w:val="single" w:sz="4" w:space="0" w:color="auto"/>
              <w:right w:val="single" w:sz="4" w:space="0" w:color="auto"/>
            </w:tcBorders>
            <w:vAlign w:val="center"/>
          </w:tcPr>
          <w:p w14:paraId="20F0B96E" w14:textId="28F7B54E" w:rsidR="007D0269" w:rsidRPr="00B162C2" w:rsidRDefault="007D0269" w:rsidP="00175200">
            <w:pPr>
              <w:pStyle w:val="TableText"/>
              <w:keepLines/>
              <w:widowControl w:val="0"/>
              <w:jc w:val="center"/>
              <w:rPr>
                <w:b/>
              </w:rPr>
            </w:pPr>
            <w:r w:rsidRPr="00B162C2">
              <w:rPr>
                <w:b/>
              </w:rPr>
              <w:t>-2.09 (-3.24, -0.95)</w:t>
            </w:r>
          </w:p>
        </w:tc>
      </w:tr>
      <w:tr w:rsidR="007D0269" w:rsidRPr="00B162C2" w14:paraId="5CCDCB22"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6E501D02" w14:textId="671A8046" w:rsidR="007D0269" w:rsidRPr="00B162C2" w:rsidRDefault="007D0269" w:rsidP="00175200">
            <w:pPr>
              <w:pStyle w:val="TableText"/>
              <w:keepLines/>
              <w:widowControl w:val="0"/>
            </w:pPr>
            <w:r w:rsidRPr="00B162C2">
              <w:t>Placebo</w:t>
            </w:r>
            <w:r w:rsidR="00AC24D2" w:rsidRPr="00B162C2">
              <w:t xml:space="preserve"> (</w:t>
            </w:r>
            <w:r w:rsidRPr="00B162C2">
              <w:t>N = 88</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1275D3AF" w14:textId="7F5AFBE8" w:rsidR="007D0269" w:rsidRPr="00B162C2" w:rsidRDefault="007D0269" w:rsidP="00175200">
            <w:pPr>
              <w:pStyle w:val="TableText"/>
              <w:keepLines/>
              <w:widowControl w:val="0"/>
              <w:jc w:val="center"/>
            </w:pPr>
            <w:r w:rsidRPr="00B162C2">
              <w:t>10.9 (3.4)</w:t>
            </w:r>
          </w:p>
        </w:tc>
        <w:tc>
          <w:tcPr>
            <w:tcW w:w="1560" w:type="dxa"/>
            <w:tcBorders>
              <w:top w:val="single" w:sz="4" w:space="0" w:color="auto"/>
              <w:left w:val="single" w:sz="4" w:space="0" w:color="auto"/>
              <w:bottom w:val="single" w:sz="4" w:space="0" w:color="auto"/>
              <w:right w:val="single" w:sz="4" w:space="0" w:color="auto"/>
            </w:tcBorders>
            <w:vAlign w:val="center"/>
          </w:tcPr>
          <w:p w14:paraId="4D46A116" w14:textId="607EF31C" w:rsidR="007D0269" w:rsidRPr="00B162C2" w:rsidRDefault="007D0269" w:rsidP="00175200">
            <w:pPr>
              <w:pStyle w:val="TableText"/>
              <w:keepLines/>
              <w:widowControl w:val="0"/>
              <w:jc w:val="center"/>
            </w:pPr>
            <w:r w:rsidRPr="00B162C2">
              <w:t>8.0 (4.5)</w:t>
            </w:r>
          </w:p>
        </w:tc>
        <w:tc>
          <w:tcPr>
            <w:tcW w:w="1701" w:type="dxa"/>
            <w:tcBorders>
              <w:left w:val="single" w:sz="4" w:space="0" w:color="auto"/>
              <w:right w:val="single" w:sz="4" w:space="0" w:color="auto"/>
            </w:tcBorders>
            <w:vAlign w:val="center"/>
          </w:tcPr>
          <w:p w14:paraId="299EB1E5" w14:textId="01416573" w:rsidR="007D0269" w:rsidRPr="00B162C2" w:rsidRDefault="007D0269" w:rsidP="00175200">
            <w:pPr>
              <w:pStyle w:val="TableText"/>
              <w:keepLines/>
              <w:widowControl w:val="0"/>
              <w:jc w:val="center"/>
            </w:pPr>
            <w:r w:rsidRPr="00B162C2">
              <w:t>-2.30 (-3.17, -1.43)</w:t>
            </w:r>
          </w:p>
        </w:tc>
        <w:tc>
          <w:tcPr>
            <w:tcW w:w="1929" w:type="dxa"/>
            <w:vMerge/>
            <w:tcBorders>
              <w:left w:val="single" w:sz="4" w:space="0" w:color="auto"/>
              <w:right w:val="single" w:sz="4" w:space="0" w:color="auto"/>
            </w:tcBorders>
            <w:vAlign w:val="center"/>
          </w:tcPr>
          <w:p w14:paraId="481B5D0E" w14:textId="77777777" w:rsidR="007D0269" w:rsidRPr="00B162C2" w:rsidRDefault="007D0269" w:rsidP="00175200">
            <w:pPr>
              <w:pStyle w:val="TableText"/>
              <w:keepLines/>
              <w:widowControl w:val="0"/>
              <w:jc w:val="center"/>
            </w:pPr>
          </w:p>
        </w:tc>
      </w:tr>
      <w:tr w:rsidR="007D0269" w:rsidRPr="00B162C2" w14:paraId="5FC40AC2" w14:textId="77777777" w:rsidTr="0079023C">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5DF6CA84" w14:textId="77777777" w:rsidR="007D0269" w:rsidRPr="00B162C2" w:rsidRDefault="007D0269" w:rsidP="00175200">
            <w:pPr>
              <w:pStyle w:val="TableText"/>
              <w:keepLines/>
              <w:widowControl w:val="0"/>
              <w:rPr>
                <w:b/>
                <w:bCs w:val="0"/>
              </w:rPr>
            </w:pPr>
            <w:r w:rsidRPr="00B162C2">
              <w:rPr>
                <w:b/>
                <w:bCs w:val="0"/>
              </w:rPr>
              <w:t>Quantitative Myasthenia Gravis (QMG) score</w:t>
            </w:r>
          </w:p>
        </w:tc>
      </w:tr>
      <w:tr w:rsidR="006B784A" w:rsidRPr="00B162C2" w14:paraId="6CA68283"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1891DE18" w14:textId="5B161FB3" w:rsidR="006B784A" w:rsidRPr="00B162C2" w:rsidRDefault="006B784A" w:rsidP="00175200">
            <w:pPr>
              <w:pStyle w:val="TableText"/>
              <w:keepLines/>
              <w:widowControl w:val="0"/>
            </w:pPr>
            <w:r w:rsidRPr="00B162C2">
              <w:t>Zilucoplan</w:t>
            </w:r>
            <w:r w:rsidR="00AC24D2" w:rsidRPr="00B162C2">
              <w:t xml:space="preserve"> (</w:t>
            </w:r>
            <w:r w:rsidRPr="00B162C2">
              <w:t>N = 86</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2F020993" w14:textId="0A367903" w:rsidR="006B784A" w:rsidRPr="00B162C2" w:rsidRDefault="006B784A" w:rsidP="00175200">
            <w:pPr>
              <w:pStyle w:val="TableText"/>
              <w:keepLines/>
              <w:widowControl w:val="0"/>
              <w:jc w:val="center"/>
            </w:pPr>
            <w:r w:rsidRPr="00B162C2">
              <w:t>18.7 (3.6)</w:t>
            </w:r>
          </w:p>
        </w:tc>
        <w:tc>
          <w:tcPr>
            <w:tcW w:w="1560" w:type="dxa"/>
            <w:tcBorders>
              <w:top w:val="single" w:sz="4" w:space="0" w:color="auto"/>
              <w:left w:val="single" w:sz="4" w:space="0" w:color="auto"/>
              <w:bottom w:val="single" w:sz="4" w:space="0" w:color="auto"/>
              <w:right w:val="single" w:sz="4" w:space="0" w:color="auto"/>
            </w:tcBorders>
            <w:vAlign w:val="center"/>
          </w:tcPr>
          <w:p w14:paraId="7C36117C" w14:textId="66CD1AF7" w:rsidR="006B784A" w:rsidRPr="00B162C2" w:rsidRDefault="006B784A" w:rsidP="00175200">
            <w:pPr>
              <w:pStyle w:val="TableText"/>
              <w:keepLines/>
              <w:widowControl w:val="0"/>
              <w:jc w:val="center"/>
            </w:pPr>
            <w:r w:rsidRPr="00B162C2">
              <w:t>12.3 (5.4)</w:t>
            </w:r>
          </w:p>
        </w:tc>
        <w:tc>
          <w:tcPr>
            <w:tcW w:w="1701" w:type="dxa"/>
            <w:tcBorders>
              <w:left w:val="single" w:sz="4" w:space="0" w:color="auto"/>
              <w:right w:val="single" w:sz="4" w:space="0" w:color="auto"/>
            </w:tcBorders>
            <w:vAlign w:val="center"/>
          </w:tcPr>
          <w:p w14:paraId="4149AE05" w14:textId="65905C61" w:rsidR="006B784A" w:rsidRPr="00B162C2" w:rsidRDefault="006B784A" w:rsidP="00175200">
            <w:pPr>
              <w:pStyle w:val="TableText"/>
              <w:keepLines/>
              <w:widowControl w:val="0"/>
              <w:jc w:val="center"/>
            </w:pPr>
            <w:r w:rsidRPr="00B162C2">
              <w:t>-6.19 (-7.29, -5.08)</w:t>
            </w:r>
          </w:p>
        </w:tc>
        <w:tc>
          <w:tcPr>
            <w:tcW w:w="1929" w:type="dxa"/>
            <w:vMerge w:val="restart"/>
            <w:tcBorders>
              <w:left w:val="single" w:sz="4" w:space="0" w:color="auto"/>
              <w:right w:val="single" w:sz="4" w:space="0" w:color="auto"/>
            </w:tcBorders>
            <w:vAlign w:val="center"/>
          </w:tcPr>
          <w:p w14:paraId="42A5C5EA" w14:textId="4EA8D53D" w:rsidR="006B784A" w:rsidRPr="00B162C2" w:rsidRDefault="006B784A" w:rsidP="00175200">
            <w:pPr>
              <w:pStyle w:val="TableText"/>
              <w:keepLines/>
              <w:widowControl w:val="0"/>
              <w:jc w:val="center"/>
              <w:rPr>
                <w:b/>
              </w:rPr>
            </w:pPr>
            <w:r w:rsidRPr="00B162C2">
              <w:rPr>
                <w:b/>
              </w:rPr>
              <w:t>-2.94 (-4.39, -1.49)</w:t>
            </w:r>
          </w:p>
        </w:tc>
      </w:tr>
      <w:tr w:rsidR="006B784A" w:rsidRPr="00B162C2" w14:paraId="2070182A"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085CCF9A" w14:textId="7FD027A2" w:rsidR="006B784A" w:rsidRPr="00B162C2" w:rsidRDefault="006B784A" w:rsidP="00175200">
            <w:pPr>
              <w:pStyle w:val="TableText"/>
              <w:keepLines/>
              <w:widowControl w:val="0"/>
            </w:pPr>
            <w:r w:rsidRPr="00B162C2">
              <w:t>Placebo</w:t>
            </w:r>
            <w:r w:rsidR="00AC24D2" w:rsidRPr="00B162C2">
              <w:t xml:space="preserve"> (</w:t>
            </w:r>
            <w:r w:rsidRPr="00B162C2">
              <w:t>N = 88</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6B94F0C1" w14:textId="6E34EF98" w:rsidR="006B784A" w:rsidRPr="00B162C2" w:rsidRDefault="006B784A" w:rsidP="00175200">
            <w:pPr>
              <w:pStyle w:val="TableText"/>
              <w:keepLines/>
              <w:widowControl w:val="0"/>
              <w:jc w:val="center"/>
            </w:pPr>
            <w:r w:rsidRPr="00B162C2">
              <w:t>19.4 (4.5)</w:t>
            </w:r>
          </w:p>
        </w:tc>
        <w:tc>
          <w:tcPr>
            <w:tcW w:w="1560" w:type="dxa"/>
            <w:tcBorders>
              <w:top w:val="single" w:sz="4" w:space="0" w:color="auto"/>
              <w:left w:val="single" w:sz="4" w:space="0" w:color="auto"/>
              <w:bottom w:val="single" w:sz="4" w:space="0" w:color="auto"/>
              <w:right w:val="single" w:sz="4" w:space="0" w:color="auto"/>
            </w:tcBorders>
            <w:vAlign w:val="center"/>
          </w:tcPr>
          <w:p w14:paraId="4BE50397" w14:textId="7FD88BCE" w:rsidR="006B784A" w:rsidRPr="00B162C2" w:rsidRDefault="006B784A" w:rsidP="00175200">
            <w:pPr>
              <w:pStyle w:val="TableText"/>
              <w:keepLines/>
              <w:widowControl w:val="0"/>
              <w:jc w:val="center"/>
            </w:pPr>
            <w:r w:rsidRPr="00B162C2">
              <w:t>16.0 (6.0)</w:t>
            </w:r>
          </w:p>
        </w:tc>
        <w:tc>
          <w:tcPr>
            <w:tcW w:w="1701" w:type="dxa"/>
            <w:tcBorders>
              <w:left w:val="single" w:sz="4" w:space="0" w:color="auto"/>
              <w:right w:val="single" w:sz="4" w:space="0" w:color="auto"/>
            </w:tcBorders>
            <w:vAlign w:val="center"/>
          </w:tcPr>
          <w:p w14:paraId="2BC78BDA" w14:textId="31786C20" w:rsidR="006B784A" w:rsidRPr="00B162C2" w:rsidRDefault="006B784A" w:rsidP="00175200">
            <w:pPr>
              <w:pStyle w:val="TableText"/>
              <w:keepLines/>
              <w:widowControl w:val="0"/>
              <w:jc w:val="center"/>
            </w:pPr>
            <w:r w:rsidRPr="00B162C2">
              <w:t>-3.25 (-4.32, -2.17)</w:t>
            </w:r>
          </w:p>
        </w:tc>
        <w:tc>
          <w:tcPr>
            <w:tcW w:w="1929" w:type="dxa"/>
            <w:vMerge/>
            <w:tcBorders>
              <w:left w:val="single" w:sz="4" w:space="0" w:color="auto"/>
              <w:right w:val="single" w:sz="4" w:space="0" w:color="auto"/>
            </w:tcBorders>
            <w:vAlign w:val="center"/>
          </w:tcPr>
          <w:p w14:paraId="214CF56D" w14:textId="77777777" w:rsidR="006B784A" w:rsidRPr="00B162C2" w:rsidRDefault="006B784A" w:rsidP="00175200">
            <w:pPr>
              <w:pStyle w:val="TableText"/>
              <w:keepLines/>
              <w:widowControl w:val="0"/>
              <w:jc w:val="center"/>
            </w:pPr>
          </w:p>
        </w:tc>
      </w:tr>
      <w:tr w:rsidR="006B784A" w:rsidRPr="00B162C2" w14:paraId="641F403C" w14:textId="77777777" w:rsidTr="0079023C">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075BB444" w14:textId="77777777" w:rsidR="006B784A" w:rsidRPr="00B162C2" w:rsidRDefault="006B784A" w:rsidP="00175200">
            <w:pPr>
              <w:pStyle w:val="TableText"/>
              <w:keepLines/>
              <w:widowControl w:val="0"/>
              <w:rPr>
                <w:b/>
                <w:bCs w:val="0"/>
              </w:rPr>
            </w:pPr>
            <w:r w:rsidRPr="00B162C2">
              <w:rPr>
                <w:b/>
                <w:bCs w:val="0"/>
              </w:rPr>
              <w:t>Myasthenia Gravis Composite (MGC) score</w:t>
            </w:r>
          </w:p>
        </w:tc>
      </w:tr>
      <w:tr w:rsidR="006B784A" w:rsidRPr="00B162C2" w14:paraId="1849B155"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21D85695" w14:textId="70421191" w:rsidR="006B784A" w:rsidRPr="00B162C2" w:rsidRDefault="006B784A" w:rsidP="00175200">
            <w:pPr>
              <w:pStyle w:val="TableText"/>
              <w:keepLines/>
              <w:widowControl w:val="0"/>
            </w:pPr>
            <w:r w:rsidRPr="00B162C2">
              <w:t>Zilucoplan</w:t>
            </w:r>
            <w:r w:rsidR="00AC24D2" w:rsidRPr="00B162C2">
              <w:t xml:space="preserve"> (</w:t>
            </w:r>
            <w:r w:rsidRPr="00B162C2">
              <w:t>N = 86</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037E5F02" w14:textId="5F2DDF50" w:rsidR="006B784A" w:rsidRPr="00B162C2" w:rsidRDefault="006B784A" w:rsidP="00175200">
            <w:pPr>
              <w:pStyle w:val="TableText"/>
              <w:keepLines/>
              <w:widowControl w:val="0"/>
              <w:jc w:val="center"/>
            </w:pPr>
            <w:r w:rsidRPr="00B162C2">
              <w:t>20.1 (6.0)</w:t>
            </w:r>
          </w:p>
        </w:tc>
        <w:tc>
          <w:tcPr>
            <w:tcW w:w="1560" w:type="dxa"/>
            <w:tcBorders>
              <w:top w:val="single" w:sz="4" w:space="0" w:color="auto"/>
              <w:left w:val="single" w:sz="4" w:space="0" w:color="auto"/>
              <w:bottom w:val="single" w:sz="4" w:space="0" w:color="auto"/>
              <w:right w:val="single" w:sz="4" w:space="0" w:color="auto"/>
            </w:tcBorders>
            <w:vAlign w:val="center"/>
          </w:tcPr>
          <w:p w14:paraId="220F9124" w14:textId="7DDCF0E7" w:rsidR="006B784A" w:rsidRPr="00B162C2" w:rsidRDefault="006B784A" w:rsidP="00175200">
            <w:pPr>
              <w:pStyle w:val="TableText"/>
              <w:keepLines/>
              <w:widowControl w:val="0"/>
              <w:jc w:val="center"/>
            </w:pPr>
            <w:r w:rsidRPr="00B162C2">
              <w:t>10.6 (7.2)</w:t>
            </w:r>
          </w:p>
        </w:tc>
        <w:tc>
          <w:tcPr>
            <w:tcW w:w="1701" w:type="dxa"/>
            <w:tcBorders>
              <w:left w:val="single" w:sz="4" w:space="0" w:color="auto"/>
              <w:right w:val="single" w:sz="4" w:space="0" w:color="auto"/>
            </w:tcBorders>
            <w:vAlign w:val="center"/>
          </w:tcPr>
          <w:p w14:paraId="4A3FDB82" w14:textId="2012BCE4" w:rsidR="006B784A" w:rsidRPr="00B162C2" w:rsidRDefault="006B784A" w:rsidP="00175200">
            <w:pPr>
              <w:pStyle w:val="TableText"/>
              <w:keepLines/>
              <w:widowControl w:val="0"/>
              <w:jc w:val="center"/>
            </w:pPr>
            <w:r w:rsidRPr="00B162C2">
              <w:t>-8.62 (-10.22, -7.01)</w:t>
            </w:r>
          </w:p>
        </w:tc>
        <w:tc>
          <w:tcPr>
            <w:tcW w:w="1929" w:type="dxa"/>
            <w:vMerge w:val="restart"/>
            <w:tcBorders>
              <w:left w:val="single" w:sz="4" w:space="0" w:color="auto"/>
              <w:right w:val="single" w:sz="4" w:space="0" w:color="auto"/>
            </w:tcBorders>
            <w:vAlign w:val="center"/>
          </w:tcPr>
          <w:p w14:paraId="0ED4E45E" w14:textId="26CECF3A" w:rsidR="006B784A" w:rsidRPr="00B162C2" w:rsidRDefault="006B784A" w:rsidP="00175200">
            <w:pPr>
              <w:pStyle w:val="TableText"/>
              <w:keepLines/>
              <w:widowControl w:val="0"/>
              <w:jc w:val="center"/>
              <w:rPr>
                <w:b/>
              </w:rPr>
            </w:pPr>
            <w:r w:rsidRPr="00B162C2">
              <w:rPr>
                <w:b/>
              </w:rPr>
              <w:t>-3.20 (-5.24, -1.16)</w:t>
            </w:r>
          </w:p>
        </w:tc>
      </w:tr>
      <w:tr w:rsidR="006B784A" w:rsidRPr="00B162C2" w14:paraId="1CB9224F"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45B738BE" w14:textId="10413FD9" w:rsidR="006B784A" w:rsidRPr="00B162C2" w:rsidRDefault="006B784A" w:rsidP="00175200">
            <w:pPr>
              <w:pStyle w:val="TableText"/>
              <w:keepLines/>
              <w:widowControl w:val="0"/>
            </w:pPr>
            <w:r w:rsidRPr="00B162C2">
              <w:t>Placebo</w:t>
            </w:r>
            <w:r w:rsidR="00AC24D2" w:rsidRPr="00B162C2">
              <w:t xml:space="preserve"> (</w:t>
            </w:r>
            <w:r w:rsidRPr="00B162C2">
              <w:t>N = 88</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2108B50E" w14:textId="09E52AC2" w:rsidR="006B784A" w:rsidRPr="00B162C2" w:rsidRDefault="006B784A" w:rsidP="00175200">
            <w:pPr>
              <w:pStyle w:val="TableText"/>
              <w:keepLines/>
              <w:widowControl w:val="0"/>
              <w:jc w:val="center"/>
            </w:pPr>
            <w:r w:rsidRPr="00B162C2">
              <w:t>21.6 (7.2)</w:t>
            </w:r>
          </w:p>
        </w:tc>
        <w:tc>
          <w:tcPr>
            <w:tcW w:w="1560" w:type="dxa"/>
            <w:tcBorders>
              <w:top w:val="single" w:sz="4" w:space="0" w:color="auto"/>
              <w:left w:val="single" w:sz="4" w:space="0" w:color="auto"/>
              <w:bottom w:val="single" w:sz="4" w:space="0" w:color="auto"/>
              <w:right w:val="single" w:sz="4" w:space="0" w:color="auto"/>
            </w:tcBorders>
            <w:vAlign w:val="center"/>
          </w:tcPr>
          <w:p w14:paraId="6616A05E" w14:textId="37A6033C" w:rsidR="006B784A" w:rsidRPr="00B162C2" w:rsidRDefault="006B784A" w:rsidP="00175200">
            <w:pPr>
              <w:pStyle w:val="TableText"/>
              <w:keepLines/>
              <w:widowControl w:val="0"/>
              <w:jc w:val="center"/>
            </w:pPr>
            <w:r w:rsidRPr="00B162C2">
              <w:t>15.1 (8.9)</w:t>
            </w:r>
          </w:p>
        </w:tc>
        <w:tc>
          <w:tcPr>
            <w:tcW w:w="1701" w:type="dxa"/>
            <w:tcBorders>
              <w:left w:val="single" w:sz="4" w:space="0" w:color="auto"/>
              <w:right w:val="single" w:sz="4" w:space="0" w:color="auto"/>
            </w:tcBorders>
            <w:vAlign w:val="center"/>
          </w:tcPr>
          <w:p w14:paraId="0D131E87" w14:textId="774D054F" w:rsidR="006B784A" w:rsidRPr="00B162C2" w:rsidRDefault="006B784A" w:rsidP="00175200">
            <w:pPr>
              <w:pStyle w:val="TableText"/>
              <w:keepLines/>
              <w:widowControl w:val="0"/>
              <w:jc w:val="center"/>
            </w:pPr>
            <w:r w:rsidRPr="00B162C2">
              <w:t>-5.42 (-6.98, -3.86)</w:t>
            </w:r>
          </w:p>
        </w:tc>
        <w:tc>
          <w:tcPr>
            <w:tcW w:w="1929" w:type="dxa"/>
            <w:vMerge/>
            <w:tcBorders>
              <w:left w:val="single" w:sz="4" w:space="0" w:color="auto"/>
              <w:right w:val="single" w:sz="4" w:space="0" w:color="auto"/>
            </w:tcBorders>
            <w:vAlign w:val="center"/>
          </w:tcPr>
          <w:p w14:paraId="3186D57E" w14:textId="77777777" w:rsidR="006B784A" w:rsidRPr="00B162C2" w:rsidRDefault="006B784A" w:rsidP="00175200">
            <w:pPr>
              <w:pStyle w:val="TableText"/>
              <w:keepLines/>
              <w:widowControl w:val="0"/>
              <w:jc w:val="center"/>
            </w:pPr>
          </w:p>
        </w:tc>
      </w:tr>
    </w:tbl>
    <w:p w14:paraId="0565FAE2" w14:textId="3C29250A" w:rsidR="007D0269" w:rsidRPr="00B162C2" w:rsidRDefault="007D0269" w:rsidP="00175200">
      <w:pPr>
        <w:pStyle w:val="COMTablefooter"/>
        <w:keepNext/>
        <w:keepLines/>
      </w:pPr>
      <w:r w:rsidRPr="00B162C2">
        <w:t>Source: Table 2-5-1, p73</w:t>
      </w:r>
      <w:r w:rsidR="006B784A" w:rsidRPr="00B162C2">
        <w:t>; Table 2.5-3, p 74; Table 2.5-5, 76</w:t>
      </w:r>
      <w:r w:rsidRPr="00B162C2">
        <w:t xml:space="preserve"> of the submission; Table 14.2.1.1, pp424-432</w:t>
      </w:r>
      <w:r w:rsidR="006B784A" w:rsidRPr="00B162C2">
        <w:t>; Table 14.2.2.1, pp521-534; Table 14.2.3.1, pp612-622</w:t>
      </w:r>
      <w:r w:rsidRPr="00B162C2">
        <w:t xml:space="preserve"> of the RAISE trial report</w:t>
      </w:r>
    </w:p>
    <w:p w14:paraId="34565CD6" w14:textId="77777777" w:rsidR="007D0269" w:rsidRPr="00B162C2" w:rsidRDefault="007D0269" w:rsidP="00175200">
      <w:pPr>
        <w:pStyle w:val="COMTablefooter"/>
        <w:keepNext/>
        <w:keepLines/>
      </w:pPr>
      <w:r w:rsidRPr="00B162C2">
        <w:t>Abbreviations: CI, confidence interval; LS, least squares; MG-ADL, Myasthenia Gravis Activities of Daily Living; MGC, myasthenia gravis composite score; QMG, Quantitative Myasthenia Gravis score; SD, standard deviation</w:t>
      </w:r>
    </w:p>
    <w:p w14:paraId="1FD7C5EB" w14:textId="6E8045B3" w:rsidR="007D0269" w:rsidRPr="00B162C2" w:rsidRDefault="007D0269" w:rsidP="00175200">
      <w:pPr>
        <w:pStyle w:val="COMTablefooter"/>
        <w:keepNext/>
        <w:keepLines/>
      </w:pPr>
      <w:r w:rsidRPr="00B162C2">
        <w:t>Note: MG-ADL scores range from 0 to 24 with lower scores indicating better functional outcomes</w:t>
      </w:r>
      <w:r w:rsidR="00C37380">
        <w:t>. The nominated minimal clinically important difference was a 2-point change in total score.</w:t>
      </w:r>
    </w:p>
    <w:p w14:paraId="33D09B51" w14:textId="7EF1EE5B" w:rsidR="007D0269" w:rsidRPr="00B162C2" w:rsidRDefault="007D0269" w:rsidP="00175200">
      <w:pPr>
        <w:pStyle w:val="COMTablefooter"/>
        <w:keepNext/>
        <w:keepLines/>
      </w:pPr>
      <w:r w:rsidRPr="00B162C2">
        <w:t>Note: QMG scores range from 0 to 39 with lower scores indicating better functional outcomes</w:t>
      </w:r>
      <w:r w:rsidR="00C37380">
        <w:t>. The nominated minimal clinically important difference was a 3-point change in total score.</w:t>
      </w:r>
    </w:p>
    <w:p w14:paraId="3EBC1FB7" w14:textId="03CC6D5F" w:rsidR="007D0269" w:rsidRPr="00B162C2" w:rsidRDefault="007D0269" w:rsidP="00175200">
      <w:pPr>
        <w:pStyle w:val="COMTablefooter"/>
        <w:keepNext/>
        <w:keepLines/>
      </w:pPr>
      <w:r w:rsidRPr="00B162C2">
        <w:t>Note: MGC scores range from 0 to 50 with lower scores indicating better functional outcomes</w:t>
      </w:r>
      <w:r w:rsidR="00C37380">
        <w:t>. The nominated minimal clinically important difference was a 3-point change in total score.</w:t>
      </w:r>
    </w:p>
    <w:p w14:paraId="285DED95" w14:textId="7235814D" w:rsidR="00D947D6" w:rsidRPr="00B162C2" w:rsidRDefault="00D947D6" w:rsidP="000E4BD0">
      <w:pPr>
        <w:pStyle w:val="COMTablefooter"/>
        <w:keepLines/>
      </w:pPr>
      <w:r w:rsidRPr="00B162C2">
        <w:t xml:space="preserve">Note: </w:t>
      </w:r>
      <w:r w:rsidRPr="003F1A72">
        <w:rPr>
          <w:b/>
          <w:bCs/>
        </w:rPr>
        <w:t>Bolding</w:t>
      </w:r>
      <w:r w:rsidRPr="00B162C2">
        <w:t xml:space="preserve"> indicates statistically significant differences after accounting for multiplicity of testing</w:t>
      </w:r>
    </w:p>
    <w:p w14:paraId="40084C06" w14:textId="6187AFB2" w:rsidR="00EE4E6D" w:rsidRDefault="006B784A" w:rsidP="000E4BD0">
      <w:pPr>
        <w:pStyle w:val="3-BodyText"/>
      </w:pPr>
      <w:r w:rsidRPr="00B162C2">
        <w:t>Treatment with zilucoplan was associated with a statistically significant improvement in functional outcomes compared to placebo over 12 weeks. The submission claimed that data from the ongo</w:t>
      </w:r>
      <w:r w:rsidR="00AC24D2" w:rsidRPr="00B162C2">
        <w:t>ing extension study suggest that</w:t>
      </w:r>
      <w:r w:rsidRPr="00B162C2">
        <w:t xml:space="preserve"> scores continued to improve with zilucoplan treatment beyond the randomised period, reaching a plateau after approximately 20 weeks of treatment (least squares mean change in MG-ADL score from baseline to Week 20 in the zilucoplan/zilucoplan arm was -5.97; 95% CI -6.89, -5.05). Additional follow-up data extending to 120 weeks suggested no loss of effect with ongoing therapy.</w:t>
      </w:r>
      <w:r w:rsidR="00C37380">
        <w:t xml:space="preserve"> </w:t>
      </w:r>
      <w:r w:rsidR="00C37380" w:rsidRPr="00C37380">
        <w:t>A similar pattern of results was observed with QMG and MGC scores.</w:t>
      </w:r>
    </w:p>
    <w:p w14:paraId="70F6A084" w14:textId="506DFE32" w:rsidR="00C37380" w:rsidRDefault="00830093" w:rsidP="000E4BD0">
      <w:pPr>
        <w:pStyle w:val="3-BodyText"/>
      </w:pPr>
      <w:bookmarkStart w:id="50" w:name="_Ref169187058"/>
      <w:r>
        <w:t>The evaluation considered that i</w:t>
      </w:r>
      <w:r w:rsidR="00C37380" w:rsidRPr="00906ED7">
        <w:t xml:space="preserve">t is unclear whether the observed magnitude of improvement from the RAISE trial </w:t>
      </w:r>
      <w:r w:rsidR="00171728" w:rsidRPr="00906ED7">
        <w:t>c</w:t>
      </w:r>
      <w:r w:rsidR="00171728">
        <w:t>ould</w:t>
      </w:r>
      <w:r w:rsidR="00171728" w:rsidRPr="00906ED7">
        <w:t xml:space="preserve"> </w:t>
      </w:r>
      <w:r w:rsidR="00C37380" w:rsidRPr="00906ED7">
        <w:t>be generalised to the proposed PBS population</w:t>
      </w:r>
      <w:bookmarkEnd w:id="50"/>
      <w:r w:rsidR="00C37380" w:rsidRPr="00906ED7">
        <w:t>.</w:t>
      </w:r>
    </w:p>
    <w:p w14:paraId="00F64D47" w14:textId="63C2C1C7" w:rsidR="00171728" w:rsidRPr="007F52A5" w:rsidRDefault="00830093" w:rsidP="000E4BD0">
      <w:pPr>
        <w:pStyle w:val="3-BodyText"/>
      </w:pPr>
      <w:r w:rsidRPr="007F52A5">
        <w:t>The PSCR</w:t>
      </w:r>
      <w:r w:rsidR="00CA3EEC" w:rsidRPr="007F52A5">
        <w:t xml:space="preserve"> stated that the sponsor was amenable to changes to better align the PBS restriction with the eligibility criteria and patient characteristics of the RAISE trial (refer to paragraph</w:t>
      </w:r>
      <w:r w:rsidR="004171A9" w:rsidRPr="007F52A5">
        <w:t xml:space="preserve"> </w:t>
      </w:r>
      <w:r w:rsidR="004171A9" w:rsidRPr="007F52A5">
        <w:fldChar w:fldCharType="begin" w:fldLock="1"/>
      </w:r>
      <w:r w:rsidR="004171A9" w:rsidRPr="007F52A5">
        <w:instrText xml:space="preserve"> REF _Ref169179564 \r \h </w:instrText>
      </w:r>
      <w:r w:rsidR="007F52A5">
        <w:instrText xml:space="preserve"> \* MERGEFORMAT </w:instrText>
      </w:r>
      <w:r w:rsidR="004171A9" w:rsidRPr="007F52A5">
        <w:fldChar w:fldCharType="separate"/>
      </w:r>
      <w:r w:rsidR="00FC355E">
        <w:t>3.4</w:t>
      </w:r>
      <w:r w:rsidR="004171A9" w:rsidRPr="007F52A5">
        <w:fldChar w:fldCharType="end"/>
      </w:r>
      <w:r w:rsidR="00CA3EEC" w:rsidRPr="007F52A5">
        <w:t xml:space="preserve">). However, </w:t>
      </w:r>
      <w:r w:rsidR="004171A9" w:rsidRPr="007F52A5">
        <w:t>the</w:t>
      </w:r>
      <w:r w:rsidR="00DA0ABB" w:rsidRPr="007F52A5">
        <w:t xml:space="preserve"> ESC considered that, even if the PBS restriction was amended to more closely reflect the trial population, some applicability issues would remain due</w:t>
      </w:r>
      <w:r w:rsidR="000E34B9" w:rsidRPr="007F52A5">
        <w:t>:</w:t>
      </w:r>
      <w:r w:rsidR="00DA0ABB" w:rsidRPr="007F52A5">
        <w:t xml:space="preserve"> to</w:t>
      </w:r>
      <w:r w:rsidR="004171A9" w:rsidRPr="007F52A5">
        <w:t xml:space="preserve"> the heterogenous population enrolled in RAISE</w:t>
      </w:r>
      <w:r w:rsidR="00DA0ABB" w:rsidRPr="007F52A5">
        <w:t>;</w:t>
      </w:r>
      <w:r w:rsidR="004171A9" w:rsidRPr="007F52A5">
        <w:t xml:space="preserve"> the unclear degree of correlation between the MGC (used in clinical practice) and MG-ADL (used in the trial) scales</w:t>
      </w:r>
      <w:r w:rsidR="00DA0ABB" w:rsidRPr="007F52A5">
        <w:t xml:space="preserve">; and given it was unclear whether the trial inclusion criteria reflect the enrolled population with regard to prior therapies (the population enrolled were likely treatment-experienced). </w:t>
      </w:r>
    </w:p>
    <w:p w14:paraId="0FEF6B06" w14:textId="24BF503E" w:rsidR="00EE4E6D" w:rsidRPr="007F52A5" w:rsidRDefault="00214063" w:rsidP="000E4BD0">
      <w:pPr>
        <w:pStyle w:val="3-BodyText"/>
      </w:pPr>
      <w:r>
        <w:t xml:space="preserve">The evaluation considered that </w:t>
      </w:r>
      <w:r w:rsidR="001B6F91" w:rsidRPr="001B6F91">
        <w:t xml:space="preserve">exploratory </w:t>
      </w:r>
      <w:r>
        <w:t>s</w:t>
      </w:r>
      <w:r w:rsidR="00EE4E6D" w:rsidRPr="007F52A5">
        <w:t>ubgroup analyses of results suggest that the improvement associated with zilucoplan treatment compared to placebo may be larger in treatment refractory</w:t>
      </w:r>
      <w:r w:rsidR="00AC24D2" w:rsidRPr="007F52A5">
        <w:t xml:space="preserve"> patients</w:t>
      </w:r>
      <w:r w:rsidR="00EE4E6D" w:rsidRPr="007F52A5">
        <w:t xml:space="preserve"> compared to treatment non-refractory patients</w:t>
      </w:r>
      <w:r w:rsidR="00BB17E0" w:rsidRPr="007F52A5">
        <w:t xml:space="preserve"> (see </w:t>
      </w:r>
      <w:r w:rsidR="00BB17E0" w:rsidRPr="007F52A5">
        <w:fldChar w:fldCharType="begin" w:fldLock="1"/>
      </w:r>
      <w:r w:rsidR="00BB17E0" w:rsidRPr="007F52A5">
        <w:instrText xml:space="preserve"> REF _Ref167094656 \h  \* MERGEFORMAT </w:instrText>
      </w:r>
      <w:r w:rsidR="00BB17E0" w:rsidRPr="007F52A5">
        <w:fldChar w:fldCharType="separate"/>
      </w:r>
      <w:r w:rsidR="00FC355E">
        <w:t xml:space="preserve">Table </w:t>
      </w:r>
      <w:r w:rsidR="00FC355E">
        <w:rPr>
          <w:noProof/>
        </w:rPr>
        <w:t>5</w:t>
      </w:r>
      <w:r w:rsidR="00BB17E0" w:rsidRPr="007F52A5">
        <w:fldChar w:fldCharType="end"/>
      </w:r>
      <w:r w:rsidR="00BB17E0" w:rsidRPr="007F52A5">
        <w:t>)</w:t>
      </w:r>
      <w:r w:rsidR="00EE4E6D" w:rsidRPr="007F52A5">
        <w:t>.</w:t>
      </w:r>
      <w:r w:rsidR="00BB17E0" w:rsidRPr="007F52A5">
        <w:t xml:space="preserve"> A similar pattern of results was observed with QMG and MGC scores.</w:t>
      </w:r>
      <w:r>
        <w:t xml:space="preserve"> The pre-PBAC response stated that ‘a</w:t>
      </w:r>
      <w:r w:rsidRPr="00214063">
        <w:t xml:space="preserve"> formal test for interaction </w:t>
      </w:r>
      <w:r>
        <w:t>was</w:t>
      </w:r>
      <w:r w:rsidRPr="00214063">
        <w:t xml:space="preserve"> conducted for the pre-PBAC response showing that refractory status is not a treatment effect modifier</w:t>
      </w:r>
      <w:r>
        <w:t>’</w:t>
      </w:r>
      <w:r w:rsidR="00FE0D57">
        <w:t>.</w:t>
      </w:r>
      <w:r>
        <w:t xml:space="preserve"> </w:t>
      </w:r>
      <w:r w:rsidR="00563411">
        <w:t>The PBAC noted this was post-hoc analysis</w:t>
      </w:r>
      <w:r w:rsidR="00386C5D">
        <w:t xml:space="preserve"> (randomisation was not stratified by refractory status) and i</w:t>
      </w:r>
      <w:r w:rsidR="00F9035B">
        <w:t>t</w:t>
      </w:r>
      <w:r w:rsidR="00386C5D">
        <w:t xml:space="preserve"> was unclear whether there was a sufficient sample size to detect a significant difference</w:t>
      </w:r>
      <w:r w:rsidR="008766B4">
        <w:t xml:space="preserve"> for this subgroup analysis</w:t>
      </w:r>
      <w:r w:rsidR="00563411">
        <w:t>.</w:t>
      </w:r>
    </w:p>
    <w:p w14:paraId="33548379" w14:textId="39B932E3" w:rsidR="00BB17E0" w:rsidRPr="00B162C2" w:rsidRDefault="00BB17E0" w:rsidP="005A6F32">
      <w:pPr>
        <w:pStyle w:val="Caption"/>
        <w:keepNext/>
      </w:pPr>
      <w:bookmarkStart w:id="51" w:name="_Ref167094656"/>
      <w:r>
        <w:t xml:space="preserve">Table </w:t>
      </w:r>
      <w:r w:rsidR="002F23E8">
        <w:fldChar w:fldCharType="begin" w:fldLock="1"/>
      </w:r>
      <w:r w:rsidR="002F23E8">
        <w:instrText xml:space="preserve"> SEQ Table \* ARABIC </w:instrText>
      </w:r>
      <w:r w:rsidR="002F23E8">
        <w:fldChar w:fldCharType="separate"/>
      </w:r>
      <w:r w:rsidR="00FC355E">
        <w:rPr>
          <w:noProof/>
        </w:rPr>
        <w:t>5</w:t>
      </w:r>
      <w:r w:rsidR="002F23E8">
        <w:rPr>
          <w:noProof/>
        </w:rPr>
        <w:fldChar w:fldCharType="end"/>
      </w:r>
      <w:bookmarkEnd w:id="51"/>
      <w:r w:rsidRPr="00B162C2">
        <w:t>: Subgroup analysis of MG-ADL scores from baseline to Week 12 with zilucoplan and placebo by treatment-refractory status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5: Subgroup analysis of MG-ADL scores from baseline to Week 12 with zilucoplan and placebo by treatment-refractory status"/>
      </w:tblPr>
      <w:tblGrid>
        <w:gridCol w:w="2268"/>
        <w:gridCol w:w="1559"/>
        <w:gridCol w:w="1560"/>
        <w:gridCol w:w="1701"/>
        <w:gridCol w:w="1929"/>
      </w:tblGrid>
      <w:tr w:rsidR="00A708DE" w:rsidRPr="00B162C2" w14:paraId="6E9493C6" w14:textId="77777777" w:rsidTr="00BE10F4">
        <w:trPr>
          <w:trHeight w:val="76"/>
          <w:tblHeader/>
        </w:trPr>
        <w:tc>
          <w:tcPr>
            <w:tcW w:w="2268" w:type="dxa"/>
            <w:tcBorders>
              <w:top w:val="single" w:sz="4" w:space="0" w:color="auto"/>
              <w:left w:val="single" w:sz="4" w:space="0" w:color="auto"/>
              <w:right w:val="single" w:sz="4" w:space="0" w:color="auto"/>
            </w:tcBorders>
            <w:vAlign w:val="center"/>
          </w:tcPr>
          <w:p w14:paraId="4C448A07" w14:textId="77777777" w:rsidR="00BB17E0" w:rsidRPr="00B162C2" w:rsidRDefault="00BB17E0" w:rsidP="005A6F32">
            <w:pPr>
              <w:pStyle w:val="TableText"/>
              <w:widowControl w:val="0"/>
              <w:rPr>
                <w:b/>
              </w:rPr>
            </w:pPr>
            <w:r w:rsidRPr="00B162C2">
              <w:rPr>
                <w:b/>
              </w:rPr>
              <w:t>Treatment arm</w:t>
            </w:r>
          </w:p>
        </w:tc>
        <w:tc>
          <w:tcPr>
            <w:tcW w:w="1559" w:type="dxa"/>
            <w:tcBorders>
              <w:top w:val="single" w:sz="4" w:space="0" w:color="auto"/>
              <w:left w:val="single" w:sz="4" w:space="0" w:color="auto"/>
              <w:right w:val="single" w:sz="4" w:space="0" w:color="auto"/>
            </w:tcBorders>
            <w:vAlign w:val="center"/>
          </w:tcPr>
          <w:p w14:paraId="7C701CE9" w14:textId="77777777" w:rsidR="00BB17E0" w:rsidRPr="00B162C2" w:rsidRDefault="00BB17E0" w:rsidP="005A6F32">
            <w:pPr>
              <w:pStyle w:val="TableText"/>
              <w:widowControl w:val="0"/>
              <w:jc w:val="center"/>
              <w:rPr>
                <w:b/>
              </w:rPr>
            </w:pPr>
            <w:r w:rsidRPr="00B162C2">
              <w:rPr>
                <w:b/>
              </w:rPr>
              <w:t>Baseline,</w:t>
            </w:r>
          </w:p>
          <w:p w14:paraId="741205D6" w14:textId="77777777" w:rsidR="00BB17E0" w:rsidRPr="00B162C2" w:rsidRDefault="00BB17E0" w:rsidP="005A6F32">
            <w:pPr>
              <w:pStyle w:val="TableText"/>
              <w:widowControl w:val="0"/>
              <w:jc w:val="center"/>
              <w:rPr>
                <w:b/>
              </w:rPr>
            </w:pPr>
            <w:r w:rsidRPr="00B162C2">
              <w:rPr>
                <w:b/>
              </w:rPr>
              <w:t>Mean (SD)</w:t>
            </w:r>
          </w:p>
        </w:tc>
        <w:tc>
          <w:tcPr>
            <w:tcW w:w="1560" w:type="dxa"/>
            <w:tcBorders>
              <w:top w:val="single" w:sz="4" w:space="0" w:color="auto"/>
              <w:left w:val="single" w:sz="4" w:space="0" w:color="auto"/>
              <w:right w:val="single" w:sz="4" w:space="0" w:color="auto"/>
            </w:tcBorders>
            <w:vAlign w:val="center"/>
          </w:tcPr>
          <w:p w14:paraId="7276D1DC" w14:textId="77777777" w:rsidR="00BB17E0" w:rsidRPr="00B162C2" w:rsidRDefault="00BB17E0" w:rsidP="005A6F32">
            <w:pPr>
              <w:pStyle w:val="TableText"/>
              <w:widowControl w:val="0"/>
              <w:jc w:val="center"/>
              <w:rPr>
                <w:b/>
              </w:rPr>
            </w:pPr>
            <w:r w:rsidRPr="00B162C2">
              <w:rPr>
                <w:b/>
              </w:rPr>
              <w:t>Final,</w:t>
            </w:r>
          </w:p>
          <w:p w14:paraId="535DCD25" w14:textId="77777777" w:rsidR="00BB17E0" w:rsidRPr="00B162C2" w:rsidRDefault="00BB17E0" w:rsidP="005A6F32">
            <w:pPr>
              <w:pStyle w:val="TableText"/>
              <w:widowControl w:val="0"/>
              <w:jc w:val="center"/>
              <w:rPr>
                <w:b/>
              </w:rPr>
            </w:pPr>
            <w:r w:rsidRPr="00B162C2">
              <w:rPr>
                <w:b/>
              </w:rPr>
              <w:t>Mean (SD)</w:t>
            </w:r>
          </w:p>
        </w:tc>
        <w:tc>
          <w:tcPr>
            <w:tcW w:w="1701" w:type="dxa"/>
            <w:tcBorders>
              <w:top w:val="single" w:sz="4" w:space="0" w:color="auto"/>
              <w:left w:val="single" w:sz="4" w:space="0" w:color="auto"/>
              <w:right w:val="single" w:sz="4" w:space="0" w:color="auto"/>
            </w:tcBorders>
            <w:vAlign w:val="center"/>
          </w:tcPr>
          <w:p w14:paraId="5093F7C1" w14:textId="77777777" w:rsidR="00BB17E0" w:rsidRPr="00B162C2" w:rsidRDefault="00BB17E0" w:rsidP="005A6F32">
            <w:pPr>
              <w:pStyle w:val="TableText"/>
              <w:widowControl w:val="0"/>
              <w:jc w:val="center"/>
              <w:rPr>
                <w:b/>
              </w:rPr>
            </w:pPr>
            <w:r w:rsidRPr="00B162C2">
              <w:rPr>
                <w:b/>
              </w:rPr>
              <w:t>LS mean change (95% CI)</w:t>
            </w:r>
          </w:p>
        </w:tc>
        <w:tc>
          <w:tcPr>
            <w:tcW w:w="1929" w:type="dxa"/>
            <w:tcBorders>
              <w:top w:val="single" w:sz="4" w:space="0" w:color="auto"/>
              <w:left w:val="single" w:sz="4" w:space="0" w:color="auto"/>
              <w:right w:val="single" w:sz="4" w:space="0" w:color="auto"/>
            </w:tcBorders>
            <w:vAlign w:val="center"/>
          </w:tcPr>
          <w:p w14:paraId="579495DB" w14:textId="77777777" w:rsidR="00BB17E0" w:rsidRPr="00B162C2" w:rsidRDefault="00BB17E0" w:rsidP="005A6F32">
            <w:pPr>
              <w:pStyle w:val="TableText"/>
              <w:widowControl w:val="0"/>
              <w:jc w:val="center"/>
              <w:rPr>
                <w:b/>
              </w:rPr>
            </w:pPr>
            <w:r w:rsidRPr="00B162C2">
              <w:rPr>
                <w:b/>
              </w:rPr>
              <w:t>Treatment difference (95% CI)</w:t>
            </w:r>
          </w:p>
        </w:tc>
      </w:tr>
      <w:tr w:rsidR="008766B4" w:rsidRPr="00B162C2" w14:paraId="582EFE9A" w14:textId="77777777" w:rsidTr="00BE10F4">
        <w:trPr>
          <w:trHeight w:val="76"/>
          <w:tblHeader/>
        </w:trPr>
        <w:tc>
          <w:tcPr>
            <w:tcW w:w="9017" w:type="dxa"/>
            <w:gridSpan w:val="5"/>
            <w:tcBorders>
              <w:top w:val="single" w:sz="4" w:space="0" w:color="auto"/>
              <w:left w:val="single" w:sz="4" w:space="0" w:color="auto"/>
              <w:right w:val="single" w:sz="4" w:space="0" w:color="auto"/>
            </w:tcBorders>
            <w:vAlign w:val="center"/>
          </w:tcPr>
          <w:p w14:paraId="229F6694" w14:textId="0DF68CA9" w:rsidR="008766B4" w:rsidRPr="00B162C2" w:rsidRDefault="008766B4" w:rsidP="008766B4">
            <w:pPr>
              <w:pStyle w:val="TableText"/>
              <w:widowControl w:val="0"/>
              <w:rPr>
                <w:b/>
              </w:rPr>
            </w:pPr>
            <w:r>
              <w:rPr>
                <w:b/>
              </w:rPr>
              <w:t>Overall trial population</w:t>
            </w:r>
          </w:p>
        </w:tc>
      </w:tr>
      <w:tr w:rsidR="008766B4" w:rsidRPr="00B162C2" w14:paraId="0965AE91" w14:textId="77777777" w:rsidTr="00BE10F4">
        <w:trPr>
          <w:trHeight w:val="76"/>
          <w:tblHeader/>
        </w:trPr>
        <w:tc>
          <w:tcPr>
            <w:tcW w:w="2268" w:type="dxa"/>
            <w:tcBorders>
              <w:top w:val="single" w:sz="4" w:space="0" w:color="auto"/>
              <w:left w:val="single" w:sz="4" w:space="0" w:color="auto"/>
              <w:right w:val="single" w:sz="4" w:space="0" w:color="auto"/>
            </w:tcBorders>
            <w:vAlign w:val="center"/>
          </w:tcPr>
          <w:p w14:paraId="6DABB129" w14:textId="4BED1BCE" w:rsidR="008766B4" w:rsidRPr="00B162C2" w:rsidRDefault="008766B4" w:rsidP="008766B4">
            <w:pPr>
              <w:pStyle w:val="TableText"/>
              <w:widowControl w:val="0"/>
              <w:rPr>
                <w:b/>
              </w:rPr>
            </w:pPr>
            <w:r w:rsidRPr="00B162C2">
              <w:t>Zilucoplan (N = 86)</w:t>
            </w:r>
          </w:p>
        </w:tc>
        <w:tc>
          <w:tcPr>
            <w:tcW w:w="1559" w:type="dxa"/>
            <w:tcBorders>
              <w:top w:val="single" w:sz="4" w:space="0" w:color="auto"/>
              <w:left w:val="single" w:sz="4" w:space="0" w:color="auto"/>
              <w:right w:val="single" w:sz="4" w:space="0" w:color="auto"/>
            </w:tcBorders>
            <w:vAlign w:val="center"/>
          </w:tcPr>
          <w:p w14:paraId="6EB86B6D" w14:textId="62509C0E" w:rsidR="008766B4" w:rsidRPr="00B162C2" w:rsidRDefault="008766B4" w:rsidP="008766B4">
            <w:pPr>
              <w:pStyle w:val="TableText"/>
              <w:widowControl w:val="0"/>
              <w:jc w:val="center"/>
              <w:rPr>
                <w:b/>
              </w:rPr>
            </w:pPr>
            <w:r w:rsidRPr="00B162C2">
              <w:t>10.3 (2.5)</w:t>
            </w:r>
          </w:p>
        </w:tc>
        <w:tc>
          <w:tcPr>
            <w:tcW w:w="1560" w:type="dxa"/>
            <w:tcBorders>
              <w:top w:val="single" w:sz="4" w:space="0" w:color="auto"/>
              <w:left w:val="single" w:sz="4" w:space="0" w:color="auto"/>
              <w:right w:val="single" w:sz="4" w:space="0" w:color="auto"/>
            </w:tcBorders>
            <w:vAlign w:val="center"/>
          </w:tcPr>
          <w:p w14:paraId="33FE266A" w14:textId="497FA658" w:rsidR="008766B4" w:rsidRPr="00B162C2" w:rsidRDefault="008766B4" w:rsidP="008766B4">
            <w:pPr>
              <w:pStyle w:val="TableText"/>
              <w:widowControl w:val="0"/>
              <w:jc w:val="center"/>
              <w:rPr>
                <w:b/>
              </w:rPr>
            </w:pPr>
            <w:r w:rsidRPr="00B162C2">
              <w:t>5.6 (4.0)</w:t>
            </w:r>
          </w:p>
        </w:tc>
        <w:tc>
          <w:tcPr>
            <w:tcW w:w="1701" w:type="dxa"/>
            <w:tcBorders>
              <w:top w:val="single" w:sz="4" w:space="0" w:color="auto"/>
              <w:left w:val="single" w:sz="4" w:space="0" w:color="auto"/>
              <w:right w:val="single" w:sz="4" w:space="0" w:color="auto"/>
            </w:tcBorders>
            <w:vAlign w:val="center"/>
          </w:tcPr>
          <w:p w14:paraId="3814870D" w14:textId="411D4EF7" w:rsidR="008766B4" w:rsidRPr="00B162C2" w:rsidRDefault="008766B4" w:rsidP="008766B4">
            <w:pPr>
              <w:pStyle w:val="TableText"/>
              <w:widowControl w:val="0"/>
              <w:jc w:val="center"/>
              <w:rPr>
                <w:b/>
              </w:rPr>
            </w:pPr>
            <w:r w:rsidRPr="00B162C2">
              <w:t>-4.39 (-5.28, -3.50)</w:t>
            </w:r>
          </w:p>
        </w:tc>
        <w:tc>
          <w:tcPr>
            <w:tcW w:w="1929" w:type="dxa"/>
            <w:vMerge w:val="restart"/>
            <w:tcBorders>
              <w:top w:val="single" w:sz="4" w:space="0" w:color="auto"/>
              <w:left w:val="single" w:sz="4" w:space="0" w:color="auto"/>
              <w:right w:val="single" w:sz="4" w:space="0" w:color="auto"/>
            </w:tcBorders>
            <w:vAlign w:val="center"/>
          </w:tcPr>
          <w:p w14:paraId="068DCFB3" w14:textId="2A717EBA" w:rsidR="008766B4" w:rsidRPr="00B162C2" w:rsidRDefault="008766B4" w:rsidP="008766B4">
            <w:pPr>
              <w:pStyle w:val="TableText"/>
              <w:widowControl w:val="0"/>
              <w:jc w:val="center"/>
              <w:rPr>
                <w:b/>
              </w:rPr>
            </w:pPr>
            <w:r w:rsidRPr="00B162C2">
              <w:rPr>
                <w:b/>
              </w:rPr>
              <w:t>-2.09 (-3.24, -0.95)</w:t>
            </w:r>
          </w:p>
        </w:tc>
      </w:tr>
      <w:tr w:rsidR="008766B4" w:rsidRPr="00B162C2" w14:paraId="542D73DF" w14:textId="77777777" w:rsidTr="00BE10F4">
        <w:trPr>
          <w:trHeight w:val="76"/>
          <w:tblHeader/>
        </w:trPr>
        <w:tc>
          <w:tcPr>
            <w:tcW w:w="2268" w:type="dxa"/>
            <w:tcBorders>
              <w:top w:val="single" w:sz="4" w:space="0" w:color="auto"/>
              <w:left w:val="single" w:sz="4" w:space="0" w:color="auto"/>
              <w:right w:val="single" w:sz="4" w:space="0" w:color="auto"/>
            </w:tcBorders>
            <w:vAlign w:val="center"/>
          </w:tcPr>
          <w:p w14:paraId="59A6A716" w14:textId="1C6B4122" w:rsidR="008766B4" w:rsidRPr="00B162C2" w:rsidRDefault="008766B4" w:rsidP="008766B4">
            <w:pPr>
              <w:pStyle w:val="TableText"/>
              <w:widowControl w:val="0"/>
              <w:rPr>
                <w:b/>
              </w:rPr>
            </w:pPr>
            <w:r w:rsidRPr="00B162C2">
              <w:t>Placebo (N = 88)</w:t>
            </w:r>
          </w:p>
        </w:tc>
        <w:tc>
          <w:tcPr>
            <w:tcW w:w="1559" w:type="dxa"/>
            <w:tcBorders>
              <w:top w:val="single" w:sz="4" w:space="0" w:color="auto"/>
              <w:left w:val="single" w:sz="4" w:space="0" w:color="auto"/>
              <w:right w:val="single" w:sz="4" w:space="0" w:color="auto"/>
            </w:tcBorders>
            <w:vAlign w:val="center"/>
          </w:tcPr>
          <w:p w14:paraId="6964D9D2" w14:textId="59AE824D" w:rsidR="008766B4" w:rsidRPr="00B162C2" w:rsidRDefault="008766B4" w:rsidP="008766B4">
            <w:pPr>
              <w:pStyle w:val="TableText"/>
              <w:widowControl w:val="0"/>
              <w:jc w:val="center"/>
              <w:rPr>
                <w:b/>
              </w:rPr>
            </w:pPr>
            <w:r w:rsidRPr="00B162C2">
              <w:t>10.9 (3.4)</w:t>
            </w:r>
          </w:p>
        </w:tc>
        <w:tc>
          <w:tcPr>
            <w:tcW w:w="1560" w:type="dxa"/>
            <w:tcBorders>
              <w:top w:val="single" w:sz="4" w:space="0" w:color="auto"/>
              <w:left w:val="single" w:sz="4" w:space="0" w:color="auto"/>
              <w:right w:val="single" w:sz="4" w:space="0" w:color="auto"/>
            </w:tcBorders>
            <w:vAlign w:val="center"/>
          </w:tcPr>
          <w:p w14:paraId="5D053D88" w14:textId="16C9B2B8" w:rsidR="008766B4" w:rsidRPr="00B162C2" w:rsidRDefault="008766B4" w:rsidP="008766B4">
            <w:pPr>
              <w:pStyle w:val="TableText"/>
              <w:widowControl w:val="0"/>
              <w:jc w:val="center"/>
              <w:rPr>
                <w:b/>
              </w:rPr>
            </w:pPr>
            <w:r w:rsidRPr="00B162C2">
              <w:t>8.0 (4.5)</w:t>
            </w:r>
          </w:p>
        </w:tc>
        <w:tc>
          <w:tcPr>
            <w:tcW w:w="1701" w:type="dxa"/>
            <w:tcBorders>
              <w:top w:val="single" w:sz="4" w:space="0" w:color="auto"/>
              <w:left w:val="single" w:sz="4" w:space="0" w:color="auto"/>
              <w:right w:val="single" w:sz="4" w:space="0" w:color="auto"/>
            </w:tcBorders>
            <w:vAlign w:val="center"/>
          </w:tcPr>
          <w:p w14:paraId="2D1667FE" w14:textId="52DA0227" w:rsidR="008766B4" w:rsidRPr="00B162C2" w:rsidRDefault="008766B4" w:rsidP="008766B4">
            <w:pPr>
              <w:pStyle w:val="TableText"/>
              <w:widowControl w:val="0"/>
              <w:jc w:val="center"/>
              <w:rPr>
                <w:b/>
              </w:rPr>
            </w:pPr>
            <w:r w:rsidRPr="00B162C2">
              <w:t>-2.30 (-3.17, -1.43)</w:t>
            </w:r>
          </w:p>
        </w:tc>
        <w:tc>
          <w:tcPr>
            <w:tcW w:w="1929" w:type="dxa"/>
            <w:vMerge/>
            <w:tcBorders>
              <w:left w:val="single" w:sz="4" w:space="0" w:color="auto"/>
              <w:right w:val="single" w:sz="4" w:space="0" w:color="auto"/>
            </w:tcBorders>
            <w:vAlign w:val="center"/>
          </w:tcPr>
          <w:p w14:paraId="4FA05017" w14:textId="77777777" w:rsidR="008766B4" w:rsidRPr="00B162C2" w:rsidRDefault="008766B4" w:rsidP="008766B4">
            <w:pPr>
              <w:pStyle w:val="TableText"/>
              <w:widowControl w:val="0"/>
              <w:jc w:val="center"/>
              <w:rPr>
                <w:b/>
              </w:rPr>
            </w:pPr>
          </w:p>
        </w:tc>
      </w:tr>
      <w:tr w:rsidR="00A708DE" w:rsidRPr="00B162C2" w14:paraId="7C913064" w14:textId="77777777" w:rsidTr="00BE10F4">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656B57F2" w14:textId="77777777" w:rsidR="00BB17E0" w:rsidRPr="00B162C2" w:rsidRDefault="00BB17E0" w:rsidP="005A6F32">
            <w:pPr>
              <w:pStyle w:val="TableText"/>
              <w:widowControl w:val="0"/>
              <w:rPr>
                <w:b/>
                <w:bCs w:val="0"/>
              </w:rPr>
            </w:pPr>
            <w:r w:rsidRPr="00B162C2">
              <w:rPr>
                <w:b/>
                <w:bCs w:val="0"/>
              </w:rPr>
              <w:t>Treatment refractory patients</w:t>
            </w:r>
          </w:p>
        </w:tc>
      </w:tr>
      <w:tr w:rsidR="00A708DE" w:rsidRPr="00B162C2" w14:paraId="27D759E4" w14:textId="77777777" w:rsidTr="00BE10F4">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123E79DB" w14:textId="77777777" w:rsidR="00BB17E0" w:rsidRPr="00B162C2" w:rsidRDefault="00BB17E0" w:rsidP="005A6F32">
            <w:pPr>
              <w:pStyle w:val="TableText"/>
              <w:widowControl w:val="0"/>
            </w:pPr>
            <w:r w:rsidRPr="00B162C2">
              <w:t>Zilucoplan (N = 44)</w:t>
            </w:r>
          </w:p>
        </w:tc>
        <w:tc>
          <w:tcPr>
            <w:tcW w:w="1559" w:type="dxa"/>
            <w:tcBorders>
              <w:top w:val="single" w:sz="4" w:space="0" w:color="auto"/>
              <w:left w:val="single" w:sz="4" w:space="0" w:color="auto"/>
              <w:bottom w:val="single" w:sz="4" w:space="0" w:color="auto"/>
              <w:right w:val="single" w:sz="4" w:space="0" w:color="auto"/>
            </w:tcBorders>
            <w:vAlign w:val="center"/>
          </w:tcPr>
          <w:p w14:paraId="01D571CC" w14:textId="77777777" w:rsidR="00BB17E0" w:rsidRPr="00B162C2" w:rsidRDefault="00BB17E0" w:rsidP="005A6F32">
            <w:pPr>
              <w:pStyle w:val="TableText"/>
              <w:widowControl w:val="0"/>
              <w:jc w:val="center"/>
            </w:pPr>
            <w:r w:rsidRPr="00B162C2">
              <w:t>10.3 (2.6)</w:t>
            </w:r>
          </w:p>
        </w:tc>
        <w:tc>
          <w:tcPr>
            <w:tcW w:w="1560" w:type="dxa"/>
            <w:tcBorders>
              <w:top w:val="single" w:sz="4" w:space="0" w:color="auto"/>
              <w:left w:val="single" w:sz="4" w:space="0" w:color="auto"/>
              <w:bottom w:val="single" w:sz="4" w:space="0" w:color="auto"/>
              <w:right w:val="single" w:sz="4" w:space="0" w:color="auto"/>
            </w:tcBorders>
            <w:vAlign w:val="center"/>
          </w:tcPr>
          <w:p w14:paraId="747B4B2A" w14:textId="77777777" w:rsidR="00BB17E0" w:rsidRPr="00B162C2" w:rsidRDefault="00BB17E0" w:rsidP="005A6F32">
            <w:pPr>
              <w:pStyle w:val="TableText"/>
              <w:widowControl w:val="0"/>
              <w:jc w:val="center"/>
            </w:pPr>
            <w:r w:rsidRPr="00B162C2">
              <w:t>5.4 (4.0)</w:t>
            </w:r>
          </w:p>
        </w:tc>
        <w:tc>
          <w:tcPr>
            <w:tcW w:w="1701" w:type="dxa"/>
            <w:tcBorders>
              <w:top w:val="single" w:sz="4" w:space="0" w:color="auto"/>
              <w:left w:val="single" w:sz="4" w:space="0" w:color="auto"/>
              <w:right w:val="single" w:sz="4" w:space="0" w:color="auto"/>
            </w:tcBorders>
            <w:vAlign w:val="center"/>
          </w:tcPr>
          <w:p w14:paraId="38FF82F8" w14:textId="77777777" w:rsidR="00BB17E0" w:rsidRPr="00B162C2" w:rsidRDefault="00BB17E0" w:rsidP="005A6F32">
            <w:pPr>
              <w:pStyle w:val="TableText"/>
              <w:widowControl w:val="0"/>
              <w:jc w:val="center"/>
            </w:pPr>
            <w:r w:rsidRPr="00B162C2">
              <w:t>-4.72 (-5.88, -3.57)</w:t>
            </w:r>
          </w:p>
        </w:tc>
        <w:tc>
          <w:tcPr>
            <w:tcW w:w="1929" w:type="dxa"/>
            <w:vMerge w:val="restart"/>
            <w:tcBorders>
              <w:top w:val="single" w:sz="4" w:space="0" w:color="auto"/>
              <w:left w:val="single" w:sz="4" w:space="0" w:color="auto"/>
              <w:right w:val="single" w:sz="4" w:space="0" w:color="auto"/>
            </w:tcBorders>
            <w:vAlign w:val="center"/>
          </w:tcPr>
          <w:p w14:paraId="3D50467A" w14:textId="77777777" w:rsidR="00BB17E0" w:rsidRPr="00B162C2" w:rsidRDefault="00BB17E0" w:rsidP="005A6F32">
            <w:pPr>
              <w:pStyle w:val="TableText"/>
              <w:widowControl w:val="0"/>
              <w:jc w:val="center"/>
            </w:pPr>
            <w:r w:rsidRPr="00B162C2">
              <w:t>-3.11 (-4.69, -1.52)</w:t>
            </w:r>
          </w:p>
        </w:tc>
      </w:tr>
      <w:tr w:rsidR="00A708DE" w:rsidRPr="00B162C2" w14:paraId="3DF6A6E1" w14:textId="77777777" w:rsidTr="00BE10F4">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333AC810" w14:textId="77777777" w:rsidR="00BB17E0" w:rsidRPr="00B162C2" w:rsidRDefault="00BB17E0" w:rsidP="005A6F32">
            <w:pPr>
              <w:pStyle w:val="TableText"/>
              <w:widowControl w:val="0"/>
            </w:pPr>
            <w:r w:rsidRPr="00B162C2">
              <w:t>Placebo (N = 44)</w:t>
            </w:r>
          </w:p>
        </w:tc>
        <w:tc>
          <w:tcPr>
            <w:tcW w:w="1559" w:type="dxa"/>
            <w:tcBorders>
              <w:top w:val="single" w:sz="4" w:space="0" w:color="auto"/>
              <w:left w:val="single" w:sz="4" w:space="0" w:color="auto"/>
              <w:bottom w:val="single" w:sz="4" w:space="0" w:color="auto"/>
              <w:right w:val="single" w:sz="4" w:space="0" w:color="auto"/>
            </w:tcBorders>
            <w:vAlign w:val="center"/>
          </w:tcPr>
          <w:p w14:paraId="7119E061" w14:textId="77777777" w:rsidR="00BB17E0" w:rsidRPr="00B162C2" w:rsidRDefault="00BB17E0" w:rsidP="005A6F32">
            <w:pPr>
              <w:pStyle w:val="TableText"/>
              <w:widowControl w:val="0"/>
              <w:jc w:val="center"/>
            </w:pPr>
            <w:r w:rsidRPr="00B162C2">
              <w:t>11.0 (3.4)</w:t>
            </w:r>
          </w:p>
        </w:tc>
        <w:tc>
          <w:tcPr>
            <w:tcW w:w="1560" w:type="dxa"/>
            <w:tcBorders>
              <w:top w:val="single" w:sz="4" w:space="0" w:color="auto"/>
              <w:left w:val="single" w:sz="4" w:space="0" w:color="auto"/>
              <w:bottom w:val="single" w:sz="4" w:space="0" w:color="auto"/>
              <w:right w:val="single" w:sz="4" w:space="0" w:color="auto"/>
            </w:tcBorders>
            <w:vAlign w:val="center"/>
          </w:tcPr>
          <w:p w14:paraId="08C1EFE3" w14:textId="77777777" w:rsidR="00BB17E0" w:rsidRPr="00B162C2" w:rsidRDefault="00BB17E0" w:rsidP="005A6F32">
            <w:pPr>
              <w:pStyle w:val="TableText"/>
              <w:widowControl w:val="0"/>
              <w:jc w:val="center"/>
            </w:pPr>
            <w:r w:rsidRPr="00B162C2">
              <w:t>8.7 (3.8)</w:t>
            </w:r>
          </w:p>
        </w:tc>
        <w:tc>
          <w:tcPr>
            <w:tcW w:w="1701" w:type="dxa"/>
            <w:tcBorders>
              <w:left w:val="single" w:sz="4" w:space="0" w:color="auto"/>
              <w:right w:val="single" w:sz="4" w:space="0" w:color="auto"/>
            </w:tcBorders>
            <w:vAlign w:val="center"/>
          </w:tcPr>
          <w:p w14:paraId="131C9AAE" w14:textId="77777777" w:rsidR="00BB17E0" w:rsidRPr="00B162C2" w:rsidRDefault="00BB17E0" w:rsidP="005A6F32">
            <w:pPr>
              <w:pStyle w:val="TableText"/>
              <w:widowControl w:val="0"/>
              <w:jc w:val="center"/>
            </w:pPr>
            <w:r w:rsidRPr="00B162C2">
              <w:t>-1.62 (-2.77, -0.47)</w:t>
            </w:r>
          </w:p>
        </w:tc>
        <w:tc>
          <w:tcPr>
            <w:tcW w:w="1929" w:type="dxa"/>
            <w:vMerge/>
            <w:tcBorders>
              <w:left w:val="single" w:sz="4" w:space="0" w:color="auto"/>
              <w:right w:val="single" w:sz="4" w:space="0" w:color="auto"/>
            </w:tcBorders>
            <w:vAlign w:val="center"/>
          </w:tcPr>
          <w:p w14:paraId="4B66B610" w14:textId="77777777" w:rsidR="00BB17E0" w:rsidRPr="00B162C2" w:rsidRDefault="00BB17E0" w:rsidP="005A6F32">
            <w:pPr>
              <w:pStyle w:val="TableText"/>
              <w:widowControl w:val="0"/>
              <w:jc w:val="center"/>
            </w:pPr>
          </w:p>
        </w:tc>
      </w:tr>
      <w:tr w:rsidR="00A708DE" w:rsidRPr="00B162C2" w14:paraId="7E653B73" w14:textId="77777777" w:rsidTr="00BE10F4">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078504E4" w14:textId="77777777" w:rsidR="00BB17E0" w:rsidRPr="00B162C2" w:rsidRDefault="00BB17E0" w:rsidP="005A6F32">
            <w:pPr>
              <w:pStyle w:val="TableText"/>
              <w:widowControl w:val="0"/>
              <w:rPr>
                <w:b/>
                <w:bCs w:val="0"/>
              </w:rPr>
            </w:pPr>
            <w:r w:rsidRPr="00B162C2">
              <w:rPr>
                <w:b/>
                <w:bCs w:val="0"/>
              </w:rPr>
              <w:t>Treatment non-refractory patients</w:t>
            </w:r>
          </w:p>
        </w:tc>
      </w:tr>
      <w:tr w:rsidR="00A708DE" w:rsidRPr="00B162C2" w14:paraId="7459558B" w14:textId="77777777" w:rsidTr="00BE10F4">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09827479" w14:textId="77777777" w:rsidR="00BB17E0" w:rsidRPr="00B162C2" w:rsidRDefault="00BB17E0" w:rsidP="005A6F32">
            <w:pPr>
              <w:pStyle w:val="TableText"/>
              <w:widowControl w:val="0"/>
            </w:pPr>
            <w:r w:rsidRPr="00B162C2">
              <w:t>Zilucoplan (N = 42)</w:t>
            </w:r>
          </w:p>
        </w:tc>
        <w:tc>
          <w:tcPr>
            <w:tcW w:w="1559" w:type="dxa"/>
            <w:tcBorders>
              <w:top w:val="single" w:sz="4" w:space="0" w:color="auto"/>
              <w:left w:val="single" w:sz="4" w:space="0" w:color="auto"/>
              <w:bottom w:val="single" w:sz="4" w:space="0" w:color="auto"/>
              <w:right w:val="single" w:sz="4" w:space="0" w:color="auto"/>
            </w:tcBorders>
            <w:vAlign w:val="center"/>
          </w:tcPr>
          <w:p w14:paraId="6CBB0A37" w14:textId="77777777" w:rsidR="00BB17E0" w:rsidRPr="00B162C2" w:rsidRDefault="00BB17E0" w:rsidP="005A6F32">
            <w:pPr>
              <w:pStyle w:val="TableText"/>
              <w:widowControl w:val="0"/>
              <w:jc w:val="center"/>
            </w:pPr>
            <w:r w:rsidRPr="00B162C2">
              <w:t>10.3 (2.5)</w:t>
            </w:r>
          </w:p>
        </w:tc>
        <w:tc>
          <w:tcPr>
            <w:tcW w:w="1560" w:type="dxa"/>
            <w:tcBorders>
              <w:top w:val="single" w:sz="4" w:space="0" w:color="auto"/>
              <w:left w:val="single" w:sz="4" w:space="0" w:color="auto"/>
              <w:bottom w:val="single" w:sz="4" w:space="0" w:color="auto"/>
              <w:right w:val="single" w:sz="4" w:space="0" w:color="auto"/>
            </w:tcBorders>
            <w:vAlign w:val="center"/>
          </w:tcPr>
          <w:p w14:paraId="5E83CC07" w14:textId="77777777" w:rsidR="00BB17E0" w:rsidRPr="00B162C2" w:rsidRDefault="00BB17E0" w:rsidP="005A6F32">
            <w:pPr>
              <w:pStyle w:val="TableText"/>
              <w:widowControl w:val="0"/>
              <w:jc w:val="center"/>
            </w:pPr>
            <w:r w:rsidRPr="00B162C2">
              <w:t>5.7 (4.1)</w:t>
            </w:r>
          </w:p>
        </w:tc>
        <w:tc>
          <w:tcPr>
            <w:tcW w:w="1701" w:type="dxa"/>
            <w:tcBorders>
              <w:left w:val="single" w:sz="4" w:space="0" w:color="auto"/>
              <w:right w:val="single" w:sz="4" w:space="0" w:color="auto"/>
            </w:tcBorders>
            <w:vAlign w:val="center"/>
          </w:tcPr>
          <w:p w14:paraId="0136FFB0" w14:textId="77777777" w:rsidR="00BB17E0" w:rsidRPr="00B162C2" w:rsidRDefault="00BB17E0" w:rsidP="005A6F32">
            <w:pPr>
              <w:pStyle w:val="TableText"/>
              <w:widowControl w:val="0"/>
              <w:jc w:val="center"/>
            </w:pPr>
            <w:r w:rsidRPr="00B162C2">
              <w:t>-3.30 (-5.05, -1.56)</w:t>
            </w:r>
          </w:p>
        </w:tc>
        <w:tc>
          <w:tcPr>
            <w:tcW w:w="1929" w:type="dxa"/>
            <w:vMerge w:val="restart"/>
            <w:tcBorders>
              <w:left w:val="single" w:sz="4" w:space="0" w:color="auto"/>
              <w:right w:val="single" w:sz="4" w:space="0" w:color="auto"/>
            </w:tcBorders>
            <w:vAlign w:val="center"/>
          </w:tcPr>
          <w:p w14:paraId="35FBBFEE" w14:textId="77777777" w:rsidR="00BB17E0" w:rsidRPr="00B162C2" w:rsidRDefault="00BB17E0" w:rsidP="005A6F32">
            <w:pPr>
              <w:pStyle w:val="TableText"/>
              <w:widowControl w:val="0"/>
              <w:jc w:val="center"/>
            </w:pPr>
            <w:r w:rsidRPr="00B162C2">
              <w:t>-1.12 (-2.79, 0.54)</w:t>
            </w:r>
          </w:p>
        </w:tc>
      </w:tr>
      <w:tr w:rsidR="00A708DE" w:rsidRPr="00B162C2" w14:paraId="571C1DB0" w14:textId="77777777" w:rsidTr="00BE10F4">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6E279BAD" w14:textId="77777777" w:rsidR="00BB17E0" w:rsidRPr="00B162C2" w:rsidRDefault="00BB17E0" w:rsidP="005A6F32">
            <w:pPr>
              <w:pStyle w:val="TableText"/>
              <w:widowControl w:val="0"/>
            </w:pPr>
            <w:r w:rsidRPr="00B162C2">
              <w:t>Placebo (N = 44)</w:t>
            </w:r>
          </w:p>
        </w:tc>
        <w:tc>
          <w:tcPr>
            <w:tcW w:w="1559" w:type="dxa"/>
            <w:tcBorders>
              <w:top w:val="single" w:sz="4" w:space="0" w:color="auto"/>
              <w:left w:val="single" w:sz="4" w:space="0" w:color="auto"/>
              <w:bottom w:val="single" w:sz="4" w:space="0" w:color="auto"/>
              <w:right w:val="single" w:sz="4" w:space="0" w:color="auto"/>
            </w:tcBorders>
            <w:vAlign w:val="center"/>
          </w:tcPr>
          <w:p w14:paraId="008C31A4" w14:textId="77777777" w:rsidR="00BB17E0" w:rsidRPr="00B162C2" w:rsidRDefault="00BB17E0" w:rsidP="005A6F32">
            <w:pPr>
              <w:pStyle w:val="TableText"/>
              <w:widowControl w:val="0"/>
              <w:jc w:val="center"/>
            </w:pPr>
            <w:r w:rsidRPr="00B162C2">
              <w:t>10.7 (3.5)</w:t>
            </w:r>
          </w:p>
        </w:tc>
        <w:tc>
          <w:tcPr>
            <w:tcW w:w="1560" w:type="dxa"/>
            <w:tcBorders>
              <w:top w:val="single" w:sz="4" w:space="0" w:color="auto"/>
              <w:left w:val="single" w:sz="4" w:space="0" w:color="auto"/>
              <w:bottom w:val="single" w:sz="4" w:space="0" w:color="auto"/>
              <w:right w:val="single" w:sz="4" w:space="0" w:color="auto"/>
            </w:tcBorders>
            <w:vAlign w:val="center"/>
          </w:tcPr>
          <w:p w14:paraId="1D590260" w14:textId="77777777" w:rsidR="00BB17E0" w:rsidRPr="00B162C2" w:rsidRDefault="00BB17E0" w:rsidP="005A6F32">
            <w:pPr>
              <w:pStyle w:val="TableText"/>
              <w:widowControl w:val="0"/>
              <w:jc w:val="center"/>
            </w:pPr>
            <w:r w:rsidRPr="00B162C2">
              <w:t>7.4 (5.1)</w:t>
            </w:r>
          </w:p>
        </w:tc>
        <w:tc>
          <w:tcPr>
            <w:tcW w:w="1701" w:type="dxa"/>
            <w:tcBorders>
              <w:left w:val="single" w:sz="4" w:space="0" w:color="auto"/>
              <w:right w:val="single" w:sz="4" w:space="0" w:color="auto"/>
            </w:tcBorders>
            <w:vAlign w:val="center"/>
          </w:tcPr>
          <w:p w14:paraId="7ABCCD47" w14:textId="77777777" w:rsidR="00BB17E0" w:rsidRPr="00B162C2" w:rsidRDefault="00BB17E0" w:rsidP="005A6F32">
            <w:pPr>
              <w:pStyle w:val="TableText"/>
              <w:widowControl w:val="0"/>
              <w:jc w:val="center"/>
            </w:pPr>
            <w:r w:rsidRPr="00B162C2">
              <w:t>-2.18 (-3.90, -0.45)</w:t>
            </w:r>
          </w:p>
        </w:tc>
        <w:tc>
          <w:tcPr>
            <w:tcW w:w="1929" w:type="dxa"/>
            <w:vMerge/>
            <w:tcBorders>
              <w:left w:val="single" w:sz="4" w:space="0" w:color="auto"/>
              <w:right w:val="single" w:sz="4" w:space="0" w:color="auto"/>
            </w:tcBorders>
            <w:vAlign w:val="center"/>
          </w:tcPr>
          <w:p w14:paraId="381C0F2C" w14:textId="77777777" w:rsidR="00BB17E0" w:rsidRPr="00B162C2" w:rsidRDefault="00BB17E0" w:rsidP="005A6F32">
            <w:pPr>
              <w:pStyle w:val="TableText"/>
              <w:widowControl w:val="0"/>
              <w:jc w:val="center"/>
            </w:pPr>
          </w:p>
        </w:tc>
      </w:tr>
    </w:tbl>
    <w:p w14:paraId="48D59311" w14:textId="77777777" w:rsidR="00BB17E0" w:rsidRPr="00B162C2" w:rsidRDefault="00BB17E0" w:rsidP="005A6F32">
      <w:pPr>
        <w:pStyle w:val="COMTablefooter"/>
        <w:keepNext/>
      </w:pPr>
      <w:r w:rsidRPr="00B162C2">
        <w:t>Source: Table 14.2.1.4, pp437-489; Table 14.2.1.15, pp515-520 of the RAISE trial report</w:t>
      </w:r>
    </w:p>
    <w:p w14:paraId="4477D602" w14:textId="77777777" w:rsidR="00BB17E0" w:rsidRPr="00B162C2" w:rsidRDefault="00BB17E0" w:rsidP="005A6F32">
      <w:pPr>
        <w:pStyle w:val="COMTablefooter"/>
        <w:keepNext/>
      </w:pPr>
      <w:r w:rsidRPr="00B162C2">
        <w:t>Abbreviations: CI, confidence interval; LS, least squares; MG-ADL, Myasthenia Gravis Activities of Daily Living; SD, standard deviation</w:t>
      </w:r>
    </w:p>
    <w:p w14:paraId="5AC7F133" w14:textId="31242B72" w:rsidR="00BB17E0" w:rsidRPr="00BB17E0" w:rsidRDefault="00BB17E0" w:rsidP="000E4BD0">
      <w:pPr>
        <w:pStyle w:val="COMTablefooter"/>
      </w:pPr>
      <w:r w:rsidRPr="00B162C2">
        <w:t>Note: MG-ADL scores range from 0 to 24 with lower scores indicating better functional outcomes</w:t>
      </w:r>
    </w:p>
    <w:p w14:paraId="34F4279A" w14:textId="5B7F82B8" w:rsidR="006B784A" w:rsidRPr="00B162C2" w:rsidRDefault="001B6F91" w:rsidP="000E4BD0">
      <w:pPr>
        <w:pStyle w:val="3-BodyText"/>
      </w:pPr>
      <w:r>
        <w:rPr>
          <w:i/>
        </w:rPr>
        <w:t>P</w:t>
      </w:r>
      <w:r w:rsidRPr="001B6F91">
        <w:rPr>
          <w:i/>
        </w:rPr>
        <w:t xml:space="preserve">ost hoc </w:t>
      </w:r>
      <w:r>
        <w:rPr>
          <w:iCs/>
        </w:rPr>
        <w:t>r</w:t>
      </w:r>
      <w:r w:rsidR="006B784A" w:rsidRPr="00B162C2">
        <w:t xml:space="preserve">esponder analyses of functional outcomes are summarised in </w:t>
      </w:r>
      <w:r w:rsidR="006B784A" w:rsidRPr="00B162C2">
        <w:fldChar w:fldCharType="begin" w:fldLock="1"/>
      </w:r>
      <w:r w:rsidR="006B784A" w:rsidRPr="00B162C2">
        <w:instrText xml:space="preserve"> REF _Ref164434630 \h </w:instrText>
      </w:r>
      <w:r w:rsidR="000E4BD0">
        <w:instrText xml:space="preserve"> \* MERGEFORMAT </w:instrText>
      </w:r>
      <w:r w:rsidR="006B784A" w:rsidRPr="00B162C2">
        <w:fldChar w:fldCharType="separate"/>
      </w:r>
      <w:r w:rsidR="00FC355E" w:rsidRPr="00B162C2">
        <w:t xml:space="preserve">Table </w:t>
      </w:r>
      <w:r w:rsidR="00FC355E">
        <w:rPr>
          <w:noProof/>
        </w:rPr>
        <w:t>6</w:t>
      </w:r>
      <w:r w:rsidR="006B784A" w:rsidRPr="00B162C2">
        <w:fldChar w:fldCharType="end"/>
      </w:r>
      <w:r w:rsidR="006B784A" w:rsidRPr="00B162C2">
        <w:t>.</w:t>
      </w:r>
    </w:p>
    <w:p w14:paraId="7BCC19DE" w14:textId="675012C6" w:rsidR="006B784A" w:rsidRPr="00B162C2" w:rsidRDefault="006B784A" w:rsidP="009B2D3F">
      <w:pPr>
        <w:pStyle w:val="COMtablefigcaption"/>
        <w:keepLines/>
      </w:pPr>
      <w:bookmarkStart w:id="52" w:name="_Ref164434630"/>
      <w:r w:rsidRPr="00B162C2">
        <w:t xml:space="preserve">Table </w:t>
      </w:r>
      <w:r w:rsidR="002F23E8">
        <w:fldChar w:fldCharType="begin" w:fldLock="1"/>
      </w:r>
      <w:r w:rsidR="002F23E8">
        <w:instrText xml:space="preserve"> SEQ Table \* ARABIC </w:instrText>
      </w:r>
      <w:r w:rsidR="002F23E8">
        <w:fldChar w:fldCharType="separate"/>
      </w:r>
      <w:r w:rsidR="00FC355E">
        <w:rPr>
          <w:noProof/>
        </w:rPr>
        <w:t>6</w:t>
      </w:r>
      <w:r w:rsidR="002F23E8">
        <w:rPr>
          <w:noProof/>
        </w:rPr>
        <w:fldChar w:fldCharType="end"/>
      </w:r>
      <w:bookmarkEnd w:id="52"/>
      <w:r w:rsidRPr="00B162C2">
        <w:t>: Responder analysis from baseline to Week 12 with zilucoplan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6: Responder analysis from baseline to Week 12 with zilucoplan and placebo"/>
      </w:tblPr>
      <w:tblGrid>
        <w:gridCol w:w="4704"/>
        <w:gridCol w:w="1437"/>
        <w:gridCol w:w="1438"/>
        <w:gridCol w:w="1438"/>
      </w:tblGrid>
      <w:tr w:rsidR="006B784A" w:rsidRPr="00B162C2" w14:paraId="0FBC8249" w14:textId="77777777" w:rsidTr="0079023C">
        <w:trPr>
          <w:trHeight w:val="76"/>
          <w:tblHeader/>
        </w:trPr>
        <w:tc>
          <w:tcPr>
            <w:tcW w:w="4704" w:type="dxa"/>
            <w:tcBorders>
              <w:top w:val="single" w:sz="4" w:space="0" w:color="auto"/>
              <w:left w:val="single" w:sz="4" w:space="0" w:color="auto"/>
              <w:right w:val="single" w:sz="4" w:space="0" w:color="auto"/>
            </w:tcBorders>
            <w:vAlign w:val="center"/>
          </w:tcPr>
          <w:p w14:paraId="60094458" w14:textId="77777777" w:rsidR="006B784A" w:rsidRPr="00B162C2" w:rsidRDefault="006B784A" w:rsidP="009B2D3F">
            <w:pPr>
              <w:pStyle w:val="TableText"/>
              <w:keepLines/>
              <w:widowControl w:val="0"/>
              <w:jc w:val="center"/>
              <w:rPr>
                <w:b/>
              </w:rPr>
            </w:pPr>
            <w:r w:rsidRPr="00B162C2">
              <w:rPr>
                <w:b/>
              </w:rPr>
              <w:t>Outcome</w:t>
            </w:r>
          </w:p>
        </w:tc>
        <w:tc>
          <w:tcPr>
            <w:tcW w:w="1437" w:type="dxa"/>
            <w:tcBorders>
              <w:top w:val="single" w:sz="4" w:space="0" w:color="auto"/>
              <w:left w:val="single" w:sz="4" w:space="0" w:color="auto"/>
              <w:right w:val="single" w:sz="4" w:space="0" w:color="auto"/>
            </w:tcBorders>
            <w:vAlign w:val="center"/>
          </w:tcPr>
          <w:p w14:paraId="5E8FD6FB" w14:textId="77777777" w:rsidR="006B784A" w:rsidRPr="00B162C2" w:rsidRDefault="006B784A" w:rsidP="009B2D3F">
            <w:pPr>
              <w:pStyle w:val="TableText"/>
              <w:keepLines/>
              <w:widowControl w:val="0"/>
              <w:jc w:val="center"/>
              <w:rPr>
                <w:b/>
              </w:rPr>
            </w:pPr>
            <w:r w:rsidRPr="00B162C2">
              <w:rPr>
                <w:b/>
              </w:rPr>
              <w:t>Zilucoplan</w:t>
            </w:r>
          </w:p>
          <w:p w14:paraId="4F37546B" w14:textId="77777777" w:rsidR="006B784A" w:rsidRPr="00B162C2" w:rsidRDefault="006B784A" w:rsidP="009B2D3F">
            <w:pPr>
              <w:pStyle w:val="TableText"/>
              <w:keepLines/>
              <w:widowControl w:val="0"/>
              <w:jc w:val="center"/>
              <w:rPr>
                <w:b/>
              </w:rPr>
            </w:pPr>
            <w:r w:rsidRPr="00B162C2">
              <w:rPr>
                <w:b/>
              </w:rPr>
              <w:t>N = 86</w:t>
            </w:r>
          </w:p>
        </w:tc>
        <w:tc>
          <w:tcPr>
            <w:tcW w:w="1438" w:type="dxa"/>
            <w:tcBorders>
              <w:top w:val="single" w:sz="4" w:space="0" w:color="auto"/>
              <w:left w:val="single" w:sz="4" w:space="0" w:color="auto"/>
              <w:right w:val="single" w:sz="4" w:space="0" w:color="auto"/>
            </w:tcBorders>
            <w:vAlign w:val="center"/>
          </w:tcPr>
          <w:p w14:paraId="18AE62AB" w14:textId="77777777" w:rsidR="006B784A" w:rsidRPr="00B162C2" w:rsidRDefault="006B784A" w:rsidP="009B2D3F">
            <w:pPr>
              <w:pStyle w:val="TableText"/>
              <w:keepLines/>
              <w:widowControl w:val="0"/>
              <w:jc w:val="center"/>
              <w:rPr>
                <w:b/>
              </w:rPr>
            </w:pPr>
            <w:r w:rsidRPr="00B162C2">
              <w:rPr>
                <w:b/>
              </w:rPr>
              <w:t>Placebo</w:t>
            </w:r>
          </w:p>
          <w:p w14:paraId="750BECC5" w14:textId="77777777" w:rsidR="006B784A" w:rsidRPr="00B162C2" w:rsidRDefault="006B784A" w:rsidP="009B2D3F">
            <w:pPr>
              <w:pStyle w:val="TableText"/>
              <w:keepLines/>
              <w:widowControl w:val="0"/>
              <w:jc w:val="center"/>
              <w:rPr>
                <w:b/>
              </w:rPr>
            </w:pPr>
            <w:r w:rsidRPr="00B162C2">
              <w:rPr>
                <w:b/>
              </w:rPr>
              <w:t>N = 88</w:t>
            </w:r>
          </w:p>
        </w:tc>
        <w:tc>
          <w:tcPr>
            <w:tcW w:w="1438" w:type="dxa"/>
            <w:tcBorders>
              <w:top w:val="single" w:sz="4" w:space="0" w:color="auto"/>
              <w:left w:val="single" w:sz="4" w:space="0" w:color="auto"/>
              <w:right w:val="single" w:sz="4" w:space="0" w:color="auto"/>
            </w:tcBorders>
            <w:vAlign w:val="center"/>
          </w:tcPr>
          <w:p w14:paraId="658739AD" w14:textId="77777777" w:rsidR="006B784A" w:rsidRPr="00B162C2" w:rsidRDefault="006B784A" w:rsidP="009B2D3F">
            <w:pPr>
              <w:pStyle w:val="TableText"/>
              <w:keepLines/>
              <w:widowControl w:val="0"/>
              <w:jc w:val="center"/>
              <w:rPr>
                <w:b/>
              </w:rPr>
            </w:pPr>
            <w:r w:rsidRPr="00B162C2">
              <w:rPr>
                <w:b/>
              </w:rPr>
              <w:t>Odds ratio (95% CI)</w:t>
            </w:r>
          </w:p>
        </w:tc>
      </w:tr>
      <w:tr w:rsidR="006B784A" w:rsidRPr="00B162C2" w14:paraId="5F06EB37" w14:textId="77777777" w:rsidTr="0079023C">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39D943B3" w14:textId="6403F3F6" w:rsidR="006B784A" w:rsidRPr="00B162C2" w:rsidRDefault="006B784A" w:rsidP="009B2D3F">
            <w:pPr>
              <w:pStyle w:val="TableText"/>
              <w:keepLines/>
              <w:widowControl w:val="0"/>
              <w:rPr>
                <w:b/>
              </w:rPr>
            </w:pPr>
            <w:r w:rsidRPr="00B162C2">
              <w:rPr>
                <w:b/>
              </w:rPr>
              <w:t>MG-ADL responders</w:t>
            </w:r>
          </w:p>
        </w:tc>
      </w:tr>
      <w:tr w:rsidR="006B784A" w:rsidRPr="00B162C2" w14:paraId="2B4C2A07" w14:textId="77777777" w:rsidTr="0079023C">
        <w:trPr>
          <w:trHeight w:val="70"/>
        </w:trPr>
        <w:tc>
          <w:tcPr>
            <w:tcW w:w="4704" w:type="dxa"/>
            <w:tcBorders>
              <w:top w:val="single" w:sz="4" w:space="0" w:color="auto"/>
              <w:left w:val="single" w:sz="4" w:space="0" w:color="auto"/>
              <w:bottom w:val="single" w:sz="4" w:space="0" w:color="auto"/>
              <w:right w:val="single" w:sz="4" w:space="0" w:color="auto"/>
            </w:tcBorders>
            <w:vAlign w:val="center"/>
          </w:tcPr>
          <w:p w14:paraId="5322674A" w14:textId="77777777" w:rsidR="006B784A" w:rsidRPr="00B162C2" w:rsidRDefault="006B784A" w:rsidP="009B2D3F">
            <w:pPr>
              <w:pStyle w:val="TableText"/>
              <w:keepLines/>
              <w:widowControl w:val="0"/>
            </w:pPr>
            <w:r w:rsidRPr="00B162C2">
              <w:t>2-point reduction in MG-ADL score from baseline to Week 12</w:t>
            </w:r>
          </w:p>
          <w:p w14:paraId="4DDED53A" w14:textId="7BB91276" w:rsidR="006B784A" w:rsidRPr="00B162C2" w:rsidRDefault="006B784A" w:rsidP="009B2D3F">
            <w:pPr>
              <w:pStyle w:val="TableText"/>
              <w:keepLines/>
              <w:widowControl w:val="0"/>
            </w:pPr>
            <w:r w:rsidRPr="00B162C2">
              <w:t>(nominated minimal clinically important difference)</w:t>
            </w:r>
          </w:p>
        </w:tc>
        <w:tc>
          <w:tcPr>
            <w:tcW w:w="1437" w:type="dxa"/>
            <w:tcBorders>
              <w:top w:val="single" w:sz="4" w:space="0" w:color="auto"/>
              <w:left w:val="single" w:sz="4" w:space="0" w:color="auto"/>
              <w:bottom w:val="single" w:sz="4" w:space="0" w:color="auto"/>
              <w:right w:val="single" w:sz="4" w:space="0" w:color="auto"/>
            </w:tcBorders>
            <w:vAlign w:val="center"/>
          </w:tcPr>
          <w:p w14:paraId="78A70070" w14:textId="77777777" w:rsidR="006B784A" w:rsidRPr="00B162C2" w:rsidRDefault="006B784A" w:rsidP="009B2D3F">
            <w:pPr>
              <w:pStyle w:val="TableText"/>
              <w:keepLines/>
              <w:widowControl w:val="0"/>
              <w:jc w:val="center"/>
            </w:pPr>
            <w:r w:rsidRPr="00B162C2">
              <w:t>74.4%</w:t>
            </w:r>
          </w:p>
        </w:tc>
        <w:tc>
          <w:tcPr>
            <w:tcW w:w="1438" w:type="dxa"/>
            <w:tcBorders>
              <w:top w:val="single" w:sz="4" w:space="0" w:color="auto"/>
              <w:left w:val="single" w:sz="4" w:space="0" w:color="auto"/>
              <w:right w:val="single" w:sz="4" w:space="0" w:color="auto"/>
            </w:tcBorders>
            <w:vAlign w:val="center"/>
          </w:tcPr>
          <w:p w14:paraId="39C8B7E2" w14:textId="77777777" w:rsidR="006B784A" w:rsidRPr="00B162C2" w:rsidRDefault="006B784A" w:rsidP="009B2D3F">
            <w:pPr>
              <w:pStyle w:val="TableText"/>
              <w:keepLines/>
              <w:widowControl w:val="0"/>
              <w:jc w:val="center"/>
            </w:pPr>
            <w:r w:rsidRPr="00B162C2">
              <w:t>57.9%</w:t>
            </w:r>
          </w:p>
        </w:tc>
        <w:tc>
          <w:tcPr>
            <w:tcW w:w="1438" w:type="dxa"/>
            <w:tcBorders>
              <w:top w:val="single" w:sz="4" w:space="0" w:color="auto"/>
              <w:left w:val="single" w:sz="4" w:space="0" w:color="auto"/>
              <w:right w:val="single" w:sz="4" w:space="0" w:color="auto"/>
            </w:tcBorders>
            <w:vAlign w:val="center"/>
          </w:tcPr>
          <w:p w14:paraId="644321DB" w14:textId="77777777" w:rsidR="006B784A" w:rsidRPr="00B162C2" w:rsidRDefault="006B784A" w:rsidP="009B2D3F">
            <w:pPr>
              <w:pStyle w:val="TableText"/>
              <w:keepLines/>
              <w:widowControl w:val="0"/>
              <w:jc w:val="center"/>
            </w:pPr>
            <w:r w:rsidRPr="00B162C2">
              <w:t xml:space="preserve">2.120 </w:t>
            </w:r>
          </w:p>
          <w:p w14:paraId="7E76B6B5" w14:textId="77777777" w:rsidR="006B784A" w:rsidRPr="00B162C2" w:rsidRDefault="006B784A" w:rsidP="009B2D3F">
            <w:pPr>
              <w:pStyle w:val="TableText"/>
              <w:keepLines/>
              <w:widowControl w:val="0"/>
              <w:jc w:val="center"/>
            </w:pPr>
            <w:r w:rsidRPr="00B162C2">
              <w:t>(1.095, 4.105)</w:t>
            </w:r>
          </w:p>
        </w:tc>
      </w:tr>
      <w:tr w:rsidR="006B784A" w:rsidRPr="00B162C2" w14:paraId="29BBBF12" w14:textId="77777777" w:rsidTr="0079023C">
        <w:trPr>
          <w:trHeight w:val="70"/>
        </w:trPr>
        <w:tc>
          <w:tcPr>
            <w:tcW w:w="4704" w:type="dxa"/>
            <w:tcBorders>
              <w:top w:val="single" w:sz="4" w:space="0" w:color="auto"/>
              <w:left w:val="single" w:sz="4" w:space="0" w:color="auto"/>
              <w:bottom w:val="single" w:sz="4" w:space="0" w:color="auto"/>
              <w:right w:val="single" w:sz="4" w:space="0" w:color="auto"/>
            </w:tcBorders>
            <w:vAlign w:val="center"/>
          </w:tcPr>
          <w:p w14:paraId="14B10A21" w14:textId="77777777" w:rsidR="006B784A" w:rsidRPr="00B162C2" w:rsidRDefault="006B784A" w:rsidP="009B2D3F">
            <w:pPr>
              <w:pStyle w:val="TableText"/>
              <w:keepLines/>
              <w:widowControl w:val="0"/>
            </w:pPr>
            <w:r w:rsidRPr="00B162C2">
              <w:t>3-point reduction in MG-ADL score from baseline to Week 12</w:t>
            </w:r>
          </w:p>
          <w:p w14:paraId="23F51427" w14:textId="08099353" w:rsidR="006B784A" w:rsidRPr="00B162C2" w:rsidRDefault="006B784A" w:rsidP="009B2D3F">
            <w:pPr>
              <w:pStyle w:val="TableText"/>
              <w:keepLines/>
              <w:widowControl w:val="0"/>
            </w:pPr>
            <w:r w:rsidRPr="00B162C2">
              <w:t>(key secondary outcome)</w:t>
            </w:r>
          </w:p>
        </w:tc>
        <w:tc>
          <w:tcPr>
            <w:tcW w:w="1437" w:type="dxa"/>
            <w:tcBorders>
              <w:top w:val="single" w:sz="4" w:space="0" w:color="auto"/>
              <w:left w:val="single" w:sz="4" w:space="0" w:color="auto"/>
              <w:bottom w:val="single" w:sz="4" w:space="0" w:color="auto"/>
              <w:right w:val="single" w:sz="4" w:space="0" w:color="auto"/>
            </w:tcBorders>
            <w:vAlign w:val="center"/>
          </w:tcPr>
          <w:p w14:paraId="0C12EC32" w14:textId="77777777" w:rsidR="006B784A" w:rsidRPr="00B162C2" w:rsidRDefault="006B784A" w:rsidP="009B2D3F">
            <w:pPr>
              <w:pStyle w:val="TableText"/>
              <w:keepLines/>
              <w:widowControl w:val="0"/>
              <w:jc w:val="center"/>
            </w:pPr>
            <w:r w:rsidRPr="00B162C2">
              <w:t>73.1%</w:t>
            </w:r>
          </w:p>
        </w:tc>
        <w:tc>
          <w:tcPr>
            <w:tcW w:w="1438" w:type="dxa"/>
            <w:tcBorders>
              <w:left w:val="single" w:sz="4" w:space="0" w:color="auto"/>
              <w:right w:val="single" w:sz="4" w:space="0" w:color="auto"/>
            </w:tcBorders>
            <w:vAlign w:val="center"/>
          </w:tcPr>
          <w:p w14:paraId="4CFBED57" w14:textId="77777777" w:rsidR="006B784A" w:rsidRPr="00B162C2" w:rsidRDefault="006B784A" w:rsidP="009B2D3F">
            <w:pPr>
              <w:pStyle w:val="TableText"/>
              <w:keepLines/>
              <w:widowControl w:val="0"/>
              <w:jc w:val="center"/>
            </w:pPr>
            <w:r w:rsidRPr="00B162C2">
              <w:t>46.1%</w:t>
            </w:r>
          </w:p>
        </w:tc>
        <w:tc>
          <w:tcPr>
            <w:tcW w:w="1438" w:type="dxa"/>
            <w:tcBorders>
              <w:left w:val="single" w:sz="4" w:space="0" w:color="auto"/>
              <w:right w:val="single" w:sz="4" w:space="0" w:color="auto"/>
            </w:tcBorders>
            <w:vAlign w:val="center"/>
          </w:tcPr>
          <w:p w14:paraId="77CCFEC4" w14:textId="77777777" w:rsidR="006B784A" w:rsidRPr="00B162C2" w:rsidRDefault="006B784A" w:rsidP="009B2D3F">
            <w:pPr>
              <w:pStyle w:val="TableText"/>
              <w:keepLines/>
              <w:widowControl w:val="0"/>
              <w:jc w:val="center"/>
              <w:rPr>
                <w:b/>
              </w:rPr>
            </w:pPr>
            <w:r w:rsidRPr="00B162C2">
              <w:rPr>
                <w:b/>
              </w:rPr>
              <w:t xml:space="preserve">3.184 </w:t>
            </w:r>
          </w:p>
          <w:p w14:paraId="0E568F15" w14:textId="77777777" w:rsidR="006B784A" w:rsidRPr="00B162C2" w:rsidRDefault="006B784A" w:rsidP="009B2D3F">
            <w:pPr>
              <w:pStyle w:val="TableText"/>
              <w:keepLines/>
              <w:widowControl w:val="0"/>
              <w:jc w:val="center"/>
            </w:pPr>
            <w:r w:rsidRPr="00B162C2">
              <w:rPr>
                <w:b/>
              </w:rPr>
              <w:t>(1.662, 6.101)</w:t>
            </w:r>
          </w:p>
        </w:tc>
      </w:tr>
      <w:tr w:rsidR="006B784A" w:rsidRPr="00B162C2" w14:paraId="3AEC4C02" w14:textId="77777777" w:rsidTr="0079023C">
        <w:trPr>
          <w:trHeight w:val="70"/>
        </w:trPr>
        <w:tc>
          <w:tcPr>
            <w:tcW w:w="4704" w:type="dxa"/>
            <w:tcBorders>
              <w:top w:val="single" w:sz="4" w:space="0" w:color="auto"/>
              <w:left w:val="single" w:sz="4" w:space="0" w:color="auto"/>
              <w:bottom w:val="single" w:sz="4" w:space="0" w:color="auto"/>
              <w:right w:val="single" w:sz="4" w:space="0" w:color="auto"/>
            </w:tcBorders>
            <w:vAlign w:val="center"/>
          </w:tcPr>
          <w:p w14:paraId="32EC3AD8" w14:textId="77777777" w:rsidR="006B784A" w:rsidRPr="00B162C2" w:rsidRDefault="006B784A" w:rsidP="009B2D3F">
            <w:pPr>
              <w:pStyle w:val="TableText"/>
              <w:keepLines/>
              <w:widowControl w:val="0"/>
            </w:pPr>
            <w:r w:rsidRPr="00B162C2">
              <w:t>Minimal symptom expression (MG-ADL 0-1) at Week 12</w:t>
            </w:r>
          </w:p>
          <w:p w14:paraId="229DCFFC" w14:textId="7BFA24BC" w:rsidR="006B784A" w:rsidRPr="00B162C2" w:rsidRDefault="006B784A" w:rsidP="009B2D3F">
            <w:pPr>
              <w:pStyle w:val="TableText"/>
              <w:keepLines/>
              <w:widowControl w:val="0"/>
            </w:pPr>
            <w:r w:rsidRPr="00B162C2">
              <w:t>(key secondary outcome)</w:t>
            </w:r>
          </w:p>
        </w:tc>
        <w:tc>
          <w:tcPr>
            <w:tcW w:w="1437" w:type="dxa"/>
            <w:tcBorders>
              <w:top w:val="single" w:sz="4" w:space="0" w:color="auto"/>
              <w:left w:val="single" w:sz="4" w:space="0" w:color="auto"/>
              <w:bottom w:val="single" w:sz="4" w:space="0" w:color="auto"/>
              <w:right w:val="single" w:sz="4" w:space="0" w:color="auto"/>
            </w:tcBorders>
            <w:vAlign w:val="center"/>
          </w:tcPr>
          <w:p w14:paraId="1B40C41A" w14:textId="77777777" w:rsidR="006B784A" w:rsidRPr="00B162C2" w:rsidRDefault="006B784A" w:rsidP="009B2D3F">
            <w:pPr>
              <w:pStyle w:val="TableText"/>
              <w:keepLines/>
              <w:widowControl w:val="0"/>
              <w:jc w:val="center"/>
            </w:pPr>
            <w:r w:rsidRPr="00B162C2">
              <w:t>14.0%</w:t>
            </w:r>
          </w:p>
        </w:tc>
        <w:tc>
          <w:tcPr>
            <w:tcW w:w="1438" w:type="dxa"/>
            <w:tcBorders>
              <w:left w:val="single" w:sz="4" w:space="0" w:color="auto"/>
              <w:right w:val="single" w:sz="4" w:space="0" w:color="auto"/>
            </w:tcBorders>
            <w:vAlign w:val="center"/>
          </w:tcPr>
          <w:p w14:paraId="1EAFCCD9" w14:textId="77777777" w:rsidR="006B784A" w:rsidRPr="00B162C2" w:rsidRDefault="006B784A" w:rsidP="009B2D3F">
            <w:pPr>
              <w:pStyle w:val="TableText"/>
              <w:keepLines/>
              <w:widowControl w:val="0"/>
              <w:jc w:val="center"/>
            </w:pPr>
            <w:r w:rsidRPr="00B162C2">
              <w:t>5.8%</w:t>
            </w:r>
          </w:p>
        </w:tc>
        <w:tc>
          <w:tcPr>
            <w:tcW w:w="1438" w:type="dxa"/>
            <w:tcBorders>
              <w:left w:val="single" w:sz="4" w:space="0" w:color="auto"/>
              <w:right w:val="single" w:sz="4" w:space="0" w:color="auto"/>
            </w:tcBorders>
            <w:vAlign w:val="center"/>
          </w:tcPr>
          <w:p w14:paraId="59526B89" w14:textId="77777777" w:rsidR="006B784A" w:rsidRPr="00B162C2" w:rsidRDefault="006B784A" w:rsidP="009B2D3F">
            <w:pPr>
              <w:pStyle w:val="TableText"/>
              <w:keepLines/>
              <w:widowControl w:val="0"/>
              <w:jc w:val="center"/>
            </w:pPr>
            <w:r w:rsidRPr="00B162C2">
              <w:t xml:space="preserve">2.608 </w:t>
            </w:r>
          </w:p>
          <w:p w14:paraId="49F44448" w14:textId="77777777" w:rsidR="006B784A" w:rsidRPr="00B162C2" w:rsidRDefault="006B784A" w:rsidP="009B2D3F">
            <w:pPr>
              <w:pStyle w:val="TableText"/>
              <w:keepLines/>
              <w:widowControl w:val="0"/>
              <w:jc w:val="center"/>
            </w:pPr>
            <w:r w:rsidRPr="00B162C2">
              <w:t>(0.866, 7.860)</w:t>
            </w:r>
          </w:p>
        </w:tc>
      </w:tr>
      <w:tr w:rsidR="006B784A" w:rsidRPr="00B162C2" w14:paraId="28ACE0E7" w14:textId="77777777" w:rsidTr="0079023C">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7AA50B3B" w14:textId="60EEA4A2" w:rsidR="006B784A" w:rsidRPr="00B162C2" w:rsidRDefault="006B784A" w:rsidP="009B2D3F">
            <w:pPr>
              <w:pStyle w:val="TableText"/>
              <w:keepLines/>
              <w:widowControl w:val="0"/>
              <w:rPr>
                <w:b/>
              </w:rPr>
            </w:pPr>
            <w:r w:rsidRPr="00B162C2">
              <w:rPr>
                <w:b/>
              </w:rPr>
              <w:t>QMG responders</w:t>
            </w:r>
          </w:p>
        </w:tc>
      </w:tr>
      <w:tr w:rsidR="006B784A" w:rsidRPr="00B162C2" w14:paraId="52B0BEBB" w14:textId="77777777" w:rsidTr="0079023C">
        <w:trPr>
          <w:trHeight w:val="70"/>
        </w:trPr>
        <w:tc>
          <w:tcPr>
            <w:tcW w:w="4704" w:type="dxa"/>
            <w:tcBorders>
              <w:top w:val="single" w:sz="4" w:space="0" w:color="auto"/>
              <w:left w:val="single" w:sz="4" w:space="0" w:color="auto"/>
              <w:bottom w:val="single" w:sz="4" w:space="0" w:color="auto"/>
              <w:right w:val="single" w:sz="4" w:space="0" w:color="auto"/>
            </w:tcBorders>
            <w:vAlign w:val="center"/>
          </w:tcPr>
          <w:p w14:paraId="4406649B" w14:textId="77777777" w:rsidR="006B784A" w:rsidRPr="00B162C2" w:rsidRDefault="006B784A" w:rsidP="009B2D3F">
            <w:pPr>
              <w:pStyle w:val="TableText"/>
              <w:keepLines/>
              <w:widowControl w:val="0"/>
            </w:pPr>
            <w:r w:rsidRPr="00B162C2">
              <w:t>3-point reduction in QMG score from baseline to Week 12</w:t>
            </w:r>
          </w:p>
          <w:p w14:paraId="5A402A6B" w14:textId="1C0AC2A2" w:rsidR="006B784A" w:rsidRPr="00B162C2" w:rsidRDefault="006B784A" w:rsidP="009B2D3F">
            <w:pPr>
              <w:pStyle w:val="TableText"/>
              <w:keepLines/>
              <w:widowControl w:val="0"/>
            </w:pPr>
            <w:r w:rsidRPr="00B162C2">
              <w:t>(nominated minimal clinically important difference)</w:t>
            </w:r>
          </w:p>
        </w:tc>
        <w:tc>
          <w:tcPr>
            <w:tcW w:w="1437" w:type="dxa"/>
            <w:tcBorders>
              <w:top w:val="single" w:sz="4" w:space="0" w:color="auto"/>
              <w:left w:val="single" w:sz="4" w:space="0" w:color="auto"/>
              <w:bottom w:val="single" w:sz="4" w:space="0" w:color="auto"/>
              <w:right w:val="single" w:sz="4" w:space="0" w:color="auto"/>
            </w:tcBorders>
            <w:vAlign w:val="center"/>
          </w:tcPr>
          <w:p w14:paraId="6AA82EE6" w14:textId="5BEA9DDC" w:rsidR="006B784A" w:rsidRPr="00B162C2" w:rsidRDefault="006B784A" w:rsidP="009B2D3F">
            <w:pPr>
              <w:pStyle w:val="TableText"/>
              <w:keepLines/>
              <w:widowControl w:val="0"/>
              <w:jc w:val="center"/>
            </w:pPr>
            <w:r w:rsidRPr="00B162C2">
              <w:t>72.5%</w:t>
            </w:r>
          </w:p>
        </w:tc>
        <w:tc>
          <w:tcPr>
            <w:tcW w:w="1438" w:type="dxa"/>
            <w:tcBorders>
              <w:left w:val="single" w:sz="4" w:space="0" w:color="auto"/>
              <w:right w:val="single" w:sz="4" w:space="0" w:color="auto"/>
            </w:tcBorders>
            <w:vAlign w:val="center"/>
          </w:tcPr>
          <w:p w14:paraId="511C1A33" w14:textId="52B6DB5C" w:rsidR="006B784A" w:rsidRPr="00B162C2" w:rsidRDefault="006B784A" w:rsidP="009B2D3F">
            <w:pPr>
              <w:pStyle w:val="TableText"/>
              <w:keepLines/>
              <w:widowControl w:val="0"/>
              <w:jc w:val="center"/>
            </w:pPr>
            <w:r w:rsidRPr="00B162C2">
              <w:t>48.5%</w:t>
            </w:r>
          </w:p>
        </w:tc>
        <w:tc>
          <w:tcPr>
            <w:tcW w:w="1438" w:type="dxa"/>
            <w:tcBorders>
              <w:left w:val="single" w:sz="4" w:space="0" w:color="auto"/>
              <w:right w:val="single" w:sz="4" w:space="0" w:color="auto"/>
            </w:tcBorders>
            <w:vAlign w:val="center"/>
          </w:tcPr>
          <w:p w14:paraId="4C0A4957" w14:textId="77777777" w:rsidR="006B784A" w:rsidRPr="00B162C2" w:rsidRDefault="006B784A" w:rsidP="009B2D3F">
            <w:pPr>
              <w:pStyle w:val="TableText"/>
              <w:keepLines/>
              <w:widowControl w:val="0"/>
              <w:jc w:val="center"/>
            </w:pPr>
            <w:r w:rsidRPr="00B162C2">
              <w:t xml:space="preserve">2.816 </w:t>
            </w:r>
          </w:p>
          <w:p w14:paraId="3E25FEE7" w14:textId="41AC5E2E" w:rsidR="006B784A" w:rsidRPr="00B162C2" w:rsidRDefault="006B784A" w:rsidP="009B2D3F">
            <w:pPr>
              <w:pStyle w:val="TableText"/>
              <w:keepLines/>
              <w:widowControl w:val="0"/>
              <w:jc w:val="center"/>
            </w:pPr>
            <w:r w:rsidRPr="00B162C2">
              <w:t>(1.473, 5.382)</w:t>
            </w:r>
          </w:p>
        </w:tc>
      </w:tr>
      <w:tr w:rsidR="006B784A" w:rsidRPr="00B162C2" w14:paraId="140722EB" w14:textId="77777777" w:rsidTr="0079023C">
        <w:trPr>
          <w:trHeight w:val="70"/>
        </w:trPr>
        <w:tc>
          <w:tcPr>
            <w:tcW w:w="4704" w:type="dxa"/>
            <w:tcBorders>
              <w:top w:val="single" w:sz="4" w:space="0" w:color="auto"/>
              <w:left w:val="single" w:sz="4" w:space="0" w:color="auto"/>
              <w:bottom w:val="single" w:sz="4" w:space="0" w:color="auto"/>
              <w:right w:val="single" w:sz="4" w:space="0" w:color="auto"/>
            </w:tcBorders>
            <w:vAlign w:val="center"/>
          </w:tcPr>
          <w:p w14:paraId="7B5AA2B4" w14:textId="77777777" w:rsidR="006B784A" w:rsidRPr="00B162C2" w:rsidRDefault="006B784A" w:rsidP="009B2D3F">
            <w:pPr>
              <w:pStyle w:val="TableText"/>
              <w:keepLines/>
              <w:widowControl w:val="0"/>
            </w:pPr>
            <w:r w:rsidRPr="00B162C2">
              <w:t>5-point reduction in QMG score from baseline to Week 12</w:t>
            </w:r>
          </w:p>
          <w:p w14:paraId="30656447" w14:textId="6C3B0E42" w:rsidR="006B784A" w:rsidRPr="00B162C2" w:rsidRDefault="006B784A" w:rsidP="009B2D3F">
            <w:pPr>
              <w:pStyle w:val="TableText"/>
              <w:keepLines/>
              <w:widowControl w:val="0"/>
            </w:pPr>
            <w:r w:rsidRPr="00B162C2">
              <w:t>(key secondary outcome)</w:t>
            </w:r>
          </w:p>
        </w:tc>
        <w:tc>
          <w:tcPr>
            <w:tcW w:w="1437" w:type="dxa"/>
            <w:tcBorders>
              <w:top w:val="single" w:sz="4" w:space="0" w:color="auto"/>
              <w:left w:val="single" w:sz="4" w:space="0" w:color="auto"/>
              <w:bottom w:val="single" w:sz="4" w:space="0" w:color="auto"/>
              <w:right w:val="single" w:sz="4" w:space="0" w:color="auto"/>
            </w:tcBorders>
            <w:vAlign w:val="center"/>
          </w:tcPr>
          <w:p w14:paraId="3CC4C57E" w14:textId="52AE0D5C" w:rsidR="006B784A" w:rsidRPr="00B162C2" w:rsidRDefault="006B784A" w:rsidP="009B2D3F">
            <w:pPr>
              <w:pStyle w:val="TableText"/>
              <w:keepLines/>
              <w:widowControl w:val="0"/>
              <w:jc w:val="center"/>
            </w:pPr>
            <w:r w:rsidRPr="00B162C2">
              <w:t>58.0%</w:t>
            </w:r>
          </w:p>
        </w:tc>
        <w:tc>
          <w:tcPr>
            <w:tcW w:w="1438" w:type="dxa"/>
            <w:tcBorders>
              <w:left w:val="single" w:sz="4" w:space="0" w:color="auto"/>
              <w:right w:val="single" w:sz="4" w:space="0" w:color="auto"/>
            </w:tcBorders>
            <w:vAlign w:val="center"/>
          </w:tcPr>
          <w:p w14:paraId="63D95A79" w14:textId="7A436A0B" w:rsidR="006B784A" w:rsidRPr="00B162C2" w:rsidRDefault="006B784A" w:rsidP="009B2D3F">
            <w:pPr>
              <w:pStyle w:val="TableText"/>
              <w:keepLines/>
              <w:widowControl w:val="0"/>
              <w:jc w:val="center"/>
            </w:pPr>
            <w:r w:rsidRPr="00B162C2">
              <w:t>33.0%</w:t>
            </w:r>
          </w:p>
        </w:tc>
        <w:tc>
          <w:tcPr>
            <w:tcW w:w="1438" w:type="dxa"/>
            <w:tcBorders>
              <w:left w:val="single" w:sz="4" w:space="0" w:color="auto"/>
              <w:right w:val="single" w:sz="4" w:space="0" w:color="auto"/>
            </w:tcBorders>
            <w:vAlign w:val="center"/>
          </w:tcPr>
          <w:p w14:paraId="07483038" w14:textId="77777777" w:rsidR="006B784A" w:rsidRPr="00B162C2" w:rsidRDefault="006B784A" w:rsidP="009B2D3F">
            <w:pPr>
              <w:pStyle w:val="TableText"/>
              <w:keepLines/>
              <w:widowControl w:val="0"/>
              <w:jc w:val="center"/>
              <w:rPr>
                <w:b/>
              </w:rPr>
            </w:pPr>
            <w:r w:rsidRPr="00B162C2">
              <w:rPr>
                <w:b/>
              </w:rPr>
              <w:t xml:space="preserve">2.865 </w:t>
            </w:r>
          </w:p>
          <w:p w14:paraId="2470BCC9" w14:textId="776E9082" w:rsidR="006B784A" w:rsidRPr="00B162C2" w:rsidRDefault="006B784A" w:rsidP="009B2D3F">
            <w:pPr>
              <w:pStyle w:val="TableText"/>
              <w:keepLines/>
              <w:widowControl w:val="0"/>
              <w:jc w:val="center"/>
            </w:pPr>
            <w:r w:rsidRPr="00B162C2">
              <w:rPr>
                <w:b/>
              </w:rPr>
              <w:t>(1.518, 5.409)</w:t>
            </w:r>
          </w:p>
        </w:tc>
      </w:tr>
    </w:tbl>
    <w:p w14:paraId="162CB801" w14:textId="2C98F204" w:rsidR="006B784A" w:rsidRPr="00B162C2" w:rsidRDefault="006B784A" w:rsidP="009B2D3F">
      <w:pPr>
        <w:pStyle w:val="TableFigureFooter"/>
        <w:keepNext/>
        <w:keepLines/>
      </w:pPr>
      <w:r w:rsidRPr="00B162C2">
        <w:t>Source: Table 2-5-2, p74; Table 2-5-4, p75; Table 2.5-7, p78 of the submission; Table 14.2.6.11, p880; Table 14.2.7.11, p927 of the RAISE trial report</w:t>
      </w:r>
    </w:p>
    <w:p w14:paraId="4C9BB895" w14:textId="3712A785" w:rsidR="006B784A" w:rsidRPr="00B162C2" w:rsidRDefault="006B784A" w:rsidP="009B2D3F">
      <w:pPr>
        <w:pStyle w:val="TableFigureFooter"/>
        <w:keepNext/>
        <w:keepLines/>
      </w:pPr>
      <w:r w:rsidRPr="00B162C2">
        <w:t>Abbreviations: CI, confidence interval; MG-ADL, Myasthenia Gravis Activities of Daily Living; QMG, Quantitative Myasthenia Gravis score</w:t>
      </w:r>
    </w:p>
    <w:p w14:paraId="6635FAFA" w14:textId="54F70FEF" w:rsidR="006B784A" w:rsidRPr="00B162C2" w:rsidRDefault="006B784A" w:rsidP="009B2D3F">
      <w:pPr>
        <w:pStyle w:val="TableFigureFooter"/>
        <w:keepNext/>
        <w:keepLines/>
      </w:pPr>
      <w:r w:rsidRPr="00B162C2">
        <w:t xml:space="preserve">Note: Patients who died, experienced a myasthenic crisis event or required rescue therapy were assumed to be non-responders for this analysis regardless of observed score </w:t>
      </w:r>
    </w:p>
    <w:p w14:paraId="252B1D11" w14:textId="2CF4486C" w:rsidR="00D947D6" w:rsidRPr="00B162C2" w:rsidRDefault="00D947D6" w:rsidP="006B784A">
      <w:pPr>
        <w:pStyle w:val="TableFigureFooter"/>
      </w:pPr>
      <w:r w:rsidRPr="00B162C2">
        <w:t xml:space="preserve">Note: </w:t>
      </w:r>
      <w:r w:rsidRPr="00B82FFA">
        <w:rPr>
          <w:b/>
          <w:bCs/>
        </w:rPr>
        <w:t>Bolding</w:t>
      </w:r>
      <w:r w:rsidRPr="00B162C2">
        <w:t xml:space="preserve"> indicates statistically significant differences after accounting for multiplicity of testing</w:t>
      </w:r>
    </w:p>
    <w:p w14:paraId="5DBCB5E2" w14:textId="67334D47" w:rsidR="006B784A" w:rsidRPr="00B162C2" w:rsidRDefault="00C37380" w:rsidP="009B2D3F">
      <w:pPr>
        <w:pStyle w:val="3-BodyText"/>
      </w:pPr>
      <w:r>
        <w:t>A substantial proportion of patients in both treatment arms achieved clinically important improvements in functional outcomes from baseline. However, t</w:t>
      </w:r>
      <w:r w:rsidR="006B784A" w:rsidRPr="00B162C2">
        <w:t xml:space="preserve">reatment with zilucoplan was associated </w:t>
      </w:r>
      <w:r w:rsidR="00E20037" w:rsidRPr="00B162C2">
        <w:t xml:space="preserve">with </w:t>
      </w:r>
      <w:r w:rsidR="00EE4E6D" w:rsidRPr="00B162C2">
        <w:t xml:space="preserve">statistically significant increases </w:t>
      </w:r>
      <w:r w:rsidR="006B784A" w:rsidRPr="00B162C2">
        <w:t>in the proportion of responders compared to placebo at Week 12</w:t>
      </w:r>
      <w:r w:rsidR="00956DF9">
        <w:t xml:space="preserve"> for MG-ADL score reduction of 3</w:t>
      </w:r>
      <w:r w:rsidR="00B82FFA">
        <w:t> </w:t>
      </w:r>
      <w:r w:rsidR="00956DF9">
        <w:t xml:space="preserve">points and QMG score </w:t>
      </w:r>
      <w:r w:rsidR="00E4603B">
        <w:t xml:space="preserve">reduction </w:t>
      </w:r>
      <w:r w:rsidR="00956DF9">
        <w:t>of 5 points</w:t>
      </w:r>
      <w:r w:rsidR="006B784A" w:rsidRPr="00B162C2">
        <w:t xml:space="preserve">. </w:t>
      </w:r>
    </w:p>
    <w:p w14:paraId="5A8B2F10" w14:textId="5F79A793" w:rsidR="00BB17E0" w:rsidRPr="00906ED7" w:rsidRDefault="001B6F91" w:rsidP="009B2D3F">
      <w:pPr>
        <w:pStyle w:val="3-BodyText"/>
      </w:pPr>
      <w:r>
        <w:rPr>
          <w:i/>
        </w:rPr>
        <w:t xml:space="preserve">Post hoc </w:t>
      </w:r>
      <w:r>
        <w:t>s</w:t>
      </w:r>
      <w:r w:rsidR="00EE4E6D" w:rsidRPr="00906ED7">
        <w:t>ubgroup analyses of results suggest variations in response rates across subgroups defined by</w:t>
      </w:r>
      <w:r w:rsidR="00BB17E0" w:rsidRPr="00906ED7">
        <w:t xml:space="preserve"> treatment refractory status (see </w:t>
      </w:r>
      <w:r w:rsidR="00BB17E0" w:rsidRPr="00906ED7">
        <w:fldChar w:fldCharType="begin" w:fldLock="1"/>
      </w:r>
      <w:r w:rsidR="00BB17E0" w:rsidRPr="00906ED7">
        <w:instrText xml:space="preserve"> REF _Ref167095059 \h  \* MERGEFORMAT </w:instrText>
      </w:r>
      <w:r w:rsidR="00BB17E0" w:rsidRPr="00906ED7">
        <w:fldChar w:fldCharType="separate"/>
      </w:r>
      <w:r w:rsidR="00FC355E">
        <w:t xml:space="preserve">Table </w:t>
      </w:r>
      <w:r w:rsidR="00FC355E">
        <w:rPr>
          <w:noProof/>
        </w:rPr>
        <w:t>7</w:t>
      </w:r>
      <w:r w:rsidR="00BB17E0" w:rsidRPr="00906ED7">
        <w:fldChar w:fldCharType="end"/>
      </w:r>
      <w:r w:rsidR="00BB17E0" w:rsidRPr="00906ED7">
        <w:t>). Variations were also noted for subgroups based on age, sex, disease severity, region, ethnicity, history of myasthenic crisis, prior steroid therapy, steroid therapy at baseline, prior immunosuppressant use, baseline immunosuppressant use, history of thymoma and timing relative to the COVID-19 pandemic. However, these apparent differences should be interpreted with caution given the small patient numbers included in some of the subgroup analyses.</w:t>
      </w:r>
    </w:p>
    <w:p w14:paraId="1760AEB5" w14:textId="2D1D86F0" w:rsidR="00BB17E0" w:rsidRPr="00B162C2" w:rsidRDefault="00BB17E0" w:rsidP="009B2D3F">
      <w:pPr>
        <w:pStyle w:val="Caption"/>
        <w:keepNext/>
      </w:pPr>
      <w:bookmarkStart w:id="53" w:name="_Ref167095059"/>
      <w:r>
        <w:t xml:space="preserve">Table </w:t>
      </w:r>
      <w:r w:rsidR="002F23E8">
        <w:fldChar w:fldCharType="begin" w:fldLock="1"/>
      </w:r>
      <w:r w:rsidR="002F23E8">
        <w:instrText xml:space="preserve"> SEQ Table \* ARABIC </w:instrText>
      </w:r>
      <w:r w:rsidR="002F23E8">
        <w:fldChar w:fldCharType="separate"/>
      </w:r>
      <w:r w:rsidR="00FC355E">
        <w:rPr>
          <w:noProof/>
        </w:rPr>
        <w:t>7</w:t>
      </w:r>
      <w:r w:rsidR="002F23E8">
        <w:rPr>
          <w:noProof/>
        </w:rPr>
        <w:fldChar w:fldCharType="end"/>
      </w:r>
      <w:bookmarkEnd w:id="53"/>
      <w:r w:rsidRPr="00B162C2">
        <w:t>: Subgroup analyses of MG-ADL responders at Week 12 (3-point reduction in MG-ADL score) with zilucoplan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7: Subgroup analyses of MG-ADL responders at Week 12 (3-point reduction in MG-ADL score) with zilucoplan and placebo"/>
      </w:tblPr>
      <w:tblGrid>
        <w:gridCol w:w="4704"/>
        <w:gridCol w:w="1455"/>
        <w:gridCol w:w="1428"/>
        <w:gridCol w:w="1430"/>
      </w:tblGrid>
      <w:tr w:rsidR="00A708DE" w:rsidRPr="00B162C2" w14:paraId="396C2C0B" w14:textId="77777777" w:rsidTr="00BB17E0">
        <w:trPr>
          <w:trHeight w:val="76"/>
          <w:tblHeader/>
        </w:trPr>
        <w:tc>
          <w:tcPr>
            <w:tcW w:w="4704" w:type="dxa"/>
            <w:tcBorders>
              <w:top w:val="single" w:sz="4" w:space="0" w:color="auto"/>
              <w:left w:val="single" w:sz="4" w:space="0" w:color="auto"/>
              <w:right w:val="single" w:sz="4" w:space="0" w:color="auto"/>
            </w:tcBorders>
            <w:vAlign w:val="center"/>
          </w:tcPr>
          <w:p w14:paraId="731B1FB5" w14:textId="77777777" w:rsidR="00BB17E0" w:rsidRPr="00B162C2" w:rsidRDefault="00BB17E0" w:rsidP="009B2D3F">
            <w:pPr>
              <w:pStyle w:val="TableText"/>
              <w:widowControl w:val="0"/>
              <w:rPr>
                <w:b/>
              </w:rPr>
            </w:pPr>
            <w:r w:rsidRPr="00B162C2">
              <w:rPr>
                <w:b/>
              </w:rPr>
              <w:t>Subgroup</w:t>
            </w:r>
          </w:p>
        </w:tc>
        <w:tc>
          <w:tcPr>
            <w:tcW w:w="1455" w:type="dxa"/>
            <w:tcBorders>
              <w:top w:val="single" w:sz="4" w:space="0" w:color="auto"/>
              <w:left w:val="single" w:sz="4" w:space="0" w:color="auto"/>
              <w:right w:val="single" w:sz="4" w:space="0" w:color="auto"/>
            </w:tcBorders>
            <w:vAlign w:val="center"/>
          </w:tcPr>
          <w:p w14:paraId="729C474E" w14:textId="77777777" w:rsidR="00BB17E0" w:rsidRPr="00B162C2" w:rsidRDefault="00BB17E0" w:rsidP="009B2D3F">
            <w:pPr>
              <w:pStyle w:val="TableText"/>
              <w:widowControl w:val="0"/>
              <w:jc w:val="center"/>
              <w:rPr>
                <w:b/>
              </w:rPr>
            </w:pPr>
            <w:r w:rsidRPr="00B162C2">
              <w:rPr>
                <w:b/>
              </w:rPr>
              <w:t xml:space="preserve">Zilucoplan </w:t>
            </w:r>
          </w:p>
          <w:p w14:paraId="7068728B" w14:textId="77777777" w:rsidR="00BB17E0" w:rsidRPr="00B162C2" w:rsidRDefault="00BB17E0" w:rsidP="009B2D3F">
            <w:pPr>
              <w:pStyle w:val="TableText"/>
              <w:widowControl w:val="0"/>
              <w:jc w:val="center"/>
              <w:rPr>
                <w:b/>
              </w:rPr>
            </w:pPr>
            <w:r w:rsidRPr="00B162C2">
              <w:rPr>
                <w:b/>
              </w:rPr>
              <w:t>n/N (%)</w:t>
            </w:r>
          </w:p>
        </w:tc>
        <w:tc>
          <w:tcPr>
            <w:tcW w:w="1428" w:type="dxa"/>
            <w:tcBorders>
              <w:top w:val="single" w:sz="4" w:space="0" w:color="auto"/>
              <w:left w:val="single" w:sz="4" w:space="0" w:color="auto"/>
              <w:right w:val="single" w:sz="4" w:space="0" w:color="auto"/>
            </w:tcBorders>
            <w:vAlign w:val="center"/>
          </w:tcPr>
          <w:p w14:paraId="71FF3E65" w14:textId="77777777" w:rsidR="00BB17E0" w:rsidRPr="00B162C2" w:rsidRDefault="00BB17E0" w:rsidP="009B2D3F">
            <w:pPr>
              <w:pStyle w:val="TableText"/>
              <w:widowControl w:val="0"/>
              <w:jc w:val="center"/>
              <w:rPr>
                <w:b/>
              </w:rPr>
            </w:pPr>
            <w:r w:rsidRPr="00B162C2">
              <w:rPr>
                <w:b/>
              </w:rPr>
              <w:t>Placebo</w:t>
            </w:r>
          </w:p>
          <w:p w14:paraId="6809AB4A" w14:textId="77777777" w:rsidR="00BB17E0" w:rsidRPr="00B162C2" w:rsidRDefault="00BB17E0" w:rsidP="009B2D3F">
            <w:pPr>
              <w:pStyle w:val="TableText"/>
              <w:widowControl w:val="0"/>
              <w:jc w:val="center"/>
              <w:rPr>
                <w:b/>
              </w:rPr>
            </w:pPr>
            <w:r w:rsidRPr="00B162C2">
              <w:rPr>
                <w:b/>
              </w:rPr>
              <w:t>n/N (%)</w:t>
            </w:r>
          </w:p>
        </w:tc>
        <w:tc>
          <w:tcPr>
            <w:tcW w:w="1430" w:type="dxa"/>
            <w:tcBorders>
              <w:top w:val="single" w:sz="4" w:space="0" w:color="auto"/>
              <w:left w:val="single" w:sz="4" w:space="0" w:color="auto"/>
              <w:right w:val="single" w:sz="4" w:space="0" w:color="auto"/>
            </w:tcBorders>
            <w:vAlign w:val="center"/>
          </w:tcPr>
          <w:p w14:paraId="3A87C15B" w14:textId="77777777" w:rsidR="00BB17E0" w:rsidRDefault="00BB17E0" w:rsidP="009B2D3F">
            <w:pPr>
              <w:pStyle w:val="TableText"/>
              <w:widowControl w:val="0"/>
              <w:jc w:val="center"/>
              <w:rPr>
                <w:b/>
              </w:rPr>
            </w:pPr>
            <w:r>
              <w:rPr>
                <w:b/>
              </w:rPr>
              <w:t xml:space="preserve">Odds ratio </w:t>
            </w:r>
          </w:p>
          <w:p w14:paraId="55FD26CC" w14:textId="1678FCD2" w:rsidR="00BB17E0" w:rsidRPr="00B162C2" w:rsidRDefault="00BB17E0" w:rsidP="009B2D3F">
            <w:pPr>
              <w:pStyle w:val="TableText"/>
              <w:widowControl w:val="0"/>
              <w:jc w:val="center"/>
              <w:rPr>
                <w:b/>
              </w:rPr>
            </w:pPr>
            <w:r>
              <w:rPr>
                <w:b/>
              </w:rPr>
              <w:t>(95% CI)</w:t>
            </w:r>
            <w:r w:rsidRPr="00B162C2">
              <w:rPr>
                <w:b/>
              </w:rPr>
              <w:t xml:space="preserve"> </w:t>
            </w:r>
          </w:p>
        </w:tc>
      </w:tr>
      <w:tr w:rsidR="00A708DE" w:rsidRPr="00B162C2" w14:paraId="3E729C66" w14:textId="77777777" w:rsidTr="00BB17E0">
        <w:trPr>
          <w:trHeight w:val="70"/>
        </w:trPr>
        <w:tc>
          <w:tcPr>
            <w:tcW w:w="4704" w:type="dxa"/>
            <w:tcBorders>
              <w:top w:val="single" w:sz="4" w:space="0" w:color="auto"/>
              <w:left w:val="single" w:sz="4" w:space="0" w:color="auto"/>
              <w:bottom w:val="single" w:sz="4" w:space="0" w:color="auto"/>
              <w:right w:val="single" w:sz="4" w:space="0" w:color="auto"/>
            </w:tcBorders>
            <w:vAlign w:val="center"/>
          </w:tcPr>
          <w:p w14:paraId="32DFE074" w14:textId="77777777" w:rsidR="00BB17E0" w:rsidRPr="00B162C2" w:rsidRDefault="00BB17E0" w:rsidP="009B2D3F">
            <w:pPr>
              <w:pStyle w:val="TableText"/>
              <w:widowControl w:val="0"/>
            </w:pPr>
            <w:r w:rsidRPr="00B162C2">
              <w:t>Overall</w:t>
            </w:r>
          </w:p>
        </w:tc>
        <w:tc>
          <w:tcPr>
            <w:tcW w:w="1455" w:type="dxa"/>
            <w:tcBorders>
              <w:top w:val="single" w:sz="4" w:space="0" w:color="auto"/>
              <w:left w:val="single" w:sz="4" w:space="0" w:color="auto"/>
              <w:bottom w:val="single" w:sz="4" w:space="0" w:color="auto"/>
              <w:right w:val="single" w:sz="4" w:space="0" w:color="auto"/>
            </w:tcBorders>
            <w:vAlign w:val="center"/>
          </w:tcPr>
          <w:p w14:paraId="51B290BD" w14:textId="77777777" w:rsidR="00BB17E0" w:rsidRPr="00B162C2" w:rsidRDefault="00BB17E0" w:rsidP="009B2D3F">
            <w:pPr>
              <w:pStyle w:val="TableText"/>
              <w:widowControl w:val="0"/>
              <w:jc w:val="center"/>
            </w:pPr>
            <w:r w:rsidRPr="00B162C2">
              <w:t>62/84 (73.8%)</w:t>
            </w:r>
          </w:p>
        </w:tc>
        <w:tc>
          <w:tcPr>
            <w:tcW w:w="1428" w:type="dxa"/>
            <w:tcBorders>
              <w:top w:val="single" w:sz="4" w:space="0" w:color="auto"/>
              <w:left w:val="single" w:sz="4" w:space="0" w:color="auto"/>
              <w:right w:val="single" w:sz="4" w:space="0" w:color="auto"/>
            </w:tcBorders>
            <w:vAlign w:val="center"/>
          </w:tcPr>
          <w:p w14:paraId="4A679141" w14:textId="77777777" w:rsidR="00BB17E0" w:rsidRPr="00B162C2" w:rsidRDefault="00BB17E0" w:rsidP="009B2D3F">
            <w:pPr>
              <w:pStyle w:val="TableText"/>
              <w:widowControl w:val="0"/>
              <w:jc w:val="center"/>
            </w:pPr>
            <w:r w:rsidRPr="00B162C2">
              <w:t>40/85 (47.1%)</w:t>
            </w:r>
          </w:p>
        </w:tc>
        <w:tc>
          <w:tcPr>
            <w:tcW w:w="1430" w:type="dxa"/>
            <w:tcBorders>
              <w:top w:val="single" w:sz="4" w:space="0" w:color="auto"/>
              <w:left w:val="single" w:sz="4" w:space="0" w:color="auto"/>
              <w:right w:val="single" w:sz="4" w:space="0" w:color="auto"/>
            </w:tcBorders>
            <w:vAlign w:val="center"/>
          </w:tcPr>
          <w:p w14:paraId="0F3BB427" w14:textId="77777777" w:rsidR="00BB17E0" w:rsidRPr="00BB17E0" w:rsidRDefault="00BB17E0" w:rsidP="009B2D3F">
            <w:pPr>
              <w:pStyle w:val="TableText"/>
              <w:widowControl w:val="0"/>
              <w:jc w:val="center"/>
            </w:pPr>
            <w:r w:rsidRPr="00BB17E0">
              <w:t xml:space="preserve">3.184 </w:t>
            </w:r>
          </w:p>
          <w:p w14:paraId="023C485A" w14:textId="007AF50B" w:rsidR="00BB17E0" w:rsidRPr="00B162C2" w:rsidRDefault="00BB17E0" w:rsidP="009B2D3F">
            <w:pPr>
              <w:pStyle w:val="TableText"/>
              <w:widowControl w:val="0"/>
              <w:jc w:val="center"/>
            </w:pPr>
            <w:r w:rsidRPr="00BB17E0">
              <w:t>(1.662, 6.101)</w:t>
            </w:r>
          </w:p>
        </w:tc>
      </w:tr>
      <w:tr w:rsidR="00A708DE" w:rsidRPr="00B162C2" w14:paraId="2796BBA7" w14:textId="77777777" w:rsidTr="00BE10F4">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2ACD6E61" w14:textId="77777777" w:rsidR="00BB17E0" w:rsidRPr="00B162C2" w:rsidRDefault="00BB17E0" w:rsidP="009B2D3F">
            <w:pPr>
              <w:pStyle w:val="TableText"/>
              <w:widowControl w:val="0"/>
              <w:rPr>
                <w:b/>
                <w:bCs w:val="0"/>
              </w:rPr>
            </w:pPr>
            <w:r w:rsidRPr="00B162C2">
              <w:rPr>
                <w:b/>
                <w:bCs w:val="0"/>
              </w:rPr>
              <w:t>Treatment refractory status</w:t>
            </w:r>
          </w:p>
        </w:tc>
      </w:tr>
      <w:tr w:rsidR="00A708DE" w:rsidRPr="00B162C2" w14:paraId="3950C142" w14:textId="77777777" w:rsidTr="00F94D1F">
        <w:trPr>
          <w:trHeight w:val="70"/>
        </w:trPr>
        <w:tc>
          <w:tcPr>
            <w:tcW w:w="4704" w:type="dxa"/>
            <w:tcBorders>
              <w:top w:val="single" w:sz="4" w:space="0" w:color="auto"/>
              <w:left w:val="single" w:sz="4" w:space="0" w:color="auto"/>
              <w:bottom w:val="single" w:sz="4" w:space="0" w:color="auto"/>
              <w:right w:val="single" w:sz="4" w:space="0" w:color="auto"/>
            </w:tcBorders>
            <w:vAlign w:val="center"/>
          </w:tcPr>
          <w:p w14:paraId="5A33A896" w14:textId="77777777" w:rsidR="00BB17E0" w:rsidRPr="00B162C2" w:rsidRDefault="00BB17E0" w:rsidP="009B2D3F">
            <w:pPr>
              <w:pStyle w:val="TableText"/>
              <w:widowControl w:val="0"/>
            </w:pPr>
            <w:r w:rsidRPr="00B162C2">
              <w:t xml:space="preserve">Refractory </w:t>
            </w:r>
          </w:p>
        </w:tc>
        <w:tc>
          <w:tcPr>
            <w:tcW w:w="1455" w:type="dxa"/>
            <w:tcBorders>
              <w:top w:val="single" w:sz="4" w:space="0" w:color="auto"/>
              <w:left w:val="single" w:sz="4" w:space="0" w:color="auto"/>
              <w:bottom w:val="single" w:sz="4" w:space="0" w:color="auto"/>
              <w:right w:val="single" w:sz="4" w:space="0" w:color="auto"/>
            </w:tcBorders>
            <w:vAlign w:val="center"/>
          </w:tcPr>
          <w:p w14:paraId="0AD7734D" w14:textId="77777777" w:rsidR="00BB17E0" w:rsidRPr="00B162C2" w:rsidRDefault="00BB17E0" w:rsidP="009B2D3F">
            <w:pPr>
              <w:pStyle w:val="TableText"/>
              <w:widowControl w:val="0"/>
              <w:jc w:val="center"/>
            </w:pPr>
            <w:r w:rsidRPr="00B162C2">
              <w:t>33/44 (75.0%)</w:t>
            </w:r>
          </w:p>
        </w:tc>
        <w:tc>
          <w:tcPr>
            <w:tcW w:w="1428" w:type="dxa"/>
            <w:tcBorders>
              <w:left w:val="single" w:sz="4" w:space="0" w:color="auto"/>
              <w:right w:val="single" w:sz="4" w:space="0" w:color="auto"/>
            </w:tcBorders>
            <w:shd w:val="clear" w:color="auto" w:fill="FBD4B4" w:themeFill="accent6" w:themeFillTint="66"/>
            <w:vAlign w:val="center"/>
          </w:tcPr>
          <w:p w14:paraId="066F02E1" w14:textId="77777777" w:rsidR="00BB17E0" w:rsidRPr="00B162C2" w:rsidRDefault="00BB17E0" w:rsidP="009B2D3F">
            <w:pPr>
              <w:pStyle w:val="TableText"/>
              <w:widowControl w:val="0"/>
              <w:jc w:val="center"/>
            </w:pPr>
            <w:r w:rsidRPr="00B162C2">
              <w:t>17/42 (40.5%)</w:t>
            </w:r>
          </w:p>
        </w:tc>
        <w:tc>
          <w:tcPr>
            <w:tcW w:w="1430" w:type="dxa"/>
            <w:tcBorders>
              <w:left w:val="single" w:sz="4" w:space="0" w:color="auto"/>
              <w:right w:val="single" w:sz="4" w:space="0" w:color="auto"/>
            </w:tcBorders>
            <w:vAlign w:val="center"/>
          </w:tcPr>
          <w:p w14:paraId="6BCE242A" w14:textId="16DC749A" w:rsidR="00BB17E0" w:rsidRPr="00B162C2" w:rsidRDefault="00BB17E0" w:rsidP="009B2D3F">
            <w:pPr>
              <w:pStyle w:val="TableText"/>
              <w:widowControl w:val="0"/>
              <w:jc w:val="center"/>
            </w:pPr>
            <w:r>
              <w:t>NR</w:t>
            </w:r>
          </w:p>
        </w:tc>
      </w:tr>
      <w:tr w:rsidR="00A708DE" w:rsidRPr="00B162C2" w14:paraId="4B8CFEEA" w14:textId="77777777" w:rsidTr="00F94D1F">
        <w:trPr>
          <w:trHeight w:val="70"/>
        </w:trPr>
        <w:tc>
          <w:tcPr>
            <w:tcW w:w="4704" w:type="dxa"/>
            <w:tcBorders>
              <w:top w:val="single" w:sz="4" w:space="0" w:color="auto"/>
              <w:left w:val="single" w:sz="4" w:space="0" w:color="auto"/>
              <w:bottom w:val="single" w:sz="4" w:space="0" w:color="auto"/>
              <w:right w:val="single" w:sz="4" w:space="0" w:color="auto"/>
            </w:tcBorders>
            <w:vAlign w:val="center"/>
          </w:tcPr>
          <w:p w14:paraId="7B589596" w14:textId="77777777" w:rsidR="00BB17E0" w:rsidRPr="00B162C2" w:rsidRDefault="00BB17E0" w:rsidP="009B2D3F">
            <w:pPr>
              <w:pStyle w:val="TableText"/>
              <w:widowControl w:val="0"/>
            </w:pPr>
            <w:r w:rsidRPr="00B162C2">
              <w:t>Non-refractory</w:t>
            </w:r>
          </w:p>
        </w:tc>
        <w:tc>
          <w:tcPr>
            <w:tcW w:w="1455" w:type="dxa"/>
            <w:tcBorders>
              <w:top w:val="single" w:sz="4" w:space="0" w:color="auto"/>
              <w:left w:val="single" w:sz="4" w:space="0" w:color="auto"/>
              <w:bottom w:val="single" w:sz="4" w:space="0" w:color="auto"/>
              <w:right w:val="single" w:sz="4" w:space="0" w:color="auto"/>
            </w:tcBorders>
            <w:vAlign w:val="center"/>
          </w:tcPr>
          <w:p w14:paraId="106F8AD7" w14:textId="77777777" w:rsidR="00BB17E0" w:rsidRPr="00B162C2" w:rsidRDefault="00BB17E0" w:rsidP="009B2D3F">
            <w:pPr>
              <w:pStyle w:val="TableText"/>
              <w:widowControl w:val="0"/>
              <w:jc w:val="center"/>
            </w:pPr>
            <w:r w:rsidRPr="00B162C2">
              <w:t>29/40 (72.5%)</w:t>
            </w:r>
          </w:p>
        </w:tc>
        <w:tc>
          <w:tcPr>
            <w:tcW w:w="1428" w:type="dxa"/>
            <w:tcBorders>
              <w:left w:val="single" w:sz="4" w:space="0" w:color="auto"/>
              <w:right w:val="single" w:sz="4" w:space="0" w:color="auto"/>
            </w:tcBorders>
            <w:shd w:val="clear" w:color="auto" w:fill="FBD4B4" w:themeFill="accent6" w:themeFillTint="66"/>
            <w:vAlign w:val="center"/>
          </w:tcPr>
          <w:p w14:paraId="222E0A96" w14:textId="77777777" w:rsidR="00BB17E0" w:rsidRPr="00B162C2" w:rsidRDefault="00BB17E0" w:rsidP="009B2D3F">
            <w:pPr>
              <w:pStyle w:val="TableText"/>
              <w:widowControl w:val="0"/>
              <w:jc w:val="center"/>
            </w:pPr>
            <w:r w:rsidRPr="00B162C2">
              <w:t>23/43 (53.5%)</w:t>
            </w:r>
          </w:p>
        </w:tc>
        <w:tc>
          <w:tcPr>
            <w:tcW w:w="1430" w:type="dxa"/>
            <w:tcBorders>
              <w:left w:val="single" w:sz="4" w:space="0" w:color="auto"/>
              <w:right w:val="single" w:sz="4" w:space="0" w:color="auto"/>
            </w:tcBorders>
            <w:vAlign w:val="center"/>
          </w:tcPr>
          <w:p w14:paraId="5B58E3F9" w14:textId="04B517E6" w:rsidR="00BB17E0" w:rsidRPr="00B162C2" w:rsidRDefault="00BB17E0" w:rsidP="009B2D3F">
            <w:pPr>
              <w:pStyle w:val="TableText"/>
              <w:widowControl w:val="0"/>
              <w:jc w:val="center"/>
            </w:pPr>
            <w:r>
              <w:t>NR</w:t>
            </w:r>
          </w:p>
        </w:tc>
      </w:tr>
    </w:tbl>
    <w:p w14:paraId="5CB3F363" w14:textId="77777777" w:rsidR="00BB17E0" w:rsidRPr="00B162C2" w:rsidRDefault="00BB17E0" w:rsidP="009B2D3F">
      <w:pPr>
        <w:pStyle w:val="COMTablefooter"/>
        <w:keepNext/>
      </w:pPr>
      <w:r w:rsidRPr="00B162C2">
        <w:t>Source: Table 14.2.6.4, pp847-871 of the RAISE trial report</w:t>
      </w:r>
    </w:p>
    <w:p w14:paraId="67C482F0" w14:textId="5979B213" w:rsidR="00BB17E0" w:rsidRDefault="00BB17E0" w:rsidP="009B2D3F">
      <w:pPr>
        <w:pStyle w:val="COMTablefooter"/>
        <w:keepNext/>
      </w:pPr>
      <w:r w:rsidRPr="00B162C2">
        <w:t>Abbreviations: IVIg, intravenous immunoglobulin; MG-ADL, Myasthenia Gravis Activities of Daily Living; MGFA, Myasthenia Gravis Foundation of America;</w:t>
      </w:r>
      <w:r>
        <w:t xml:space="preserve"> NR, not reported;</w:t>
      </w:r>
      <w:r w:rsidRPr="00B162C2">
        <w:t xml:space="preserve"> PLEX, plasma exchange; QMG, Quantitative Myasthenia Gravis score</w:t>
      </w:r>
    </w:p>
    <w:p w14:paraId="2CB16270" w14:textId="04C0EC88" w:rsidR="00BB17E0" w:rsidRPr="00BB17E0" w:rsidRDefault="00BB17E0" w:rsidP="00BB17E0">
      <w:pPr>
        <w:pStyle w:val="COMTablefooter"/>
      </w:pPr>
      <w:r w:rsidRPr="00BB17E0">
        <w:t xml:space="preserve">Note: </w:t>
      </w:r>
      <w:r w:rsidRPr="00F94D1F">
        <w:rPr>
          <w:shd w:val="clear" w:color="auto" w:fill="FBD4B4" w:themeFill="accent6" w:themeFillTint="66"/>
        </w:rPr>
        <w:t>Shading</w:t>
      </w:r>
      <w:r w:rsidRPr="00BB17E0">
        <w:t xml:space="preserve"> indicates a difference of +/- 10% in response between patient subgroups</w:t>
      </w:r>
    </w:p>
    <w:p w14:paraId="6B195447" w14:textId="114D95AF" w:rsidR="00EE4E6D" w:rsidRPr="00906ED7" w:rsidRDefault="006B784A" w:rsidP="00646F4E">
      <w:pPr>
        <w:pStyle w:val="3-BodyText"/>
      </w:pPr>
      <w:r w:rsidRPr="00906ED7">
        <w:t xml:space="preserve">The submission did not present any analyses of responders based on the MGC instrument. This would have been informative given that the submission proposed using the MGC score to </w:t>
      </w:r>
      <w:r w:rsidR="00AC24D2" w:rsidRPr="00906ED7">
        <w:t>assess response in the proposed</w:t>
      </w:r>
      <w:r w:rsidRPr="00906ED7">
        <w:t xml:space="preserve"> PBS restriction</w:t>
      </w:r>
      <w:r w:rsidR="00EE4E6D" w:rsidRPr="00906ED7">
        <w:t>.</w:t>
      </w:r>
    </w:p>
    <w:p w14:paraId="7DEEFDA9" w14:textId="60F0688B" w:rsidR="006B784A" w:rsidRPr="00906ED7" w:rsidRDefault="006B784A" w:rsidP="00646F4E">
      <w:pPr>
        <w:pStyle w:val="3-BodyText"/>
      </w:pPr>
      <w:r w:rsidRPr="00906ED7">
        <w:t xml:space="preserve">The mean change in </w:t>
      </w:r>
      <w:proofErr w:type="gramStart"/>
      <w:r w:rsidRPr="00906ED7">
        <w:t>quality of life</w:t>
      </w:r>
      <w:proofErr w:type="gramEnd"/>
      <w:r w:rsidRPr="00906ED7">
        <w:t xml:space="preserve"> measures from baseline to Week 1</w:t>
      </w:r>
      <w:r w:rsidR="00EE4E6D" w:rsidRPr="00906ED7">
        <w:t>2</w:t>
      </w:r>
      <w:r w:rsidRPr="00906ED7">
        <w:t xml:space="preserve"> with zilucoplan and placebo in the RAISE trial are summarised in</w:t>
      </w:r>
      <w:r w:rsidR="00EE4E6D" w:rsidRPr="00906ED7">
        <w:t xml:space="preserve"> </w:t>
      </w:r>
      <w:r w:rsidR="00EE4E6D" w:rsidRPr="00906ED7">
        <w:fldChar w:fldCharType="begin" w:fldLock="1"/>
      </w:r>
      <w:r w:rsidR="00EE4E6D" w:rsidRPr="00906ED7">
        <w:instrText xml:space="preserve"> REF _Ref164436533 \h </w:instrText>
      </w:r>
      <w:r w:rsidR="00906ED7">
        <w:instrText xml:space="preserve"> \* MERGEFORMAT </w:instrText>
      </w:r>
      <w:r w:rsidR="00EE4E6D" w:rsidRPr="00906ED7">
        <w:fldChar w:fldCharType="separate"/>
      </w:r>
      <w:r w:rsidR="00FC355E" w:rsidRPr="00B162C2">
        <w:t xml:space="preserve">Table </w:t>
      </w:r>
      <w:r w:rsidR="00FC355E">
        <w:rPr>
          <w:noProof/>
        </w:rPr>
        <w:t>8</w:t>
      </w:r>
      <w:r w:rsidR="00EE4E6D" w:rsidRPr="00906ED7">
        <w:fldChar w:fldCharType="end"/>
      </w:r>
      <w:r w:rsidRPr="00906ED7">
        <w:t>.</w:t>
      </w:r>
    </w:p>
    <w:p w14:paraId="2EC5AA13" w14:textId="55E92DA9" w:rsidR="00EE4E6D" w:rsidRPr="00B162C2" w:rsidRDefault="00EE4E6D" w:rsidP="00646F4E">
      <w:pPr>
        <w:pStyle w:val="COMtablefigcaption"/>
      </w:pPr>
      <w:bookmarkStart w:id="54" w:name="_Ref164436533"/>
      <w:r w:rsidRPr="00B162C2">
        <w:t xml:space="preserve">Table </w:t>
      </w:r>
      <w:r w:rsidR="002F23E8">
        <w:fldChar w:fldCharType="begin" w:fldLock="1"/>
      </w:r>
      <w:r w:rsidR="002F23E8">
        <w:instrText xml:space="preserve"> SEQ Table \* ARABIC </w:instrText>
      </w:r>
      <w:r w:rsidR="002F23E8">
        <w:fldChar w:fldCharType="separate"/>
      </w:r>
      <w:r w:rsidR="00FC355E">
        <w:rPr>
          <w:noProof/>
        </w:rPr>
        <w:t>8</w:t>
      </w:r>
      <w:r w:rsidR="002F23E8">
        <w:rPr>
          <w:noProof/>
        </w:rPr>
        <w:fldChar w:fldCharType="end"/>
      </w:r>
      <w:bookmarkEnd w:id="54"/>
      <w:r w:rsidRPr="00B162C2">
        <w:t>: Mean change in quality of life scores from baseline to Week 12 with zilucoplan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8: Mean change in quality of life scores from baseline to Week 12 with zilucoplan and placebo"/>
      </w:tblPr>
      <w:tblGrid>
        <w:gridCol w:w="2268"/>
        <w:gridCol w:w="1559"/>
        <w:gridCol w:w="1560"/>
        <w:gridCol w:w="1701"/>
        <w:gridCol w:w="1929"/>
      </w:tblGrid>
      <w:tr w:rsidR="00EE4E6D" w:rsidRPr="00B162C2" w14:paraId="10D48DBA" w14:textId="77777777" w:rsidTr="0079023C">
        <w:trPr>
          <w:trHeight w:val="76"/>
          <w:tblHeader/>
        </w:trPr>
        <w:tc>
          <w:tcPr>
            <w:tcW w:w="2268" w:type="dxa"/>
            <w:tcBorders>
              <w:top w:val="single" w:sz="4" w:space="0" w:color="auto"/>
              <w:left w:val="single" w:sz="4" w:space="0" w:color="auto"/>
              <w:right w:val="single" w:sz="4" w:space="0" w:color="auto"/>
            </w:tcBorders>
            <w:vAlign w:val="center"/>
          </w:tcPr>
          <w:p w14:paraId="701A6C0C" w14:textId="77777777" w:rsidR="00EE4E6D" w:rsidRPr="00B162C2" w:rsidRDefault="00EE4E6D" w:rsidP="00646F4E">
            <w:pPr>
              <w:pStyle w:val="TableText"/>
              <w:widowControl w:val="0"/>
              <w:rPr>
                <w:b/>
              </w:rPr>
            </w:pPr>
            <w:r w:rsidRPr="00B162C2">
              <w:rPr>
                <w:b/>
              </w:rPr>
              <w:t>Treatment arm</w:t>
            </w:r>
          </w:p>
        </w:tc>
        <w:tc>
          <w:tcPr>
            <w:tcW w:w="1559" w:type="dxa"/>
            <w:tcBorders>
              <w:top w:val="single" w:sz="4" w:space="0" w:color="auto"/>
              <w:left w:val="single" w:sz="4" w:space="0" w:color="auto"/>
              <w:right w:val="single" w:sz="4" w:space="0" w:color="auto"/>
            </w:tcBorders>
            <w:vAlign w:val="center"/>
          </w:tcPr>
          <w:p w14:paraId="40AFFDB3" w14:textId="77777777" w:rsidR="00EE4E6D" w:rsidRPr="00B162C2" w:rsidRDefault="00EE4E6D" w:rsidP="00646F4E">
            <w:pPr>
              <w:pStyle w:val="TableText"/>
              <w:widowControl w:val="0"/>
              <w:jc w:val="center"/>
              <w:rPr>
                <w:b/>
              </w:rPr>
            </w:pPr>
            <w:r w:rsidRPr="00B162C2">
              <w:rPr>
                <w:b/>
              </w:rPr>
              <w:t>Baseline,</w:t>
            </w:r>
          </w:p>
          <w:p w14:paraId="3AA480E3" w14:textId="77777777" w:rsidR="00EE4E6D" w:rsidRPr="00B162C2" w:rsidRDefault="00EE4E6D" w:rsidP="00646F4E">
            <w:pPr>
              <w:pStyle w:val="TableText"/>
              <w:widowControl w:val="0"/>
              <w:jc w:val="center"/>
              <w:rPr>
                <w:b/>
              </w:rPr>
            </w:pPr>
            <w:r w:rsidRPr="00B162C2">
              <w:rPr>
                <w:b/>
              </w:rPr>
              <w:t>Mean (SD)</w:t>
            </w:r>
          </w:p>
        </w:tc>
        <w:tc>
          <w:tcPr>
            <w:tcW w:w="1560" w:type="dxa"/>
            <w:tcBorders>
              <w:top w:val="single" w:sz="4" w:space="0" w:color="auto"/>
              <w:left w:val="single" w:sz="4" w:space="0" w:color="auto"/>
              <w:right w:val="single" w:sz="4" w:space="0" w:color="auto"/>
            </w:tcBorders>
            <w:vAlign w:val="center"/>
          </w:tcPr>
          <w:p w14:paraId="53F15B88" w14:textId="77777777" w:rsidR="00EE4E6D" w:rsidRPr="00B162C2" w:rsidRDefault="00EE4E6D" w:rsidP="00646F4E">
            <w:pPr>
              <w:pStyle w:val="TableText"/>
              <w:widowControl w:val="0"/>
              <w:jc w:val="center"/>
              <w:rPr>
                <w:b/>
              </w:rPr>
            </w:pPr>
            <w:r w:rsidRPr="00B162C2">
              <w:rPr>
                <w:b/>
              </w:rPr>
              <w:t>Final,</w:t>
            </w:r>
          </w:p>
          <w:p w14:paraId="6D514CCA" w14:textId="77777777" w:rsidR="00EE4E6D" w:rsidRPr="00B162C2" w:rsidRDefault="00EE4E6D" w:rsidP="00646F4E">
            <w:pPr>
              <w:pStyle w:val="TableText"/>
              <w:widowControl w:val="0"/>
              <w:jc w:val="center"/>
              <w:rPr>
                <w:b/>
              </w:rPr>
            </w:pPr>
            <w:r w:rsidRPr="00B162C2">
              <w:rPr>
                <w:b/>
              </w:rPr>
              <w:t>Mean (SD)</w:t>
            </w:r>
          </w:p>
        </w:tc>
        <w:tc>
          <w:tcPr>
            <w:tcW w:w="1701" w:type="dxa"/>
            <w:tcBorders>
              <w:top w:val="single" w:sz="4" w:space="0" w:color="auto"/>
              <w:left w:val="single" w:sz="4" w:space="0" w:color="auto"/>
              <w:right w:val="single" w:sz="4" w:space="0" w:color="auto"/>
            </w:tcBorders>
            <w:vAlign w:val="center"/>
          </w:tcPr>
          <w:p w14:paraId="62FBE029" w14:textId="77777777" w:rsidR="00EE4E6D" w:rsidRPr="00B162C2" w:rsidRDefault="00EE4E6D" w:rsidP="00646F4E">
            <w:pPr>
              <w:pStyle w:val="TableText"/>
              <w:widowControl w:val="0"/>
              <w:jc w:val="center"/>
              <w:rPr>
                <w:b/>
              </w:rPr>
            </w:pPr>
            <w:r w:rsidRPr="00B162C2">
              <w:rPr>
                <w:b/>
              </w:rPr>
              <w:t>LS mean change (95% CI)</w:t>
            </w:r>
          </w:p>
        </w:tc>
        <w:tc>
          <w:tcPr>
            <w:tcW w:w="1929" w:type="dxa"/>
            <w:tcBorders>
              <w:top w:val="single" w:sz="4" w:space="0" w:color="auto"/>
              <w:left w:val="single" w:sz="4" w:space="0" w:color="auto"/>
              <w:right w:val="single" w:sz="4" w:space="0" w:color="auto"/>
            </w:tcBorders>
            <w:vAlign w:val="center"/>
          </w:tcPr>
          <w:p w14:paraId="73D36B9E" w14:textId="77777777" w:rsidR="00EE4E6D" w:rsidRPr="00B162C2" w:rsidRDefault="00EE4E6D" w:rsidP="00646F4E">
            <w:pPr>
              <w:pStyle w:val="TableText"/>
              <w:widowControl w:val="0"/>
              <w:jc w:val="center"/>
              <w:rPr>
                <w:b/>
              </w:rPr>
            </w:pPr>
            <w:r w:rsidRPr="00B162C2">
              <w:rPr>
                <w:b/>
              </w:rPr>
              <w:t>Treatment difference (95% CI)</w:t>
            </w:r>
          </w:p>
        </w:tc>
      </w:tr>
      <w:tr w:rsidR="00EE4E6D" w:rsidRPr="00B162C2" w14:paraId="579097E3" w14:textId="77777777" w:rsidTr="0079023C">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454DDFD4" w14:textId="77777777" w:rsidR="00EE4E6D" w:rsidRPr="00B162C2" w:rsidRDefault="00EE4E6D" w:rsidP="00646F4E">
            <w:pPr>
              <w:pStyle w:val="TableText"/>
              <w:widowControl w:val="0"/>
              <w:rPr>
                <w:b/>
              </w:rPr>
            </w:pPr>
            <w:r w:rsidRPr="00B162C2">
              <w:rPr>
                <w:b/>
              </w:rPr>
              <w:t>Revised Myasthenia Gravis Quality of Life score (MG-QoL15r)</w:t>
            </w:r>
          </w:p>
        </w:tc>
      </w:tr>
      <w:tr w:rsidR="00EE4E6D" w:rsidRPr="00B162C2" w14:paraId="08A80662"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1CB24D5E" w14:textId="2A1E0829" w:rsidR="00EE4E6D" w:rsidRPr="00B162C2" w:rsidRDefault="00EE4E6D" w:rsidP="00646F4E">
            <w:pPr>
              <w:pStyle w:val="TableText"/>
              <w:widowControl w:val="0"/>
            </w:pPr>
            <w:r w:rsidRPr="00B162C2">
              <w:t>Zilucoplan</w:t>
            </w:r>
            <w:r w:rsidR="00AC24D2" w:rsidRPr="00B162C2">
              <w:t xml:space="preserve"> (</w:t>
            </w:r>
            <w:r w:rsidRPr="00B162C2">
              <w:t>N = 86</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7F4ED1E8" w14:textId="77777777" w:rsidR="00EE4E6D" w:rsidRPr="00B162C2" w:rsidRDefault="00EE4E6D" w:rsidP="00646F4E">
            <w:pPr>
              <w:pStyle w:val="TableText"/>
              <w:widowControl w:val="0"/>
              <w:jc w:val="center"/>
            </w:pPr>
            <w:r w:rsidRPr="00B162C2">
              <w:t>18.6 (6.6)</w:t>
            </w:r>
          </w:p>
        </w:tc>
        <w:tc>
          <w:tcPr>
            <w:tcW w:w="1560" w:type="dxa"/>
            <w:tcBorders>
              <w:top w:val="single" w:sz="4" w:space="0" w:color="auto"/>
              <w:left w:val="single" w:sz="4" w:space="0" w:color="auto"/>
              <w:bottom w:val="single" w:sz="4" w:space="0" w:color="auto"/>
              <w:right w:val="single" w:sz="4" w:space="0" w:color="auto"/>
            </w:tcBorders>
            <w:vAlign w:val="center"/>
          </w:tcPr>
          <w:p w14:paraId="0DD7AB6B" w14:textId="77777777" w:rsidR="00EE4E6D" w:rsidRPr="00B162C2" w:rsidRDefault="00EE4E6D" w:rsidP="00646F4E">
            <w:pPr>
              <w:pStyle w:val="TableText"/>
              <w:widowControl w:val="0"/>
              <w:jc w:val="center"/>
            </w:pPr>
            <w:r w:rsidRPr="00B162C2">
              <w:t>12.5 (8.0)</w:t>
            </w:r>
          </w:p>
        </w:tc>
        <w:tc>
          <w:tcPr>
            <w:tcW w:w="1701" w:type="dxa"/>
            <w:tcBorders>
              <w:top w:val="single" w:sz="4" w:space="0" w:color="auto"/>
              <w:left w:val="single" w:sz="4" w:space="0" w:color="auto"/>
              <w:right w:val="single" w:sz="4" w:space="0" w:color="auto"/>
            </w:tcBorders>
            <w:vAlign w:val="center"/>
          </w:tcPr>
          <w:p w14:paraId="25D7DE59" w14:textId="77777777" w:rsidR="00EE4E6D" w:rsidRPr="00B162C2" w:rsidRDefault="00EE4E6D" w:rsidP="00646F4E">
            <w:pPr>
              <w:pStyle w:val="TableText"/>
              <w:widowControl w:val="0"/>
              <w:jc w:val="center"/>
            </w:pPr>
            <w:r w:rsidRPr="00B162C2">
              <w:t>-5.65 (-7.17, -4.12)</w:t>
            </w:r>
          </w:p>
        </w:tc>
        <w:tc>
          <w:tcPr>
            <w:tcW w:w="1929" w:type="dxa"/>
            <w:vMerge w:val="restart"/>
            <w:tcBorders>
              <w:top w:val="single" w:sz="4" w:space="0" w:color="auto"/>
              <w:left w:val="single" w:sz="4" w:space="0" w:color="auto"/>
              <w:right w:val="single" w:sz="4" w:space="0" w:color="auto"/>
            </w:tcBorders>
            <w:vAlign w:val="center"/>
          </w:tcPr>
          <w:p w14:paraId="6579B1D4" w14:textId="77777777" w:rsidR="00EE4E6D" w:rsidRPr="00B162C2" w:rsidRDefault="00EE4E6D" w:rsidP="00646F4E">
            <w:pPr>
              <w:pStyle w:val="TableText"/>
              <w:widowControl w:val="0"/>
              <w:jc w:val="center"/>
              <w:rPr>
                <w:b/>
              </w:rPr>
            </w:pPr>
            <w:r w:rsidRPr="00B162C2">
              <w:rPr>
                <w:b/>
              </w:rPr>
              <w:t>-2.49 (-4.45, -0.54)</w:t>
            </w:r>
          </w:p>
        </w:tc>
      </w:tr>
      <w:tr w:rsidR="00EE4E6D" w:rsidRPr="00B162C2" w14:paraId="2DAC3A27"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5790D81E" w14:textId="1755143A" w:rsidR="00EE4E6D" w:rsidRPr="00B162C2" w:rsidRDefault="00EE4E6D" w:rsidP="00646F4E">
            <w:pPr>
              <w:pStyle w:val="TableText"/>
              <w:widowControl w:val="0"/>
            </w:pPr>
            <w:r w:rsidRPr="00B162C2">
              <w:t>Placebo</w:t>
            </w:r>
            <w:r w:rsidR="00AC24D2" w:rsidRPr="00B162C2">
              <w:t xml:space="preserve"> (</w:t>
            </w:r>
            <w:r w:rsidRPr="00B162C2">
              <w:t>N = 88</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6ABFD6A8" w14:textId="77777777" w:rsidR="00EE4E6D" w:rsidRPr="00B162C2" w:rsidRDefault="00EE4E6D" w:rsidP="00646F4E">
            <w:pPr>
              <w:pStyle w:val="TableText"/>
              <w:widowControl w:val="0"/>
              <w:jc w:val="center"/>
            </w:pPr>
            <w:r w:rsidRPr="00B162C2">
              <w:t>18.9 (6.8)</w:t>
            </w:r>
          </w:p>
        </w:tc>
        <w:tc>
          <w:tcPr>
            <w:tcW w:w="1560" w:type="dxa"/>
            <w:tcBorders>
              <w:top w:val="single" w:sz="4" w:space="0" w:color="auto"/>
              <w:left w:val="single" w:sz="4" w:space="0" w:color="auto"/>
              <w:bottom w:val="single" w:sz="4" w:space="0" w:color="auto"/>
              <w:right w:val="single" w:sz="4" w:space="0" w:color="auto"/>
            </w:tcBorders>
            <w:vAlign w:val="center"/>
          </w:tcPr>
          <w:p w14:paraId="5C9ACA1D" w14:textId="77777777" w:rsidR="00EE4E6D" w:rsidRPr="00B162C2" w:rsidRDefault="00EE4E6D" w:rsidP="00646F4E">
            <w:pPr>
              <w:pStyle w:val="TableText"/>
              <w:widowControl w:val="0"/>
              <w:jc w:val="center"/>
            </w:pPr>
            <w:r w:rsidRPr="00B162C2">
              <w:t>15.3 (8.1)</w:t>
            </w:r>
          </w:p>
        </w:tc>
        <w:tc>
          <w:tcPr>
            <w:tcW w:w="1701" w:type="dxa"/>
            <w:tcBorders>
              <w:left w:val="single" w:sz="4" w:space="0" w:color="auto"/>
              <w:right w:val="single" w:sz="4" w:space="0" w:color="auto"/>
            </w:tcBorders>
            <w:vAlign w:val="center"/>
          </w:tcPr>
          <w:p w14:paraId="3948A7A2" w14:textId="77777777" w:rsidR="00EE4E6D" w:rsidRPr="00B162C2" w:rsidRDefault="00EE4E6D" w:rsidP="00646F4E">
            <w:pPr>
              <w:pStyle w:val="TableText"/>
              <w:widowControl w:val="0"/>
              <w:jc w:val="center"/>
            </w:pPr>
            <w:r w:rsidRPr="00B162C2">
              <w:t>-3.16 (-4.65, -1.67)</w:t>
            </w:r>
          </w:p>
        </w:tc>
        <w:tc>
          <w:tcPr>
            <w:tcW w:w="1929" w:type="dxa"/>
            <w:vMerge/>
            <w:tcBorders>
              <w:left w:val="single" w:sz="4" w:space="0" w:color="auto"/>
              <w:right w:val="single" w:sz="4" w:space="0" w:color="auto"/>
            </w:tcBorders>
            <w:vAlign w:val="center"/>
          </w:tcPr>
          <w:p w14:paraId="3353B750" w14:textId="77777777" w:rsidR="00EE4E6D" w:rsidRPr="00B162C2" w:rsidRDefault="00EE4E6D" w:rsidP="00646F4E">
            <w:pPr>
              <w:pStyle w:val="TableText"/>
              <w:widowControl w:val="0"/>
              <w:jc w:val="center"/>
            </w:pPr>
          </w:p>
        </w:tc>
      </w:tr>
      <w:tr w:rsidR="00EE4E6D" w:rsidRPr="00B162C2" w14:paraId="7BC046E7" w14:textId="77777777" w:rsidTr="0079023C">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433FA596" w14:textId="77777777" w:rsidR="00EE4E6D" w:rsidRPr="00B162C2" w:rsidRDefault="00EE4E6D" w:rsidP="00646F4E">
            <w:pPr>
              <w:pStyle w:val="TableText"/>
              <w:widowControl w:val="0"/>
              <w:rPr>
                <w:b/>
              </w:rPr>
            </w:pPr>
            <w:r w:rsidRPr="00B162C2">
              <w:rPr>
                <w:b/>
              </w:rPr>
              <w:t>Quality of Life in Neurological Disorders Fatigue score (Neuro-QoL Fatigue)</w:t>
            </w:r>
          </w:p>
        </w:tc>
      </w:tr>
      <w:tr w:rsidR="00EE4E6D" w:rsidRPr="00B162C2" w14:paraId="0E4A8AAC"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622C6D64" w14:textId="6F4CB511" w:rsidR="00EE4E6D" w:rsidRPr="00B162C2" w:rsidRDefault="00EE4E6D" w:rsidP="00646F4E">
            <w:pPr>
              <w:pStyle w:val="TableText"/>
              <w:widowControl w:val="0"/>
            </w:pPr>
            <w:r w:rsidRPr="00B162C2">
              <w:t>Zilucoplan</w:t>
            </w:r>
            <w:r w:rsidR="00AC24D2" w:rsidRPr="00B162C2">
              <w:t xml:space="preserve"> (</w:t>
            </w:r>
            <w:r w:rsidRPr="00B162C2">
              <w:t>N = 86</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5D6D7263" w14:textId="77777777" w:rsidR="00EE4E6D" w:rsidRPr="00B162C2" w:rsidRDefault="00EE4E6D" w:rsidP="00646F4E">
            <w:pPr>
              <w:pStyle w:val="TableText"/>
              <w:widowControl w:val="0"/>
              <w:jc w:val="center"/>
            </w:pPr>
            <w:r w:rsidRPr="00B162C2">
              <w:t>29.4 (7.4)</w:t>
            </w:r>
          </w:p>
        </w:tc>
        <w:tc>
          <w:tcPr>
            <w:tcW w:w="1560" w:type="dxa"/>
            <w:tcBorders>
              <w:top w:val="single" w:sz="4" w:space="0" w:color="auto"/>
              <w:left w:val="single" w:sz="4" w:space="0" w:color="auto"/>
              <w:bottom w:val="single" w:sz="4" w:space="0" w:color="auto"/>
              <w:right w:val="single" w:sz="4" w:space="0" w:color="auto"/>
            </w:tcBorders>
            <w:vAlign w:val="center"/>
          </w:tcPr>
          <w:p w14:paraId="4ACA30BB" w14:textId="77777777" w:rsidR="00EE4E6D" w:rsidRPr="00B162C2" w:rsidRDefault="00EE4E6D" w:rsidP="00646F4E">
            <w:pPr>
              <w:pStyle w:val="TableText"/>
              <w:widowControl w:val="0"/>
              <w:jc w:val="center"/>
            </w:pPr>
            <w:r w:rsidRPr="00B162C2">
              <w:t>23.4 (8.9)</w:t>
            </w:r>
          </w:p>
        </w:tc>
        <w:tc>
          <w:tcPr>
            <w:tcW w:w="1701" w:type="dxa"/>
            <w:tcBorders>
              <w:left w:val="single" w:sz="4" w:space="0" w:color="auto"/>
              <w:right w:val="single" w:sz="4" w:space="0" w:color="auto"/>
            </w:tcBorders>
            <w:vAlign w:val="center"/>
          </w:tcPr>
          <w:p w14:paraId="49BC5DEF" w14:textId="77777777" w:rsidR="00EE4E6D" w:rsidRPr="00B162C2" w:rsidRDefault="00EE4E6D" w:rsidP="00646F4E">
            <w:pPr>
              <w:pStyle w:val="TableText"/>
              <w:widowControl w:val="0"/>
              <w:jc w:val="center"/>
            </w:pPr>
            <w:r w:rsidRPr="00B162C2">
              <w:t>-5.64 (-7.38, -3.89)</w:t>
            </w:r>
          </w:p>
        </w:tc>
        <w:tc>
          <w:tcPr>
            <w:tcW w:w="1929" w:type="dxa"/>
            <w:vMerge w:val="restart"/>
            <w:tcBorders>
              <w:left w:val="single" w:sz="4" w:space="0" w:color="auto"/>
              <w:right w:val="single" w:sz="4" w:space="0" w:color="auto"/>
            </w:tcBorders>
            <w:vAlign w:val="center"/>
          </w:tcPr>
          <w:p w14:paraId="5A6C7828" w14:textId="77777777" w:rsidR="00EE4E6D" w:rsidRPr="00B162C2" w:rsidRDefault="00EE4E6D" w:rsidP="00646F4E">
            <w:pPr>
              <w:pStyle w:val="TableText"/>
              <w:widowControl w:val="0"/>
              <w:jc w:val="center"/>
            </w:pPr>
            <w:r w:rsidRPr="00B162C2">
              <w:t>-3.06 (-5.27, -0.85)</w:t>
            </w:r>
          </w:p>
        </w:tc>
      </w:tr>
      <w:tr w:rsidR="00EE4E6D" w:rsidRPr="00B162C2" w14:paraId="4FB9AE14"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67A91A16" w14:textId="16065816" w:rsidR="00EE4E6D" w:rsidRPr="00B162C2" w:rsidRDefault="00EE4E6D" w:rsidP="00646F4E">
            <w:pPr>
              <w:pStyle w:val="TableText"/>
              <w:widowControl w:val="0"/>
            </w:pPr>
            <w:r w:rsidRPr="00B162C2">
              <w:t>Placebo</w:t>
            </w:r>
            <w:r w:rsidR="00AC24D2" w:rsidRPr="00B162C2">
              <w:t xml:space="preserve"> (</w:t>
            </w:r>
            <w:r w:rsidRPr="00B162C2">
              <w:t>N = 88</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5D5A9CA0" w14:textId="77777777" w:rsidR="00EE4E6D" w:rsidRPr="00B162C2" w:rsidRDefault="00EE4E6D" w:rsidP="00646F4E">
            <w:pPr>
              <w:pStyle w:val="TableText"/>
              <w:widowControl w:val="0"/>
              <w:jc w:val="center"/>
            </w:pPr>
            <w:r w:rsidRPr="00B162C2">
              <w:t>29.7 (6.9)</w:t>
            </w:r>
          </w:p>
        </w:tc>
        <w:tc>
          <w:tcPr>
            <w:tcW w:w="1560" w:type="dxa"/>
            <w:tcBorders>
              <w:top w:val="single" w:sz="4" w:space="0" w:color="auto"/>
              <w:left w:val="single" w:sz="4" w:space="0" w:color="auto"/>
              <w:bottom w:val="single" w:sz="4" w:space="0" w:color="auto"/>
              <w:right w:val="single" w:sz="4" w:space="0" w:color="auto"/>
            </w:tcBorders>
            <w:vAlign w:val="center"/>
          </w:tcPr>
          <w:p w14:paraId="78378FC5" w14:textId="77777777" w:rsidR="00EE4E6D" w:rsidRPr="00B162C2" w:rsidRDefault="00EE4E6D" w:rsidP="00646F4E">
            <w:pPr>
              <w:pStyle w:val="TableText"/>
              <w:widowControl w:val="0"/>
              <w:jc w:val="center"/>
            </w:pPr>
            <w:r w:rsidRPr="00B162C2">
              <w:t>26.5 (8.7)</w:t>
            </w:r>
          </w:p>
        </w:tc>
        <w:tc>
          <w:tcPr>
            <w:tcW w:w="1701" w:type="dxa"/>
            <w:tcBorders>
              <w:left w:val="single" w:sz="4" w:space="0" w:color="auto"/>
              <w:right w:val="single" w:sz="4" w:space="0" w:color="auto"/>
            </w:tcBorders>
            <w:vAlign w:val="center"/>
          </w:tcPr>
          <w:p w14:paraId="06937D1E" w14:textId="77777777" w:rsidR="00EE4E6D" w:rsidRPr="00B162C2" w:rsidRDefault="00EE4E6D" w:rsidP="00646F4E">
            <w:pPr>
              <w:pStyle w:val="TableText"/>
              <w:widowControl w:val="0"/>
              <w:jc w:val="center"/>
            </w:pPr>
            <w:r w:rsidRPr="00B162C2">
              <w:t>-2.57 (-4.24, -0.91)</w:t>
            </w:r>
          </w:p>
        </w:tc>
        <w:tc>
          <w:tcPr>
            <w:tcW w:w="1929" w:type="dxa"/>
            <w:vMerge/>
            <w:tcBorders>
              <w:left w:val="single" w:sz="4" w:space="0" w:color="auto"/>
              <w:right w:val="single" w:sz="4" w:space="0" w:color="auto"/>
            </w:tcBorders>
            <w:vAlign w:val="center"/>
          </w:tcPr>
          <w:p w14:paraId="6333A7CF" w14:textId="77777777" w:rsidR="00EE4E6D" w:rsidRPr="00B162C2" w:rsidRDefault="00EE4E6D" w:rsidP="00646F4E">
            <w:pPr>
              <w:pStyle w:val="TableText"/>
              <w:widowControl w:val="0"/>
              <w:jc w:val="center"/>
            </w:pPr>
          </w:p>
        </w:tc>
      </w:tr>
      <w:tr w:rsidR="00EE4E6D" w:rsidRPr="00B162C2" w14:paraId="4B2E4622" w14:textId="77777777" w:rsidTr="0079023C">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2158151A" w14:textId="77777777" w:rsidR="00EE4E6D" w:rsidRPr="00B162C2" w:rsidRDefault="00EE4E6D" w:rsidP="00646F4E">
            <w:pPr>
              <w:pStyle w:val="TableText"/>
              <w:widowControl w:val="0"/>
              <w:rPr>
                <w:b/>
              </w:rPr>
            </w:pPr>
            <w:r w:rsidRPr="00B162C2">
              <w:rPr>
                <w:b/>
              </w:rPr>
              <w:t>EQ-5D-5L visual analogue scale</w:t>
            </w:r>
          </w:p>
        </w:tc>
      </w:tr>
      <w:tr w:rsidR="00EE4E6D" w:rsidRPr="00B162C2" w14:paraId="5595DC3B"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07CCAF5A" w14:textId="2B106C9A" w:rsidR="00EE4E6D" w:rsidRPr="00B162C2" w:rsidRDefault="00EE4E6D" w:rsidP="00646F4E">
            <w:pPr>
              <w:pStyle w:val="TableText"/>
              <w:widowControl w:val="0"/>
            </w:pPr>
            <w:r w:rsidRPr="00B162C2">
              <w:t>Zilucoplan</w:t>
            </w:r>
            <w:r w:rsidR="00AC24D2" w:rsidRPr="00B162C2">
              <w:t xml:space="preserve"> (</w:t>
            </w:r>
            <w:r w:rsidRPr="00B162C2">
              <w:t>N = 86</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526FCE42" w14:textId="77777777" w:rsidR="00EE4E6D" w:rsidRPr="00B162C2" w:rsidRDefault="00EE4E6D" w:rsidP="00646F4E">
            <w:pPr>
              <w:pStyle w:val="TableText"/>
              <w:widowControl w:val="0"/>
              <w:jc w:val="center"/>
            </w:pPr>
            <w:r w:rsidRPr="00B162C2">
              <w:t>57.4 (18.1)</w:t>
            </w:r>
          </w:p>
        </w:tc>
        <w:tc>
          <w:tcPr>
            <w:tcW w:w="1560" w:type="dxa"/>
            <w:tcBorders>
              <w:top w:val="single" w:sz="4" w:space="0" w:color="auto"/>
              <w:left w:val="single" w:sz="4" w:space="0" w:color="auto"/>
              <w:bottom w:val="single" w:sz="4" w:space="0" w:color="auto"/>
              <w:right w:val="single" w:sz="4" w:space="0" w:color="auto"/>
            </w:tcBorders>
            <w:vAlign w:val="center"/>
          </w:tcPr>
          <w:p w14:paraId="2648AD85" w14:textId="77777777" w:rsidR="00EE4E6D" w:rsidRPr="00B162C2" w:rsidRDefault="00EE4E6D" w:rsidP="00646F4E">
            <w:pPr>
              <w:pStyle w:val="TableText"/>
              <w:widowControl w:val="0"/>
              <w:jc w:val="center"/>
            </w:pPr>
            <w:r w:rsidRPr="00B162C2">
              <w:t>66.0 (20.6)</w:t>
            </w:r>
          </w:p>
        </w:tc>
        <w:tc>
          <w:tcPr>
            <w:tcW w:w="1701" w:type="dxa"/>
            <w:tcBorders>
              <w:left w:val="single" w:sz="4" w:space="0" w:color="auto"/>
              <w:right w:val="single" w:sz="4" w:space="0" w:color="auto"/>
            </w:tcBorders>
            <w:vAlign w:val="center"/>
          </w:tcPr>
          <w:p w14:paraId="4D357E3D" w14:textId="77777777" w:rsidR="00EE4E6D" w:rsidRPr="00B162C2" w:rsidRDefault="00EE4E6D" w:rsidP="00646F4E">
            <w:pPr>
              <w:pStyle w:val="TableText"/>
              <w:widowControl w:val="0"/>
              <w:jc w:val="center"/>
            </w:pPr>
            <w:r w:rsidRPr="00B162C2">
              <w:t>NR</w:t>
            </w:r>
          </w:p>
        </w:tc>
        <w:tc>
          <w:tcPr>
            <w:tcW w:w="1929" w:type="dxa"/>
            <w:vMerge w:val="restart"/>
            <w:tcBorders>
              <w:left w:val="single" w:sz="4" w:space="0" w:color="auto"/>
              <w:right w:val="single" w:sz="4" w:space="0" w:color="auto"/>
            </w:tcBorders>
            <w:vAlign w:val="center"/>
          </w:tcPr>
          <w:p w14:paraId="1838C979" w14:textId="77777777" w:rsidR="00EE4E6D" w:rsidRPr="00B162C2" w:rsidRDefault="00EE4E6D" w:rsidP="00646F4E">
            <w:pPr>
              <w:pStyle w:val="TableText"/>
              <w:widowControl w:val="0"/>
              <w:jc w:val="center"/>
            </w:pPr>
            <w:r w:rsidRPr="00B162C2">
              <w:t>NR</w:t>
            </w:r>
          </w:p>
        </w:tc>
      </w:tr>
      <w:tr w:rsidR="00EE4E6D" w:rsidRPr="00B162C2" w14:paraId="2C3C6709" w14:textId="77777777" w:rsidTr="0079023C">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252BEE67" w14:textId="24405A1D" w:rsidR="00EE4E6D" w:rsidRPr="00B162C2" w:rsidRDefault="00EE4E6D" w:rsidP="00646F4E">
            <w:pPr>
              <w:pStyle w:val="TableText"/>
              <w:widowControl w:val="0"/>
            </w:pPr>
            <w:r w:rsidRPr="00B162C2">
              <w:t>Placebo</w:t>
            </w:r>
            <w:r w:rsidR="00AC24D2" w:rsidRPr="00B162C2">
              <w:t xml:space="preserve"> (</w:t>
            </w:r>
            <w:r w:rsidRPr="00B162C2">
              <w:t>N = 88</w:t>
            </w:r>
            <w:r w:rsidR="00AC24D2" w:rsidRPr="00B162C2">
              <w:t>)</w:t>
            </w:r>
          </w:p>
        </w:tc>
        <w:tc>
          <w:tcPr>
            <w:tcW w:w="1559" w:type="dxa"/>
            <w:tcBorders>
              <w:top w:val="single" w:sz="4" w:space="0" w:color="auto"/>
              <w:left w:val="single" w:sz="4" w:space="0" w:color="auto"/>
              <w:bottom w:val="single" w:sz="4" w:space="0" w:color="auto"/>
              <w:right w:val="single" w:sz="4" w:space="0" w:color="auto"/>
            </w:tcBorders>
            <w:vAlign w:val="center"/>
          </w:tcPr>
          <w:p w14:paraId="2165BCB6" w14:textId="77777777" w:rsidR="00EE4E6D" w:rsidRPr="00B162C2" w:rsidRDefault="00EE4E6D" w:rsidP="00646F4E">
            <w:pPr>
              <w:pStyle w:val="TableText"/>
              <w:widowControl w:val="0"/>
              <w:jc w:val="center"/>
            </w:pPr>
            <w:r w:rsidRPr="00B162C2">
              <w:t>52.9 (19.6)</w:t>
            </w:r>
          </w:p>
        </w:tc>
        <w:tc>
          <w:tcPr>
            <w:tcW w:w="1560" w:type="dxa"/>
            <w:tcBorders>
              <w:top w:val="single" w:sz="4" w:space="0" w:color="auto"/>
              <w:left w:val="single" w:sz="4" w:space="0" w:color="auto"/>
              <w:bottom w:val="single" w:sz="4" w:space="0" w:color="auto"/>
              <w:right w:val="single" w:sz="4" w:space="0" w:color="auto"/>
            </w:tcBorders>
            <w:vAlign w:val="center"/>
          </w:tcPr>
          <w:p w14:paraId="57055D0B" w14:textId="77777777" w:rsidR="00EE4E6D" w:rsidRPr="00B162C2" w:rsidRDefault="00EE4E6D" w:rsidP="00646F4E">
            <w:pPr>
              <w:pStyle w:val="TableText"/>
              <w:widowControl w:val="0"/>
              <w:jc w:val="center"/>
            </w:pPr>
            <w:r w:rsidRPr="00B162C2">
              <w:t>58.5 (23.5)</w:t>
            </w:r>
          </w:p>
        </w:tc>
        <w:tc>
          <w:tcPr>
            <w:tcW w:w="1701" w:type="dxa"/>
            <w:tcBorders>
              <w:left w:val="single" w:sz="4" w:space="0" w:color="auto"/>
              <w:right w:val="single" w:sz="4" w:space="0" w:color="auto"/>
            </w:tcBorders>
            <w:vAlign w:val="center"/>
          </w:tcPr>
          <w:p w14:paraId="03CF616A" w14:textId="77777777" w:rsidR="00EE4E6D" w:rsidRPr="00B162C2" w:rsidRDefault="00EE4E6D" w:rsidP="00646F4E">
            <w:pPr>
              <w:pStyle w:val="TableText"/>
              <w:widowControl w:val="0"/>
              <w:jc w:val="center"/>
            </w:pPr>
            <w:r w:rsidRPr="00B162C2">
              <w:t>NR</w:t>
            </w:r>
          </w:p>
        </w:tc>
        <w:tc>
          <w:tcPr>
            <w:tcW w:w="1929" w:type="dxa"/>
            <w:vMerge/>
            <w:tcBorders>
              <w:left w:val="single" w:sz="4" w:space="0" w:color="auto"/>
              <w:right w:val="single" w:sz="4" w:space="0" w:color="auto"/>
            </w:tcBorders>
            <w:vAlign w:val="center"/>
          </w:tcPr>
          <w:p w14:paraId="45D8E0FF" w14:textId="77777777" w:rsidR="00EE4E6D" w:rsidRPr="00B162C2" w:rsidRDefault="00EE4E6D" w:rsidP="00646F4E">
            <w:pPr>
              <w:pStyle w:val="TableText"/>
              <w:widowControl w:val="0"/>
              <w:jc w:val="center"/>
            </w:pPr>
          </w:p>
        </w:tc>
      </w:tr>
    </w:tbl>
    <w:p w14:paraId="24499A4A" w14:textId="77777777" w:rsidR="00EE4E6D" w:rsidRPr="00B162C2" w:rsidRDefault="00EE4E6D" w:rsidP="00646F4E">
      <w:pPr>
        <w:pStyle w:val="TableFigureFooter"/>
        <w:keepNext/>
      </w:pPr>
      <w:r w:rsidRPr="00B162C2">
        <w:t>Source: Table 2.5-6, p77; Table 2.5-9, p81 of the submission; Table 14.2.4.1, pp 700-715; Table 14.2.9.6, p1009; Table 14.2.9.7, pp1010-1012 of the RAISE trial report</w:t>
      </w:r>
    </w:p>
    <w:p w14:paraId="36B0D071" w14:textId="77777777" w:rsidR="00EE4E6D" w:rsidRPr="00B162C2" w:rsidRDefault="00EE4E6D" w:rsidP="00646F4E">
      <w:pPr>
        <w:pStyle w:val="TableFigureFooter"/>
        <w:keepNext/>
      </w:pPr>
      <w:r w:rsidRPr="00B162C2">
        <w:t xml:space="preserve">Abbreviations: CI, confidence interval; LS, least squares; MG-QoL15r, revised Myasthenia Gravis Quality of Life; Neuro-QoL Fatigue, Quality of Life in Neurological Disorders Fatigue subscale; NR, not reported; SD, standard deviation </w:t>
      </w:r>
    </w:p>
    <w:p w14:paraId="3839446F" w14:textId="26CB5D8C" w:rsidR="00EE4E6D" w:rsidRPr="00B162C2" w:rsidRDefault="00EE4E6D" w:rsidP="00646F4E">
      <w:pPr>
        <w:pStyle w:val="TableFigureFooter"/>
        <w:keepNext/>
        <w:spacing w:after="0"/>
      </w:pPr>
      <w:r w:rsidRPr="00B162C2">
        <w:t>Note: MG-QOL15r scores range from 0 to 30 with lower scores indicating better quality of life</w:t>
      </w:r>
      <w:r w:rsidR="00C37380">
        <w:t>. There was no nominated minimal clinically important difference for this outcome</w:t>
      </w:r>
    </w:p>
    <w:p w14:paraId="080337CF" w14:textId="52C7D5CF" w:rsidR="00EE4E6D" w:rsidRPr="00B162C2" w:rsidRDefault="00EE4E6D" w:rsidP="00646F4E">
      <w:pPr>
        <w:pStyle w:val="COMTablefooter"/>
        <w:keepNext/>
        <w:keepLines/>
        <w:spacing w:after="0"/>
      </w:pPr>
      <w:r w:rsidRPr="00B162C2">
        <w:t>Note: Neuro-QoL Fatigue range from 19 to 95 with lower scores indicating better quality of life</w:t>
      </w:r>
      <w:r w:rsidR="00C37380">
        <w:t>. The nominated minimal clinically important difference was a 3.5-point change in total score.</w:t>
      </w:r>
    </w:p>
    <w:p w14:paraId="6CBF5788" w14:textId="37C97303" w:rsidR="00EE4E6D" w:rsidRPr="00B162C2" w:rsidRDefault="00EE4E6D" w:rsidP="00646F4E">
      <w:pPr>
        <w:pStyle w:val="TableFigureFooter"/>
        <w:keepNext/>
        <w:spacing w:after="0"/>
      </w:pPr>
      <w:r w:rsidRPr="00B162C2">
        <w:t>Note: EQ-5D-5L visual analogue scores range from 0 to 100 with higher scores indicating better quality of life</w:t>
      </w:r>
      <w:r w:rsidR="00C37380">
        <w:t>. There was no nominated minimal clinically important difference for this outcome</w:t>
      </w:r>
    </w:p>
    <w:p w14:paraId="15C00ED9" w14:textId="6BF1C473" w:rsidR="00EE4E6D" w:rsidRPr="00B162C2" w:rsidRDefault="00EE4E6D" w:rsidP="00EE4E6D">
      <w:pPr>
        <w:pStyle w:val="TableFigureFooter"/>
      </w:pPr>
      <w:r w:rsidRPr="00B162C2">
        <w:t xml:space="preserve">Note: </w:t>
      </w:r>
      <w:r w:rsidRPr="006D2101">
        <w:rPr>
          <w:b/>
          <w:bCs/>
        </w:rPr>
        <w:t>Bolding</w:t>
      </w:r>
      <w:r w:rsidRPr="00B162C2">
        <w:t xml:space="preserve"> indicates statistically significant differences after accounting for multiplicity of testing</w:t>
      </w:r>
    </w:p>
    <w:p w14:paraId="5679D7B0" w14:textId="59B56557" w:rsidR="00EE4E6D" w:rsidRPr="00906ED7" w:rsidRDefault="00EE4E6D" w:rsidP="00646F4E">
      <w:pPr>
        <w:pStyle w:val="3-BodyText"/>
      </w:pPr>
      <w:r w:rsidRPr="00906ED7">
        <w:t>Treatment with zilucoplan was associated with statistically significant improvements in the quality of life measures compared to placebo at Week 12.</w:t>
      </w:r>
    </w:p>
    <w:p w14:paraId="6ACBFB82" w14:textId="69864EB0" w:rsidR="00EE4E6D" w:rsidRPr="00906ED7" w:rsidRDefault="00EE4E6D" w:rsidP="00646F4E">
      <w:pPr>
        <w:pStyle w:val="3-BodyText"/>
      </w:pPr>
      <w:r w:rsidRPr="00906ED7">
        <w:t>The trial report did not provide any statistical analysis of EQ-5D-5L data. However, EQ</w:t>
      </w:r>
      <w:r w:rsidR="00F94D1F" w:rsidRPr="00906ED7">
        <w:noBreakHyphen/>
      </w:r>
      <w:r w:rsidRPr="00906ED7">
        <w:t xml:space="preserve">5D-5L data from the RAISE trial were used to inform a </w:t>
      </w:r>
      <w:r w:rsidRPr="007B3108">
        <w:rPr>
          <w:i/>
          <w:iCs/>
        </w:rPr>
        <w:t>post hoc</w:t>
      </w:r>
      <w:r w:rsidRPr="00906ED7">
        <w:t xml:space="preserve"> analysis of the association between change in MG-ADL score and change in EQ-5D utility scores over time used in the economic model. Therefore, the data should be available to allow a comparison of the change in EQ-5D-5L scores (visual analogue scale, health state index) between treatment arms over time</w:t>
      </w:r>
      <w:r w:rsidR="00F94D1F" w:rsidRPr="00906ED7">
        <w:t xml:space="preserve"> (these data were requested during evaluation but not provided)</w:t>
      </w:r>
      <w:r w:rsidRPr="00906ED7">
        <w:t>.</w:t>
      </w:r>
    </w:p>
    <w:p w14:paraId="31F47642" w14:textId="21B6E0B8" w:rsidR="00EE4E6D" w:rsidRPr="00906ED7" w:rsidRDefault="00EE4E6D" w:rsidP="00646F4E">
      <w:pPr>
        <w:pStyle w:val="3-BodyText"/>
      </w:pPr>
      <w:r w:rsidRPr="00906ED7">
        <w:t xml:space="preserve">The proportion of patients classified with improved, unchanged or worsening disease at 12 weeks compared to their pre-treatment assessment in the RAISE trial using the modified Myasthenia Gravis Foundation of America Post-Intervention Status (MGFA-PIS) instrument is summarised in </w:t>
      </w:r>
      <w:r w:rsidRPr="00906ED7">
        <w:fldChar w:fldCharType="begin" w:fldLock="1"/>
      </w:r>
      <w:r w:rsidRPr="00906ED7">
        <w:instrText xml:space="preserve"> REF _Ref164436854 \h </w:instrText>
      </w:r>
      <w:r w:rsidR="00906ED7" w:rsidRPr="00906ED7">
        <w:instrText xml:space="preserve"> \* MERGEFORMAT </w:instrText>
      </w:r>
      <w:r w:rsidRPr="00906ED7">
        <w:fldChar w:fldCharType="separate"/>
      </w:r>
      <w:r w:rsidR="00FC355E" w:rsidRPr="00B162C2">
        <w:t xml:space="preserve">Table </w:t>
      </w:r>
      <w:r w:rsidR="00FC355E">
        <w:rPr>
          <w:noProof/>
        </w:rPr>
        <w:t>9</w:t>
      </w:r>
      <w:r w:rsidRPr="00906ED7">
        <w:fldChar w:fldCharType="end"/>
      </w:r>
      <w:r w:rsidRPr="00906ED7">
        <w:t>.</w:t>
      </w:r>
    </w:p>
    <w:p w14:paraId="07B039A8" w14:textId="07C8D8C5" w:rsidR="00EE4E6D" w:rsidRPr="00B162C2" w:rsidRDefault="00EE4E6D" w:rsidP="00646F4E">
      <w:pPr>
        <w:pStyle w:val="COMtablefigcaption"/>
        <w:keepLines/>
      </w:pPr>
      <w:bookmarkStart w:id="55" w:name="_Ref164436854"/>
      <w:r w:rsidRPr="00B162C2">
        <w:t xml:space="preserve">Table </w:t>
      </w:r>
      <w:r w:rsidR="002F23E8">
        <w:fldChar w:fldCharType="begin" w:fldLock="1"/>
      </w:r>
      <w:r w:rsidR="002F23E8">
        <w:instrText xml:space="preserve"> SEQ Table \* ARABIC </w:instrText>
      </w:r>
      <w:r w:rsidR="002F23E8">
        <w:fldChar w:fldCharType="separate"/>
      </w:r>
      <w:r w:rsidR="00FC355E">
        <w:rPr>
          <w:noProof/>
        </w:rPr>
        <w:t>9</w:t>
      </w:r>
      <w:r w:rsidR="002F23E8">
        <w:rPr>
          <w:noProof/>
        </w:rPr>
        <w:fldChar w:fldCharType="end"/>
      </w:r>
      <w:bookmarkEnd w:id="55"/>
      <w:r w:rsidRPr="00B162C2">
        <w:t xml:space="preserve">: Proportion of patients in each category of the MGFA-PIS at Week 12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9: Proportion of patients in each category of the MGFA-PIS at Week 12 "/>
      </w:tblPr>
      <w:tblGrid>
        <w:gridCol w:w="2835"/>
        <w:gridCol w:w="3091"/>
        <w:gridCol w:w="3091"/>
      </w:tblGrid>
      <w:tr w:rsidR="00EE4E6D" w:rsidRPr="00B162C2" w14:paraId="7441FF4C" w14:textId="77777777" w:rsidTr="0079023C">
        <w:trPr>
          <w:trHeight w:val="76"/>
          <w:tblHeader/>
        </w:trPr>
        <w:tc>
          <w:tcPr>
            <w:tcW w:w="2835" w:type="dxa"/>
            <w:tcBorders>
              <w:top w:val="single" w:sz="4" w:space="0" w:color="auto"/>
              <w:left w:val="single" w:sz="4" w:space="0" w:color="auto"/>
              <w:right w:val="single" w:sz="4" w:space="0" w:color="auto"/>
            </w:tcBorders>
            <w:vAlign w:val="center"/>
          </w:tcPr>
          <w:p w14:paraId="0EA08AA5" w14:textId="77777777" w:rsidR="00EE4E6D" w:rsidRPr="00B162C2" w:rsidRDefault="00EE4E6D" w:rsidP="00646F4E">
            <w:pPr>
              <w:pStyle w:val="TableText"/>
              <w:keepLines/>
              <w:widowControl w:val="0"/>
              <w:rPr>
                <w:b/>
              </w:rPr>
            </w:pPr>
            <w:r w:rsidRPr="00B162C2">
              <w:rPr>
                <w:b/>
              </w:rPr>
              <w:t>Outcome</w:t>
            </w:r>
          </w:p>
        </w:tc>
        <w:tc>
          <w:tcPr>
            <w:tcW w:w="3091" w:type="dxa"/>
            <w:tcBorders>
              <w:top w:val="single" w:sz="4" w:space="0" w:color="auto"/>
              <w:left w:val="single" w:sz="4" w:space="0" w:color="auto"/>
              <w:right w:val="single" w:sz="4" w:space="0" w:color="auto"/>
            </w:tcBorders>
            <w:vAlign w:val="center"/>
          </w:tcPr>
          <w:p w14:paraId="3FF3A0A7" w14:textId="77777777" w:rsidR="00EE4E6D" w:rsidRPr="00B162C2" w:rsidRDefault="00EE4E6D" w:rsidP="00646F4E">
            <w:pPr>
              <w:pStyle w:val="TableText"/>
              <w:keepLines/>
              <w:widowControl w:val="0"/>
              <w:jc w:val="center"/>
              <w:rPr>
                <w:b/>
              </w:rPr>
            </w:pPr>
            <w:r w:rsidRPr="00B162C2">
              <w:rPr>
                <w:b/>
              </w:rPr>
              <w:t>Zilucoplan</w:t>
            </w:r>
          </w:p>
          <w:p w14:paraId="0066EFCD" w14:textId="77777777" w:rsidR="00EE4E6D" w:rsidRPr="00B162C2" w:rsidRDefault="00EE4E6D" w:rsidP="00646F4E">
            <w:pPr>
              <w:pStyle w:val="TableText"/>
              <w:keepLines/>
              <w:widowControl w:val="0"/>
              <w:jc w:val="center"/>
              <w:rPr>
                <w:b/>
              </w:rPr>
            </w:pPr>
            <w:r w:rsidRPr="00B162C2">
              <w:rPr>
                <w:b/>
              </w:rPr>
              <w:t>N = 78</w:t>
            </w:r>
          </w:p>
        </w:tc>
        <w:tc>
          <w:tcPr>
            <w:tcW w:w="3091" w:type="dxa"/>
            <w:tcBorders>
              <w:top w:val="single" w:sz="4" w:space="0" w:color="auto"/>
              <w:left w:val="single" w:sz="4" w:space="0" w:color="auto"/>
              <w:right w:val="single" w:sz="4" w:space="0" w:color="auto"/>
            </w:tcBorders>
            <w:vAlign w:val="center"/>
          </w:tcPr>
          <w:p w14:paraId="080A49BE" w14:textId="77777777" w:rsidR="00EE4E6D" w:rsidRPr="00B162C2" w:rsidRDefault="00EE4E6D" w:rsidP="00646F4E">
            <w:pPr>
              <w:pStyle w:val="TableText"/>
              <w:keepLines/>
              <w:widowControl w:val="0"/>
              <w:jc w:val="center"/>
              <w:rPr>
                <w:b/>
              </w:rPr>
            </w:pPr>
            <w:r w:rsidRPr="00B162C2">
              <w:rPr>
                <w:b/>
              </w:rPr>
              <w:t>Placebo</w:t>
            </w:r>
          </w:p>
          <w:p w14:paraId="0DBBAF55" w14:textId="77777777" w:rsidR="00EE4E6D" w:rsidRPr="00B162C2" w:rsidRDefault="00EE4E6D" w:rsidP="00646F4E">
            <w:pPr>
              <w:pStyle w:val="TableText"/>
              <w:keepLines/>
              <w:widowControl w:val="0"/>
              <w:jc w:val="center"/>
              <w:rPr>
                <w:b/>
              </w:rPr>
            </w:pPr>
            <w:r w:rsidRPr="00B162C2">
              <w:rPr>
                <w:b/>
              </w:rPr>
              <w:t>N = 83</w:t>
            </w:r>
          </w:p>
        </w:tc>
      </w:tr>
      <w:tr w:rsidR="00EE4E6D" w:rsidRPr="00B162C2" w14:paraId="51659716" w14:textId="77777777" w:rsidTr="0079023C">
        <w:trPr>
          <w:trHeight w:val="70"/>
        </w:trPr>
        <w:tc>
          <w:tcPr>
            <w:tcW w:w="9017" w:type="dxa"/>
            <w:gridSpan w:val="3"/>
            <w:tcBorders>
              <w:top w:val="single" w:sz="4" w:space="0" w:color="auto"/>
              <w:left w:val="single" w:sz="4" w:space="0" w:color="auto"/>
              <w:bottom w:val="single" w:sz="4" w:space="0" w:color="auto"/>
              <w:right w:val="single" w:sz="4" w:space="0" w:color="auto"/>
            </w:tcBorders>
            <w:vAlign w:val="center"/>
          </w:tcPr>
          <w:p w14:paraId="22EBF6BE" w14:textId="77777777" w:rsidR="00EE4E6D" w:rsidRPr="00B162C2" w:rsidRDefault="00EE4E6D" w:rsidP="00646F4E">
            <w:pPr>
              <w:pStyle w:val="TableText"/>
              <w:keepLines/>
              <w:widowControl w:val="0"/>
              <w:rPr>
                <w:b/>
              </w:rPr>
            </w:pPr>
            <w:r w:rsidRPr="00B162C2">
              <w:rPr>
                <w:b/>
              </w:rPr>
              <w:t>Post-intervention status, n (%)</w:t>
            </w:r>
          </w:p>
        </w:tc>
      </w:tr>
      <w:tr w:rsidR="00EE4E6D" w:rsidRPr="00B162C2" w14:paraId="58813730" w14:textId="77777777" w:rsidTr="0079023C">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41620C72" w14:textId="77777777" w:rsidR="00EE4E6D" w:rsidRPr="00B162C2" w:rsidRDefault="00EE4E6D" w:rsidP="00646F4E">
            <w:pPr>
              <w:pStyle w:val="TableText"/>
              <w:keepLines/>
              <w:widowControl w:val="0"/>
            </w:pPr>
            <w:r w:rsidRPr="00B162C2">
              <w:t>Pharmacologic remission</w:t>
            </w:r>
          </w:p>
        </w:tc>
        <w:tc>
          <w:tcPr>
            <w:tcW w:w="3091" w:type="dxa"/>
            <w:tcBorders>
              <w:top w:val="single" w:sz="4" w:space="0" w:color="auto"/>
              <w:left w:val="single" w:sz="4" w:space="0" w:color="auto"/>
              <w:bottom w:val="single" w:sz="4" w:space="0" w:color="auto"/>
              <w:right w:val="single" w:sz="4" w:space="0" w:color="auto"/>
            </w:tcBorders>
            <w:vAlign w:val="center"/>
          </w:tcPr>
          <w:p w14:paraId="69844901" w14:textId="77777777" w:rsidR="00EE4E6D" w:rsidRPr="00B162C2" w:rsidRDefault="00EE4E6D" w:rsidP="00646F4E">
            <w:pPr>
              <w:pStyle w:val="TableText"/>
              <w:keepLines/>
              <w:widowControl w:val="0"/>
              <w:jc w:val="center"/>
            </w:pPr>
            <w:r w:rsidRPr="00B162C2">
              <w:t>2 (2.6%)</w:t>
            </w:r>
          </w:p>
        </w:tc>
        <w:tc>
          <w:tcPr>
            <w:tcW w:w="3091" w:type="dxa"/>
            <w:tcBorders>
              <w:left w:val="single" w:sz="4" w:space="0" w:color="auto"/>
              <w:right w:val="single" w:sz="4" w:space="0" w:color="auto"/>
            </w:tcBorders>
            <w:vAlign w:val="center"/>
          </w:tcPr>
          <w:p w14:paraId="12F1922B" w14:textId="77777777" w:rsidR="00EE4E6D" w:rsidRPr="00B162C2" w:rsidRDefault="00EE4E6D" w:rsidP="00646F4E">
            <w:pPr>
              <w:pStyle w:val="TableText"/>
              <w:keepLines/>
              <w:widowControl w:val="0"/>
              <w:jc w:val="center"/>
            </w:pPr>
            <w:r w:rsidRPr="00B162C2">
              <w:t>0 (0.0%)</w:t>
            </w:r>
          </w:p>
        </w:tc>
      </w:tr>
      <w:tr w:rsidR="00EE4E6D" w:rsidRPr="00B162C2" w14:paraId="6F3C8CD4" w14:textId="77777777" w:rsidTr="0079023C">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702F15C9" w14:textId="77777777" w:rsidR="00EE4E6D" w:rsidRPr="00B162C2" w:rsidRDefault="00EE4E6D" w:rsidP="00646F4E">
            <w:pPr>
              <w:pStyle w:val="TableText"/>
              <w:keepLines/>
              <w:widowControl w:val="0"/>
            </w:pPr>
            <w:r w:rsidRPr="00B162C2">
              <w:t>Minimal manifestations of disease</w:t>
            </w:r>
          </w:p>
        </w:tc>
        <w:tc>
          <w:tcPr>
            <w:tcW w:w="3091" w:type="dxa"/>
            <w:tcBorders>
              <w:top w:val="single" w:sz="4" w:space="0" w:color="auto"/>
              <w:left w:val="single" w:sz="4" w:space="0" w:color="auto"/>
              <w:bottom w:val="single" w:sz="4" w:space="0" w:color="auto"/>
              <w:right w:val="single" w:sz="4" w:space="0" w:color="auto"/>
            </w:tcBorders>
            <w:vAlign w:val="center"/>
          </w:tcPr>
          <w:p w14:paraId="5963A8B1" w14:textId="77777777" w:rsidR="00EE4E6D" w:rsidRPr="00B162C2" w:rsidRDefault="00EE4E6D" w:rsidP="00646F4E">
            <w:pPr>
              <w:pStyle w:val="TableText"/>
              <w:keepLines/>
              <w:widowControl w:val="0"/>
              <w:jc w:val="center"/>
            </w:pPr>
            <w:r w:rsidRPr="00B162C2">
              <w:t>22 (28.2%)</w:t>
            </w:r>
          </w:p>
        </w:tc>
        <w:tc>
          <w:tcPr>
            <w:tcW w:w="3091" w:type="dxa"/>
            <w:tcBorders>
              <w:left w:val="single" w:sz="4" w:space="0" w:color="auto"/>
              <w:right w:val="single" w:sz="4" w:space="0" w:color="auto"/>
            </w:tcBorders>
            <w:vAlign w:val="center"/>
          </w:tcPr>
          <w:p w14:paraId="5F4B850F" w14:textId="77777777" w:rsidR="00EE4E6D" w:rsidRPr="00B162C2" w:rsidRDefault="00EE4E6D" w:rsidP="00646F4E">
            <w:pPr>
              <w:pStyle w:val="TableText"/>
              <w:keepLines/>
              <w:widowControl w:val="0"/>
              <w:jc w:val="center"/>
            </w:pPr>
            <w:r w:rsidRPr="00B162C2">
              <w:t>16 (19.3%)</w:t>
            </w:r>
          </w:p>
        </w:tc>
      </w:tr>
      <w:tr w:rsidR="00EE4E6D" w:rsidRPr="00B162C2" w14:paraId="7B95259C" w14:textId="77777777" w:rsidTr="0079023C">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00F38EF1" w14:textId="77777777" w:rsidR="00EE4E6D" w:rsidRPr="00B162C2" w:rsidRDefault="00EE4E6D" w:rsidP="00646F4E">
            <w:pPr>
              <w:pStyle w:val="TableText"/>
              <w:keepLines/>
              <w:widowControl w:val="0"/>
            </w:pPr>
            <w:r w:rsidRPr="00B162C2">
              <w:t>Neither</w:t>
            </w:r>
          </w:p>
        </w:tc>
        <w:tc>
          <w:tcPr>
            <w:tcW w:w="3091" w:type="dxa"/>
            <w:tcBorders>
              <w:top w:val="single" w:sz="4" w:space="0" w:color="auto"/>
              <w:left w:val="single" w:sz="4" w:space="0" w:color="auto"/>
              <w:bottom w:val="single" w:sz="4" w:space="0" w:color="auto"/>
              <w:right w:val="single" w:sz="4" w:space="0" w:color="auto"/>
            </w:tcBorders>
            <w:vAlign w:val="center"/>
          </w:tcPr>
          <w:p w14:paraId="1ABF52A6" w14:textId="77777777" w:rsidR="00EE4E6D" w:rsidRPr="00B162C2" w:rsidRDefault="00EE4E6D" w:rsidP="00646F4E">
            <w:pPr>
              <w:pStyle w:val="TableText"/>
              <w:keepLines/>
              <w:widowControl w:val="0"/>
              <w:jc w:val="center"/>
            </w:pPr>
            <w:r w:rsidRPr="00B162C2">
              <w:t>54 (69.2%)</w:t>
            </w:r>
          </w:p>
        </w:tc>
        <w:tc>
          <w:tcPr>
            <w:tcW w:w="3091" w:type="dxa"/>
            <w:tcBorders>
              <w:left w:val="single" w:sz="4" w:space="0" w:color="auto"/>
              <w:right w:val="single" w:sz="4" w:space="0" w:color="auto"/>
            </w:tcBorders>
            <w:vAlign w:val="center"/>
          </w:tcPr>
          <w:p w14:paraId="38D26C65" w14:textId="77777777" w:rsidR="00EE4E6D" w:rsidRPr="00B162C2" w:rsidRDefault="00EE4E6D" w:rsidP="00646F4E">
            <w:pPr>
              <w:pStyle w:val="TableText"/>
              <w:keepLines/>
              <w:widowControl w:val="0"/>
              <w:jc w:val="center"/>
            </w:pPr>
            <w:r w:rsidRPr="00B162C2">
              <w:t>67 (80.7%)</w:t>
            </w:r>
          </w:p>
        </w:tc>
      </w:tr>
      <w:tr w:rsidR="00EE4E6D" w:rsidRPr="00B162C2" w14:paraId="19C05633" w14:textId="77777777" w:rsidTr="0079023C">
        <w:trPr>
          <w:trHeight w:val="70"/>
        </w:trPr>
        <w:tc>
          <w:tcPr>
            <w:tcW w:w="9017" w:type="dxa"/>
            <w:gridSpan w:val="3"/>
            <w:tcBorders>
              <w:top w:val="single" w:sz="4" w:space="0" w:color="auto"/>
              <w:left w:val="single" w:sz="4" w:space="0" w:color="auto"/>
              <w:bottom w:val="single" w:sz="4" w:space="0" w:color="auto"/>
              <w:right w:val="single" w:sz="4" w:space="0" w:color="auto"/>
            </w:tcBorders>
            <w:vAlign w:val="center"/>
          </w:tcPr>
          <w:p w14:paraId="23D0BBC6" w14:textId="77777777" w:rsidR="00EE4E6D" w:rsidRPr="00B162C2" w:rsidRDefault="00EE4E6D" w:rsidP="00646F4E">
            <w:pPr>
              <w:pStyle w:val="TableText"/>
              <w:keepLines/>
              <w:widowControl w:val="0"/>
              <w:rPr>
                <w:b/>
              </w:rPr>
            </w:pPr>
            <w:r w:rsidRPr="00B162C2">
              <w:rPr>
                <w:b/>
              </w:rPr>
              <w:t>Change in status compared to baseline, n (%)</w:t>
            </w:r>
          </w:p>
        </w:tc>
      </w:tr>
      <w:tr w:rsidR="00EE4E6D" w:rsidRPr="00B162C2" w14:paraId="7837BEFB" w14:textId="77777777" w:rsidTr="0079023C">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02B7B002" w14:textId="77777777" w:rsidR="00EE4E6D" w:rsidRPr="00B162C2" w:rsidRDefault="00EE4E6D" w:rsidP="00646F4E">
            <w:pPr>
              <w:pStyle w:val="TableText"/>
              <w:keepLines/>
              <w:widowControl w:val="0"/>
            </w:pPr>
            <w:r w:rsidRPr="00B162C2">
              <w:t>Improved</w:t>
            </w:r>
          </w:p>
        </w:tc>
        <w:tc>
          <w:tcPr>
            <w:tcW w:w="3091" w:type="dxa"/>
            <w:tcBorders>
              <w:top w:val="single" w:sz="4" w:space="0" w:color="auto"/>
              <w:left w:val="single" w:sz="4" w:space="0" w:color="auto"/>
              <w:bottom w:val="single" w:sz="4" w:space="0" w:color="auto"/>
              <w:right w:val="single" w:sz="4" w:space="0" w:color="auto"/>
            </w:tcBorders>
            <w:vAlign w:val="center"/>
          </w:tcPr>
          <w:p w14:paraId="5BE7E928" w14:textId="77777777" w:rsidR="00EE4E6D" w:rsidRPr="00B162C2" w:rsidRDefault="00EE4E6D" w:rsidP="00646F4E">
            <w:pPr>
              <w:pStyle w:val="TableText"/>
              <w:keepLines/>
              <w:widowControl w:val="0"/>
              <w:jc w:val="center"/>
            </w:pPr>
            <w:r w:rsidRPr="00B162C2">
              <w:t>46 (59.0%)</w:t>
            </w:r>
          </w:p>
        </w:tc>
        <w:tc>
          <w:tcPr>
            <w:tcW w:w="3091" w:type="dxa"/>
            <w:tcBorders>
              <w:left w:val="single" w:sz="4" w:space="0" w:color="auto"/>
              <w:right w:val="single" w:sz="4" w:space="0" w:color="auto"/>
            </w:tcBorders>
            <w:vAlign w:val="center"/>
          </w:tcPr>
          <w:p w14:paraId="6AE898B8" w14:textId="77777777" w:rsidR="00EE4E6D" w:rsidRPr="00B162C2" w:rsidRDefault="00EE4E6D" w:rsidP="00646F4E">
            <w:pPr>
              <w:pStyle w:val="TableText"/>
              <w:keepLines/>
              <w:widowControl w:val="0"/>
              <w:jc w:val="center"/>
            </w:pPr>
            <w:r w:rsidRPr="00B162C2">
              <w:t>28 (33.7%)</w:t>
            </w:r>
          </w:p>
        </w:tc>
      </w:tr>
      <w:tr w:rsidR="00EE4E6D" w:rsidRPr="00B162C2" w14:paraId="09CA7F63" w14:textId="77777777" w:rsidTr="0079023C">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0DA69202" w14:textId="77777777" w:rsidR="00EE4E6D" w:rsidRPr="00B162C2" w:rsidRDefault="00EE4E6D" w:rsidP="00646F4E">
            <w:pPr>
              <w:pStyle w:val="TableText"/>
              <w:keepLines/>
              <w:widowControl w:val="0"/>
            </w:pPr>
            <w:r w:rsidRPr="00B162C2">
              <w:t>Unchanged</w:t>
            </w:r>
          </w:p>
        </w:tc>
        <w:tc>
          <w:tcPr>
            <w:tcW w:w="3091" w:type="dxa"/>
            <w:tcBorders>
              <w:top w:val="single" w:sz="4" w:space="0" w:color="auto"/>
              <w:left w:val="single" w:sz="4" w:space="0" w:color="auto"/>
              <w:bottom w:val="single" w:sz="4" w:space="0" w:color="auto"/>
              <w:right w:val="single" w:sz="4" w:space="0" w:color="auto"/>
            </w:tcBorders>
            <w:vAlign w:val="center"/>
          </w:tcPr>
          <w:p w14:paraId="4A3BFCB7" w14:textId="77777777" w:rsidR="00EE4E6D" w:rsidRPr="00B162C2" w:rsidRDefault="00EE4E6D" w:rsidP="00646F4E">
            <w:pPr>
              <w:pStyle w:val="TableText"/>
              <w:keepLines/>
              <w:widowControl w:val="0"/>
              <w:jc w:val="center"/>
            </w:pPr>
            <w:r w:rsidRPr="00B162C2">
              <w:t>28 (35.9%)</w:t>
            </w:r>
          </w:p>
        </w:tc>
        <w:tc>
          <w:tcPr>
            <w:tcW w:w="3091" w:type="dxa"/>
            <w:tcBorders>
              <w:left w:val="single" w:sz="4" w:space="0" w:color="auto"/>
              <w:right w:val="single" w:sz="4" w:space="0" w:color="auto"/>
            </w:tcBorders>
            <w:vAlign w:val="center"/>
          </w:tcPr>
          <w:p w14:paraId="7A5AD5D6" w14:textId="77777777" w:rsidR="00EE4E6D" w:rsidRPr="00B162C2" w:rsidRDefault="00EE4E6D" w:rsidP="00646F4E">
            <w:pPr>
              <w:pStyle w:val="TableText"/>
              <w:keepLines/>
              <w:widowControl w:val="0"/>
              <w:jc w:val="center"/>
            </w:pPr>
            <w:r w:rsidRPr="00B162C2">
              <w:t>48 (57.8%)</w:t>
            </w:r>
          </w:p>
        </w:tc>
      </w:tr>
      <w:tr w:rsidR="00EE4E6D" w:rsidRPr="00B162C2" w14:paraId="69B37BCC" w14:textId="77777777" w:rsidTr="0079023C">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3885AA32" w14:textId="77777777" w:rsidR="00EE4E6D" w:rsidRPr="00B162C2" w:rsidRDefault="00EE4E6D" w:rsidP="00646F4E">
            <w:pPr>
              <w:pStyle w:val="TableText"/>
              <w:keepLines/>
              <w:widowControl w:val="0"/>
            </w:pPr>
            <w:r w:rsidRPr="00B162C2">
              <w:t>Worsened</w:t>
            </w:r>
          </w:p>
        </w:tc>
        <w:tc>
          <w:tcPr>
            <w:tcW w:w="3091" w:type="dxa"/>
            <w:tcBorders>
              <w:top w:val="single" w:sz="4" w:space="0" w:color="auto"/>
              <w:left w:val="single" w:sz="4" w:space="0" w:color="auto"/>
              <w:bottom w:val="single" w:sz="4" w:space="0" w:color="auto"/>
              <w:right w:val="single" w:sz="4" w:space="0" w:color="auto"/>
            </w:tcBorders>
            <w:vAlign w:val="center"/>
          </w:tcPr>
          <w:p w14:paraId="7ADF0099" w14:textId="77777777" w:rsidR="00EE4E6D" w:rsidRPr="00B162C2" w:rsidRDefault="00EE4E6D" w:rsidP="00646F4E">
            <w:pPr>
              <w:pStyle w:val="TableText"/>
              <w:keepLines/>
              <w:widowControl w:val="0"/>
              <w:jc w:val="center"/>
            </w:pPr>
            <w:r w:rsidRPr="00B162C2">
              <w:t>3 (3.8%)</w:t>
            </w:r>
          </w:p>
        </w:tc>
        <w:tc>
          <w:tcPr>
            <w:tcW w:w="3091" w:type="dxa"/>
            <w:tcBorders>
              <w:left w:val="single" w:sz="4" w:space="0" w:color="auto"/>
              <w:right w:val="single" w:sz="4" w:space="0" w:color="auto"/>
            </w:tcBorders>
            <w:vAlign w:val="center"/>
          </w:tcPr>
          <w:p w14:paraId="5826F5E0" w14:textId="77777777" w:rsidR="00EE4E6D" w:rsidRPr="00B162C2" w:rsidRDefault="00EE4E6D" w:rsidP="00646F4E">
            <w:pPr>
              <w:pStyle w:val="TableText"/>
              <w:keepLines/>
              <w:widowControl w:val="0"/>
              <w:jc w:val="center"/>
            </w:pPr>
            <w:r w:rsidRPr="00B162C2">
              <w:t>7 (8.4%)</w:t>
            </w:r>
          </w:p>
        </w:tc>
      </w:tr>
      <w:tr w:rsidR="00EE4E6D" w:rsidRPr="00B162C2" w14:paraId="4968C55A" w14:textId="77777777" w:rsidTr="0079023C">
        <w:trPr>
          <w:trHeight w:val="70"/>
        </w:trPr>
        <w:tc>
          <w:tcPr>
            <w:tcW w:w="2835" w:type="dxa"/>
            <w:tcBorders>
              <w:top w:val="single" w:sz="4" w:space="0" w:color="auto"/>
              <w:left w:val="single" w:sz="4" w:space="0" w:color="auto"/>
              <w:bottom w:val="single" w:sz="4" w:space="0" w:color="auto"/>
              <w:right w:val="single" w:sz="4" w:space="0" w:color="auto"/>
            </w:tcBorders>
            <w:vAlign w:val="center"/>
          </w:tcPr>
          <w:p w14:paraId="25A130C1" w14:textId="77777777" w:rsidR="00EE4E6D" w:rsidRPr="00B162C2" w:rsidRDefault="00EE4E6D" w:rsidP="00646F4E">
            <w:pPr>
              <w:pStyle w:val="TableText"/>
              <w:keepLines/>
              <w:widowControl w:val="0"/>
            </w:pPr>
            <w:r w:rsidRPr="00B162C2">
              <w:t>Exacerbation</w:t>
            </w:r>
          </w:p>
        </w:tc>
        <w:tc>
          <w:tcPr>
            <w:tcW w:w="3091" w:type="dxa"/>
            <w:tcBorders>
              <w:top w:val="single" w:sz="4" w:space="0" w:color="auto"/>
              <w:left w:val="single" w:sz="4" w:space="0" w:color="auto"/>
              <w:bottom w:val="single" w:sz="4" w:space="0" w:color="auto"/>
              <w:right w:val="single" w:sz="4" w:space="0" w:color="auto"/>
            </w:tcBorders>
            <w:vAlign w:val="center"/>
          </w:tcPr>
          <w:p w14:paraId="33D82851" w14:textId="77777777" w:rsidR="00EE4E6D" w:rsidRPr="00B162C2" w:rsidRDefault="00EE4E6D" w:rsidP="00646F4E">
            <w:pPr>
              <w:pStyle w:val="TableText"/>
              <w:keepLines/>
              <w:widowControl w:val="0"/>
              <w:jc w:val="center"/>
            </w:pPr>
            <w:r w:rsidRPr="00B162C2">
              <w:t>1 (1.3%)</w:t>
            </w:r>
          </w:p>
        </w:tc>
        <w:tc>
          <w:tcPr>
            <w:tcW w:w="3091" w:type="dxa"/>
            <w:tcBorders>
              <w:left w:val="single" w:sz="4" w:space="0" w:color="auto"/>
              <w:right w:val="single" w:sz="4" w:space="0" w:color="auto"/>
            </w:tcBorders>
            <w:vAlign w:val="center"/>
          </w:tcPr>
          <w:p w14:paraId="068F7ADB" w14:textId="77777777" w:rsidR="00EE4E6D" w:rsidRPr="00B162C2" w:rsidRDefault="00EE4E6D" w:rsidP="00646F4E">
            <w:pPr>
              <w:pStyle w:val="TableText"/>
              <w:keepLines/>
              <w:widowControl w:val="0"/>
              <w:jc w:val="center"/>
            </w:pPr>
            <w:r w:rsidRPr="00B162C2">
              <w:t>0 (0.0%)</w:t>
            </w:r>
          </w:p>
        </w:tc>
      </w:tr>
    </w:tbl>
    <w:p w14:paraId="5367E476" w14:textId="77777777" w:rsidR="00EE4E6D" w:rsidRPr="00B162C2" w:rsidRDefault="00EE4E6D" w:rsidP="00646F4E">
      <w:pPr>
        <w:pStyle w:val="TableFigureFooter"/>
        <w:keepNext/>
        <w:keepLines/>
      </w:pPr>
      <w:r w:rsidRPr="00B162C2">
        <w:t>Source: Table 14.2.9.1, p981 of the RAISE trial report</w:t>
      </w:r>
    </w:p>
    <w:p w14:paraId="53B469BE" w14:textId="77777777" w:rsidR="00EE4E6D" w:rsidRPr="00B162C2" w:rsidRDefault="00EE4E6D" w:rsidP="00646F4E">
      <w:pPr>
        <w:pStyle w:val="TableFigureFooter"/>
        <w:keepNext/>
        <w:keepLines/>
      </w:pPr>
      <w:r w:rsidRPr="00B162C2">
        <w:t>Abbreviations: MG, myasthenia gravis; MGFA-PIS, modified Myasthenia Gravis Foundation of America Post-Intervention Status</w:t>
      </w:r>
    </w:p>
    <w:p w14:paraId="23450D54" w14:textId="7C685146" w:rsidR="00EE4E6D" w:rsidRPr="00B162C2" w:rsidRDefault="00EE4E6D" w:rsidP="00646F4E">
      <w:pPr>
        <w:pStyle w:val="TableFigureFooter"/>
        <w:keepLines/>
      </w:pPr>
      <w:r w:rsidRPr="00B162C2">
        <w:t>Note: pharmacologic remission - participant has no symptoms or signs of MG since previous visit and c</w:t>
      </w:r>
      <w:r w:rsidR="00AC24D2" w:rsidRPr="00B162C2">
        <w:t>ontinues to take therapy for MG</w:t>
      </w:r>
      <w:r w:rsidRPr="00B162C2">
        <w:t xml:space="preserve"> (participants taking cholinesterase inhibitors are excluded from this category because their use suggests the presence of weakness); minimal manifestations of disease - participant has no symptoms of functional limitations from MG but has some weakness on examination of some muscles.</w:t>
      </w:r>
    </w:p>
    <w:p w14:paraId="54CB6E83" w14:textId="62ED9932" w:rsidR="00EE4E6D" w:rsidRPr="00B162C2" w:rsidRDefault="00EE4E6D" w:rsidP="00646F4E">
      <w:pPr>
        <w:pStyle w:val="3-BodyText"/>
      </w:pPr>
      <w:r w:rsidRPr="00B162C2">
        <w:t>Treatment with zilucoplan was associated with a numerically higher proportion of patients achieving improvement with minimal manifestation compared to placebo. More patients in the placebo arm also reported unchanged or worsening disease.</w:t>
      </w:r>
    </w:p>
    <w:p w14:paraId="63128587" w14:textId="6FE4ACC0" w:rsidR="00C3290C" w:rsidRDefault="00EE4E6D" w:rsidP="00646F4E">
      <w:pPr>
        <w:pStyle w:val="3-BodyText"/>
      </w:pPr>
      <w:bookmarkStart w:id="56" w:name="_Ref167112456"/>
      <w:r w:rsidRPr="00B162C2">
        <w:t xml:space="preserve">There was no statistically significant difference in </w:t>
      </w:r>
      <w:r w:rsidR="004E4A96">
        <w:t xml:space="preserve">use of </w:t>
      </w:r>
      <w:r w:rsidRPr="00B162C2">
        <w:t xml:space="preserve">rescue medication </w:t>
      </w:r>
      <w:r w:rsidR="00F00EA5">
        <w:t xml:space="preserve">(with IVIg, PLEX or eculizumab) </w:t>
      </w:r>
      <w:r w:rsidRPr="00B162C2">
        <w:t>between treatment arms in the RAISE trial although results numerically favoured zilucoplan (</w:t>
      </w:r>
      <w:r w:rsidR="00E823F3">
        <w:t>cumulative p</w:t>
      </w:r>
      <w:r w:rsidR="00E823F3" w:rsidRPr="00E823F3">
        <w:t>roportion of patients receiving rescue therapy</w:t>
      </w:r>
      <w:r w:rsidR="00E823F3">
        <w:t xml:space="preserve"> by week 12,</w:t>
      </w:r>
      <w:r w:rsidR="00E823F3" w:rsidRPr="00E823F3">
        <w:t xml:space="preserve"> </w:t>
      </w:r>
      <w:r w:rsidR="00593A62">
        <w:t xml:space="preserve">zilucoplan </w:t>
      </w:r>
      <w:r w:rsidR="00F00EA5">
        <w:t>4.7</w:t>
      </w:r>
      <w:r w:rsidR="00593A62">
        <w:t xml:space="preserve">% versus placebo </w:t>
      </w:r>
      <w:r w:rsidR="00F00EA5">
        <w:t>11.4</w:t>
      </w:r>
      <w:r w:rsidR="00593A62">
        <w:t xml:space="preserve">%: </w:t>
      </w:r>
      <w:r w:rsidRPr="00B162C2">
        <w:t>HR 0.42; 95% CI 0.12, 1.20).</w:t>
      </w:r>
      <w:bookmarkEnd w:id="56"/>
      <w:r w:rsidR="004E4A96">
        <w:t xml:space="preserve"> </w:t>
      </w:r>
      <w:r w:rsidR="00C3290C">
        <w:t xml:space="preserve">The PBAC noted that this equated to an absolute risk reduction of about </w:t>
      </w:r>
      <w:r w:rsidR="00191B08">
        <w:t>6.7</w:t>
      </w:r>
      <w:r w:rsidR="00C3290C">
        <w:t>% and a number needed to treat of about 1</w:t>
      </w:r>
      <w:r w:rsidR="00191B08">
        <w:t>5</w:t>
      </w:r>
      <w:r w:rsidR="00C3290C">
        <w:t>. In the treatment refractory subgroup, 6.8% of patients in the zilucoplan group received rescue therapy, versus 15.9% in the placebo group (source: Table 14.2.5.8 of the CSR). The PBAC noted that this equated to an absolute risk reduction of 9.1% and a number needed to treat of 11.</w:t>
      </w:r>
    </w:p>
    <w:p w14:paraId="6FA117A1" w14:textId="3D6A2883" w:rsidR="00EE4E6D" w:rsidRPr="007F52A5" w:rsidRDefault="00C3290C" w:rsidP="00646F4E">
      <w:pPr>
        <w:pStyle w:val="3-BodyText"/>
      </w:pPr>
      <w:bookmarkStart w:id="57" w:name="_Ref167112826"/>
      <w:r>
        <w:t>D</w:t>
      </w:r>
      <w:r w:rsidRPr="007F52A5">
        <w:t>uring the RAISE trial and the first 12 weeks of the extension study (total 24 weeks)</w:t>
      </w:r>
      <w:r>
        <w:t xml:space="preserve">, </w:t>
      </w:r>
      <w:r w:rsidR="00EE4E6D" w:rsidRPr="007F52A5">
        <w:t>corticosteroid doses were required to remain stable. After this period, corticosteroid doses were allowed to be modified based on physician discretion.</w:t>
      </w:r>
      <w:bookmarkEnd w:id="57"/>
      <w:r>
        <w:t xml:space="preserve"> </w:t>
      </w:r>
      <w:bookmarkStart w:id="58" w:name="_Ref167175844"/>
      <w:r w:rsidR="00EE4E6D" w:rsidRPr="007F52A5">
        <w:t>Based on all available data from the extension study for the zilucoplan/zilucoplan group</w:t>
      </w:r>
      <w:r w:rsidR="00F94D1F" w:rsidRPr="007F52A5">
        <w:t xml:space="preserve"> (i.e. those patients who received zilucoplan during both the randomised controlled RAISE trial and the extension study)</w:t>
      </w:r>
      <w:r w:rsidR="00EE4E6D" w:rsidRPr="007F52A5">
        <w:t>, 50.8% (33/65) of patients using corticosteroids at baseline were able to reduce or discontinue their corticosteroid dose (mean reduction of -16.28 mg per day; from a mean baseline dose of 23.86 mg per day to 7.58 mg per day). Additionally, 6.5% (6/93) of patients either initiated or increased their corticosteroid dose during the extension study (mean increase of 11.08 mg per day; from a mean baseline dose of 14.67 mg per day to 25.75 mg per day).</w:t>
      </w:r>
      <w:bookmarkEnd w:id="58"/>
    </w:p>
    <w:p w14:paraId="34178977" w14:textId="3131B872" w:rsidR="00EE4E6D" w:rsidRDefault="003D0E59" w:rsidP="00646F4E">
      <w:pPr>
        <w:pStyle w:val="3-BodyText"/>
      </w:pPr>
      <w:r w:rsidRPr="007F52A5">
        <w:t>The evaluation and the ESC considered that it</w:t>
      </w:r>
      <w:r w:rsidR="00EE4E6D" w:rsidRPr="007F52A5">
        <w:t xml:space="preserve"> </w:t>
      </w:r>
      <w:r w:rsidR="00C3290C">
        <w:t>wa</w:t>
      </w:r>
      <w:r w:rsidR="00EE4E6D" w:rsidRPr="007F52A5">
        <w:t>s unclear whether zilucoplan is steroid-sparing as there are no comparative data on steroid use without zilucoplan</w:t>
      </w:r>
      <w:r w:rsidR="00DB0673" w:rsidRPr="007F52A5">
        <w:t xml:space="preserve"> (given the randomised controlled phase of RAISE required corticosteroid doses to be stable, and there are no comparative data for the open label extension phase)</w:t>
      </w:r>
      <w:r w:rsidR="00EE4E6D" w:rsidRPr="007F52A5">
        <w:t>.</w:t>
      </w:r>
      <w:r w:rsidR="007B3108" w:rsidRPr="007F52A5">
        <w:t xml:space="preserve"> </w:t>
      </w:r>
      <w:r w:rsidRPr="007F52A5">
        <w:t>The</w:t>
      </w:r>
      <w:r w:rsidR="007B3108" w:rsidRPr="007F52A5">
        <w:t xml:space="preserve"> ESC </w:t>
      </w:r>
      <w:r w:rsidRPr="007F52A5">
        <w:t xml:space="preserve">noted that the natural history of gMG is for </w:t>
      </w:r>
      <w:r w:rsidR="008008D6" w:rsidRPr="007F52A5">
        <w:t>its</w:t>
      </w:r>
      <w:r w:rsidRPr="007F52A5">
        <w:t xml:space="preserve"> severity to wane over time and </w:t>
      </w:r>
      <w:r w:rsidR="00DB0673" w:rsidRPr="007F52A5">
        <w:t>reduc</w:t>
      </w:r>
      <w:r w:rsidRPr="007F52A5">
        <w:t>ing of corticosteroid</w:t>
      </w:r>
      <w:r w:rsidR="00DB0673" w:rsidRPr="007F52A5">
        <w:t xml:space="preserve"> dose</w:t>
      </w:r>
      <w:r w:rsidRPr="007F52A5">
        <w:t>s is standard practice with current treatments</w:t>
      </w:r>
      <w:r w:rsidR="008008D6" w:rsidRPr="007F52A5">
        <w:t>. Thus, the ESC considered</w:t>
      </w:r>
      <w:r w:rsidRPr="007F52A5">
        <w:t xml:space="preserve"> </w:t>
      </w:r>
      <w:r w:rsidR="007B3108" w:rsidRPr="007F52A5">
        <w:t xml:space="preserve">it was unclear whether </w:t>
      </w:r>
      <w:r w:rsidR="008008D6" w:rsidRPr="007F52A5">
        <w:t xml:space="preserve">similar </w:t>
      </w:r>
      <w:r w:rsidR="007B3108" w:rsidRPr="007F52A5">
        <w:t xml:space="preserve">reductions in corticosteroid use would have </w:t>
      </w:r>
      <w:r w:rsidR="008008D6" w:rsidRPr="007F52A5">
        <w:t>occurred with standard therapy alone</w:t>
      </w:r>
      <w:r w:rsidR="007B3108" w:rsidRPr="007F52A5">
        <w:t xml:space="preserve">. </w:t>
      </w:r>
    </w:p>
    <w:p w14:paraId="5FEEBEC7" w14:textId="632F98E2" w:rsidR="000336DE" w:rsidRPr="00646F4E" w:rsidRDefault="000336DE" w:rsidP="00646F4E">
      <w:pPr>
        <w:pStyle w:val="5-SubsectionSubheading"/>
        <w:spacing w:before="0" w:after="120"/>
        <w:rPr>
          <w:i/>
          <w:iCs/>
        </w:rPr>
      </w:pPr>
      <w:bookmarkStart w:id="59" w:name="_Hlk164697206"/>
      <w:r w:rsidRPr="00646F4E">
        <w:rPr>
          <w:i/>
          <w:iCs/>
        </w:rPr>
        <w:t>Zilucoplan versus IVIg</w:t>
      </w:r>
    </w:p>
    <w:bookmarkEnd w:id="59"/>
    <w:p w14:paraId="057741B8" w14:textId="0D816370" w:rsidR="00C37380" w:rsidRPr="00906ED7" w:rsidRDefault="00C37380" w:rsidP="00646F4E">
      <w:pPr>
        <w:pStyle w:val="3-BodyText"/>
      </w:pPr>
      <w:r w:rsidRPr="00906ED7">
        <w:t>The submission presented 3 individual indirect comparisons between zilucoplan and chronic IVIg based on the argument that the 3 IVIg trials were not sufficiently similar to justify a meta-analysis of results.</w:t>
      </w:r>
    </w:p>
    <w:p w14:paraId="3ACD76A6" w14:textId="32E7E635" w:rsidR="002F04AC" w:rsidRPr="00906ED7" w:rsidRDefault="002F04AC" w:rsidP="00646F4E">
      <w:pPr>
        <w:pStyle w:val="3-BodyText"/>
      </w:pPr>
      <w:r w:rsidRPr="00906ED7">
        <w:t xml:space="preserve">The submission presented a Bucher method indirect comparison of zilucoplan (based on the RAISE trial) and chronic IVIg in patients with AChR+ generalised myasthenia gravis who remained symptomatic despite the use of standard therapies (based on NCT02473952) using a placebo common reference arm. Based on the indirect analysis, there were no statistically significant differences in functional outcomes </w:t>
      </w:r>
      <w:r w:rsidR="004419C0" w:rsidRPr="00906ED7">
        <w:t xml:space="preserve">(i.e. MG-ADL and QMG scores) </w:t>
      </w:r>
      <w:r w:rsidRPr="00906ED7">
        <w:t>with zilucoplan and chronic IVIg. The IVIg dosing regimen used in the trial was more intensive than recommended in the Australian product information or subsidised under the National Blood Authority.</w:t>
      </w:r>
    </w:p>
    <w:p w14:paraId="12A1DA14" w14:textId="7BB0E262" w:rsidR="002F04AC" w:rsidRPr="00906ED7" w:rsidRDefault="002F04AC" w:rsidP="00646F4E">
      <w:pPr>
        <w:pStyle w:val="3-BodyText"/>
      </w:pPr>
      <w:r w:rsidRPr="00906ED7">
        <w:t>The submission presented a Bucher method indirect comparison of zilucoplan (based on the RAISE trial) and chronic IVIg in patients with AChR+ generalised myasthenia gravis who were immunosuppressant naïve or who remained symptomatic despite the use of standard therapies (based on the Wolfe 2002 publication) using a placebo common reference arm. Based on the indirect analysis, treatment with zilucoplan was associated with statistically significant improvements in functional outcomes compared to chronic IVIg. The Wolfe 2002 trial was terminated prematurely with small patient numbers due to a lack of available IVIg.</w:t>
      </w:r>
    </w:p>
    <w:p w14:paraId="0D243AC9" w14:textId="21AC7F25" w:rsidR="002F04AC" w:rsidRPr="00906ED7" w:rsidRDefault="002F04AC" w:rsidP="00646F4E">
      <w:pPr>
        <w:pStyle w:val="3-BodyText"/>
      </w:pPr>
      <w:r w:rsidRPr="00906ED7">
        <w:t>The submission presented a Bucher method indirect comparison of zilucoplan (based on the RAISE trial) and</w:t>
      </w:r>
      <w:r w:rsidR="00DE7140" w:rsidRPr="00906ED7">
        <w:t xml:space="preserve"> a</w:t>
      </w:r>
      <w:r w:rsidRPr="00906ED7">
        <w:t xml:space="preserve"> single loading dose of IVIg in patients with AChR+ or MUSK+ ocular or generalised myasthenia gravis with worsening muscle weakness (based on the Zinman 2007 publication) using a placebo common reference arm. Based on the indirect analysis, there was no statistically significant difference in functional outcomes with zilucoplan and chronic IVIg. The Zinman 2007 did not assess the ongoing use of chronic IVIg in myasthenia gravis.</w:t>
      </w:r>
    </w:p>
    <w:p w14:paraId="2C264A05" w14:textId="3A5B0FAF" w:rsidR="000336DE" w:rsidRPr="00646F4E" w:rsidRDefault="000336DE" w:rsidP="00646F4E">
      <w:pPr>
        <w:pStyle w:val="5-SubsectionSubheading"/>
        <w:spacing w:before="0" w:after="120"/>
        <w:rPr>
          <w:i/>
          <w:iCs/>
        </w:rPr>
      </w:pPr>
      <w:r w:rsidRPr="00646F4E">
        <w:rPr>
          <w:i/>
          <w:iCs/>
        </w:rPr>
        <w:t>Zilucoplan versus ravulizumab</w:t>
      </w:r>
    </w:p>
    <w:p w14:paraId="44C1197D" w14:textId="4ABCB1EC" w:rsidR="002F04AC" w:rsidRPr="00906ED7" w:rsidRDefault="002F04AC" w:rsidP="00646F4E">
      <w:pPr>
        <w:pStyle w:val="3-BodyText"/>
      </w:pPr>
      <w:r w:rsidRPr="00906ED7">
        <w:t>The submission presented a Bucher method indirect comparison of zilucoplan (based on the RAISE trial) and ravulizumab in patients with AChR+ generalised myasthenia gravis who remained symptomatic despite the use of standard therapies (based on the CHAMPION-MG trial) using a placebo common reference arm.</w:t>
      </w:r>
    </w:p>
    <w:p w14:paraId="7975C293" w14:textId="7D1835E0" w:rsidR="00EE4E6D" w:rsidRPr="00906ED7" w:rsidRDefault="002F04AC" w:rsidP="00646F4E">
      <w:pPr>
        <w:pStyle w:val="3-BodyText"/>
      </w:pPr>
      <w:r w:rsidRPr="00906ED7">
        <w:t>The submission noted differences</w:t>
      </w:r>
      <w:r w:rsidR="005B6703" w:rsidRPr="00906ED7">
        <w:t xml:space="preserve"> between the zilucoplan and ravu</w:t>
      </w:r>
      <w:r w:rsidRPr="00906ED7">
        <w:t xml:space="preserve">lizumab trials </w:t>
      </w:r>
      <w:r w:rsidR="00874261">
        <w:t>with</w:t>
      </w:r>
      <w:r w:rsidRPr="00906ED7">
        <w:t xml:space="preserve"> regards to baseline disease severity (moderate to severe disease: 72% versus 55%), degree of functional impairment (baseline mean QMG scores: 19 versus 15), trial duration (12 weeks versus 26 weeks) and study design (the CHAMPION-MG allowed high dose corticosteroids as rescue therapy and did not censor outcomes for use of rescue therapy) which may limit the exchangeability between studies. During the evaluation, it was also noted that baseline medication use also appeared different between the two studies (no immunosuppressive therapy: 23.5%</w:t>
      </w:r>
      <w:r w:rsidR="00C93E59" w:rsidRPr="00906ED7">
        <w:t xml:space="preserve"> in RAISE</w:t>
      </w:r>
      <w:r w:rsidRPr="00906ED7">
        <w:t xml:space="preserve"> versus 10%</w:t>
      </w:r>
      <w:r w:rsidR="00C93E59" w:rsidRPr="00906ED7">
        <w:t xml:space="preserve"> in CHAMPION-MG</w:t>
      </w:r>
      <w:r w:rsidRPr="00906ED7">
        <w:t xml:space="preserve">; non-steroid immunosuppressants: 51% versus 68%; </w:t>
      </w:r>
      <w:r w:rsidR="00EA6B97" w:rsidRPr="00906ED7">
        <w:t>≥</w:t>
      </w:r>
      <w:r w:rsidR="00EA6B97">
        <w:t> </w:t>
      </w:r>
      <w:r w:rsidRPr="00906ED7">
        <w:t>2</w:t>
      </w:r>
      <w:r w:rsidR="00EA6B97">
        <w:t> </w:t>
      </w:r>
      <w:r w:rsidRPr="00906ED7">
        <w:t>immunosuppressive therapies 39% versus 47%).</w:t>
      </w:r>
    </w:p>
    <w:p w14:paraId="2C89E85B" w14:textId="1997178F" w:rsidR="00EE4E6D" w:rsidRPr="00906ED7" w:rsidRDefault="002F04AC" w:rsidP="00646F4E">
      <w:pPr>
        <w:pStyle w:val="3-BodyText"/>
      </w:pPr>
      <w:r w:rsidRPr="00906ED7">
        <w:t xml:space="preserve">The indirect analysis of zilucoplan versus ravulizumab is summarised in </w:t>
      </w:r>
      <w:r w:rsidRPr="00906ED7">
        <w:fldChar w:fldCharType="begin" w:fldLock="1"/>
      </w:r>
      <w:r w:rsidRPr="00906ED7">
        <w:instrText xml:space="preserve"> REF _Ref164669925 \h </w:instrText>
      </w:r>
      <w:r w:rsidR="00906ED7" w:rsidRPr="00906ED7">
        <w:instrText xml:space="preserve"> \* MERGEFORMAT </w:instrText>
      </w:r>
      <w:r w:rsidRPr="00906ED7">
        <w:fldChar w:fldCharType="separate"/>
      </w:r>
      <w:r w:rsidR="00FC355E" w:rsidRPr="00B162C2">
        <w:t xml:space="preserve">Table </w:t>
      </w:r>
      <w:r w:rsidR="00FC355E">
        <w:rPr>
          <w:noProof/>
        </w:rPr>
        <w:t>10</w:t>
      </w:r>
      <w:r w:rsidRPr="00906ED7">
        <w:fldChar w:fldCharType="end"/>
      </w:r>
      <w:r w:rsidRPr="00906ED7">
        <w:t>.</w:t>
      </w:r>
    </w:p>
    <w:p w14:paraId="0E8D8DFB" w14:textId="21444FEF" w:rsidR="002F04AC" w:rsidRPr="00B162C2" w:rsidRDefault="002F04AC" w:rsidP="00646F4E">
      <w:pPr>
        <w:pStyle w:val="COMtablefigcaption"/>
      </w:pPr>
      <w:bookmarkStart w:id="60" w:name="_Ref164669925"/>
      <w:r w:rsidRPr="00B162C2">
        <w:t xml:space="preserve">Table </w:t>
      </w:r>
      <w:r w:rsidR="002F23E8">
        <w:fldChar w:fldCharType="begin" w:fldLock="1"/>
      </w:r>
      <w:r w:rsidR="002F23E8">
        <w:instrText xml:space="preserve"> SEQ Table \* ARABIC </w:instrText>
      </w:r>
      <w:r w:rsidR="002F23E8">
        <w:fldChar w:fldCharType="separate"/>
      </w:r>
      <w:r w:rsidR="00FC355E">
        <w:rPr>
          <w:noProof/>
        </w:rPr>
        <w:t>10</w:t>
      </w:r>
      <w:r w:rsidR="002F23E8">
        <w:rPr>
          <w:noProof/>
        </w:rPr>
        <w:fldChar w:fldCharType="end"/>
      </w:r>
      <w:bookmarkEnd w:id="60"/>
      <w:r w:rsidRPr="00B162C2">
        <w:t>: Indirect comparison of efficacy outcomes with zilucoplan and ravulizumab</w:t>
      </w:r>
    </w:p>
    <w:tbl>
      <w:tblPr>
        <w:tblW w:w="4983"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0: Indirect comparison of efficacy outcomes with zilucoplan and ravulizumab"/>
      </w:tblPr>
      <w:tblGrid>
        <w:gridCol w:w="2283"/>
        <w:gridCol w:w="1603"/>
        <w:gridCol w:w="1603"/>
        <w:gridCol w:w="1603"/>
        <w:gridCol w:w="1894"/>
      </w:tblGrid>
      <w:tr w:rsidR="002F04AC" w:rsidRPr="00B162C2" w14:paraId="1B162250" w14:textId="77777777" w:rsidTr="00BE10F4">
        <w:trPr>
          <w:tblHeader/>
        </w:trPr>
        <w:tc>
          <w:tcPr>
            <w:tcW w:w="1270" w:type="pct"/>
            <w:tcBorders>
              <w:left w:val="single" w:sz="4" w:space="0" w:color="auto"/>
              <w:bottom w:val="single" w:sz="4" w:space="0" w:color="auto"/>
              <w:right w:val="single" w:sz="4" w:space="0" w:color="auto"/>
            </w:tcBorders>
            <w:vAlign w:val="center"/>
          </w:tcPr>
          <w:p w14:paraId="678C9592" w14:textId="77777777" w:rsidR="002F04AC" w:rsidRPr="00B162C2" w:rsidRDefault="002F04AC" w:rsidP="00646F4E">
            <w:pPr>
              <w:pStyle w:val="TableText"/>
              <w:rPr>
                <w:b/>
              </w:rPr>
            </w:pPr>
            <w:r w:rsidRPr="00B162C2">
              <w:rPr>
                <w:b/>
              </w:rPr>
              <w:t>Trial</w:t>
            </w:r>
          </w:p>
        </w:tc>
        <w:tc>
          <w:tcPr>
            <w:tcW w:w="892" w:type="pct"/>
            <w:tcBorders>
              <w:top w:val="single" w:sz="4" w:space="0" w:color="auto"/>
              <w:left w:val="single" w:sz="4" w:space="0" w:color="auto"/>
              <w:bottom w:val="single" w:sz="4" w:space="0" w:color="auto"/>
              <w:right w:val="single" w:sz="4" w:space="0" w:color="auto"/>
            </w:tcBorders>
            <w:vAlign w:val="center"/>
          </w:tcPr>
          <w:p w14:paraId="1752F582" w14:textId="77777777" w:rsidR="002F04AC" w:rsidRPr="00B162C2" w:rsidRDefault="002F04AC" w:rsidP="00646F4E">
            <w:pPr>
              <w:pStyle w:val="TableText"/>
              <w:jc w:val="center"/>
              <w:rPr>
                <w:b/>
              </w:rPr>
            </w:pPr>
            <w:r w:rsidRPr="00B162C2">
              <w:rPr>
                <w:b/>
              </w:rPr>
              <w:t>Zilucoplan</w:t>
            </w:r>
          </w:p>
        </w:tc>
        <w:tc>
          <w:tcPr>
            <w:tcW w:w="892" w:type="pct"/>
            <w:tcBorders>
              <w:top w:val="single" w:sz="4" w:space="0" w:color="auto"/>
              <w:left w:val="single" w:sz="4" w:space="0" w:color="auto"/>
              <w:bottom w:val="single" w:sz="4" w:space="0" w:color="auto"/>
              <w:right w:val="single" w:sz="4" w:space="0" w:color="auto"/>
            </w:tcBorders>
            <w:vAlign w:val="center"/>
          </w:tcPr>
          <w:p w14:paraId="64A12C2E" w14:textId="77777777" w:rsidR="002F04AC" w:rsidRPr="00B162C2" w:rsidRDefault="002F04AC" w:rsidP="00646F4E">
            <w:pPr>
              <w:pStyle w:val="TableText"/>
              <w:jc w:val="center"/>
              <w:rPr>
                <w:b/>
              </w:rPr>
            </w:pPr>
            <w:r w:rsidRPr="00B162C2">
              <w:rPr>
                <w:b/>
              </w:rPr>
              <w:t>Placebo</w:t>
            </w:r>
          </w:p>
        </w:tc>
        <w:tc>
          <w:tcPr>
            <w:tcW w:w="892" w:type="pct"/>
            <w:tcBorders>
              <w:top w:val="single" w:sz="4" w:space="0" w:color="auto"/>
              <w:left w:val="single" w:sz="4" w:space="0" w:color="auto"/>
              <w:bottom w:val="single" w:sz="4" w:space="0" w:color="auto"/>
              <w:right w:val="single" w:sz="4" w:space="0" w:color="auto"/>
            </w:tcBorders>
            <w:vAlign w:val="center"/>
          </w:tcPr>
          <w:p w14:paraId="1628C425" w14:textId="77777777" w:rsidR="002F04AC" w:rsidRPr="00B162C2" w:rsidRDefault="002F04AC" w:rsidP="00646F4E">
            <w:pPr>
              <w:pStyle w:val="TableText"/>
              <w:jc w:val="center"/>
              <w:rPr>
                <w:b/>
              </w:rPr>
            </w:pPr>
            <w:r w:rsidRPr="00B162C2">
              <w:rPr>
                <w:b/>
              </w:rPr>
              <w:t xml:space="preserve">Ravulizumab </w:t>
            </w:r>
          </w:p>
        </w:tc>
        <w:tc>
          <w:tcPr>
            <w:tcW w:w="1054" w:type="pct"/>
            <w:tcBorders>
              <w:top w:val="single" w:sz="4" w:space="0" w:color="auto"/>
              <w:left w:val="single" w:sz="4" w:space="0" w:color="auto"/>
              <w:bottom w:val="single" w:sz="4" w:space="0" w:color="auto"/>
              <w:right w:val="single" w:sz="4" w:space="0" w:color="auto"/>
            </w:tcBorders>
            <w:vAlign w:val="center"/>
          </w:tcPr>
          <w:p w14:paraId="34F97457" w14:textId="77777777" w:rsidR="002F04AC" w:rsidRPr="00B162C2" w:rsidRDefault="002F04AC" w:rsidP="00646F4E">
            <w:pPr>
              <w:pStyle w:val="TableText"/>
              <w:jc w:val="center"/>
              <w:rPr>
                <w:b/>
              </w:rPr>
            </w:pPr>
            <w:r w:rsidRPr="00B162C2">
              <w:rPr>
                <w:b/>
              </w:rPr>
              <w:t xml:space="preserve"> Treatment difference</w:t>
            </w:r>
          </w:p>
          <w:p w14:paraId="60F11096" w14:textId="77777777" w:rsidR="002F04AC" w:rsidRPr="00B162C2" w:rsidRDefault="002F04AC" w:rsidP="00646F4E">
            <w:pPr>
              <w:pStyle w:val="TableText"/>
              <w:jc w:val="center"/>
              <w:rPr>
                <w:b/>
              </w:rPr>
            </w:pPr>
            <w:r w:rsidRPr="00B162C2">
              <w:rPr>
                <w:b/>
              </w:rPr>
              <w:t xml:space="preserve">(95% CI) </w:t>
            </w:r>
          </w:p>
        </w:tc>
      </w:tr>
      <w:tr w:rsidR="002F04AC" w:rsidRPr="00B162C2" w14:paraId="3F00E3C9" w14:textId="77777777" w:rsidTr="00BE10F4">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B2F060B" w14:textId="77777777" w:rsidR="002F04AC" w:rsidRPr="00B162C2" w:rsidRDefault="002F04AC" w:rsidP="00646F4E">
            <w:pPr>
              <w:pStyle w:val="TableText"/>
              <w:rPr>
                <w:b/>
              </w:rPr>
            </w:pPr>
            <w:r w:rsidRPr="00B162C2">
              <w:rPr>
                <w:b/>
              </w:rPr>
              <w:t xml:space="preserve">LS mean change (SE) in MG-ADL score from baseline </w:t>
            </w:r>
          </w:p>
          <w:p w14:paraId="1607A991" w14:textId="77777777" w:rsidR="002F04AC" w:rsidRPr="00B162C2" w:rsidRDefault="002F04AC" w:rsidP="00646F4E">
            <w:pPr>
              <w:pStyle w:val="TableText"/>
              <w:rPr>
                <w:b/>
              </w:rPr>
            </w:pPr>
            <w:r w:rsidRPr="00B162C2">
              <w:rPr>
                <w:b/>
              </w:rPr>
              <w:t>(12 week data from RAISE vs. 26 week data from CHAMPION-MG)</w:t>
            </w:r>
          </w:p>
        </w:tc>
      </w:tr>
      <w:tr w:rsidR="002F04AC" w:rsidRPr="00B162C2" w14:paraId="01BBD938" w14:textId="77777777" w:rsidTr="00BE10F4">
        <w:trPr>
          <w:trHeight w:val="70"/>
        </w:trPr>
        <w:tc>
          <w:tcPr>
            <w:tcW w:w="1270" w:type="pct"/>
            <w:tcBorders>
              <w:top w:val="single" w:sz="4" w:space="0" w:color="auto"/>
              <w:left w:val="single" w:sz="4" w:space="0" w:color="auto"/>
              <w:bottom w:val="single" w:sz="4" w:space="0" w:color="auto"/>
              <w:right w:val="single" w:sz="4" w:space="0" w:color="auto"/>
            </w:tcBorders>
            <w:vAlign w:val="center"/>
          </w:tcPr>
          <w:p w14:paraId="202F7422" w14:textId="77777777" w:rsidR="002F04AC" w:rsidRPr="00B162C2" w:rsidRDefault="002F04AC" w:rsidP="00646F4E">
            <w:pPr>
              <w:pStyle w:val="TableText"/>
            </w:pPr>
            <w:r w:rsidRPr="00B162C2">
              <w:t>RAISE (N = 174)</w:t>
            </w:r>
          </w:p>
        </w:tc>
        <w:tc>
          <w:tcPr>
            <w:tcW w:w="892" w:type="pct"/>
            <w:tcBorders>
              <w:top w:val="single" w:sz="4" w:space="0" w:color="auto"/>
              <w:left w:val="single" w:sz="4" w:space="0" w:color="auto"/>
              <w:bottom w:val="single" w:sz="4" w:space="0" w:color="auto"/>
              <w:right w:val="single" w:sz="4" w:space="0" w:color="auto"/>
            </w:tcBorders>
            <w:vAlign w:val="center"/>
          </w:tcPr>
          <w:p w14:paraId="5786F539" w14:textId="77777777" w:rsidR="002F04AC" w:rsidRPr="00B162C2" w:rsidRDefault="002F04AC" w:rsidP="00646F4E">
            <w:pPr>
              <w:pStyle w:val="TableText"/>
              <w:jc w:val="center"/>
            </w:pPr>
            <w:r w:rsidRPr="00B162C2">
              <w:t>-4.39 (0.45)</w:t>
            </w:r>
          </w:p>
        </w:tc>
        <w:tc>
          <w:tcPr>
            <w:tcW w:w="892" w:type="pct"/>
            <w:tcBorders>
              <w:top w:val="single" w:sz="4" w:space="0" w:color="auto"/>
              <w:left w:val="single" w:sz="4" w:space="0" w:color="auto"/>
              <w:bottom w:val="single" w:sz="4" w:space="0" w:color="auto"/>
              <w:right w:val="single" w:sz="4" w:space="0" w:color="auto"/>
            </w:tcBorders>
            <w:vAlign w:val="center"/>
          </w:tcPr>
          <w:p w14:paraId="6F7A6060" w14:textId="77777777" w:rsidR="002F04AC" w:rsidRPr="00B162C2" w:rsidRDefault="002F04AC" w:rsidP="00646F4E">
            <w:pPr>
              <w:pStyle w:val="TableText"/>
              <w:jc w:val="center"/>
            </w:pPr>
            <w:r w:rsidRPr="00B162C2">
              <w:t>-2.30 (0.44)</w:t>
            </w:r>
          </w:p>
        </w:tc>
        <w:tc>
          <w:tcPr>
            <w:tcW w:w="892" w:type="pct"/>
            <w:tcBorders>
              <w:top w:val="single" w:sz="4" w:space="0" w:color="auto"/>
              <w:left w:val="single" w:sz="4" w:space="0" w:color="auto"/>
              <w:bottom w:val="single" w:sz="4" w:space="0" w:color="auto"/>
              <w:right w:val="single" w:sz="4" w:space="0" w:color="auto"/>
            </w:tcBorders>
            <w:vAlign w:val="center"/>
          </w:tcPr>
          <w:p w14:paraId="44D02674" w14:textId="77777777" w:rsidR="002F04AC" w:rsidRPr="00B162C2" w:rsidRDefault="002F04AC" w:rsidP="00646F4E">
            <w:pPr>
              <w:pStyle w:val="TableText"/>
              <w:jc w:val="center"/>
            </w:pPr>
            <w:r w:rsidRPr="00B162C2">
              <w:t>-</w:t>
            </w:r>
          </w:p>
        </w:tc>
        <w:tc>
          <w:tcPr>
            <w:tcW w:w="1054" w:type="pct"/>
            <w:tcBorders>
              <w:top w:val="single" w:sz="4" w:space="0" w:color="auto"/>
              <w:left w:val="single" w:sz="4" w:space="0" w:color="auto"/>
              <w:bottom w:val="single" w:sz="4" w:space="0" w:color="auto"/>
              <w:right w:val="single" w:sz="4" w:space="0" w:color="auto"/>
            </w:tcBorders>
            <w:vAlign w:val="center"/>
          </w:tcPr>
          <w:p w14:paraId="0060196B" w14:textId="77777777" w:rsidR="002F04AC" w:rsidRPr="00B162C2" w:rsidRDefault="002F04AC" w:rsidP="00646F4E">
            <w:pPr>
              <w:pStyle w:val="TableText"/>
              <w:jc w:val="center"/>
            </w:pPr>
            <w:r w:rsidRPr="00B162C2">
              <w:t>-2.09 (-3.24, -0.95)</w:t>
            </w:r>
          </w:p>
        </w:tc>
      </w:tr>
      <w:tr w:rsidR="002F04AC" w:rsidRPr="00B162C2" w14:paraId="0FB561DC" w14:textId="77777777" w:rsidTr="00BE10F4">
        <w:trPr>
          <w:trHeight w:val="70"/>
        </w:trPr>
        <w:tc>
          <w:tcPr>
            <w:tcW w:w="1270" w:type="pct"/>
            <w:tcBorders>
              <w:top w:val="single" w:sz="4" w:space="0" w:color="auto"/>
              <w:left w:val="single" w:sz="4" w:space="0" w:color="auto"/>
              <w:bottom w:val="single" w:sz="4" w:space="0" w:color="auto"/>
              <w:right w:val="single" w:sz="4" w:space="0" w:color="auto"/>
            </w:tcBorders>
            <w:vAlign w:val="center"/>
          </w:tcPr>
          <w:p w14:paraId="1E88E76E" w14:textId="77777777" w:rsidR="002F04AC" w:rsidRPr="00B162C2" w:rsidRDefault="002F04AC" w:rsidP="00646F4E">
            <w:pPr>
              <w:pStyle w:val="TableText"/>
            </w:pPr>
            <w:r w:rsidRPr="00B162C2">
              <w:t>CHAMPION-MG (N = 175)</w:t>
            </w:r>
          </w:p>
        </w:tc>
        <w:tc>
          <w:tcPr>
            <w:tcW w:w="892" w:type="pct"/>
            <w:tcBorders>
              <w:top w:val="single" w:sz="4" w:space="0" w:color="auto"/>
              <w:left w:val="single" w:sz="4" w:space="0" w:color="auto"/>
              <w:bottom w:val="single" w:sz="4" w:space="0" w:color="auto"/>
              <w:right w:val="single" w:sz="4" w:space="0" w:color="auto"/>
            </w:tcBorders>
            <w:vAlign w:val="center"/>
          </w:tcPr>
          <w:p w14:paraId="05231DA7" w14:textId="77777777" w:rsidR="002F04AC" w:rsidRPr="00B162C2" w:rsidRDefault="002F04AC" w:rsidP="00646F4E">
            <w:pPr>
              <w:pStyle w:val="TableText"/>
              <w:jc w:val="center"/>
            </w:pPr>
            <w:r w:rsidRPr="00B162C2">
              <w:t>-</w:t>
            </w:r>
          </w:p>
        </w:tc>
        <w:tc>
          <w:tcPr>
            <w:tcW w:w="892" w:type="pct"/>
            <w:tcBorders>
              <w:top w:val="single" w:sz="4" w:space="0" w:color="auto"/>
              <w:left w:val="single" w:sz="4" w:space="0" w:color="auto"/>
              <w:bottom w:val="single" w:sz="4" w:space="0" w:color="auto"/>
              <w:right w:val="single" w:sz="4" w:space="0" w:color="auto"/>
            </w:tcBorders>
            <w:vAlign w:val="center"/>
          </w:tcPr>
          <w:p w14:paraId="2F3533D2" w14:textId="77777777" w:rsidR="002F04AC" w:rsidRPr="00B162C2" w:rsidRDefault="002F04AC" w:rsidP="00646F4E">
            <w:pPr>
              <w:pStyle w:val="TableText"/>
              <w:jc w:val="center"/>
            </w:pPr>
            <w:r w:rsidRPr="00B162C2">
              <w:t>-1.4 (0.37)</w:t>
            </w:r>
          </w:p>
        </w:tc>
        <w:tc>
          <w:tcPr>
            <w:tcW w:w="892" w:type="pct"/>
            <w:tcBorders>
              <w:top w:val="single" w:sz="4" w:space="0" w:color="auto"/>
              <w:left w:val="single" w:sz="4" w:space="0" w:color="auto"/>
              <w:bottom w:val="single" w:sz="4" w:space="0" w:color="auto"/>
              <w:right w:val="single" w:sz="4" w:space="0" w:color="auto"/>
            </w:tcBorders>
            <w:vAlign w:val="center"/>
          </w:tcPr>
          <w:p w14:paraId="2711DE90" w14:textId="77777777" w:rsidR="002F04AC" w:rsidRPr="00B162C2" w:rsidRDefault="002F04AC" w:rsidP="00646F4E">
            <w:pPr>
              <w:pStyle w:val="TableText"/>
              <w:jc w:val="center"/>
            </w:pPr>
            <w:r w:rsidRPr="00B162C2">
              <w:t>-3.1 (0.38)</w:t>
            </w:r>
          </w:p>
        </w:tc>
        <w:tc>
          <w:tcPr>
            <w:tcW w:w="1054" w:type="pct"/>
            <w:tcBorders>
              <w:top w:val="single" w:sz="4" w:space="0" w:color="auto"/>
              <w:left w:val="single" w:sz="4" w:space="0" w:color="auto"/>
              <w:bottom w:val="single" w:sz="4" w:space="0" w:color="auto"/>
              <w:right w:val="single" w:sz="4" w:space="0" w:color="auto"/>
            </w:tcBorders>
            <w:vAlign w:val="center"/>
          </w:tcPr>
          <w:p w14:paraId="7393FF48" w14:textId="77777777" w:rsidR="002F04AC" w:rsidRPr="00B162C2" w:rsidRDefault="002F04AC" w:rsidP="00646F4E">
            <w:pPr>
              <w:pStyle w:val="TableText"/>
              <w:jc w:val="center"/>
            </w:pPr>
            <w:r w:rsidRPr="00B162C2">
              <w:t>-1.6 (-2.6, -0.7)</w:t>
            </w:r>
          </w:p>
        </w:tc>
      </w:tr>
      <w:tr w:rsidR="002F04AC" w:rsidRPr="00B162C2" w14:paraId="51DD5C38" w14:textId="77777777" w:rsidTr="00BE10F4">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14:paraId="3C77F7FC" w14:textId="77777777" w:rsidR="002F04AC" w:rsidRPr="00B162C2" w:rsidRDefault="002F04AC" w:rsidP="00646F4E">
            <w:pPr>
              <w:pStyle w:val="TableText"/>
              <w:jc w:val="right"/>
            </w:pPr>
            <w:r w:rsidRPr="00B162C2">
              <w:t>Indirect analysis of zilucoplan vs. ravulizumab (results &lt; 0 favour zilucoplan)</w:t>
            </w:r>
          </w:p>
        </w:tc>
        <w:tc>
          <w:tcPr>
            <w:tcW w:w="1054" w:type="pct"/>
            <w:tcBorders>
              <w:top w:val="single" w:sz="4" w:space="0" w:color="auto"/>
              <w:left w:val="single" w:sz="4" w:space="0" w:color="auto"/>
              <w:bottom w:val="single" w:sz="4" w:space="0" w:color="auto"/>
              <w:right w:val="single" w:sz="4" w:space="0" w:color="auto"/>
            </w:tcBorders>
            <w:vAlign w:val="center"/>
          </w:tcPr>
          <w:p w14:paraId="617147D3" w14:textId="77777777" w:rsidR="002F04AC" w:rsidRPr="00B162C2" w:rsidRDefault="002F04AC" w:rsidP="00646F4E">
            <w:pPr>
              <w:pStyle w:val="TableText"/>
              <w:jc w:val="center"/>
            </w:pPr>
            <w:r w:rsidRPr="00B162C2">
              <w:t>-0.49 (-1.98, 1.00)</w:t>
            </w:r>
          </w:p>
        </w:tc>
      </w:tr>
      <w:tr w:rsidR="002F04AC" w:rsidRPr="00B162C2" w14:paraId="15735FFA" w14:textId="77777777" w:rsidTr="00BE10F4">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4279FC5" w14:textId="77777777" w:rsidR="002F04AC" w:rsidRPr="00B162C2" w:rsidRDefault="002F04AC" w:rsidP="00646F4E">
            <w:pPr>
              <w:pStyle w:val="TableText"/>
              <w:rPr>
                <w:b/>
              </w:rPr>
            </w:pPr>
            <w:r w:rsidRPr="00B162C2">
              <w:rPr>
                <w:b/>
              </w:rPr>
              <w:t xml:space="preserve">LS mean change (SE) in QMG score from baseline </w:t>
            </w:r>
          </w:p>
          <w:p w14:paraId="6F2910B8" w14:textId="77777777" w:rsidR="002F04AC" w:rsidRPr="00B162C2" w:rsidRDefault="002F04AC" w:rsidP="00646F4E">
            <w:pPr>
              <w:pStyle w:val="TableText"/>
              <w:rPr>
                <w:b/>
              </w:rPr>
            </w:pPr>
            <w:r w:rsidRPr="00B162C2">
              <w:rPr>
                <w:b/>
              </w:rPr>
              <w:t>(12 week data from RAISE vs. 26 week data from CHAMPION-MG)</w:t>
            </w:r>
          </w:p>
        </w:tc>
      </w:tr>
      <w:tr w:rsidR="002F04AC" w:rsidRPr="00B162C2" w14:paraId="644733E5" w14:textId="77777777" w:rsidTr="00BE10F4">
        <w:trPr>
          <w:trHeight w:val="70"/>
        </w:trPr>
        <w:tc>
          <w:tcPr>
            <w:tcW w:w="1270" w:type="pct"/>
            <w:tcBorders>
              <w:top w:val="single" w:sz="4" w:space="0" w:color="auto"/>
              <w:left w:val="single" w:sz="4" w:space="0" w:color="auto"/>
              <w:bottom w:val="single" w:sz="4" w:space="0" w:color="auto"/>
              <w:right w:val="single" w:sz="4" w:space="0" w:color="auto"/>
            </w:tcBorders>
            <w:vAlign w:val="center"/>
          </w:tcPr>
          <w:p w14:paraId="0635BA7D" w14:textId="77777777" w:rsidR="002F04AC" w:rsidRPr="00B162C2" w:rsidRDefault="002F04AC" w:rsidP="00646F4E">
            <w:pPr>
              <w:pStyle w:val="TableText"/>
            </w:pPr>
            <w:r w:rsidRPr="00B162C2">
              <w:t>RAISE (N = 174)</w:t>
            </w:r>
          </w:p>
        </w:tc>
        <w:tc>
          <w:tcPr>
            <w:tcW w:w="892" w:type="pct"/>
            <w:tcBorders>
              <w:top w:val="single" w:sz="4" w:space="0" w:color="auto"/>
              <w:left w:val="single" w:sz="4" w:space="0" w:color="auto"/>
              <w:bottom w:val="single" w:sz="4" w:space="0" w:color="auto"/>
              <w:right w:val="single" w:sz="4" w:space="0" w:color="auto"/>
            </w:tcBorders>
            <w:vAlign w:val="center"/>
          </w:tcPr>
          <w:p w14:paraId="563FF785" w14:textId="77777777" w:rsidR="002F04AC" w:rsidRPr="00B162C2" w:rsidRDefault="002F04AC" w:rsidP="00646F4E">
            <w:pPr>
              <w:pStyle w:val="TableText"/>
              <w:jc w:val="center"/>
            </w:pPr>
            <w:r w:rsidRPr="00B162C2">
              <w:t>-6.19 (0.56)</w:t>
            </w:r>
          </w:p>
        </w:tc>
        <w:tc>
          <w:tcPr>
            <w:tcW w:w="892" w:type="pct"/>
            <w:tcBorders>
              <w:top w:val="single" w:sz="4" w:space="0" w:color="auto"/>
              <w:left w:val="single" w:sz="4" w:space="0" w:color="auto"/>
              <w:bottom w:val="single" w:sz="4" w:space="0" w:color="auto"/>
              <w:right w:val="single" w:sz="4" w:space="0" w:color="auto"/>
            </w:tcBorders>
            <w:vAlign w:val="center"/>
          </w:tcPr>
          <w:p w14:paraId="6F07864D" w14:textId="77777777" w:rsidR="002F04AC" w:rsidRPr="00B162C2" w:rsidRDefault="002F04AC" w:rsidP="00646F4E">
            <w:pPr>
              <w:pStyle w:val="TableText"/>
              <w:jc w:val="center"/>
            </w:pPr>
            <w:r w:rsidRPr="00B162C2">
              <w:t>-3.25 (0.55)</w:t>
            </w:r>
          </w:p>
        </w:tc>
        <w:tc>
          <w:tcPr>
            <w:tcW w:w="892" w:type="pct"/>
            <w:tcBorders>
              <w:top w:val="single" w:sz="4" w:space="0" w:color="auto"/>
              <w:left w:val="single" w:sz="4" w:space="0" w:color="auto"/>
              <w:bottom w:val="single" w:sz="4" w:space="0" w:color="auto"/>
              <w:right w:val="single" w:sz="4" w:space="0" w:color="auto"/>
            </w:tcBorders>
            <w:vAlign w:val="center"/>
          </w:tcPr>
          <w:p w14:paraId="0EB821C6" w14:textId="77777777" w:rsidR="002F04AC" w:rsidRPr="00B162C2" w:rsidRDefault="002F04AC" w:rsidP="00646F4E">
            <w:pPr>
              <w:pStyle w:val="TableText"/>
              <w:jc w:val="center"/>
            </w:pPr>
            <w:r w:rsidRPr="00B162C2">
              <w:t>-</w:t>
            </w:r>
          </w:p>
        </w:tc>
        <w:tc>
          <w:tcPr>
            <w:tcW w:w="1054" w:type="pct"/>
            <w:tcBorders>
              <w:top w:val="single" w:sz="4" w:space="0" w:color="auto"/>
              <w:left w:val="single" w:sz="4" w:space="0" w:color="auto"/>
              <w:bottom w:val="single" w:sz="4" w:space="0" w:color="auto"/>
              <w:right w:val="single" w:sz="4" w:space="0" w:color="auto"/>
            </w:tcBorders>
            <w:vAlign w:val="center"/>
          </w:tcPr>
          <w:p w14:paraId="48F46EB0" w14:textId="77777777" w:rsidR="002F04AC" w:rsidRPr="00B162C2" w:rsidRDefault="002F04AC" w:rsidP="00646F4E">
            <w:pPr>
              <w:pStyle w:val="TableText"/>
              <w:jc w:val="center"/>
            </w:pPr>
            <w:r w:rsidRPr="00B162C2">
              <w:t>-2.94 (-4.39, -1.49)</w:t>
            </w:r>
          </w:p>
        </w:tc>
      </w:tr>
      <w:tr w:rsidR="002F04AC" w:rsidRPr="00B162C2" w14:paraId="2570AB2D" w14:textId="77777777" w:rsidTr="00BE10F4">
        <w:trPr>
          <w:trHeight w:val="70"/>
        </w:trPr>
        <w:tc>
          <w:tcPr>
            <w:tcW w:w="1270" w:type="pct"/>
            <w:tcBorders>
              <w:top w:val="single" w:sz="4" w:space="0" w:color="auto"/>
              <w:left w:val="single" w:sz="4" w:space="0" w:color="auto"/>
              <w:bottom w:val="single" w:sz="4" w:space="0" w:color="auto"/>
              <w:right w:val="single" w:sz="4" w:space="0" w:color="auto"/>
            </w:tcBorders>
            <w:vAlign w:val="center"/>
          </w:tcPr>
          <w:p w14:paraId="1A9ECFDB" w14:textId="77777777" w:rsidR="002F04AC" w:rsidRPr="00B162C2" w:rsidRDefault="002F04AC" w:rsidP="00646F4E">
            <w:pPr>
              <w:pStyle w:val="TableText"/>
            </w:pPr>
            <w:r w:rsidRPr="00B162C2">
              <w:t>CHAMPION-MG (N = 175)</w:t>
            </w:r>
          </w:p>
        </w:tc>
        <w:tc>
          <w:tcPr>
            <w:tcW w:w="892" w:type="pct"/>
            <w:tcBorders>
              <w:top w:val="single" w:sz="4" w:space="0" w:color="auto"/>
              <w:left w:val="single" w:sz="4" w:space="0" w:color="auto"/>
              <w:bottom w:val="single" w:sz="4" w:space="0" w:color="auto"/>
              <w:right w:val="single" w:sz="4" w:space="0" w:color="auto"/>
            </w:tcBorders>
            <w:vAlign w:val="center"/>
          </w:tcPr>
          <w:p w14:paraId="5998BB1B" w14:textId="77777777" w:rsidR="002F04AC" w:rsidRPr="00B162C2" w:rsidRDefault="002F04AC" w:rsidP="00646F4E">
            <w:pPr>
              <w:pStyle w:val="TableText"/>
              <w:jc w:val="center"/>
            </w:pPr>
            <w:r w:rsidRPr="00B162C2">
              <w:t>-</w:t>
            </w:r>
          </w:p>
        </w:tc>
        <w:tc>
          <w:tcPr>
            <w:tcW w:w="892" w:type="pct"/>
            <w:tcBorders>
              <w:top w:val="single" w:sz="4" w:space="0" w:color="auto"/>
              <w:left w:val="single" w:sz="4" w:space="0" w:color="auto"/>
              <w:bottom w:val="single" w:sz="4" w:space="0" w:color="auto"/>
              <w:right w:val="single" w:sz="4" w:space="0" w:color="auto"/>
            </w:tcBorders>
            <w:vAlign w:val="center"/>
          </w:tcPr>
          <w:p w14:paraId="534EDDA3" w14:textId="77777777" w:rsidR="002F04AC" w:rsidRPr="00B162C2" w:rsidRDefault="002F04AC" w:rsidP="00646F4E">
            <w:pPr>
              <w:pStyle w:val="TableText"/>
              <w:jc w:val="center"/>
            </w:pPr>
            <w:r w:rsidRPr="00B162C2">
              <w:t>-0.8 (0.45)</w:t>
            </w:r>
          </w:p>
        </w:tc>
        <w:tc>
          <w:tcPr>
            <w:tcW w:w="892" w:type="pct"/>
            <w:tcBorders>
              <w:top w:val="single" w:sz="4" w:space="0" w:color="auto"/>
              <w:left w:val="single" w:sz="4" w:space="0" w:color="auto"/>
              <w:bottom w:val="single" w:sz="4" w:space="0" w:color="auto"/>
              <w:right w:val="single" w:sz="4" w:space="0" w:color="auto"/>
            </w:tcBorders>
            <w:vAlign w:val="center"/>
          </w:tcPr>
          <w:p w14:paraId="1399A676" w14:textId="77777777" w:rsidR="002F04AC" w:rsidRPr="00B162C2" w:rsidRDefault="002F04AC" w:rsidP="00646F4E">
            <w:pPr>
              <w:pStyle w:val="TableText"/>
              <w:jc w:val="center"/>
            </w:pPr>
            <w:r w:rsidRPr="00B162C2">
              <w:t>-2.8 (0.46)</w:t>
            </w:r>
          </w:p>
        </w:tc>
        <w:tc>
          <w:tcPr>
            <w:tcW w:w="1054" w:type="pct"/>
            <w:tcBorders>
              <w:top w:val="single" w:sz="4" w:space="0" w:color="auto"/>
              <w:left w:val="single" w:sz="4" w:space="0" w:color="auto"/>
              <w:bottom w:val="single" w:sz="4" w:space="0" w:color="auto"/>
              <w:right w:val="single" w:sz="4" w:space="0" w:color="auto"/>
            </w:tcBorders>
            <w:vAlign w:val="center"/>
          </w:tcPr>
          <w:p w14:paraId="0893B418" w14:textId="77777777" w:rsidR="002F04AC" w:rsidRPr="00B162C2" w:rsidRDefault="002F04AC" w:rsidP="00646F4E">
            <w:pPr>
              <w:pStyle w:val="TableText"/>
              <w:jc w:val="center"/>
            </w:pPr>
            <w:r w:rsidRPr="00B162C2">
              <w:t>-2.0 (-3.2, -0.8)</w:t>
            </w:r>
          </w:p>
        </w:tc>
      </w:tr>
      <w:tr w:rsidR="002F04AC" w:rsidRPr="00B162C2" w14:paraId="4F44BF24" w14:textId="77777777" w:rsidTr="00BE10F4">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14:paraId="6E63A880" w14:textId="77777777" w:rsidR="002F04AC" w:rsidRPr="00B162C2" w:rsidRDefault="002F04AC" w:rsidP="00646F4E">
            <w:pPr>
              <w:pStyle w:val="TableText"/>
              <w:jc w:val="right"/>
            </w:pPr>
            <w:r w:rsidRPr="00B162C2">
              <w:t>Indirect analysis of zilucoplan vs. ravulizumab (results &lt; 0 favour zilucoplan)</w:t>
            </w:r>
          </w:p>
        </w:tc>
        <w:tc>
          <w:tcPr>
            <w:tcW w:w="1054" w:type="pct"/>
            <w:tcBorders>
              <w:top w:val="single" w:sz="4" w:space="0" w:color="auto"/>
              <w:left w:val="single" w:sz="4" w:space="0" w:color="auto"/>
              <w:bottom w:val="single" w:sz="4" w:space="0" w:color="auto"/>
              <w:right w:val="single" w:sz="4" w:space="0" w:color="auto"/>
            </w:tcBorders>
            <w:vAlign w:val="center"/>
          </w:tcPr>
          <w:p w14:paraId="00441776" w14:textId="77777777" w:rsidR="002F04AC" w:rsidRPr="00B162C2" w:rsidRDefault="002F04AC" w:rsidP="00646F4E">
            <w:pPr>
              <w:pStyle w:val="TableText"/>
              <w:jc w:val="center"/>
            </w:pPr>
            <w:r w:rsidRPr="00B162C2">
              <w:t>-0.94 (-2.82, 0.94)</w:t>
            </w:r>
          </w:p>
        </w:tc>
      </w:tr>
      <w:tr w:rsidR="002F04AC" w:rsidRPr="00B162C2" w14:paraId="17491A5C" w14:textId="77777777" w:rsidTr="00BE10F4">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B65A78A" w14:textId="77777777" w:rsidR="002F04AC" w:rsidRPr="00B162C2" w:rsidRDefault="002F04AC" w:rsidP="00646F4E">
            <w:pPr>
              <w:pStyle w:val="TableText"/>
              <w:rPr>
                <w:b/>
              </w:rPr>
            </w:pPr>
            <w:r w:rsidRPr="00B162C2">
              <w:rPr>
                <w:b/>
              </w:rPr>
              <w:t xml:space="preserve">LS mean change (SE) in MG-QoL15r score from baseline </w:t>
            </w:r>
          </w:p>
          <w:p w14:paraId="25D92ABB" w14:textId="77777777" w:rsidR="002F04AC" w:rsidRPr="00B162C2" w:rsidRDefault="002F04AC" w:rsidP="00646F4E">
            <w:pPr>
              <w:pStyle w:val="TableText"/>
              <w:rPr>
                <w:b/>
              </w:rPr>
            </w:pPr>
            <w:r w:rsidRPr="00B162C2">
              <w:rPr>
                <w:b/>
              </w:rPr>
              <w:t>(12 week data from RAISE vs. 26 week data from CHAMPION-MG)</w:t>
            </w:r>
          </w:p>
        </w:tc>
      </w:tr>
      <w:tr w:rsidR="002F04AC" w:rsidRPr="00B162C2" w14:paraId="183FE54B" w14:textId="77777777" w:rsidTr="00BE10F4">
        <w:trPr>
          <w:trHeight w:val="70"/>
        </w:trPr>
        <w:tc>
          <w:tcPr>
            <w:tcW w:w="1270" w:type="pct"/>
            <w:tcBorders>
              <w:top w:val="single" w:sz="4" w:space="0" w:color="auto"/>
              <w:left w:val="single" w:sz="4" w:space="0" w:color="auto"/>
              <w:bottom w:val="single" w:sz="4" w:space="0" w:color="auto"/>
              <w:right w:val="single" w:sz="4" w:space="0" w:color="auto"/>
            </w:tcBorders>
            <w:vAlign w:val="center"/>
          </w:tcPr>
          <w:p w14:paraId="6A84E767" w14:textId="77777777" w:rsidR="002F04AC" w:rsidRPr="00B162C2" w:rsidRDefault="002F04AC" w:rsidP="00646F4E">
            <w:pPr>
              <w:pStyle w:val="TableText"/>
            </w:pPr>
            <w:r w:rsidRPr="00B162C2">
              <w:t>RAISE (N = 174)</w:t>
            </w:r>
          </w:p>
        </w:tc>
        <w:tc>
          <w:tcPr>
            <w:tcW w:w="892" w:type="pct"/>
            <w:tcBorders>
              <w:top w:val="single" w:sz="4" w:space="0" w:color="auto"/>
              <w:left w:val="single" w:sz="4" w:space="0" w:color="auto"/>
              <w:bottom w:val="single" w:sz="4" w:space="0" w:color="auto"/>
              <w:right w:val="single" w:sz="4" w:space="0" w:color="auto"/>
            </w:tcBorders>
            <w:vAlign w:val="center"/>
          </w:tcPr>
          <w:p w14:paraId="07AE4C2A" w14:textId="77777777" w:rsidR="002F04AC" w:rsidRPr="00B162C2" w:rsidRDefault="002F04AC" w:rsidP="00646F4E">
            <w:pPr>
              <w:pStyle w:val="TableText"/>
              <w:jc w:val="center"/>
            </w:pPr>
            <w:r w:rsidRPr="00B162C2">
              <w:t>-5.65 (0.77)</w:t>
            </w:r>
          </w:p>
        </w:tc>
        <w:tc>
          <w:tcPr>
            <w:tcW w:w="892" w:type="pct"/>
            <w:tcBorders>
              <w:top w:val="single" w:sz="4" w:space="0" w:color="auto"/>
              <w:left w:val="single" w:sz="4" w:space="0" w:color="auto"/>
              <w:bottom w:val="single" w:sz="4" w:space="0" w:color="auto"/>
              <w:right w:val="single" w:sz="4" w:space="0" w:color="auto"/>
            </w:tcBorders>
            <w:vAlign w:val="center"/>
          </w:tcPr>
          <w:p w14:paraId="44AC9065" w14:textId="77777777" w:rsidR="002F04AC" w:rsidRPr="00B162C2" w:rsidRDefault="002F04AC" w:rsidP="00646F4E">
            <w:pPr>
              <w:pStyle w:val="TableText"/>
              <w:jc w:val="center"/>
            </w:pPr>
            <w:r w:rsidRPr="00B162C2">
              <w:t>-3.16 (0.76)</w:t>
            </w:r>
          </w:p>
        </w:tc>
        <w:tc>
          <w:tcPr>
            <w:tcW w:w="892" w:type="pct"/>
            <w:tcBorders>
              <w:top w:val="single" w:sz="4" w:space="0" w:color="auto"/>
              <w:left w:val="single" w:sz="4" w:space="0" w:color="auto"/>
              <w:bottom w:val="single" w:sz="4" w:space="0" w:color="auto"/>
              <w:right w:val="single" w:sz="4" w:space="0" w:color="auto"/>
            </w:tcBorders>
            <w:vAlign w:val="center"/>
          </w:tcPr>
          <w:p w14:paraId="2B2C41D1" w14:textId="77777777" w:rsidR="002F04AC" w:rsidRPr="00B162C2" w:rsidRDefault="002F04AC" w:rsidP="00646F4E">
            <w:pPr>
              <w:pStyle w:val="TableText"/>
              <w:jc w:val="center"/>
            </w:pPr>
            <w:r w:rsidRPr="00B162C2">
              <w:t>-</w:t>
            </w:r>
          </w:p>
        </w:tc>
        <w:tc>
          <w:tcPr>
            <w:tcW w:w="1054" w:type="pct"/>
            <w:tcBorders>
              <w:top w:val="single" w:sz="4" w:space="0" w:color="auto"/>
              <w:left w:val="single" w:sz="4" w:space="0" w:color="auto"/>
              <w:bottom w:val="single" w:sz="4" w:space="0" w:color="auto"/>
              <w:right w:val="single" w:sz="4" w:space="0" w:color="auto"/>
            </w:tcBorders>
            <w:vAlign w:val="center"/>
          </w:tcPr>
          <w:p w14:paraId="5BE5C192" w14:textId="77777777" w:rsidR="002F04AC" w:rsidRPr="00B162C2" w:rsidRDefault="002F04AC" w:rsidP="00646F4E">
            <w:pPr>
              <w:pStyle w:val="TableText"/>
              <w:jc w:val="center"/>
            </w:pPr>
            <w:r w:rsidRPr="00B162C2">
              <w:t>-2.49 (-4.45, -0.54)</w:t>
            </w:r>
          </w:p>
        </w:tc>
      </w:tr>
      <w:tr w:rsidR="002F04AC" w:rsidRPr="00B162C2" w14:paraId="6CE3089B" w14:textId="77777777" w:rsidTr="00BE10F4">
        <w:trPr>
          <w:trHeight w:val="70"/>
        </w:trPr>
        <w:tc>
          <w:tcPr>
            <w:tcW w:w="1270" w:type="pct"/>
            <w:tcBorders>
              <w:top w:val="single" w:sz="4" w:space="0" w:color="auto"/>
              <w:left w:val="single" w:sz="4" w:space="0" w:color="auto"/>
              <w:bottom w:val="single" w:sz="4" w:space="0" w:color="auto"/>
              <w:right w:val="single" w:sz="4" w:space="0" w:color="auto"/>
            </w:tcBorders>
            <w:vAlign w:val="center"/>
          </w:tcPr>
          <w:p w14:paraId="664C2D42" w14:textId="77777777" w:rsidR="002F04AC" w:rsidRPr="00B162C2" w:rsidRDefault="002F04AC" w:rsidP="00646F4E">
            <w:pPr>
              <w:pStyle w:val="TableText"/>
            </w:pPr>
            <w:r w:rsidRPr="00B162C2">
              <w:t>CHAMPION-MG (N = 175)</w:t>
            </w:r>
          </w:p>
        </w:tc>
        <w:tc>
          <w:tcPr>
            <w:tcW w:w="892" w:type="pct"/>
            <w:tcBorders>
              <w:top w:val="single" w:sz="4" w:space="0" w:color="auto"/>
              <w:left w:val="single" w:sz="4" w:space="0" w:color="auto"/>
              <w:bottom w:val="single" w:sz="4" w:space="0" w:color="auto"/>
              <w:right w:val="single" w:sz="4" w:space="0" w:color="auto"/>
            </w:tcBorders>
            <w:vAlign w:val="center"/>
          </w:tcPr>
          <w:p w14:paraId="137133F7" w14:textId="77777777" w:rsidR="002F04AC" w:rsidRPr="00B162C2" w:rsidRDefault="002F04AC" w:rsidP="00646F4E">
            <w:pPr>
              <w:pStyle w:val="TableText"/>
              <w:jc w:val="center"/>
            </w:pPr>
            <w:r w:rsidRPr="00B162C2">
              <w:t>-</w:t>
            </w:r>
          </w:p>
        </w:tc>
        <w:tc>
          <w:tcPr>
            <w:tcW w:w="892" w:type="pct"/>
            <w:tcBorders>
              <w:top w:val="single" w:sz="4" w:space="0" w:color="auto"/>
              <w:left w:val="single" w:sz="4" w:space="0" w:color="auto"/>
              <w:bottom w:val="single" w:sz="4" w:space="0" w:color="auto"/>
              <w:right w:val="single" w:sz="4" w:space="0" w:color="auto"/>
            </w:tcBorders>
            <w:vAlign w:val="center"/>
          </w:tcPr>
          <w:p w14:paraId="78E34F49" w14:textId="77777777" w:rsidR="002F04AC" w:rsidRPr="00B162C2" w:rsidRDefault="002F04AC" w:rsidP="00646F4E">
            <w:pPr>
              <w:pStyle w:val="TableText"/>
              <w:jc w:val="center"/>
            </w:pPr>
            <w:r w:rsidRPr="00B162C2">
              <w:t>-1.6 (0.70)</w:t>
            </w:r>
          </w:p>
        </w:tc>
        <w:tc>
          <w:tcPr>
            <w:tcW w:w="892" w:type="pct"/>
            <w:tcBorders>
              <w:top w:val="single" w:sz="4" w:space="0" w:color="auto"/>
              <w:left w:val="single" w:sz="4" w:space="0" w:color="auto"/>
              <w:bottom w:val="single" w:sz="4" w:space="0" w:color="auto"/>
              <w:right w:val="single" w:sz="4" w:space="0" w:color="auto"/>
            </w:tcBorders>
            <w:vAlign w:val="center"/>
          </w:tcPr>
          <w:p w14:paraId="4365AB71" w14:textId="77777777" w:rsidR="002F04AC" w:rsidRPr="00B162C2" w:rsidRDefault="002F04AC" w:rsidP="00646F4E">
            <w:pPr>
              <w:pStyle w:val="TableText"/>
              <w:jc w:val="center"/>
            </w:pPr>
            <w:r w:rsidRPr="00B162C2">
              <w:t>-3.3 (0.71)</w:t>
            </w:r>
          </w:p>
        </w:tc>
        <w:tc>
          <w:tcPr>
            <w:tcW w:w="1054" w:type="pct"/>
            <w:tcBorders>
              <w:top w:val="single" w:sz="4" w:space="0" w:color="auto"/>
              <w:left w:val="single" w:sz="4" w:space="0" w:color="auto"/>
              <w:bottom w:val="single" w:sz="4" w:space="0" w:color="auto"/>
              <w:right w:val="single" w:sz="4" w:space="0" w:color="auto"/>
            </w:tcBorders>
            <w:vAlign w:val="center"/>
          </w:tcPr>
          <w:p w14:paraId="2E6ED4B6" w14:textId="77777777" w:rsidR="002F04AC" w:rsidRPr="00B162C2" w:rsidRDefault="002F04AC" w:rsidP="00646F4E">
            <w:pPr>
              <w:pStyle w:val="TableText"/>
              <w:jc w:val="center"/>
            </w:pPr>
            <w:r w:rsidRPr="00B162C2">
              <w:t>-1.7 (-3.4, 0.1)</w:t>
            </w:r>
          </w:p>
        </w:tc>
      </w:tr>
      <w:tr w:rsidR="002F04AC" w:rsidRPr="00B162C2" w14:paraId="55D7DD3F" w14:textId="77777777" w:rsidTr="00BE10F4">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14:paraId="5CCE0EE1" w14:textId="77777777" w:rsidR="002F04AC" w:rsidRPr="00B162C2" w:rsidRDefault="002F04AC" w:rsidP="00646F4E">
            <w:pPr>
              <w:pStyle w:val="TableText"/>
              <w:jc w:val="right"/>
            </w:pPr>
            <w:r w:rsidRPr="00B162C2">
              <w:t>Indirect analysis of zilucoplan vs. ravulizumab (results &lt; 0 favour zilucoplan)</w:t>
            </w:r>
          </w:p>
        </w:tc>
        <w:tc>
          <w:tcPr>
            <w:tcW w:w="1054" w:type="pct"/>
            <w:tcBorders>
              <w:top w:val="single" w:sz="4" w:space="0" w:color="auto"/>
              <w:left w:val="single" w:sz="4" w:space="0" w:color="auto"/>
              <w:bottom w:val="single" w:sz="4" w:space="0" w:color="auto"/>
              <w:right w:val="single" w:sz="4" w:space="0" w:color="auto"/>
            </w:tcBorders>
            <w:vAlign w:val="center"/>
          </w:tcPr>
          <w:p w14:paraId="681DAF38" w14:textId="77777777" w:rsidR="002F04AC" w:rsidRPr="00B162C2" w:rsidRDefault="002F04AC" w:rsidP="00646F4E">
            <w:pPr>
              <w:pStyle w:val="TableText"/>
              <w:jc w:val="center"/>
            </w:pPr>
            <w:r w:rsidRPr="00B162C2">
              <w:t>-0.79 (-3.41, 1.83)</w:t>
            </w:r>
          </w:p>
        </w:tc>
      </w:tr>
      <w:tr w:rsidR="002F04AC" w:rsidRPr="00B162C2" w14:paraId="4F8C7A2A" w14:textId="77777777" w:rsidTr="00BE10F4">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54F94EC" w14:textId="77777777" w:rsidR="002F04AC" w:rsidRPr="00B162C2" w:rsidRDefault="002F04AC" w:rsidP="00646F4E">
            <w:pPr>
              <w:pStyle w:val="TableText"/>
              <w:rPr>
                <w:b/>
              </w:rPr>
            </w:pPr>
            <w:r w:rsidRPr="00B162C2">
              <w:rPr>
                <w:b/>
              </w:rPr>
              <w:t xml:space="preserve">Proportion of patients with 3-point reduction in MG-ADL score from baseline </w:t>
            </w:r>
          </w:p>
          <w:p w14:paraId="6911162C" w14:textId="77777777" w:rsidR="002F04AC" w:rsidRPr="00B162C2" w:rsidRDefault="002F04AC" w:rsidP="00646F4E">
            <w:pPr>
              <w:pStyle w:val="TableText"/>
              <w:rPr>
                <w:b/>
              </w:rPr>
            </w:pPr>
            <w:r w:rsidRPr="00B162C2">
              <w:rPr>
                <w:b/>
              </w:rPr>
              <w:t>(12 week data from RAISE vs. 26 week data from CHAMPION-MG)</w:t>
            </w:r>
          </w:p>
        </w:tc>
      </w:tr>
      <w:tr w:rsidR="002F04AC" w:rsidRPr="00B162C2" w14:paraId="7DC3ACD1" w14:textId="77777777" w:rsidTr="00BE10F4">
        <w:trPr>
          <w:trHeight w:val="70"/>
        </w:trPr>
        <w:tc>
          <w:tcPr>
            <w:tcW w:w="1270" w:type="pct"/>
            <w:tcBorders>
              <w:top w:val="single" w:sz="4" w:space="0" w:color="auto"/>
              <w:left w:val="single" w:sz="4" w:space="0" w:color="auto"/>
              <w:bottom w:val="single" w:sz="4" w:space="0" w:color="auto"/>
              <w:right w:val="single" w:sz="4" w:space="0" w:color="auto"/>
            </w:tcBorders>
            <w:vAlign w:val="center"/>
          </w:tcPr>
          <w:p w14:paraId="5B37717A" w14:textId="77777777" w:rsidR="002F04AC" w:rsidRPr="00B162C2" w:rsidRDefault="002F04AC" w:rsidP="00646F4E">
            <w:pPr>
              <w:pStyle w:val="TableText"/>
            </w:pPr>
            <w:r w:rsidRPr="00B162C2">
              <w:t>RAISE (N = 174)</w:t>
            </w:r>
          </w:p>
        </w:tc>
        <w:tc>
          <w:tcPr>
            <w:tcW w:w="892" w:type="pct"/>
            <w:tcBorders>
              <w:top w:val="single" w:sz="4" w:space="0" w:color="auto"/>
              <w:left w:val="single" w:sz="4" w:space="0" w:color="auto"/>
              <w:bottom w:val="single" w:sz="4" w:space="0" w:color="auto"/>
              <w:right w:val="single" w:sz="4" w:space="0" w:color="auto"/>
            </w:tcBorders>
            <w:vAlign w:val="center"/>
          </w:tcPr>
          <w:p w14:paraId="79093573" w14:textId="77777777" w:rsidR="002F04AC" w:rsidRPr="00B162C2" w:rsidRDefault="002F04AC" w:rsidP="00646F4E">
            <w:pPr>
              <w:pStyle w:val="TableText"/>
              <w:jc w:val="center"/>
            </w:pPr>
            <w:r w:rsidRPr="00B162C2">
              <w:t>63/86 (73.1%)</w:t>
            </w:r>
          </w:p>
        </w:tc>
        <w:tc>
          <w:tcPr>
            <w:tcW w:w="892" w:type="pct"/>
            <w:tcBorders>
              <w:top w:val="single" w:sz="4" w:space="0" w:color="auto"/>
              <w:left w:val="single" w:sz="4" w:space="0" w:color="auto"/>
              <w:bottom w:val="single" w:sz="4" w:space="0" w:color="auto"/>
              <w:right w:val="single" w:sz="4" w:space="0" w:color="auto"/>
            </w:tcBorders>
            <w:vAlign w:val="center"/>
          </w:tcPr>
          <w:p w14:paraId="71547EB3" w14:textId="77777777" w:rsidR="002F04AC" w:rsidRPr="00B162C2" w:rsidRDefault="002F04AC" w:rsidP="00646F4E">
            <w:pPr>
              <w:pStyle w:val="TableText"/>
              <w:jc w:val="center"/>
            </w:pPr>
            <w:r w:rsidRPr="00B162C2">
              <w:t>41/88 (46.1%)</w:t>
            </w:r>
          </w:p>
        </w:tc>
        <w:tc>
          <w:tcPr>
            <w:tcW w:w="892" w:type="pct"/>
            <w:tcBorders>
              <w:top w:val="single" w:sz="4" w:space="0" w:color="auto"/>
              <w:left w:val="single" w:sz="4" w:space="0" w:color="auto"/>
              <w:bottom w:val="single" w:sz="4" w:space="0" w:color="auto"/>
              <w:right w:val="single" w:sz="4" w:space="0" w:color="auto"/>
            </w:tcBorders>
            <w:vAlign w:val="center"/>
          </w:tcPr>
          <w:p w14:paraId="518D9808" w14:textId="77777777" w:rsidR="002F04AC" w:rsidRPr="00B162C2" w:rsidRDefault="002F04AC" w:rsidP="00646F4E">
            <w:pPr>
              <w:pStyle w:val="TableText"/>
              <w:jc w:val="center"/>
            </w:pPr>
            <w:r w:rsidRPr="00B162C2">
              <w:t>-</w:t>
            </w:r>
          </w:p>
        </w:tc>
        <w:tc>
          <w:tcPr>
            <w:tcW w:w="1054" w:type="pct"/>
            <w:tcBorders>
              <w:top w:val="single" w:sz="4" w:space="0" w:color="auto"/>
              <w:left w:val="single" w:sz="4" w:space="0" w:color="auto"/>
              <w:bottom w:val="single" w:sz="4" w:space="0" w:color="auto"/>
              <w:right w:val="single" w:sz="4" w:space="0" w:color="auto"/>
            </w:tcBorders>
            <w:vAlign w:val="center"/>
          </w:tcPr>
          <w:p w14:paraId="400E4040" w14:textId="77777777" w:rsidR="002F04AC" w:rsidRPr="00B162C2" w:rsidRDefault="002F04AC" w:rsidP="00646F4E">
            <w:pPr>
              <w:pStyle w:val="TableText"/>
              <w:jc w:val="center"/>
            </w:pPr>
            <w:r w:rsidRPr="00B162C2">
              <w:t>OR 3.14 (1.66, 5.93)</w:t>
            </w:r>
          </w:p>
        </w:tc>
      </w:tr>
      <w:tr w:rsidR="002F04AC" w:rsidRPr="00B162C2" w14:paraId="67C9F1ED" w14:textId="77777777" w:rsidTr="00BE10F4">
        <w:trPr>
          <w:trHeight w:val="70"/>
        </w:trPr>
        <w:tc>
          <w:tcPr>
            <w:tcW w:w="1270" w:type="pct"/>
            <w:tcBorders>
              <w:top w:val="single" w:sz="4" w:space="0" w:color="auto"/>
              <w:left w:val="single" w:sz="4" w:space="0" w:color="auto"/>
              <w:bottom w:val="single" w:sz="4" w:space="0" w:color="auto"/>
              <w:right w:val="single" w:sz="4" w:space="0" w:color="auto"/>
            </w:tcBorders>
            <w:vAlign w:val="center"/>
          </w:tcPr>
          <w:p w14:paraId="56C9B866" w14:textId="77777777" w:rsidR="002F04AC" w:rsidRPr="00B162C2" w:rsidRDefault="002F04AC" w:rsidP="00646F4E">
            <w:pPr>
              <w:pStyle w:val="TableText"/>
            </w:pPr>
            <w:r w:rsidRPr="00B162C2">
              <w:t>CHAMPION-MG (N = 175)</w:t>
            </w:r>
          </w:p>
        </w:tc>
        <w:tc>
          <w:tcPr>
            <w:tcW w:w="892" w:type="pct"/>
            <w:tcBorders>
              <w:top w:val="single" w:sz="4" w:space="0" w:color="auto"/>
              <w:left w:val="single" w:sz="4" w:space="0" w:color="auto"/>
              <w:bottom w:val="single" w:sz="4" w:space="0" w:color="auto"/>
              <w:right w:val="single" w:sz="4" w:space="0" w:color="auto"/>
            </w:tcBorders>
            <w:vAlign w:val="center"/>
          </w:tcPr>
          <w:p w14:paraId="13B3FF3E" w14:textId="77777777" w:rsidR="002F04AC" w:rsidRPr="00B162C2" w:rsidRDefault="002F04AC" w:rsidP="00646F4E">
            <w:pPr>
              <w:pStyle w:val="TableText"/>
              <w:jc w:val="center"/>
            </w:pPr>
            <w:r w:rsidRPr="00B162C2">
              <w:t>-</w:t>
            </w:r>
          </w:p>
        </w:tc>
        <w:tc>
          <w:tcPr>
            <w:tcW w:w="892" w:type="pct"/>
            <w:tcBorders>
              <w:top w:val="single" w:sz="4" w:space="0" w:color="auto"/>
              <w:left w:val="single" w:sz="4" w:space="0" w:color="auto"/>
              <w:bottom w:val="single" w:sz="4" w:space="0" w:color="auto"/>
              <w:right w:val="single" w:sz="4" w:space="0" w:color="auto"/>
            </w:tcBorders>
            <w:vAlign w:val="center"/>
          </w:tcPr>
          <w:p w14:paraId="7B53AD5C" w14:textId="77777777" w:rsidR="002F04AC" w:rsidRPr="00B162C2" w:rsidRDefault="002F04AC" w:rsidP="00646F4E">
            <w:pPr>
              <w:pStyle w:val="TableText"/>
              <w:jc w:val="center"/>
            </w:pPr>
            <w:r w:rsidRPr="00B162C2">
              <w:t>30/82 (36.6%)</w:t>
            </w:r>
          </w:p>
        </w:tc>
        <w:tc>
          <w:tcPr>
            <w:tcW w:w="892" w:type="pct"/>
            <w:tcBorders>
              <w:top w:val="single" w:sz="4" w:space="0" w:color="auto"/>
              <w:left w:val="single" w:sz="4" w:space="0" w:color="auto"/>
              <w:bottom w:val="single" w:sz="4" w:space="0" w:color="auto"/>
              <w:right w:val="single" w:sz="4" w:space="0" w:color="auto"/>
            </w:tcBorders>
            <w:vAlign w:val="center"/>
          </w:tcPr>
          <w:p w14:paraId="542E9955" w14:textId="77777777" w:rsidR="002F04AC" w:rsidRPr="00B162C2" w:rsidRDefault="002F04AC" w:rsidP="00646F4E">
            <w:pPr>
              <w:pStyle w:val="TableText"/>
              <w:jc w:val="center"/>
            </w:pPr>
            <w:r w:rsidRPr="00B162C2">
              <w:t>47/78 (60.3%)</w:t>
            </w:r>
          </w:p>
        </w:tc>
        <w:tc>
          <w:tcPr>
            <w:tcW w:w="1054" w:type="pct"/>
            <w:tcBorders>
              <w:top w:val="single" w:sz="4" w:space="0" w:color="auto"/>
              <w:left w:val="single" w:sz="4" w:space="0" w:color="auto"/>
              <w:bottom w:val="single" w:sz="4" w:space="0" w:color="auto"/>
              <w:right w:val="single" w:sz="4" w:space="0" w:color="auto"/>
            </w:tcBorders>
            <w:vAlign w:val="center"/>
          </w:tcPr>
          <w:p w14:paraId="1ABD35E9" w14:textId="77777777" w:rsidR="002F04AC" w:rsidRPr="00B162C2" w:rsidRDefault="002F04AC" w:rsidP="00646F4E">
            <w:pPr>
              <w:pStyle w:val="TableText"/>
              <w:jc w:val="center"/>
            </w:pPr>
            <w:r w:rsidRPr="00B162C2">
              <w:t>OR 2.63 (1.39, 4.98)</w:t>
            </w:r>
          </w:p>
        </w:tc>
      </w:tr>
      <w:tr w:rsidR="002F04AC" w:rsidRPr="00B162C2" w14:paraId="29CE721A" w14:textId="77777777" w:rsidTr="00BE10F4">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14:paraId="4952F979" w14:textId="77777777" w:rsidR="002F04AC" w:rsidRPr="00B162C2" w:rsidRDefault="002F04AC" w:rsidP="00646F4E">
            <w:pPr>
              <w:pStyle w:val="TableText"/>
              <w:jc w:val="right"/>
            </w:pPr>
            <w:r w:rsidRPr="00B162C2">
              <w:t>Indirect analysis of zilucoplan vs. ravulizumab (results &gt; 1 favour zilucoplan)</w:t>
            </w:r>
          </w:p>
        </w:tc>
        <w:tc>
          <w:tcPr>
            <w:tcW w:w="1054" w:type="pct"/>
            <w:tcBorders>
              <w:top w:val="single" w:sz="4" w:space="0" w:color="auto"/>
              <w:left w:val="single" w:sz="4" w:space="0" w:color="auto"/>
              <w:bottom w:val="single" w:sz="4" w:space="0" w:color="auto"/>
              <w:right w:val="single" w:sz="4" w:space="0" w:color="auto"/>
            </w:tcBorders>
            <w:vAlign w:val="center"/>
          </w:tcPr>
          <w:p w14:paraId="0F3971C6" w14:textId="77777777" w:rsidR="002F04AC" w:rsidRPr="00B162C2" w:rsidRDefault="002F04AC" w:rsidP="00646F4E">
            <w:pPr>
              <w:pStyle w:val="TableText"/>
              <w:jc w:val="center"/>
            </w:pPr>
            <w:r w:rsidRPr="00B162C2">
              <w:t>OR 1.19 (0.48, 2.94)</w:t>
            </w:r>
          </w:p>
        </w:tc>
      </w:tr>
      <w:tr w:rsidR="002F04AC" w:rsidRPr="00B162C2" w14:paraId="2046691E" w14:textId="77777777" w:rsidTr="00BE10F4">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FFC199F" w14:textId="77777777" w:rsidR="002F04AC" w:rsidRPr="00B162C2" w:rsidRDefault="002F04AC" w:rsidP="00646F4E">
            <w:pPr>
              <w:pStyle w:val="TableText"/>
              <w:rPr>
                <w:b/>
              </w:rPr>
            </w:pPr>
            <w:r w:rsidRPr="00B162C2">
              <w:rPr>
                <w:b/>
              </w:rPr>
              <w:t xml:space="preserve">Proportion of patients with 5-point reduction in QMG score from baseline </w:t>
            </w:r>
          </w:p>
          <w:p w14:paraId="356FE239" w14:textId="77777777" w:rsidR="002F04AC" w:rsidRPr="00B162C2" w:rsidRDefault="002F04AC" w:rsidP="00646F4E">
            <w:pPr>
              <w:pStyle w:val="TableText"/>
              <w:rPr>
                <w:b/>
              </w:rPr>
            </w:pPr>
            <w:r w:rsidRPr="00B162C2">
              <w:rPr>
                <w:b/>
              </w:rPr>
              <w:t>(12 week data from RAISE vs. 26 week data from CHAMPION-MG)</w:t>
            </w:r>
          </w:p>
        </w:tc>
      </w:tr>
      <w:tr w:rsidR="002F04AC" w:rsidRPr="00B162C2" w14:paraId="671477BE" w14:textId="77777777" w:rsidTr="00BE10F4">
        <w:trPr>
          <w:trHeight w:val="70"/>
        </w:trPr>
        <w:tc>
          <w:tcPr>
            <w:tcW w:w="1270" w:type="pct"/>
            <w:tcBorders>
              <w:top w:val="single" w:sz="4" w:space="0" w:color="auto"/>
              <w:left w:val="single" w:sz="4" w:space="0" w:color="auto"/>
              <w:bottom w:val="single" w:sz="4" w:space="0" w:color="auto"/>
              <w:right w:val="single" w:sz="4" w:space="0" w:color="auto"/>
            </w:tcBorders>
            <w:vAlign w:val="center"/>
          </w:tcPr>
          <w:p w14:paraId="483B7785" w14:textId="77777777" w:rsidR="002F04AC" w:rsidRPr="00B162C2" w:rsidRDefault="002F04AC" w:rsidP="00646F4E">
            <w:pPr>
              <w:pStyle w:val="TableText"/>
            </w:pPr>
            <w:r w:rsidRPr="00B162C2">
              <w:t>RAISE (N = 174)</w:t>
            </w:r>
          </w:p>
        </w:tc>
        <w:tc>
          <w:tcPr>
            <w:tcW w:w="892" w:type="pct"/>
            <w:tcBorders>
              <w:top w:val="single" w:sz="4" w:space="0" w:color="auto"/>
              <w:left w:val="single" w:sz="4" w:space="0" w:color="auto"/>
              <w:bottom w:val="single" w:sz="4" w:space="0" w:color="auto"/>
              <w:right w:val="single" w:sz="4" w:space="0" w:color="auto"/>
            </w:tcBorders>
            <w:vAlign w:val="center"/>
          </w:tcPr>
          <w:p w14:paraId="2C64F811" w14:textId="77777777" w:rsidR="002F04AC" w:rsidRPr="00B162C2" w:rsidRDefault="002F04AC" w:rsidP="00646F4E">
            <w:pPr>
              <w:pStyle w:val="TableText"/>
              <w:jc w:val="center"/>
            </w:pPr>
            <w:r w:rsidRPr="00B162C2">
              <w:t>50/86 (58.0%)</w:t>
            </w:r>
          </w:p>
        </w:tc>
        <w:tc>
          <w:tcPr>
            <w:tcW w:w="892" w:type="pct"/>
            <w:tcBorders>
              <w:top w:val="single" w:sz="4" w:space="0" w:color="auto"/>
              <w:left w:val="single" w:sz="4" w:space="0" w:color="auto"/>
              <w:bottom w:val="single" w:sz="4" w:space="0" w:color="auto"/>
              <w:right w:val="single" w:sz="4" w:space="0" w:color="auto"/>
            </w:tcBorders>
            <w:vAlign w:val="center"/>
          </w:tcPr>
          <w:p w14:paraId="388D7A58" w14:textId="77777777" w:rsidR="002F04AC" w:rsidRPr="00B162C2" w:rsidRDefault="002F04AC" w:rsidP="00646F4E">
            <w:pPr>
              <w:pStyle w:val="TableText"/>
              <w:jc w:val="center"/>
            </w:pPr>
            <w:r w:rsidRPr="00B162C2">
              <w:t>29/88 (33.0%)</w:t>
            </w:r>
          </w:p>
        </w:tc>
        <w:tc>
          <w:tcPr>
            <w:tcW w:w="892" w:type="pct"/>
            <w:tcBorders>
              <w:top w:val="single" w:sz="4" w:space="0" w:color="auto"/>
              <w:left w:val="single" w:sz="4" w:space="0" w:color="auto"/>
              <w:bottom w:val="single" w:sz="4" w:space="0" w:color="auto"/>
              <w:right w:val="single" w:sz="4" w:space="0" w:color="auto"/>
            </w:tcBorders>
            <w:vAlign w:val="center"/>
          </w:tcPr>
          <w:p w14:paraId="269B5777" w14:textId="77777777" w:rsidR="002F04AC" w:rsidRPr="00B162C2" w:rsidRDefault="002F04AC" w:rsidP="00646F4E">
            <w:pPr>
              <w:pStyle w:val="TableText"/>
              <w:jc w:val="center"/>
            </w:pPr>
            <w:r w:rsidRPr="00B162C2">
              <w:t>-</w:t>
            </w:r>
          </w:p>
        </w:tc>
        <w:tc>
          <w:tcPr>
            <w:tcW w:w="1054" w:type="pct"/>
            <w:tcBorders>
              <w:top w:val="single" w:sz="4" w:space="0" w:color="auto"/>
              <w:left w:val="single" w:sz="4" w:space="0" w:color="auto"/>
              <w:bottom w:val="single" w:sz="4" w:space="0" w:color="auto"/>
              <w:right w:val="single" w:sz="4" w:space="0" w:color="auto"/>
            </w:tcBorders>
            <w:vAlign w:val="center"/>
          </w:tcPr>
          <w:p w14:paraId="30772D60" w14:textId="77777777" w:rsidR="002F04AC" w:rsidRPr="00B162C2" w:rsidRDefault="002F04AC" w:rsidP="00646F4E">
            <w:pPr>
              <w:pStyle w:val="TableText"/>
              <w:jc w:val="center"/>
            </w:pPr>
            <w:r w:rsidRPr="00B162C2">
              <w:t>OR 2.83 (1.52, 5.24)</w:t>
            </w:r>
          </w:p>
        </w:tc>
      </w:tr>
      <w:tr w:rsidR="002F04AC" w:rsidRPr="00B162C2" w14:paraId="4221197C" w14:textId="77777777" w:rsidTr="00BE10F4">
        <w:trPr>
          <w:trHeight w:val="70"/>
        </w:trPr>
        <w:tc>
          <w:tcPr>
            <w:tcW w:w="1270" w:type="pct"/>
            <w:tcBorders>
              <w:top w:val="single" w:sz="4" w:space="0" w:color="auto"/>
              <w:left w:val="single" w:sz="4" w:space="0" w:color="auto"/>
              <w:bottom w:val="single" w:sz="4" w:space="0" w:color="auto"/>
              <w:right w:val="single" w:sz="4" w:space="0" w:color="auto"/>
            </w:tcBorders>
            <w:vAlign w:val="center"/>
          </w:tcPr>
          <w:p w14:paraId="174292E3" w14:textId="77777777" w:rsidR="002F04AC" w:rsidRPr="00B162C2" w:rsidRDefault="002F04AC" w:rsidP="00646F4E">
            <w:pPr>
              <w:pStyle w:val="TableText"/>
            </w:pPr>
            <w:r w:rsidRPr="00B162C2">
              <w:t>CHAMPION-MG (N = 175)</w:t>
            </w:r>
          </w:p>
        </w:tc>
        <w:tc>
          <w:tcPr>
            <w:tcW w:w="892" w:type="pct"/>
            <w:tcBorders>
              <w:top w:val="single" w:sz="4" w:space="0" w:color="auto"/>
              <w:left w:val="single" w:sz="4" w:space="0" w:color="auto"/>
              <w:bottom w:val="single" w:sz="4" w:space="0" w:color="auto"/>
              <w:right w:val="single" w:sz="4" w:space="0" w:color="auto"/>
            </w:tcBorders>
            <w:vAlign w:val="center"/>
          </w:tcPr>
          <w:p w14:paraId="7009C04A" w14:textId="77777777" w:rsidR="002F04AC" w:rsidRPr="00B162C2" w:rsidRDefault="002F04AC" w:rsidP="00646F4E">
            <w:pPr>
              <w:pStyle w:val="TableText"/>
              <w:jc w:val="center"/>
            </w:pPr>
            <w:r w:rsidRPr="00B162C2">
              <w:t>-</w:t>
            </w:r>
          </w:p>
        </w:tc>
        <w:tc>
          <w:tcPr>
            <w:tcW w:w="892" w:type="pct"/>
            <w:tcBorders>
              <w:top w:val="single" w:sz="4" w:space="0" w:color="auto"/>
              <w:left w:val="single" w:sz="4" w:space="0" w:color="auto"/>
              <w:bottom w:val="single" w:sz="4" w:space="0" w:color="auto"/>
              <w:right w:val="single" w:sz="4" w:space="0" w:color="auto"/>
            </w:tcBorders>
            <w:vAlign w:val="center"/>
          </w:tcPr>
          <w:p w14:paraId="4122CF11" w14:textId="77777777" w:rsidR="002F04AC" w:rsidRPr="00B162C2" w:rsidRDefault="002F04AC" w:rsidP="00646F4E">
            <w:pPr>
              <w:pStyle w:val="TableText"/>
              <w:jc w:val="center"/>
            </w:pPr>
            <w:r w:rsidRPr="00B162C2">
              <w:t>10/78 (12.8%)</w:t>
            </w:r>
          </w:p>
        </w:tc>
        <w:tc>
          <w:tcPr>
            <w:tcW w:w="892" w:type="pct"/>
            <w:tcBorders>
              <w:top w:val="single" w:sz="4" w:space="0" w:color="auto"/>
              <w:left w:val="single" w:sz="4" w:space="0" w:color="auto"/>
              <w:bottom w:val="single" w:sz="4" w:space="0" w:color="auto"/>
              <w:right w:val="single" w:sz="4" w:space="0" w:color="auto"/>
            </w:tcBorders>
            <w:vAlign w:val="center"/>
          </w:tcPr>
          <w:p w14:paraId="6F6EA680" w14:textId="77777777" w:rsidR="002F04AC" w:rsidRPr="00B162C2" w:rsidRDefault="002F04AC" w:rsidP="00646F4E">
            <w:pPr>
              <w:pStyle w:val="TableText"/>
              <w:jc w:val="center"/>
            </w:pPr>
            <w:r w:rsidRPr="00B162C2">
              <w:t>27/76 (35.5%)</w:t>
            </w:r>
          </w:p>
        </w:tc>
        <w:tc>
          <w:tcPr>
            <w:tcW w:w="1054" w:type="pct"/>
            <w:tcBorders>
              <w:top w:val="single" w:sz="4" w:space="0" w:color="auto"/>
              <w:left w:val="single" w:sz="4" w:space="0" w:color="auto"/>
              <w:bottom w:val="single" w:sz="4" w:space="0" w:color="auto"/>
              <w:right w:val="single" w:sz="4" w:space="0" w:color="auto"/>
            </w:tcBorders>
            <w:vAlign w:val="center"/>
          </w:tcPr>
          <w:p w14:paraId="02F668DA" w14:textId="77777777" w:rsidR="002F04AC" w:rsidRPr="00B162C2" w:rsidRDefault="002F04AC" w:rsidP="00646F4E">
            <w:pPr>
              <w:pStyle w:val="TableText"/>
              <w:jc w:val="center"/>
            </w:pPr>
            <w:r w:rsidRPr="00B162C2">
              <w:t>OR 3.75 (1.66, 8.45)</w:t>
            </w:r>
          </w:p>
        </w:tc>
      </w:tr>
      <w:tr w:rsidR="002F04AC" w:rsidRPr="00B162C2" w14:paraId="35C8B192" w14:textId="77777777" w:rsidTr="00BE10F4">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14:paraId="0ADB7CEC" w14:textId="77777777" w:rsidR="002F04AC" w:rsidRPr="00B162C2" w:rsidRDefault="002F04AC" w:rsidP="00646F4E">
            <w:pPr>
              <w:pStyle w:val="TableText"/>
              <w:jc w:val="right"/>
            </w:pPr>
            <w:r w:rsidRPr="00B162C2">
              <w:t>Indirect analysis of zilucoplan vs. ravulizumab (results &gt; 1 favour zilucoplan)</w:t>
            </w:r>
          </w:p>
        </w:tc>
        <w:tc>
          <w:tcPr>
            <w:tcW w:w="1054" w:type="pct"/>
            <w:tcBorders>
              <w:top w:val="single" w:sz="4" w:space="0" w:color="auto"/>
              <w:left w:val="single" w:sz="4" w:space="0" w:color="auto"/>
              <w:bottom w:val="single" w:sz="4" w:space="0" w:color="auto"/>
              <w:right w:val="single" w:sz="4" w:space="0" w:color="auto"/>
            </w:tcBorders>
            <w:vAlign w:val="center"/>
          </w:tcPr>
          <w:p w14:paraId="2154302B" w14:textId="77777777" w:rsidR="002F04AC" w:rsidRPr="00B162C2" w:rsidRDefault="002F04AC" w:rsidP="00646F4E">
            <w:pPr>
              <w:pStyle w:val="TableText"/>
              <w:jc w:val="center"/>
            </w:pPr>
            <w:r w:rsidRPr="00B162C2">
              <w:t>OR 0.75 (0.27, 2.10)</w:t>
            </w:r>
          </w:p>
        </w:tc>
      </w:tr>
    </w:tbl>
    <w:p w14:paraId="6F51009C" w14:textId="77777777" w:rsidR="002F04AC" w:rsidRPr="00B162C2" w:rsidRDefault="002F04AC" w:rsidP="00646F4E">
      <w:pPr>
        <w:pStyle w:val="TableFigureFooter"/>
        <w:keepNext/>
      </w:pPr>
      <w:r w:rsidRPr="00B162C2">
        <w:t>Source: Table 2.6-2, p38; Table 2.6-3, p39; Table 2.6-4, p40; Table 2.6-5, p42 in Appendix 8 of the submission</w:t>
      </w:r>
    </w:p>
    <w:p w14:paraId="6FE01E29" w14:textId="0E47A8E4" w:rsidR="002F04AC" w:rsidRPr="00B162C2" w:rsidRDefault="002F04AC" w:rsidP="002F04AC">
      <w:pPr>
        <w:pStyle w:val="TableFigureFooter"/>
      </w:pPr>
      <w:r w:rsidRPr="00B162C2">
        <w:t xml:space="preserve">Abbreviations: CI, confidence interval; LS, least squares; MG-ADL, Myasthenia Gravis Activities of Daily Living; MG-QoL15r, revised Myasthenia Gravis Quality of Life; OR, odds ratio; QMG, Quantitative Myasthenia Gravis score; SE, standard error </w:t>
      </w:r>
    </w:p>
    <w:p w14:paraId="38BBA78E" w14:textId="09A84B6E" w:rsidR="005561C5" w:rsidRPr="00906ED7" w:rsidRDefault="005561C5" w:rsidP="00646F4E">
      <w:pPr>
        <w:pStyle w:val="3-BodyText"/>
      </w:pPr>
      <w:r w:rsidRPr="007F52A5">
        <w:t xml:space="preserve">Based on the indirect analysis, there were no statistically significant differences in functional outcomes with zilucoplan and ravulizumab. However, there were wide confidence intervals around the indirect estimates of effect and the </w:t>
      </w:r>
      <w:r w:rsidR="00803057" w:rsidRPr="007F52A5">
        <w:t>evaluation,</w:t>
      </w:r>
      <w:r w:rsidR="007B3108" w:rsidRPr="007F52A5">
        <w:t xml:space="preserve"> and the ESC considered that the </w:t>
      </w:r>
      <w:r w:rsidRPr="007F52A5">
        <w:t>potential for clinically important differences between treatments cannot be excluded</w:t>
      </w:r>
      <w:r w:rsidRPr="00906ED7">
        <w:t>.</w:t>
      </w:r>
    </w:p>
    <w:p w14:paraId="0D81A904" w14:textId="04B7659D" w:rsidR="000336DE" w:rsidRPr="00646F4E" w:rsidRDefault="000336DE" w:rsidP="00646F4E">
      <w:pPr>
        <w:pStyle w:val="5-SubsectionSubheading"/>
        <w:spacing w:before="0" w:after="120"/>
        <w:rPr>
          <w:i/>
          <w:iCs/>
        </w:rPr>
      </w:pPr>
      <w:r w:rsidRPr="00646F4E">
        <w:rPr>
          <w:i/>
          <w:iCs/>
        </w:rPr>
        <w:t>Network meta-analysis</w:t>
      </w:r>
    </w:p>
    <w:p w14:paraId="4CFE4301" w14:textId="323B0C03" w:rsidR="005561C5" w:rsidRPr="00906ED7" w:rsidRDefault="005561C5" w:rsidP="00646F4E">
      <w:pPr>
        <w:pStyle w:val="3-BodyText"/>
      </w:pPr>
      <w:r w:rsidRPr="00906ED7">
        <w:t xml:space="preserve">During the evaluation, a recently published network meta-analysis (Sacca 2023) was identified which compared zilucoplan with ravulizumab, eculizumab, efgartigimod, rozanolixizumab and rituximab for the treatment of myasthenia gravis. </w:t>
      </w:r>
    </w:p>
    <w:p w14:paraId="515D5541" w14:textId="37524E4F" w:rsidR="005561C5" w:rsidRPr="00906ED7" w:rsidRDefault="005561C5" w:rsidP="00646F4E">
      <w:pPr>
        <w:pStyle w:val="3-BodyText"/>
      </w:pPr>
      <w:r w:rsidRPr="00906ED7">
        <w:t xml:space="preserve">The complement inhibitor trials (ravulizumab, eculizumab, zilucoplan) generally used similar study designs although there were some differences between trials in baseline disease severity, background therapies and trial durations. However, transitivity between complement inhibitor trials and the other trials was less clear, with major differences in study designs and patient populations. </w:t>
      </w:r>
      <w:proofErr w:type="gramStart"/>
      <w:r w:rsidRPr="00906ED7">
        <w:t>In particular, neonatal</w:t>
      </w:r>
      <w:proofErr w:type="gramEnd"/>
      <w:r w:rsidRPr="00906ED7">
        <w:t xml:space="preserve"> Fc receptor blockers (efgartigimod, rozanolixizumab) are administered as cyclical therapies with on/off treatment periods</w:t>
      </w:r>
      <w:r w:rsidR="00F115C5" w:rsidRPr="00906ED7">
        <w:t>;</w:t>
      </w:r>
      <w:r w:rsidRPr="00906ED7">
        <w:t xml:space="preserve"> however</w:t>
      </w:r>
      <w:r w:rsidR="00F115C5" w:rsidRPr="00906ED7">
        <w:t>,</w:t>
      </w:r>
      <w:r w:rsidRPr="00906ED7">
        <w:t xml:space="preserve"> treatment effects were assessed at their peak efficacy timepoint (4-6 weeks, at the end of a treatment cycle) which does not account for the gradual loss of effect over time in the off-treatment period. Additionally, the rituximab trials allowed for changes in background therapies over time (which is likely to impact the comparative efficacy of treatments) while trials of newer agents typically required patients to remain on stable background therapies.</w:t>
      </w:r>
    </w:p>
    <w:p w14:paraId="049C7AEE" w14:textId="0EE2380D" w:rsidR="005561C5" w:rsidRPr="00906ED7" w:rsidRDefault="005561C5" w:rsidP="00646F4E">
      <w:pPr>
        <w:pStyle w:val="3-BodyText"/>
      </w:pPr>
      <w:r w:rsidRPr="00906ED7">
        <w:t xml:space="preserve">A simple meta-analysis of trials within each drug class suggests that treatment effects were broadly similar between members of each drug class. The network meta-analysis suggested that </w:t>
      </w:r>
      <w:r w:rsidR="001D541F">
        <w:t>FcRn</w:t>
      </w:r>
      <w:r w:rsidRPr="00906ED7">
        <w:t xml:space="preserve"> receptor blockers may be slightly more effective than complement inhibitors, while rituximab was the least effective treatment for generalised myasthenia gravis. However, the results of the network meta-analysis should be interpreted with caution given that it is unclear whether trials were sufficiently similar to justify their use in a network meta-analysis.</w:t>
      </w:r>
    </w:p>
    <w:p w14:paraId="1452C351" w14:textId="43900FCE" w:rsidR="00B60939" w:rsidRPr="00B162C2" w:rsidRDefault="00B60939" w:rsidP="00646F4E">
      <w:pPr>
        <w:pStyle w:val="4-SubsectionHeading"/>
      </w:pPr>
      <w:bookmarkStart w:id="61" w:name="_Toc22897642"/>
      <w:bookmarkStart w:id="62" w:name="_Toc167199649"/>
      <w:r w:rsidRPr="00B162C2">
        <w:t>Comparative harms</w:t>
      </w:r>
      <w:bookmarkEnd w:id="61"/>
      <w:bookmarkEnd w:id="62"/>
    </w:p>
    <w:p w14:paraId="77CC12DA" w14:textId="3F77869B" w:rsidR="00D9463A" w:rsidRPr="00B162C2" w:rsidRDefault="00D9463A" w:rsidP="00646F4E">
      <w:pPr>
        <w:pStyle w:val="3-BodyText"/>
      </w:pPr>
      <w:r w:rsidRPr="00B162C2">
        <w:t xml:space="preserve">An overall summary of the adverse events reported in the RAISE trial is presented in </w:t>
      </w:r>
      <w:r w:rsidRPr="00B162C2">
        <w:fldChar w:fldCharType="begin" w:fldLock="1"/>
      </w:r>
      <w:r w:rsidRPr="00B162C2">
        <w:instrText xml:space="preserve"> REF _Ref164670383 \h </w:instrText>
      </w:r>
      <w:r w:rsidR="00646F4E">
        <w:instrText xml:space="preserve"> \* MERGEFORMAT </w:instrText>
      </w:r>
      <w:r w:rsidRPr="00B162C2">
        <w:fldChar w:fldCharType="separate"/>
      </w:r>
      <w:r w:rsidR="00FC355E" w:rsidRPr="00B162C2">
        <w:t xml:space="preserve">Table </w:t>
      </w:r>
      <w:r w:rsidR="00FC355E">
        <w:rPr>
          <w:noProof/>
        </w:rPr>
        <w:t>11</w:t>
      </w:r>
      <w:r w:rsidRPr="00B162C2">
        <w:fldChar w:fldCharType="end"/>
      </w:r>
      <w:r w:rsidRPr="00B162C2">
        <w:t>.</w:t>
      </w:r>
    </w:p>
    <w:p w14:paraId="51345C5A" w14:textId="14DB6B3E" w:rsidR="00D9463A" w:rsidRPr="00B162C2" w:rsidRDefault="00D9463A" w:rsidP="00646F4E">
      <w:pPr>
        <w:pStyle w:val="COMtablefigcaption"/>
      </w:pPr>
      <w:bookmarkStart w:id="63" w:name="_Ref164670383"/>
      <w:r w:rsidRPr="00B162C2">
        <w:t xml:space="preserve">Table </w:t>
      </w:r>
      <w:r w:rsidR="002F23E8">
        <w:fldChar w:fldCharType="begin" w:fldLock="1"/>
      </w:r>
      <w:r w:rsidR="002F23E8">
        <w:instrText xml:space="preserve"> SEQ Table \* ARABIC </w:instrText>
      </w:r>
      <w:r w:rsidR="002F23E8">
        <w:fldChar w:fldCharType="separate"/>
      </w:r>
      <w:r w:rsidR="00FC355E">
        <w:rPr>
          <w:noProof/>
        </w:rPr>
        <w:t>11</w:t>
      </w:r>
      <w:r w:rsidR="002F23E8">
        <w:rPr>
          <w:noProof/>
        </w:rPr>
        <w:fldChar w:fldCharType="end"/>
      </w:r>
      <w:bookmarkEnd w:id="63"/>
      <w:r w:rsidRPr="00B162C2">
        <w:t>: Summary of key adverse events in the RAISE trial</w:t>
      </w:r>
      <w:r w:rsidR="004419C0">
        <w:t xml:space="preserve"> after 12 weeks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Summary of key adverse events in the RAISE trial after 12 weeks"/>
      </w:tblPr>
      <w:tblGrid>
        <w:gridCol w:w="4167"/>
        <w:gridCol w:w="2425"/>
        <w:gridCol w:w="2425"/>
      </w:tblGrid>
      <w:tr w:rsidR="00D9463A" w:rsidRPr="00B162C2" w14:paraId="5A8F5311" w14:textId="77777777" w:rsidTr="00BE10F4">
        <w:trPr>
          <w:tblHeader/>
        </w:trPr>
        <w:tc>
          <w:tcPr>
            <w:tcW w:w="4167" w:type="dxa"/>
            <w:vAlign w:val="center"/>
          </w:tcPr>
          <w:p w14:paraId="60C7B665" w14:textId="77777777" w:rsidR="00D9463A" w:rsidRPr="00B162C2" w:rsidRDefault="00D9463A" w:rsidP="00646F4E">
            <w:pPr>
              <w:pStyle w:val="COMTableheadingrow"/>
              <w:rPr>
                <w:lang w:val="en-AU"/>
              </w:rPr>
            </w:pPr>
            <w:r w:rsidRPr="00B162C2">
              <w:rPr>
                <w:lang w:val="en-AU"/>
              </w:rPr>
              <w:t>Patients, n (%) [number of events]</w:t>
            </w:r>
          </w:p>
        </w:tc>
        <w:tc>
          <w:tcPr>
            <w:tcW w:w="2425" w:type="dxa"/>
            <w:vAlign w:val="center"/>
          </w:tcPr>
          <w:p w14:paraId="68AD2864" w14:textId="77777777" w:rsidR="00D9463A" w:rsidRPr="00B162C2" w:rsidRDefault="00D9463A" w:rsidP="00646F4E">
            <w:pPr>
              <w:pStyle w:val="TableText"/>
              <w:widowControl w:val="0"/>
              <w:jc w:val="center"/>
              <w:rPr>
                <w:b/>
              </w:rPr>
            </w:pPr>
            <w:r w:rsidRPr="00B162C2">
              <w:rPr>
                <w:b/>
              </w:rPr>
              <w:t>Zilucoplan</w:t>
            </w:r>
          </w:p>
          <w:p w14:paraId="55F36D27" w14:textId="77777777" w:rsidR="00D9463A" w:rsidRPr="00B162C2" w:rsidRDefault="00D9463A" w:rsidP="00646F4E">
            <w:pPr>
              <w:pStyle w:val="COMTableheadingrow"/>
              <w:jc w:val="center"/>
              <w:rPr>
                <w:lang w:val="en-AU"/>
              </w:rPr>
            </w:pPr>
            <w:r w:rsidRPr="00B162C2">
              <w:rPr>
                <w:lang w:val="en-AU"/>
              </w:rPr>
              <w:t>N = 86</w:t>
            </w:r>
          </w:p>
        </w:tc>
        <w:tc>
          <w:tcPr>
            <w:tcW w:w="2425" w:type="dxa"/>
            <w:vAlign w:val="center"/>
          </w:tcPr>
          <w:p w14:paraId="76AF4F6D" w14:textId="77777777" w:rsidR="00D9463A" w:rsidRPr="00B162C2" w:rsidRDefault="00D9463A" w:rsidP="00646F4E">
            <w:pPr>
              <w:pStyle w:val="TableText"/>
              <w:widowControl w:val="0"/>
              <w:jc w:val="center"/>
              <w:rPr>
                <w:b/>
              </w:rPr>
            </w:pPr>
            <w:r w:rsidRPr="00B162C2">
              <w:rPr>
                <w:b/>
              </w:rPr>
              <w:t>Placebo</w:t>
            </w:r>
          </w:p>
          <w:p w14:paraId="3E86F5C5" w14:textId="77777777" w:rsidR="00D9463A" w:rsidRPr="00B162C2" w:rsidRDefault="00D9463A" w:rsidP="00646F4E">
            <w:pPr>
              <w:pStyle w:val="COMTableheadingrow"/>
              <w:jc w:val="center"/>
              <w:rPr>
                <w:lang w:val="en-AU"/>
              </w:rPr>
            </w:pPr>
            <w:r w:rsidRPr="00B162C2">
              <w:rPr>
                <w:lang w:val="en-AU"/>
              </w:rPr>
              <w:t>N = 88</w:t>
            </w:r>
          </w:p>
        </w:tc>
      </w:tr>
      <w:tr w:rsidR="00D9463A" w:rsidRPr="00B162C2" w14:paraId="24561BED" w14:textId="77777777" w:rsidTr="00BE10F4">
        <w:tc>
          <w:tcPr>
            <w:tcW w:w="4167" w:type="dxa"/>
            <w:vAlign w:val="center"/>
          </w:tcPr>
          <w:p w14:paraId="47729E79" w14:textId="77777777" w:rsidR="00D9463A" w:rsidRPr="00B162C2" w:rsidRDefault="00D9463A" w:rsidP="00646F4E">
            <w:pPr>
              <w:pStyle w:val="COMTabletext"/>
            </w:pPr>
            <w:r w:rsidRPr="00B162C2">
              <w:t>Any adverse event</w:t>
            </w:r>
          </w:p>
        </w:tc>
        <w:tc>
          <w:tcPr>
            <w:tcW w:w="2425" w:type="dxa"/>
            <w:vAlign w:val="center"/>
          </w:tcPr>
          <w:p w14:paraId="133665FF" w14:textId="77777777" w:rsidR="00D9463A" w:rsidRPr="00B162C2" w:rsidRDefault="00D9463A" w:rsidP="00646F4E">
            <w:pPr>
              <w:pStyle w:val="COMTabletext"/>
              <w:jc w:val="center"/>
            </w:pPr>
            <w:r w:rsidRPr="00B162C2">
              <w:t>66 (76.7%) [291 events]</w:t>
            </w:r>
          </w:p>
        </w:tc>
        <w:tc>
          <w:tcPr>
            <w:tcW w:w="2425" w:type="dxa"/>
            <w:vAlign w:val="center"/>
          </w:tcPr>
          <w:p w14:paraId="28F3998A" w14:textId="77777777" w:rsidR="00D9463A" w:rsidRPr="00B162C2" w:rsidRDefault="00D9463A" w:rsidP="00646F4E">
            <w:pPr>
              <w:pStyle w:val="COMTabletext"/>
              <w:jc w:val="center"/>
            </w:pPr>
            <w:r w:rsidRPr="00B162C2">
              <w:t>62 (70.5%) [222 events]</w:t>
            </w:r>
          </w:p>
        </w:tc>
      </w:tr>
      <w:tr w:rsidR="00D9463A" w:rsidRPr="00B162C2" w14:paraId="071E5DD2" w14:textId="77777777" w:rsidTr="00BE10F4">
        <w:tc>
          <w:tcPr>
            <w:tcW w:w="4167" w:type="dxa"/>
            <w:vAlign w:val="center"/>
          </w:tcPr>
          <w:p w14:paraId="167A0FF1" w14:textId="77777777" w:rsidR="00D9463A" w:rsidRPr="00B162C2" w:rsidRDefault="00D9463A" w:rsidP="00646F4E">
            <w:pPr>
              <w:pStyle w:val="COMTabletext"/>
            </w:pPr>
            <w:r w:rsidRPr="00B162C2">
              <w:t>Treatment-related adverse event</w:t>
            </w:r>
          </w:p>
        </w:tc>
        <w:tc>
          <w:tcPr>
            <w:tcW w:w="2425" w:type="dxa"/>
            <w:vAlign w:val="center"/>
          </w:tcPr>
          <w:p w14:paraId="63C256E8" w14:textId="77777777" w:rsidR="00D9463A" w:rsidRPr="00B162C2" w:rsidRDefault="00D9463A" w:rsidP="00646F4E">
            <w:pPr>
              <w:pStyle w:val="COMTabletext"/>
              <w:jc w:val="center"/>
            </w:pPr>
            <w:r w:rsidRPr="00B162C2">
              <w:t>28 (32.6%) [55 events]</w:t>
            </w:r>
          </w:p>
        </w:tc>
        <w:tc>
          <w:tcPr>
            <w:tcW w:w="2425" w:type="dxa"/>
            <w:vAlign w:val="center"/>
          </w:tcPr>
          <w:p w14:paraId="318CF1A0" w14:textId="77777777" w:rsidR="00D9463A" w:rsidRPr="00B162C2" w:rsidRDefault="00D9463A" w:rsidP="00646F4E">
            <w:pPr>
              <w:pStyle w:val="COMTabletext"/>
              <w:jc w:val="center"/>
            </w:pPr>
            <w:r w:rsidRPr="00B162C2">
              <w:t>22 (25.0%) [34 events]</w:t>
            </w:r>
          </w:p>
        </w:tc>
      </w:tr>
      <w:tr w:rsidR="00D9463A" w:rsidRPr="00B162C2" w14:paraId="55218400" w14:textId="77777777" w:rsidTr="00BE10F4">
        <w:tc>
          <w:tcPr>
            <w:tcW w:w="4167" w:type="dxa"/>
            <w:vAlign w:val="center"/>
          </w:tcPr>
          <w:p w14:paraId="3301FAD6" w14:textId="77777777" w:rsidR="00D9463A" w:rsidRPr="00B162C2" w:rsidRDefault="00D9463A" w:rsidP="00646F4E">
            <w:pPr>
              <w:pStyle w:val="COMTabletext"/>
            </w:pPr>
            <w:r w:rsidRPr="00B162C2">
              <w:t>Serious adverse event</w:t>
            </w:r>
          </w:p>
        </w:tc>
        <w:tc>
          <w:tcPr>
            <w:tcW w:w="2425" w:type="dxa"/>
            <w:vAlign w:val="center"/>
          </w:tcPr>
          <w:p w14:paraId="6E00AA66" w14:textId="77777777" w:rsidR="00D9463A" w:rsidRPr="00B162C2" w:rsidRDefault="00D9463A" w:rsidP="00646F4E">
            <w:pPr>
              <w:pStyle w:val="COMTabletext"/>
              <w:jc w:val="center"/>
            </w:pPr>
            <w:r w:rsidRPr="00B162C2">
              <w:t>11 (12.8%) [15 events]</w:t>
            </w:r>
          </w:p>
        </w:tc>
        <w:tc>
          <w:tcPr>
            <w:tcW w:w="2425" w:type="dxa"/>
            <w:vAlign w:val="center"/>
          </w:tcPr>
          <w:p w14:paraId="2A95EFE9" w14:textId="77777777" w:rsidR="00D9463A" w:rsidRPr="00B162C2" w:rsidRDefault="00D9463A" w:rsidP="00646F4E">
            <w:pPr>
              <w:pStyle w:val="COMTabletext"/>
              <w:jc w:val="center"/>
            </w:pPr>
            <w:r w:rsidRPr="00B162C2">
              <w:t>13 (14.8%) [18 events]</w:t>
            </w:r>
          </w:p>
        </w:tc>
      </w:tr>
      <w:tr w:rsidR="00D9463A" w:rsidRPr="00B162C2" w14:paraId="36D93A12" w14:textId="77777777" w:rsidTr="00BE10F4">
        <w:tc>
          <w:tcPr>
            <w:tcW w:w="4167" w:type="dxa"/>
            <w:vAlign w:val="center"/>
          </w:tcPr>
          <w:p w14:paraId="01D1E359" w14:textId="77777777" w:rsidR="00D9463A" w:rsidRPr="00B162C2" w:rsidRDefault="00D9463A" w:rsidP="00646F4E">
            <w:pPr>
              <w:pStyle w:val="COMTabletext"/>
            </w:pPr>
            <w:r w:rsidRPr="00B162C2">
              <w:t>Adverse events leading to treatment discontinuation</w:t>
            </w:r>
          </w:p>
        </w:tc>
        <w:tc>
          <w:tcPr>
            <w:tcW w:w="2425" w:type="dxa"/>
            <w:vAlign w:val="center"/>
          </w:tcPr>
          <w:p w14:paraId="6C0B7DA9" w14:textId="77777777" w:rsidR="00D9463A" w:rsidRPr="00B162C2" w:rsidRDefault="00D9463A" w:rsidP="00646F4E">
            <w:pPr>
              <w:pStyle w:val="COMTabletext"/>
              <w:jc w:val="center"/>
            </w:pPr>
            <w:r w:rsidRPr="00B162C2">
              <w:t>4 (4.7%) [4 events]</w:t>
            </w:r>
          </w:p>
        </w:tc>
        <w:tc>
          <w:tcPr>
            <w:tcW w:w="2425" w:type="dxa"/>
            <w:vAlign w:val="center"/>
          </w:tcPr>
          <w:p w14:paraId="0FE09C4F" w14:textId="77777777" w:rsidR="00D9463A" w:rsidRPr="00B162C2" w:rsidRDefault="00D9463A" w:rsidP="00646F4E">
            <w:pPr>
              <w:pStyle w:val="COMTabletext"/>
              <w:jc w:val="center"/>
            </w:pPr>
            <w:r w:rsidRPr="00B162C2">
              <w:t>2 (2.3%) [2 events]</w:t>
            </w:r>
          </w:p>
        </w:tc>
      </w:tr>
      <w:tr w:rsidR="00D9463A" w:rsidRPr="00B162C2" w14:paraId="394163A0" w14:textId="77777777" w:rsidTr="00BE10F4">
        <w:tc>
          <w:tcPr>
            <w:tcW w:w="4167" w:type="dxa"/>
            <w:vAlign w:val="center"/>
          </w:tcPr>
          <w:p w14:paraId="4695A74B" w14:textId="77777777" w:rsidR="00D9463A" w:rsidRPr="00B162C2" w:rsidRDefault="00D9463A" w:rsidP="00646F4E">
            <w:pPr>
              <w:pStyle w:val="COMTabletext"/>
            </w:pPr>
            <w:r w:rsidRPr="00B162C2">
              <w:t>Deaths</w:t>
            </w:r>
          </w:p>
        </w:tc>
        <w:tc>
          <w:tcPr>
            <w:tcW w:w="2425" w:type="dxa"/>
            <w:vAlign w:val="center"/>
          </w:tcPr>
          <w:p w14:paraId="763FD184" w14:textId="77777777" w:rsidR="00D9463A" w:rsidRPr="00B162C2" w:rsidRDefault="00D9463A" w:rsidP="00646F4E">
            <w:pPr>
              <w:pStyle w:val="COMTabletext"/>
              <w:jc w:val="center"/>
            </w:pPr>
            <w:r w:rsidRPr="00B162C2">
              <w:t>1 (1.2%)</w:t>
            </w:r>
          </w:p>
        </w:tc>
        <w:tc>
          <w:tcPr>
            <w:tcW w:w="2425" w:type="dxa"/>
            <w:vAlign w:val="center"/>
          </w:tcPr>
          <w:p w14:paraId="0955BD07" w14:textId="77777777" w:rsidR="00D9463A" w:rsidRPr="00B162C2" w:rsidRDefault="00D9463A" w:rsidP="00646F4E">
            <w:pPr>
              <w:pStyle w:val="COMTabletext"/>
              <w:jc w:val="center"/>
            </w:pPr>
            <w:r w:rsidRPr="00B162C2">
              <w:t>1 (1.1%)</w:t>
            </w:r>
          </w:p>
        </w:tc>
      </w:tr>
      <w:tr w:rsidR="00D9463A" w:rsidRPr="00B162C2" w14:paraId="04A5EAAD" w14:textId="77777777" w:rsidTr="00BE10F4">
        <w:tc>
          <w:tcPr>
            <w:tcW w:w="9017" w:type="dxa"/>
            <w:gridSpan w:val="3"/>
            <w:vAlign w:val="center"/>
          </w:tcPr>
          <w:p w14:paraId="1C97BFCD" w14:textId="77777777" w:rsidR="00D9463A" w:rsidRPr="00B162C2" w:rsidRDefault="00D9463A" w:rsidP="00646F4E">
            <w:pPr>
              <w:pStyle w:val="COMTableheadingrow"/>
              <w:rPr>
                <w:lang w:val="en-AU"/>
              </w:rPr>
            </w:pPr>
            <w:r w:rsidRPr="00B162C2">
              <w:rPr>
                <w:lang w:val="en-AU"/>
              </w:rPr>
              <w:t>Adverse events of special interest</w:t>
            </w:r>
          </w:p>
        </w:tc>
      </w:tr>
      <w:tr w:rsidR="00D9463A" w:rsidRPr="00B162C2" w14:paraId="56502E8F" w14:textId="77777777" w:rsidTr="00BE10F4">
        <w:tc>
          <w:tcPr>
            <w:tcW w:w="4167" w:type="dxa"/>
            <w:vAlign w:val="center"/>
          </w:tcPr>
          <w:p w14:paraId="6C28A219" w14:textId="77777777" w:rsidR="00D9463A" w:rsidRPr="00B162C2" w:rsidRDefault="00D9463A" w:rsidP="00646F4E">
            <w:pPr>
              <w:pStyle w:val="COMTabletext"/>
            </w:pPr>
            <w:r w:rsidRPr="00B162C2">
              <w:t>Infections</w:t>
            </w:r>
          </w:p>
        </w:tc>
        <w:tc>
          <w:tcPr>
            <w:tcW w:w="2425" w:type="dxa"/>
            <w:vAlign w:val="center"/>
          </w:tcPr>
          <w:p w14:paraId="6DDF7C36" w14:textId="77777777" w:rsidR="00D9463A" w:rsidRPr="00B162C2" w:rsidRDefault="00D9463A" w:rsidP="00646F4E">
            <w:pPr>
              <w:pStyle w:val="COMTabletext"/>
              <w:jc w:val="center"/>
            </w:pPr>
            <w:r w:rsidRPr="00B162C2">
              <w:t>23 (26.7%)</w:t>
            </w:r>
          </w:p>
        </w:tc>
        <w:tc>
          <w:tcPr>
            <w:tcW w:w="2425" w:type="dxa"/>
            <w:vAlign w:val="center"/>
          </w:tcPr>
          <w:p w14:paraId="31AD0972" w14:textId="77777777" w:rsidR="00D9463A" w:rsidRPr="00B162C2" w:rsidRDefault="00D9463A" w:rsidP="00646F4E">
            <w:pPr>
              <w:pStyle w:val="COMTabletext"/>
              <w:jc w:val="center"/>
            </w:pPr>
            <w:r w:rsidRPr="00B162C2">
              <w:t>16 (18.2%)</w:t>
            </w:r>
          </w:p>
        </w:tc>
      </w:tr>
      <w:tr w:rsidR="00D9463A" w:rsidRPr="00B162C2" w14:paraId="25B52EB9" w14:textId="77777777" w:rsidTr="00BE10F4">
        <w:tc>
          <w:tcPr>
            <w:tcW w:w="4167" w:type="dxa"/>
            <w:vAlign w:val="center"/>
          </w:tcPr>
          <w:p w14:paraId="5D16FD1D" w14:textId="77777777" w:rsidR="00D9463A" w:rsidRPr="00B162C2" w:rsidRDefault="00D9463A" w:rsidP="00646F4E">
            <w:pPr>
              <w:pStyle w:val="COMTabletext"/>
            </w:pPr>
            <w:r w:rsidRPr="00B162C2">
              <w:t>Malignancies</w:t>
            </w:r>
          </w:p>
        </w:tc>
        <w:tc>
          <w:tcPr>
            <w:tcW w:w="2425" w:type="dxa"/>
            <w:vAlign w:val="center"/>
          </w:tcPr>
          <w:p w14:paraId="55F92138" w14:textId="77777777" w:rsidR="00D9463A" w:rsidRPr="00B162C2" w:rsidRDefault="00D9463A" w:rsidP="00646F4E">
            <w:pPr>
              <w:pStyle w:val="COMTabletext"/>
              <w:jc w:val="center"/>
            </w:pPr>
            <w:r w:rsidRPr="00B162C2">
              <w:t>1 (1.2%)</w:t>
            </w:r>
          </w:p>
        </w:tc>
        <w:tc>
          <w:tcPr>
            <w:tcW w:w="2425" w:type="dxa"/>
            <w:vAlign w:val="center"/>
          </w:tcPr>
          <w:p w14:paraId="517C3975" w14:textId="77777777" w:rsidR="00D9463A" w:rsidRPr="00B162C2" w:rsidRDefault="00D9463A" w:rsidP="00646F4E">
            <w:pPr>
              <w:pStyle w:val="COMTabletext"/>
              <w:jc w:val="center"/>
            </w:pPr>
            <w:r w:rsidRPr="00B162C2">
              <w:t>1 (1.1%)</w:t>
            </w:r>
          </w:p>
        </w:tc>
      </w:tr>
      <w:tr w:rsidR="00D9463A" w:rsidRPr="00B162C2" w14:paraId="309740AB" w14:textId="77777777" w:rsidTr="00BE10F4">
        <w:tc>
          <w:tcPr>
            <w:tcW w:w="4167" w:type="dxa"/>
            <w:vAlign w:val="center"/>
          </w:tcPr>
          <w:p w14:paraId="32CE344B" w14:textId="77777777" w:rsidR="00D9463A" w:rsidRPr="00B162C2" w:rsidRDefault="00D9463A" w:rsidP="00646F4E">
            <w:pPr>
              <w:pStyle w:val="COMTabletext"/>
            </w:pPr>
            <w:r w:rsidRPr="00B162C2">
              <w:t>Hypersensitivity</w:t>
            </w:r>
          </w:p>
        </w:tc>
        <w:tc>
          <w:tcPr>
            <w:tcW w:w="2425" w:type="dxa"/>
            <w:vAlign w:val="center"/>
          </w:tcPr>
          <w:p w14:paraId="2BB8E6DB" w14:textId="77777777" w:rsidR="00D9463A" w:rsidRPr="00B162C2" w:rsidRDefault="00D9463A" w:rsidP="00646F4E">
            <w:pPr>
              <w:pStyle w:val="COMTabletext"/>
              <w:jc w:val="center"/>
            </w:pPr>
            <w:r w:rsidRPr="00B162C2">
              <w:t>8 (9.3%)</w:t>
            </w:r>
          </w:p>
        </w:tc>
        <w:tc>
          <w:tcPr>
            <w:tcW w:w="2425" w:type="dxa"/>
            <w:vAlign w:val="center"/>
          </w:tcPr>
          <w:p w14:paraId="6F7D2F94" w14:textId="77777777" w:rsidR="00D9463A" w:rsidRPr="00B162C2" w:rsidRDefault="00D9463A" w:rsidP="00646F4E">
            <w:pPr>
              <w:pStyle w:val="COMTabletext"/>
              <w:jc w:val="center"/>
            </w:pPr>
            <w:r w:rsidRPr="00B162C2">
              <w:t>8 (9.1%)</w:t>
            </w:r>
          </w:p>
        </w:tc>
      </w:tr>
      <w:tr w:rsidR="00D9463A" w:rsidRPr="00B162C2" w14:paraId="6ABD13E4" w14:textId="77777777" w:rsidTr="00BE10F4">
        <w:tc>
          <w:tcPr>
            <w:tcW w:w="4167" w:type="dxa"/>
            <w:vAlign w:val="center"/>
          </w:tcPr>
          <w:p w14:paraId="3598BC5C" w14:textId="77777777" w:rsidR="00D9463A" w:rsidRPr="00B162C2" w:rsidRDefault="00D9463A" w:rsidP="00646F4E">
            <w:pPr>
              <w:pStyle w:val="COMTabletext"/>
            </w:pPr>
            <w:r w:rsidRPr="00B162C2">
              <w:t>Injection site reactions</w:t>
            </w:r>
          </w:p>
        </w:tc>
        <w:tc>
          <w:tcPr>
            <w:tcW w:w="2425" w:type="dxa"/>
            <w:vAlign w:val="center"/>
          </w:tcPr>
          <w:p w14:paraId="3F7EDFE7" w14:textId="77777777" w:rsidR="00D9463A" w:rsidRPr="00B162C2" w:rsidRDefault="00D9463A" w:rsidP="00646F4E">
            <w:pPr>
              <w:pStyle w:val="COMTabletext"/>
              <w:jc w:val="center"/>
            </w:pPr>
            <w:r w:rsidRPr="00B162C2">
              <w:t>23 (26.7%)</w:t>
            </w:r>
          </w:p>
        </w:tc>
        <w:tc>
          <w:tcPr>
            <w:tcW w:w="2425" w:type="dxa"/>
            <w:vAlign w:val="center"/>
          </w:tcPr>
          <w:p w14:paraId="01606987" w14:textId="77777777" w:rsidR="00D9463A" w:rsidRPr="00B162C2" w:rsidRDefault="00D9463A" w:rsidP="00646F4E">
            <w:pPr>
              <w:pStyle w:val="COMTabletext"/>
              <w:jc w:val="center"/>
            </w:pPr>
            <w:r w:rsidRPr="00B162C2">
              <w:t>13 (14.8%)</w:t>
            </w:r>
          </w:p>
        </w:tc>
      </w:tr>
      <w:tr w:rsidR="00D9463A" w:rsidRPr="00B162C2" w14:paraId="0BE81F45" w14:textId="77777777" w:rsidTr="00BE10F4">
        <w:tc>
          <w:tcPr>
            <w:tcW w:w="4167" w:type="dxa"/>
            <w:vAlign w:val="center"/>
          </w:tcPr>
          <w:p w14:paraId="72B10657" w14:textId="77777777" w:rsidR="00D9463A" w:rsidRPr="00B162C2" w:rsidRDefault="00D9463A" w:rsidP="00646F4E">
            <w:pPr>
              <w:pStyle w:val="COMTabletext"/>
            </w:pPr>
            <w:r w:rsidRPr="00B162C2">
              <w:t>Hepatic events</w:t>
            </w:r>
          </w:p>
        </w:tc>
        <w:tc>
          <w:tcPr>
            <w:tcW w:w="2425" w:type="dxa"/>
            <w:vAlign w:val="center"/>
          </w:tcPr>
          <w:p w14:paraId="0C4D2E38" w14:textId="77777777" w:rsidR="00D9463A" w:rsidRPr="00B162C2" w:rsidRDefault="00D9463A" w:rsidP="00646F4E">
            <w:pPr>
              <w:pStyle w:val="COMTabletext"/>
              <w:jc w:val="center"/>
            </w:pPr>
            <w:r w:rsidRPr="00B162C2">
              <w:t>3 (3.5%)</w:t>
            </w:r>
          </w:p>
        </w:tc>
        <w:tc>
          <w:tcPr>
            <w:tcW w:w="2425" w:type="dxa"/>
            <w:vAlign w:val="center"/>
          </w:tcPr>
          <w:p w14:paraId="07F2E281" w14:textId="77777777" w:rsidR="00D9463A" w:rsidRPr="00B162C2" w:rsidRDefault="00D9463A" w:rsidP="00646F4E">
            <w:pPr>
              <w:pStyle w:val="COMTabletext"/>
              <w:jc w:val="center"/>
            </w:pPr>
            <w:r w:rsidRPr="00B162C2">
              <w:t>1 (1.1%)</w:t>
            </w:r>
          </w:p>
        </w:tc>
      </w:tr>
    </w:tbl>
    <w:p w14:paraId="4B576C99" w14:textId="7BA556E6" w:rsidR="00D9463A" w:rsidRPr="00B162C2" w:rsidRDefault="00D9463A" w:rsidP="00D9463A">
      <w:pPr>
        <w:pStyle w:val="TableFigureFooter"/>
      </w:pPr>
      <w:r w:rsidRPr="00B162C2">
        <w:t>Source: Table 2.5-11, p91 of the submission; Table 9-2, p193; Table 14.3.14.1, pp1884-1902 of the RAISE trial report</w:t>
      </w:r>
    </w:p>
    <w:p w14:paraId="50548016" w14:textId="77777777" w:rsidR="00064058" w:rsidRPr="00B162C2" w:rsidRDefault="00064058" w:rsidP="00646F4E">
      <w:pPr>
        <w:pStyle w:val="3-BodyText"/>
      </w:pPr>
      <w:r w:rsidRPr="00B162C2">
        <w:t>All patients in the RAISE trial received a meningococcal vaccination before commencing study drug treatment and no meningococcal infections were reported during the trial.</w:t>
      </w:r>
    </w:p>
    <w:p w14:paraId="1A894EAB" w14:textId="56BF7B4F" w:rsidR="00064058" w:rsidRPr="00B162C2" w:rsidRDefault="00064058" w:rsidP="00646F4E">
      <w:pPr>
        <w:pStyle w:val="3-BodyText"/>
      </w:pPr>
      <w:r w:rsidRPr="00B162C2">
        <w:t>The most frequently reported adverse events (&gt; 5% of patients) in either treatment arm were injection site reactions, headache, myasthenia gravis worsening, upper respiratory tract infections, urinary tract infections, diarrhoea, nausea and vomiting, rash, skin injuries, and digestive enzyme investigations.</w:t>
      </w:r>
    </w:p>
    <w:p w14:paraId="13E293CE" w14:textId="6941BAE1" w:rsidR="00064058" w:rsidRPr="00B162C2" w:rsidRDefault="00064058" w:rsidP="00646F4E">
      <w:pPr>
        <w:pStyle w:val="3-BodyText"/>
      </w:pPr>
      <w:r w:rsidRPr="00B162C2">
        <w:t xml:space="preserve">Treatment with zilucoplan was associated with a higher rate of any adverse event and treatment-related adverse events compared to placebo. This difference was primarily due to an increase in mild-to-moderate injection site reactions. </w:t>
      </w:r>
      <w:proofErr w:type="gramStart"/>
      <w:r w:rsidR="00C053E7" w:rsidRPr="00B162C2">
        <w:t>In regard to</w:t>
      </w:r>
      <w:proofErr w:type="gramEnd"/>
      <w:r w:rsidRPr="00B162C2">
        <w:t xml:space="preserve"> adverse events of special interest, zilucoplan was associated with an increase incidence of non-serious infections and injection-site reactions.</w:t>
      </w:r>
    </w:p>
    <w:p w14:paraId="74D57B6C" w14:textId="24D7CFE2" w:rsidR="00064058" w:rsidRPr="00906ED7" w:rsidRDefault="00064058" w:rsidP="00646F4E">
      <w:pPr>
        <w:pStyle w:val="3-BodyText"/>
      </w:pPr>
      <w:r w:rsidRPr="00906ED7">
        <w:t>The interim analysis of the RAISE open-label extension study (mean exposure 2.</w:t>
      </w:r>
      <w:r w:rsidR="00D838FA" w:rsidRPr="00906ED7">
        <w:t>1</w:t>
      </w:r>
      <w:r w:rsidR="00D838FA">
        <w:t> </w:t>
      </w:r>
      <w:r w:rsidRPr="00906ED7">
        <w:t>years) was suggestive of declining adverse event rates over time and did not identify any additional safety concerns with zilucoplan treatment.</w:t>
      </w:r>
    </w:p>
    <w:p w14:paraId="2E9A34F2" w14:textId="0A7CC32F" w:rsidR="00064058" w:rsidRDefault="00064058" w:rsidP="00646F4E">
      <w:pPr>
        <w:pStyle w:val="3-BodyText"/>
      </w:pPr>
      <w:r w:rsidRPr="00906ED7">
        <w:t>During the evaluation, the sponsor provided the Developmental Safety Update Report (November 2022 to November 2023) for zilucoplan. There were no important identified risks associated with zilucoplan</w:t>
      </w:r>
      <w:r w:rsidR="00F115C5" w:rsidRPr="00906ED7">
        <w:t>;</w:t>
      </w:r>
      <w:r w:rsidRPr="00906ED7">
        <w:t xml:space="preserve"> however</w:t>
      </w:r>
      <w:r w:rsidR="00F115C5" w:rsidRPr="00906ED7">
        <w:t>,</w:t>
      </w:r>
      <w:r w:rsidRPr="00906ED7">
        <w:t xml:space="preserve"> the report noted </w:t>
      </w:r>
      <w:r w:rsidRPr="00F9035B">
        <w:rPr>
          <w:i/>
          <w:iCs/>
        </w:rPr>
        <w:t xml:space="preserve">Neissaria </w:t>
      </w:r>
      <w:r w:rsidRPr="00906ED7">
        <w:t xml:space="preserve">(particularly meningococcal) infections as an important potential risk associated with the use of complement inhibitors. The 2nd Round TGA clinical evaluator report also noted missing information </w:t>
      </w:r>
      <w:r w:rsidR="00C053E7" w:rsidRPr="00906ED7">
        <w:t>regarding</w:t>
      </w:r>
      <w:r w:rsidRPr="00906ED7">
        <w:t xml:space="preserve"> long-term safety as well as pregnancy and breast-feeding.</w:t>
      </w:r>
    </w:p>
    <w:p w14:paraId="5375560B" w14:textId="75B09FCA" w:rsidR="00D13D17" w:rsidRPr="007F52A5" w:rsidRDefault="005B7FF5" w:rsidP="00646F4E">
      <w:pPr>
        <w:pStyle w:val="3-BodyText"/>
      </w:pPr>
      <w:r w:rsidRPr="007F52A5">
        <w:t xml:space="preserve">The </w:t>
      </w:r>
      <w:r w:rsidR="00D13D17" w:rsidRPr="007F52A5">
        <w:t xml:space="preserve">TGA </w:t>
      </w:r>
      <w:r w:rsidRPr="007F52A5">
        <w:t>Delegate’s Overview stated</w:t>
      </w:r>
      <w:r w:rsidR="00D13D17" w:rsidRPr="007F52A5">
        <w:t>:</w:t>
      </w:r>
      <w:r w:rsidRPr="007F52A5">
        <w:t xml:space="preserve"> </w:t>
      </w:r>
    </w:p>
    <w:p w14:paraId="365D0A6D" w14:textId="064ECE2C" w:rsidR="00D13D17" w:rsidRPr="007F52A5" w:rsidRDefault="00D13D17" w:rsidP="00646F4E">
      <w:pPr>
        <w:pStyle w:val="ListParagraph"/>
      </w:pPr>
      <w:r w:rsidRPr="007F52A5">
        <w:t xml:space="preserve">‘Whilst clinically zilucoplan appears generally well tolerated, the small size of the current safety dataset and limited post market experience, imply that the current safety signals may be incompletely understood’ ; and </w:t>
      </w:r>
    </w:p>
    <w:p w14:paraId="078AF062" w14:textId="184822E3" w:rsidR="005B7FF5" w:rsidRPr="007F52A5" w:rsidRDefault="00D13D17" w:rsidP="00646F4E">
      <w:pPr>
        <w:pStyle w:val="ListParagraph"/>
      </w:pPr>
      <w:r w:rsidRPr="007F52A5">
        <w:t>‘there were more infections, some serious, and local reactions in subjects treated with zilucoplan. Elevations of lipase, amylase and eosinophils were also noted in zilucoplan treated subjects. There were no cases of meningococcal infection during the clinical trials. An unexpectedly high incidence of morphea has been seen in post-market surveillance and it is considered as a newly described adverse drug reaction’.</w:t>
      </w:r>
    </w:p>
    <w:p w14:paraId="3784D6E5" w14:textId="226F1B15" w:rsidR="00017A07" w:rsidRPr="007F52A5" w:rsidRDefault="004B07F9" w:rsidP="00A10F29">
      <w:pPr>
        <w:pStyle w:val="COMexecsumnumberedpara"/>
        <w:ind w:left="720"/>
      </w:pPr>
      <w:r w:rsidRPr="007F52A5">
        <w:t>The Delegate also proposed additional content under Special warnings and precautions</w:t>
      </w:r>
      <w:r w:rsidR="002D0D6B" w:rsidRPr="007F52A5">
        <w:t>,</w:t>
      </w:r>
      <w:r w:rsidRPr="007F52A5">
        <w:t xml:space="preserve"> as follows: ‘Zilucoplan can cause elevated amylase and lipase. Pancreatitis and cysts / pseudocysts occurred during clinical trials. Use with caution in patients with pre-existing pancreatic disease or previous pancreatitis. In the evaluation of abdominal pain, measurement of amylase and lipase should be considered’.</w:t>
      </w:r>
    </w:p>
    <w:p w14:paraId="0352535B" w14:textId="616F475F" w:rsidR="00064058" w:rsidRPr="00906ED7" w:rsidRDefault="00D13D17" w:rsidP="00646F4E">
      <w:pPr>
        <w:pStyle w:val="3-BodyText"/>
      </w:pPr>
      <w:r>
        <w:t>The evaluation considered that a</w:t>
      </w:r>
      <w:r w:rsidR="00064058" w:rsidRPr="00906ED7">
        <w:t xml:space="preserve"> more detailed assessment of the safety of complement inhibitors in general would have been informative given the limited safety data available for zilucoplan.</w:t>
      </w:r>
    </w:p>
    <w:p w14:paraId="4D701FAC" w14:textId="7BE90122" w:rsidR="000A73FC" w:rsidRPr="00B162C2" w:rsidRDefault="007F1017" w:rsidP="00646F4E">
      <w:pPr>
        <w:pStyle w:val="4-SubsectionHeading"/>
      </w:pPr>
      <w:bookmarkStart w:id="64" w:name="_Toc22897643"/>
      <w:bookmarkStart w:id="65" w:name="_Toc167199650"/>
      <w:r w:rsidRPr="00B162C2">
        <w:t>Benefits/harms</w:t>
      </w:r>
      <w:bookmarkEnd w:id="64"/>
      <w:bookmarkEnd w:id="65"/>
    </w:p>
    <w:p w14:paraId="6378AAA3" w14:textId="61FE0922" w:rsidR="000A73FC" w:rsidRPr="00B162C2" w:rsidRDefault="000A73FC" w:rsidP="00646F4E">
      <w:pPr>
        <w:pStyle w:val="3-BodyText"/>
      </w:pPr>
      <w:r w:rsidRPr="00B162C2">
        <w:t xml:space="preserve">A summary of the comparative benefits and harms for zilucoplan versus placebo is presented in </w:t>
      </w:r>
      <w:r w:rsidRPr="00B162C2">
        <w:fldChar w:fldCharType="begin" w:fldLock="1"/>
      </w:r>
      <w:r w:rsidRPr="00B162C2">
        <w:instrText xml:space="preserve"> REF _Ref164671255 \h </w:instrText>
      </w:r>
      <w:r w:rsidR="00646F4E">
        <w:instrText xml:space="preserve"> \* MERGEFORMAT </w:instrText>
      </w:r>
      <w:r w:rsidRPr="00B162C2">
        <w:fldChar w:fldCharType="separate"/>
      </w:r>
      <w:r w:rsidR="00FC355E" w:rsidRPr="00B162C2">
        <w:t xml:space="preserve">Table </w:t>
      </w:r>
      <w:r w:rsidR="00FC355E">
        <w:rPr>
          <w:noProof/>
        </w:rPr>
        <w:t>12</w:t>
      </w:r>
      <w:r w:rsidRPr="00B162C2">
        <w:fldChar w:fldCharType="end"/>
      </w:r>
      <w:r w:rsidRPr="00B162C2">
        <w:t>.</w:t>
      </w:r>
    </w:p>
    <w:p w14:paraId="041026E8" w14:textId="1AB3CBFC" w:rsidR="000A73FC" w:rsidRPr="00B162C2" w:rsidRDefault="000A73FC" w:rsidP="00D13D17">
      <w:pPr>
        <w:pStyle w:val="COMtablefigcaption"/>
        <w:keepLines/>
        <w:rPr>
          <w:color w:val="3366FF"/>
        </w:rPr>
      </w:pPr>
      <w:bookmarkStart w:id="66" w:name="_Ref164671255"/>
      <w:bookmarkStart w:id="67" w:name="_Ref155874101"/>
      <w:r w:rsidRPr="00B162C2">
        <w:t xml:space="preserve">Table </w:t>
      </w:r>
      <w:r w:rsidR="002F23E8">
        <w:fldChar w:fldCharType="begin" w:fldLock="1"/>
      </w:r>
      <w:r w:rsidR="002F23E8">
        <w:instrText xml:space="preserve"> SEQ Table \* ARABIC </w:instrText>
      </w:r>
      <w:r w:rsidR="002F23E8">
        <w:fldChar w:fldCharType="separate"/>
      </w:r>
      <w:r w:rsidR="00FC355E">
        <w:rPr>
          <w:noProof/>
        </w:rPr>
        <w:t>12</w:t>
      </w:r>
      <w:r w:rsidR="002F23E8">
        <w:rPr>
          <w:noProof/>
        </w:rPr>
        <w:fldChar w:fldCharType="end"/>
      </w:r>
      <w:bookmarkEnd w:id="66"/>
      <w:r w:rsidRPr="00B162C2">
        <w:rPr>
          <w:snapToGrid w:val="0"/>
        </w:rPr>
        <w:t>: Summary of comparative benefits and harms for zilucoplan and placebo</w:t>
      </w:r>
      <w:bookmarkEnd w:id="6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2: Summary of comparative benefits and harms for zilucoplan and placebo"/>
      </w:tblPr>
      <w:tblGrid>
        <w:gridCol w:w="3969"/>
        <w:gridCol w:w="1591"/>
        <w:gridCol w:w="1592"/>
        <w:gridCol w:w="1865"/>
      </w:tblGrid>
      <w:tr w:rsidR="000A73FC" w:rsidRPr="00B162C2" w14:paraId="0337EFA3" w14:textId="77777777" w:rsidTr="00BE10F4">
        <w:trPr>
          <w:cantSplit/>
          <w:tblHeader/>
        </w:trPr>
        <w:tc>
          <w:tcPr>
            <w:tcW w:w="2201" w:type="pct"/>
            <w:tcBorders>
              <w:right w:val="single" w:sz="4" w:space="0" w:color="auto"/>
            </w:tcBorders>
            <w:vAlign w:val="center"/>
          </w:tcPr>
          <w:p w14:paraId="7AB15317" w14:textId="6F536D9C" w:rsidR="000A73FC" w:rsidRPr="00B162C2" w:rsidRDefault="00BB17E0" w:rsidP="00D13D17">
            <w:pPr>
              <w:pStyle w:val="COMTableheadingrow"/>
              <w:keepLines/>
              <w:rPr>
                <w:snapToGrid w:val="0"/>
                <w:lang w:val="en-AU"/>
              </w:rPr>
            </w:pPr>
            <w:r>
              <w:rPr>
                <w:snapToGrid w:val="0"/>
                <w:lang w:val="en-AU"/>
              </w:rPr>
              <w:t xml:space="preserve">Outcome </w:t>
            </w:r>
          </w:p>
        </w:tc>
        <w:tc>
          <w:tcPr>
            <w:tcW w:w="882" w:type="pct"/>
            <w:tcBorders>
              <w:left w:val="single" w:sz="4" w:space="0" w:color="auto"/>
              <w:right w:val="single" w:sz="4" w:space="0" w:color="auto"/>
            </w:tcBorders>
            <w:vAlign w:val="center"/>
          </w:tcPr>
          <w:p w14:paraId="7FCD9E20" w14:textId="5AAD5171" w:rsidR="000A73FC" w:rsidRPr="00B162C2" w:rsidRDefault="000A73FC" w:rsidP="00D13D17">
            <w:pPr>
              <w:pStyle w:val="COMTableheadingrow"/>
              <w:keepLines/>
              <w:jc w:val="center"/>
              <w:rPr>
                <w:snapToGrid w:val="0"/>
                <w:lang w:val="en-AU"/>
              </w:rPr>
            </w:pPr>
            <w:r w:rsidRPr="00B162C2">
              <w:rPr>
                <w:snapToGrid w:val="0"/>
                <w:lang w:val="en-AU"/>
              </w:rPr>
              <w:t>Zilucoplan</w:t>
            </w:r>
          </w:p>
        </w:tc>
        <w:tc>
          <w:tcPr>
            <w:tcW w:w="883" w:type="pct"/>
            <w:tcBorders>
              <w:left w:val="single" w:sz="4" w:space="0" w:color="auto"/>
              <w:right w:val="single" w:sz="4" w:space="0" w:color="auto"/>
            </w:tcBorders>
            <w:vAlign w:val="center"/>
          </w:tcPr>
          <w:p w14:paraId="0E382CBC" w14:textId="77777777" w:rsidR="000A73FC" w:rsidRPr="00B162C2" w:rsidRDefault="000A73FC" w:rsidP="00D13D17">
            <w:pPr>
              <w:pStyle w:val="COMTableheadingrow"/>
              <w:keepLines/>
              <w:jc w:val="center"/>
              <w:rPr>
                <w:snapToGrid w:val="0"/>
                <w:lang w:val="en-AU"/>
              </w:rPr>
            </w:pPr>
            <w:r w:rsidRPr="00B162C2">
              <w:rPr>
                <w:snapToGrid w:val="0"/>
                <w:lang w:val="en-AU"/>
              </w:rPr>
              <w:t>Placebo</w:t>
            </w:r>
          </w:p>
        </w:tc>
        <w:tc>
          <w:tcPr>
            <w:tcW w:w="1034" w:type="pct"/>
            <w:tcBorders>
              <w:left w:val="single" w:sz="4" w:space="0" w:color="auto"/>
            </w:tcBorders>
            <w:vAlign w:val="center"/>
          </w:tcPr>
          <w:p w14:paraId="1C18EC8F" w14:textId="77777777" w:rsidR="000A73FC" w:rsidRPr="00B162C2" w:rsidRDefault="000A73FC" w:rsidP="00D13D17">
            <w:pPr>
              <w:pStyle w:val="COMTableheadingrow"/>
              <w:keepLines/>
              <w:jc w:val="center"/>
              <w:rPr>
                <w:snapToGrid w:val="0"/>
                <w:lang w:val="en-AU"/>
              </w:rPr>
            </w:pPr>
            <w:r w:rsidRPr="00B162C2">
              <w:rPr>
                <w:snapToGrid w:val="0"/>
                <w:lang w:val="en-AU"/>
              </w:rPr>
              <w:t>Treatment difference</w:t>
            </w:r>
          </w:p>
        </w:tc>
      </w:tr>
      <w:tr w:rsidR="000A73FC" w:rsidRPr="00B162C2" w14:paraId="03487D9E" w14:textId="77777777" w:rsidTr="00BE10F4">
        <w:trPr>
          <w:cantSplit/>
        </w:trPr>
        <w:tc>
          <w:tcPr>
            <w:tcW w:w="2201" w:type="pct"/>
            <w:tcBorders>
              <w:top w:val="single" w:sz="4" w:space="0" w:color="auto"/>
              <w:left w:val="single" w:sz="4" w:space="0" w:color="auto"/>
              <w:bottom w:val="single" w:sz="4" w:space="0" w:color="auto"/>
              <w:right w:val="single" w:sz="4" w:space="0" w:color="auto"/>
            </w:tcBorders>
            <w:vAlign w:val="center"/>
          </w:tcPr>
          <w:p w14:paraId="13F0F0D9" w14:textId="7F1EDC5A" w:rsidR="000A73FC" w:rsidRPr="00B162C2" w:rsidRDefault="000A73FC" w:rsidP="00D13D17">
            <w:pPr>
              <w:pStyle w:val="COMTabletext"/>
              <w:keepLines/>
              <w:rPr>
                <w:snapToGrid w:val="0"/>
              </w:rPr>
            </w:pPr>
            <w:r w:rsidRPr="00B162C2">
              <w:rPr>
                <w:snapToGrid w:val="0"/>
              </w:rPr>
              <w:t>Proportion of patients with ≥ 2-point reduction in MG-ADL scores from baseline to Week 12</w:t>
            </w:r>
          </w:p>
        </w:tc>
        <w:tc>
          <w:tcPr>
            <w:tcW w:w="882" w:type="pct"/>
            <w:tcBorders>
              <w:top w:val="single" w:sz="4" w:space="0" w:color="auto"/>
              <w:left w:val="single" w:sz="4" w:space="0" w:color="auto"/>
              <w:bottom w:val="single" w:sz="4" w:space="0" w:color="auto"/>
              <w:right w:val="single" w:sz="4" w:space="0" w:color="auto"/>
            </w:tcBorders>
            <w:vAlign w:val="center"/>
          </w:tcPr>
          <w:p w14:paraId="1D5463E4" w14:textId="7408EC33" w:rsidR="000A73FC" w:rsidRPr="00B162C2" w:rsidRDefault="000A73FC" w:rsidP="00D13D17">
            <w:pPr>
              <w:pStyle w:val="COMTabletext"/>
              <w:keepLines/>
              <w:jc w:val="center"/>
              <w:rPr>
                <w:snapToGrid w:val="0"/>
              </w:rPr>
            </w:pPr>
            <w:r w:rsidRPr="00B162C2">
              <w:t>74.4%</w:t>
            </w:r>
          </w:p>
        </w:tc>
        <w:tc>
          <w:tcPr>
            <w:tcW w:w="883" w:type="pct"/>
            <w:tcBorders>
              <w:top w:val="single" w:sz="4" w:space="0" w:color="auto"/>
              <w:left w:val="single" w:sz="4" w:space="0" w:color="auto"/>
              <w:bottom w:val="single" w:sz="4" w:space="0" w:color="auto"/>
              <w:right w:val="single" w:sz="4" w:space="0" w:color="auto"/>
            </w:tcBorders>
            <w:vAlign w:val="center"/>
          </w:tcPr>
          <w:p w14:paraId="4988EF01" w14:textId="155A460F" w:rsidR="000A73FC" w:rsidRPr="00B162C2" w:rsidRDefault="000A73FC" w:rsidP="00D13D17">
            <w:pPr>
              <w:pStyle w:val="COMTabletext"/>
              <w:keepLines/>
              <w:jc w:val="center"/>
              <w:rPr>
                <w:snapToGrid w:val="0"/>
              </w:rPr>
            </w:pPr>
            <w:r w:rsidRPr="00B162C2">
              <w:t>57.9%</w:t>
            </w:r>
          </w:p>
        </w:tc>
        <w:tc>
          <w:tcPr>
            <w:tcW w:w="1034" w:type="pct"/>
            <w:tcBorders>
              <w:top w:val="single" w:sz="4" w:space="0" w:color="auto"/>
              <w:left w:val="single" w:sz="4" w:space="0" w:color="auto"/>
              <w:bottom w:val="single" w:sz="4" w:space="0" w:color="auto"/>
              <w:right w:val="single" w:sz="4" w:space="0" w:color="auto"/>
            </w:tcBorders>
            <w:vAlign w:val="center"/>
          </w:tcPr>
          <w:p w14:paraId="2545D6A7" w14:textId="0D4816E2" w:rsidR="000A73FC" w:rsidRPr="00B162C2" w:rsidRDefault="00360304" w:rsidP="00D13D17">
            <w:pPr>
              <w:pStyle w:val="COMTabletext"/>
              <w:keepLines/>
              <w:jc w:val="center"/>
              <w:rPr>
                <w:snapToGrid w:val="0"/>
              </w:rPr>
            </w:pPr>
            <w:r w:rsidRPr="00B162C2">
              <w:rPr>
                <w:snapToGrid w:val="0"/>
              </w:rPr>
              <w:t>16.5%</w:t>
            </w:r>
          </w:p>
        </w:tc>
      </w:tr>
      <w:tr w:rsidR="000A73FC" w:rsidRPr="00B162C2" w14:paraId="116E6BDE" w14:textId="77777777" w:rsidTr="00BE10F4">
        <w:trPr>
          <w:cantSplit/>
        </w:trPr>
        <w:tc>
          <w:tcPr>
            <w:tcW w:w="2201" w:type="pct"/>
            <w:tcBorders>
              <w:top w:val="single" w:sz="4" w:space="0" w:color="auto"/>
              <w:left w:val="single" w:sz="4" w:space="0" w:color="auto"/>
              <w:bottom w:val="single" w:sz="4" w:space="0" w:color="auto"/>
              <w:right w:val="single" w:sz="4" w:space="0" w:color="auto"/>
            </w:tcBorders>
            <w:vAlign w:val="center"/>
          </w:tcPr>
          <w:p w14:paraId="0F07CBAD" w14:textId="5D541FE6" w:rsidR="000A73FC" w:rsidRPr="00B162C2" w:rsidRDefault="000A73FC" w:rsidP="00D13D17">
            <w:pPr>
              <w:pStyle w:val="COMTabletext"/>
              <w:keepLines/>
              <w:rPr>
                <w:snapToGrid w:val="0"/>
              </w:rPr>
            </w:pPr>
            <w:r w:rsidRPr="00B162C2">
              <w:rPr>
                <w:snapToGrid w:val="0"/>
              </w:rPr>
              <w:t>Proportion of patients with ≥ 3-point reduction in MG-ADL scores from baseline to Week 12</w:t>
            </w:r>
          </w:p>
        </w:tc>
        <w:tc>
          <w:tcPr>
            <w:tcW w:w="882" w:type="pct"/>
            <w:tcBorders>
              <w:top w:val="single" w:sz="4" w:space="0" w:color="auto"/>
              <w:left w:val="single" w:sz="4" w:space="0" w:color="auto"/>
              <w:bottom w:val="single" w:sz="4" w:space="0" w:color="auto"/>
              <w:right w:val="single" w:sz="4" w:space="0" w:color="auto"/>
            </w:tcBorders>
            <w:vAlign w:val="center"/>
          </w:tcPr>
          <w:p w14:paraId="391D64F2" w14:textId="433E65B8" w:rsidR="000A73FC" w:rsidRPr="00B162C2" w:rsidRDefault="000A73FC" w:rsidP="00D13D17">
            <w:pPr>
              <w:pStyle w:val="COMTabletext"/>
              <w:keepLines/>
              <w:jc w:val="center"/>
              <w:rPr>
                <w:snapToGrid w:val="0"/>
              </w:rPr>
            </w:pPr>
            <w:r w:rsidRPr="00B162C2">
              <w:t>73.1%</w:t>
            </w:r>
          </w:p>
        </w:tc>
        <w:tc>
          <w:tcPr>
            <w:tcW w:w="883" w:type="pct"/>
            <w:tcBorders>
              <w:top w:val="single" w:sz="4" w:space="0" w:color="auto"/>
              <w:left w:val="single" w:sz="4" w:space="0" w:color="auto"/>
              <w:bottom w:val="single" w:sz="4" w:space="0" w:color="auto"/>
              <w:right w:val="single" w:sz="4" w:space="0" w:color="auto"/>
            </w:tcBorders>
            <w:vAlign w:val="center"/>
          </w:tcPr>
          <w:p w14:paraId="37B67221" w14:textId="4BD12D7E" w:rsidR="000A73FC" w:rsidRPr="00B162C2" w:rsidRDefault="000A73FC" w:rsidP="00D13D17">
            <w:pPr>
              <w:pStyle w:val="COMTabletext"/>
              <w:keepLines/>
              <w:jc w:val="center"/>
              <w:rPr>
                <w:snapToGrid w:val="0"/>
              </w:rPr>
            </w:pPr>
            <w:r w:rsidRPr="00B162C2">
              <w:t>46.1%</w:t>
            </w:r>
          </w:p>
        </w:tc>
        <w:tc>
          <w:tcPr>
            <w:tcW w:w="1034" w:type="pct"/>
            <w:tcBorders>
              <w:top w:val="single" w:sz="4" w:space="0" w:color="auto"/>
              <w:left w:val="single" w:sz="4" w:space="0" w:color="auto"/>
              <w:bottom w:val="single" w:sz="4" w:space="0" w:color="auto"/>
              <w:right w:val="single" w:sz="4" w:space="0" w:color="auto"/>
            </w:tcBorders>
            <w:vAlign w:val="center"/>
          </w:tcPr>
          <w:p w14:paraId="6D452A23" w14:textId="42032F0E" w:rsidR="000A73FC" w:rsidRPr="00B162C2" w:rsidRDefault="00360304" w:rsidP="00D13D17">
            <w:pPr>
              <w:pStyle w:val="COMTabletext"/>
              <w:keepLines/>
              <w:jc w:val="center"/>
              <w:rPr>
                <w:snapToGrid w:val="0"/>
              </w:rPr>
            </w:pPr>
            <w:r w:rsidRPr="00B162C2">
              <w:rPr>
                <w:snapToGrid w:val="0"/>
              </w:rPr>
              <w:t>27.0%</w:t>
            </w:r>
          </w:p>
        </w:tc>
      </w:tr>
      <w:tr w:rsidR="000A73FC" w:rsidRPr="00B162C2" w14:paraId="07122098" w14:textId="77777777" w:rsidTr="00BE10F4">
        <w:trPr>
          <w:cantSplit/>
        </w:trPr>
        <w:tc>
          <w:tcPr>
            <w:tcW w:w="2201" w:type="pct"/>
            <w:tcBorders>
              <w:top w:val="single" w:sz="4" w:space="0" w:color="auto"/>
              <w:left w:val="single" w:sz="4" w:space="0" w:color="auto"/>
              <w:bottom w:val="single" w:sz="4" w:space="0" w:color="auto"/>
              <w:right w:val="single" w:sz="4" w:space="0" w:color="auto"/>
            </w:tcBorders>
            <w:vAlign w:val="center"/>
          </w:tcPr>
          <w:p w14:paraId="542CCD88" w14:textId="56C05420" w:rsidR="000A73FC" w:rsidRPr="00B162C2" w:rsidRDefault="000A73FC" w:rsidP="00D13D17">
            <w:pPr>
              <w:pStyle w:val="COMTabletext"/>
              <w:keepLines/>
              <w:rPr>
                <w:snapToGrid w:val="0"/>
              </w:rPr>
            </w:pPr>
            <w:r w:rsidRPr="00B162C2">
              <w:rPr>
                <w:snapToGrid w:val="0"/>
              </w:rPr>
              <w:t>Proportion of patients with ≥ 3-point reduction in QMG scores from baseline to Week 12</w:t>
            </w:r>
          </w:p>
        </w:tc>
        <w:tc>
          <w:tcPr>
            <w:tcW w:w="882" w:type="pct"/>
            <w:tcBorders>
              <w:top w:val="single" w:sz="4" w:space="0" w:color="auto"/>
              <w:left w:val="single" w:sz="4" w:space="0" w:color="auto"/>
              <w:bottom w:val="single" w:sz="4" w:space="0" w:color="auto"/>
              <w:right w:val="single" w:sz="4" w:space="0" w:color="auto"/>
            </w:tcBorders>
            <w:vAlign w:val="center"/>
          </w:tcPr>
          <w:p w14:paraId="55D5C8D9" w14:textId="2BD39BA7" w:rsidR="000A73FC" w:rsidRPr="00B162C2" w:rsidRDefault="000A73FC" w:rsidP="00D13D17">
            <w:pPr>
              <w:pStyle w:val="COMTabletext"/>
              <w:keepLines/>
              <w:jc w:val="center"/>
              <w:rPr>
                <w:snapToGrid w:val="0"/>
              </w:rPr>
            </w:pPr>
            <w:r w:rsidRPr="00B162C2">
              <w:t>72.5%</w:t>
            </w:r>
          </w:p>
        </w:tc>
        <w:tc>
          <w:tcPr>
            <w:tcW w:w="883" w:type="pct"/>
            <w:tcBorders>
              <w:top w:val="single" w:sz="4" w:space="0" w:color="auto"/>
              <w:left w:val="single" w:sz="4" w:space="0" w:color="auto"/>
              <w:bottom w:val="single" w:sz="4" w:space="0" w:color="auto"/>
              <w:right w:val="single" w:sz="4" w:space="0" w:color="auto"/>
            </w:tcBorders>
            <w:vAlign w:val="center"/>
          </w:tcPr>
          <w:p w14:paraId="058722FF" w14:textId="70070F96" w:rsidR="000A73FC" w:rsidRPr="00B162C2" w:rsidRDefault="000A73FC" w:rsidP="00D13D17">
            <w:pPr>
              <w:pStyle w:val="COMTabletext"/>
              <w:keepLines/>
              <w:jc w:val="center"/>
              <w:rPr>
                <w:snapToGrid w:val="0"/>
              </w:rPr>
            </w:pPr>
            <w:r w:rsidRPr="00B162C2">
              <w:t>48.5%</w:t>
            </w:r>
          </w:p>
        </w:tc>
        <w:tc>
          <w:tcPr>
            <w:tcW w:w="1034" w:type="pct"/>
            <w:tcBorders>
              <w:top w:val="single" w:sz="4" w:space="0" w:color="auto"/>
              <w:left w:val="single" w:sz="4" w:space="0" w:color="auto"/>
              <w:bottom w:val="single" w:sz="4" w:space="0" w:color="auto"/>
              <w:right w:val="single" w:sz="4" w:space="0" w:color="auto"/>
            </w:tcBorders>
            <w:vAlign w:val="center"/>
          </w:tcPr>
          <w:p w14:paraId="2C565546" w14:textId="073140E9" w:rsidR="000A73FC" w:rsidRPr="00B162C2" w:rsidRDefault="00360304" w:rsidP="00D13D17">
            <w:pPr>
              <w:pStyle w:val="COMTabletext"/>
              <w:keepLines/>
              <w:jc w:val="center"/>
              <w:rPr>
                <w:snapToGrid w:val="0"/>
              </w:rPr>
            </w:pPr>
            <w:r w:rsidRPr="00B162C2">
              <w:rPr>
                <w:snapToGrid w:val="0"/>
              </w:rPr>
              <w:t>24.0%</w:t>
            </w:r>
          </w:p>
        </w:tc>
      </w:tr>
      <w:tr w:rsidR="000A73FC" w:rsidRPr="00B162C2" w14:paraId="30382273" w14:textId="77777777" w:rsidTr="00BE10F4">
        <w:trPr>
          <w:cantSplit/>
        </w:trPr>
        <w:tc>
          <w:tcPr>
            <w:tcW w:w="2201" w:type="pct"/>
            <w:tcBorders>
              <w:top w:val="single" w:sz="4" w:space="0" w:color="auto"/>
              <w:left w:val="single" w:sz="4" w:space="0" w:color="auto"/>
              <w:bottom w:val="single" w:sz="4" w:space="0" w:color="auto"/>
              <w:right w:val="single" w:sz="4" w:space="0" w:color="auto"/>
            </w:tcBorders>
            <w:vAlign w:val="center"/>
          </w:tcPr>
          <w:p w14:paraId="5D79299B" w14:textId="6955C30F" w:rsidR="000A73FC" w:rsidRPr="00B162C2" w:rsidRDefault="000A73FC" w:rsidP="00D13D17">
            <w:pPr>
              <w:pStyle w:val="COMTabletext"/>
              <w:keepLines/>
              <w:rPr>
                <w:snapToGrid w:val="0"/>
              </w:rPr>
            </w:pPr>
            <w:r w:rsidRPr="00B162C2">
              <w:rPr>
                <w:snapToGrid w:val="0"/>
              </w:rPr>
              <w:t>Proportion of patients with ≥ 5-point reduction in QMG scores from baseline to Week 12</w:t>
            </w:r>
          </w:p>
        </w:tc>
        <w:tc>
          <w:tcPr>
            <w:tcW w:w="882" w:type="pct"/>
            <w:tcBorders>
              <w:top w:val="single" w:sz="4" w:space="0" w:color="auto"/>
              <w:left w:val="single" w:sz="4" w:space="0" w:color="auto"/>
              <w:bottom w:val="single" w:sz="4" w:space="0" w:color="auto"/>
              <w:right w:val="single" w:sz="4" w:space="0" w:color="auto"/>
            </w:tcBorders>
            <w:vAlign w:val="center"/>
          </w:tcPr>
          <w:p w14:paraId="0C3DF69B" w14:textId="59EDD6FD" w:rsidR="000A73FC" w:rsidRPr="00B162C2" w:rsidRDefault="000A73FC" w:rsidP="00D13D17">
            <w:pPr>
              <w:pStyle w:val="COMTabletext"/>
              <w:keepLines/>
              <w:jc w:val="center"/>
              <w:rPr>
                <w:snapToGrid w:val="0"/>
              </w:rPr>
            </w:pPr>
            <w:r w:rsidRPr="00B162C2">
              <w:t>58.0%</w:t>
            </w:r>
          </w:p>
        </w:tc>
        <w:tc>
          <w:tcPr>
            <w:tcW w:w="883" w:type="pct"/>
            <w:tcBorders>
              <w:top w:val="single" w:sz="4" w:space="0" w:color="auto"/>
              <w:left w:val="single" w:sz="4" w:space="0" w:color="auto"/>
              <w:bottom w:val="single" w:sz="4" w:space="0" w:color="auto"/>
              <w:right w:val="single" w:sz="4" w:space="0" w:color="auto"/>
            </w:tcBorders>
            <w:vAlign w:val="center"/>
          </w:tcPr>
          <w:p w14:paraId="402A3CE0" w14:textId="145D9E86" w:rsidR="000A73FC" w:rsidRPr="00B162C2" w:rsidRDefault="000A73FC" w:rsidP="00D13D17">
            <w:pPr>
              <w:pStyle w:val="COMTabletext"/>
              <w:keepLines/>
              <w:jc w:val="center"/>
              <w:rPr>
                <w:snapToGrid w:val="0"/>
              </w:rPr>
            </w:pPr>
            <w:r w:rsidRPr="00B162C2">
              <w:t>33.0%</w:t>
            </w:r>
          </w:p>
        </w:tc>
        <w:tc>
          <w:tcPr>
            <w:tcW w:w="1034" w:type="pct"/>
            <w:tcBorders>
              <w:top w:val="single" w:sz="4" w:space="0" w:color="auto"/>
              <w:left w:val="single" w:sz="4" w:space="0" w:color="auto"/>
              <w:bottom w:val="single" w:sz="4" w:space="0" w:color="auto"/>
              <w:right w:val="single" w:sz="4" w:space="0" w:color="auto"/>
            </w:tcBorders>
            <w:vAlign w:val="center"/>
          </w:tcPr>
          <w:p w14:paraId="2F6E296E" w14:textId="717A8620" w:rsidR="000A73FC" w:rsidRPr="00B162C2" w:rsidRDefault="00360304" w:rsidP="00D13D17">
            <w:pPr>
              <w:pStyle w:val="COMTabletext"/>
              <w:keepLines/>
              <w:jc w:val="center"/>
              <w:rPr>
                <w:snapToGrid w:val="0"/>
              </w:rPr>
            </w:pPr>
            <w:r w:rsidRPr="00B162C2">
              <w:rPr>
                <w:snapToGrid w:val="0"/>
              </w:rPr>
              <w:t>25.0%</w:t>
            </w:r>
          </w:p>
        </w:tc>
      </w:tr>
      <w:tr w:rsidR="000A73FC" w:rsidRPr="00B162C2" w14:paraId="340C00EC" w14:textId="77777777" w:rsidTr="00BE10F4">
        <w:trPr>
          <w:cantSplit/>
        </w:trPr>
        <w:tc>
          <w:tcPr>
            <w:tcW w:w="2201" w:type="pct"/>
            <w:tcBorders>
              <w:top w:val="single" w:sz="4" w:space="0" w:color="auto"/>
              <w:left w:val="single" w:sz="4" w:space="0" w:color="auto"/>
              <w:bottom w:val="single" w:sz="4" w:space="0" w:color="auto"/>
              <w:right w:val="single" w:sz="4" w:space="0" w:color="auto"/>
            </w:tcBorders>
            <w:vAlign w:val="center"/>
          </w:tcPr>
          <w:p w14:paraId="38406411" w14:textId="4BF47D7C" w:rsidR="000A73FC" w:rsidRPr="00B162C2" w:rsidRDefault="000A73FC" w:rsidP="00D13D17">
            <w:pPr>
              <w:pStyle w:val="COMTabletext"/>
              <w:keepLines/>
              <w:rPr>
                <w:snapToGrid w:val="0"/>
              </w:rPr>
            </w:pPr>
            <w:r w:rsidRPr="00B162C2">
              <w:rPr>
                <w:snapToGrid w:val="0"/>
              </w:rPr>
              <w:t>Proportion of patients with injection site reactions</w:t>
            </w:r>
          </w:p>
        </w:tc>
        <w:tc>
          <w:tcPr>
            <w:tcW w:w="882" w:type="pct"/>
            <w:tcBorders>
              <w:top w:val="single" w:sz="4" w:space="0" w:color="auto"/>
              <w:left w:val="single" w:sz="4" w:space="0" w:color="auto"/>
              <w:bottom w:val="single" w:sz="4" w:space="0" w:color="auto"/>
              <w:right w:val="single" w:sz="4" w:space="0" w:color="auto"/>
            </w:tcBorders>
            <w:vAlign w:val="center"/>
          </w:tcPr>
          <w:p w14:paraId="194BBB37" w14:textId="7F0E4C06" w:rsidR="000A73FC" w:rsidRPr="00B162C2" w:rsidRDefault="000A73FC" w:rsidP="00D13D17">
            <w:pPr>
              <w:pStyle w:val="COMTabletext"/>
              <w:keepLines/>
              <w:jc w:val="center"/>
              <w:rPr>
                <w:snapToGrid w:val="0"/>
              </w:rPr>
            </w:pPr>
            <w:r w:rsidRPr="00B162C2">
              <w:rPr>
                <w:snapToGrid w:val="0"/>
              </w:rPr>
              <w:t>26.7%</w:t>
            </w:r>
          </w:p>
        </w:tc>
        <w:tc>
          <w:tcPr>
            <w:tcW w:w="883" w:type="pct"/>
            <w:tcBorders>
              <w:top w:val="single" w:sz="4" w:space="0" w:color="auto"/>
              <w:left w:val="single" w:sz="4" w:space="0" w:color="auto"/>
              <w:bottom w:val="single" w:sz="4" w:space="0" w:color="auto"/>
              <w:right w:val="single" w:sz="4" w:space="0" w:color="auto"/>
            </w:tcBorders>
            <w:vAlign w:val="center"/>
          </w:tcPr>
          <w:p w14:paraId="0959FB0F" w14:textId="2B72439A" w:rsidR="000A73FC" w:rsidRPr="00B162C2" w:rsidRDefault="000A73FC" w:rsidP="00D13D17">
            <w:pPr>
              <w:pStyle w:val="COMTabletext"/>
              <w:keepLines/>
              <w:jc w:val="center"/>
              <w:rPr>
                <w:snapToGrid w:val="0"/>
              </w:rPr>
            </w:pPr>
            <w:r w:rsidRPr="00B162C2">
              <w:rPr>
                <w:snapToGrid w:val="0"/>
              </w:rPr>
              <w:t>14.8%</w:t>
            </w:r>
          </w:p>
        </w:tc>
        <w:tc>
          <w:tcPr>
            <w:tcW w:w="1034" w:type="pct"/>
            <w:tcBorders>
              <w:top w:val="single" w:sz="4" w:space="0" w:color="auto"/>
              <w:left w:val="single" w:sz="4" w:space="0" w:color="auto"/>
              <w:bottom w:val="single" w:sz="4" w:space="0" w:color="auto"/>
              <w:right w:val="single" w:sz="4" w:space="0" w:color="auto"/>
            </w:tcBorders>
            <w:vAlign w:val="center"/>
          </w:tcPr>
          <w:p w14:paraId="5C012C44" w14:textId="4FC03CDA" w:rsidR="000A73FC" w:rsidRPr="00B162C2" w:rsidRDefault="00360304" w:rsidP="00D13D17">
            <w:pPr>
              <w:pStyle w:val="COMTabletext"/>
              <w:keepLines/>
              <w:jc w:val="center"/>
              <w:rPr>
                <w:snapToGrid w:val="0"/>
              </w:rPr>
            </w:pPr>
            <w:r w:rsidRPr="00B162C2">
              <w:rPr>
                <w:snapToGrid w:val="0"/>
              </w:rPr>
              <w:t>11.9%</w:t>
            </w:r>
          </w:p>
        </w:tc>
      </w:tr>
      <w:tr w:rsidR="000A73FC" w:rsidRPr="00B162C2" w14:paraId="4E38F275" w14:textId="77777777" w:rsidTr="00BE10F4">
        <w:trPr>
          <w:cantSplit/>
        </w:trPr>
        <w:tc>
          <w:tcPr>
            <w:tcW w:w="2201" w:type="pct"/>
            <w:tcBorders>
              <w:top w:val="single" w:sz="4" w:space="0" w:color="auto"/>
              <w:left w:val="single" w:sz="4" w:space="0" w:color="auto"/>
              <w:bottom w:val="single" w:sz="4" w:space="0" w:color="auto"/>
              <w:right w:val="single" w:sz="4" w:space="0" w:color="auto"/>
            </w:tcBorders>
            <w:vAlign w:val="center"/>
          </w:tcPr>
          <w:p w14:paraId="758C9C56" w14:textId="2CACCCE0" w:rsidR="000A73FC" w:rsidRPr="00B162C2" w:rsidRDefault="000A73FC" w:rsidP="00D13D17">
            <w:pPr>
              <w:pStyle w:val="COMTabletext"/>
              <w:keepLines/>
              <w:rPr>
                <w:snapToGrid w:val="0"/>
              </w:rPr>
            </w:pPr>
            <w:r w:rsidRPr="00B162C2">
              <w:rPr>
                <w:snapToGrid w:val="0"/>
              </w:rPr>
              <w:t>Proportion of patients with infections</w:t>
            </w:r>
          </w:p>
        </w:tc>
        <w:tc>
          <w:tcPr>
            <w:tcW w:w="882" w:type="pct"/>
            <w:tcBorders>
              <w:top w:val="single" w:sz="4" w:space="0" w:color="auto"/>
              <w:left w:val="single" w:sz="4" w:space="0" w:color="auto"/>
              <w:bottom w:val="single" w:sz="4" w:space="0" w:color="auto"/>
              <w:right w:val="single" w:sz="4" w:space="0" w:color="auto"/>
            </w:tcBorders>
            <w:vAlign w:val="center"/>
          </w:tcPr>
          <w:p w14:paraId="2E567D9D" w14:textId="52288E35" w:rsidR="000A73FC" w:rsidRPr="00B162C2" w:rsidRDefault="000A73FC" w:rsidP="00D13D17">
            <w:pPr>
              <w:pStyle w:val="COMTabletext"/>
              <w:keepLines/>
              <w:jc w:val="center"/>
              <w:rPr>
                <w:snapToGrid w:val="0"/>
              </w:rPr>
            </w:pPr>
            <w:r w:rsidRPr="00B162C2">
              <w:rPr>
                <w:snapToGrid w:val="0"/>
              </w:rPr>
              <w:t>26.7%</w:t>
            </w:r>
          </w:p>
        </w:tc>
        <w:tc>
          <w:tcPr>
            <w:tcW w:w="883" w:type="pct"/>
            <w:tcBorders>
              <w:top w:val="single" w:sz="4" w:space="0" w:color="auto"/>
              <w:left w:val="single" w:sz="4" w:space="0" w:color="auto"/>
              <w:bottom w:val="single" w:sz="4" w:space="0" w:color="auto"/>
              <w:right w:val="single" w:sz="4" w:space="0" w:color="auto"/>
            </w:tcBorders>
            <w:vAlign w:val="center"/>
          </w:tcPr>
          <w:p w14:paraId="471DB8F1" w14:textId="5BB6CDB5" w:rsidR="000A73FC" w:rsidRPr="00B162C2" w:rsidRDefault="000A73FC" w:rsidP="00D13D17">
            <w:pPr>
              <w:pStyle w:val="COMTabletext"/>
              <w:keepLines/>
              <w:jc w:val="center"/>
              <w:rPr>
                <w:snapToGrid w:val="0"/>
              </w:rPr>
            </w:pPr>
            <w:r w:rsidRPr="00B162C2">
              <w:rPr>
                <w:snapToGrid w:val="0"/>
              </w:rPr>
              <w:t>18.2%</w:t>
            </w:r>
          </w:p>
        </w:tc>
        <w:tc>
          <w:tcPr>
            <w:tcW w:w="1034" w:type="pct"/>
            <w:tcBorders>
              <w:top w:val="single" w:sz="4" w:space="0" w:color="auto"/>
              <w:left w:val="single" w:sz="4" w:space="0" w:color="auto"/>
              <w:bottom w:val="single" w:sz="4" w:space="0" w:color="auto"/>
              <w:right w:val="single" w:sz="4" w:space="0" w:color="auto"/>
            </w:tcBorders>
            <w:vAlign w:val="center"/>
          </w:tcPr>
          <w:p w14:paraId="5A4CC546" w14:textId="2E4F584F" w:rsidR="000A73FC" w:rsidRPr="00B162C2" w:rsidRDefault="00360304" w:rsidP="00D13D17">
            <w:pPr>
              <w:pStyle w:val="COMTabletext"/>
              <w:keepLines/>
              <w:jc w:val="center"/>
              <w:rPr>
                <w:snapToGrid w:val="0"/>
              </w:rPr>
            </w:pPr>
            <w:r w:rsidRPr="00B162C2">
              <w:rPr>
                <w:snapToGrid w:val="0"/>
              </w:rPr>
              <w:t>8.5%</w:t>
            </w:r>
          </w:p>
        </w:tc>
      </w:tr>
    </w:tbl>
    <w:p w14:paraId="4CD8417E" w14:textId="0300F8D7" w:rsidR="000A73FC" w:rsidRPr="00B162C2" w:rsidRDefault="000A73FC" w:rsidP="00D13D17">
      <w:pPr>
        <w:pStyle w:val="TableFigureFooter"/>
        <w:keepNext/>
        <w:keepLines/>
      </w:pPr>
      <w:r w:rsidRPr="00B162C2">
        <w:t>Source: Table 2-5-2, p74; Table 2-5-4, p75; Table 2.5-7, p78; 2.5-11, p91 of the submission; Table 9-2, p193; Table 14.2.6.11, p880; Table 14.2.7.11, p927; Table 14.3.14.1, pp1884-1902 of the RAISE trial report</w:t>
      </w:r>
    </w:p>
    <w:p w14:paraId="5E2E4936" w14:textId="1DFE1EC5" w:rsidR="000A73FC" w:rsidRPr="00B162C2" w:rsidRDefault="000A73FC" w:rsidP="00D13D17">
      <w:pPr>
        <w:pStyle w:val="TableFigureFooter"/>
        <w:keepNext/>
        <w:keepLines/>
      </w:pPr>
      <w:r w:rsidRPr="00B162C2">
        <w:t>Abbreviations: MG-ADL, Myasthenia Gravis Activities of Daily Living; QMG, Quantitative Myasthenia Gravis score</w:t>
      </w:r>
    </w:p>
    <w:p w14:paraId="4FC334DC" w14:textId="66D5D200" w:rsidR="000A73FC" w:rsidRPr="00B162C2" w:rsidRDefault="000A73FC" w:rsidP="00646F4E">
      <w:pPr>
        <w:pStyle w:val="TableFigureFooter"/>
        <w:keepLines/>
      </w:pPr>
      <w:r w:rsidRPr="00B162C2">
        <w:t>Note: All changes in functional measures met or exceed the nominated minimal clinically important difference for each outcome (MCID for MG-ADL ≥ 2 point reduction; MCID for QMG ≥ 3 point reduction).</w:t>
      </w:r>
    </w:p>
    <w:p w14:paraId="1222B4E2" w14:textId="0CDB2FBE" w:rsidR="000A73FC" w:rsidRPr="007F52A5" w:rsidRDefault="000A73FC" w:rsidP="00646F4E">
      <w:pPr>
        <w:pStyle w:val="3-BodyText"/>
      </w:pPr>
      <w:proofErr w:type="gramStart"/>
      <w:r w:rsidRPr="007F52A5">
        <w:t>On the basis of</w:t>
      </w:r>
      <w:proofErr w:type="gramEnd"/>
      <w:r w:rsidRPr="007F52A5">
        <w:t xml:space="preserve"> direct evidence presented in the submission, for every 100 patients treated with zilucoplan in comparison with placebo for 12 weeks:</w:t>
      </w:r>
    </w:p>
    <w:p w14:paraId="6AADDEF7" w14:textId="7B38A6C9" w:rsidR="000A73FC" w:rsidRPr="007F52A5" w:rsidRDefault="00360304" w:rsidP="00646F4E">
      <w:pPr>
        <w:pStyle w:val="ListParagraph"/>
        <w:rPr>
          <w:snapToGrid/>
        </w:rPr>
      </w:pPr>
      <w:r w:rsidRPr="007F52A5">
        <w:rPr>
          <w:snapToGrid/>
        </w:rPr>
        <w:t>Approximately 17-27 additional patients would experience a clinically important improvement in functional outcomes</w:t>
      </w:r>
      <w:r w:rsidR="004419C0" w:rsidRPr="007F52A5">
        <w:rPr>
          <w:snapToGrid/>
        </w:rPr>
        <w:t xml:space="preserve"> (i.e. greater than 2-point reduction in MG-ADL score or greater than 3-point reduction in QMG score)</w:t>
      </w:r>
      <w:r w:rsidR="008F76B1" w:rsidRPr="007F52A5">
        <w:rPr>
          <w:snapToGrid/>
        </w:rPr>
        <w:t>.</w:t>
      </w:r>
    </w:p>
    <w:p w14:paraId="1BAFC2F6" w14:textId="1B6ECC73" w:rsidR="00360304" w:rsidRPr="007F52A5" w:rsidRDefault="00360304" w:rsidP="00646F4E">
      <w:pPr>
        <w:pStyle w:val="ListParagraph"/>
        <w:rPr>
          <w:snapToGrid/>
        </w:rPr>
      </w:pPr>
      <w:r w:rsidRPr="007F52A5">
        <w:rPr>
          <w:snapToGrid/>
        </w:rPr>
        <w:t xml:space="preserve">Approximately </w:t>
      </w:r>
      <w:r w:rsidR="00EC29A8" w:rsidRPr="007F52A5">
        <w:rPr>
          <w:snapToGrid/>
        </w:rPr>
        <w:t xml:space="preserve">27 </w:t>
      </w:r>
      <w:r w:rsidRPr="007F52A5">
        <w:rPr>
          <w:snapToGrid/>
        </w:rPr>
        <w:t>patients would experience an injection site reaction and 9</w:t>
      </w:r>
      <w:r w:rsidR="003937F1">
        <w:rPr>
          <w:snapToGrid/>
        </w:rPr>
        <w:t> </w:t>
      </w:r>
      <w:r w:rsidRPr="007F52A5">
        <w:rPr>
          <w:snapToGrid/>
        </w:rPr>
        <w:t>additional patients would experience an infection.</w:t>
      </w:r>
    </w:p>
    <w:p w14:paraId="76675487" w14:textId="3CC7AE31" w:rsidR="004B07F9" w:rsidRPr="007F52A5" w:rsidRDefault="004B07F9" w:rsidP="00646F4E">
      <w:pPr>
        <w:pStyle w:val="3-BodyText"/>
      </w:pPr>
      <w:r w:rsidRPr="007F52A5">
        <w:t>The submission did not present any analyses of responders based on the MGC instrument. This would have been informative given that the submission proposed using the MGC score to assess response in the requested PBS restriction.</w:t>
      </w:r>
    </w:p>
    <w:p w14:paraId="00501C03" w14:textId="7BBF5686" w:rsidR="00360304" w:rsidRPr="007F52A5" w:rsidRDefault="00360304" w:rsidP="00646F4E">
      <w:pPr>
        <w:pStyle w:val="3-BodyText"/>
      </w:pPr>
      <w:r w:rsidRPr="007F52A5">
        <w:t>As noted in the submission, the limited evidence base available for chronic IVIg/PLEX precludes any robust clinical conclusion on the comparative efficacy and safety of treatments.</w:t>
      </w:r>
    </w:p>
    <w:p w14:paraId="33696279" w14:textId="55FF72EA" w:rsidR="002E1071" w:rsidRPr="007F52A5" w:rsidRDefault="00BE2F86" w:rsidP="00646F4E">
      <w:pPr>
        <w:pStyle w:val="3-BodyText"/>
      </w:pPr>
      <w:r w:rsidRPr="007F52A5">
        <w:t>A benefits and harms comparison between zilucoplan and ravulizumab was not conducted as the submission made a claim of non-inferiority</w:t>
      </w:r>
      <w:r w:rsidR="0085309D" w:rsidRPr="007F52A5">
        <w:t>.</w:t>
      </w:r>
    </w:p>
    <w:p w14:paraId="7A1772B6" w14:textId="7422127D" w:rsidR="00B60939" w:rsidRPr="00B162C2" w:rsidRDefault="00B60939" w:rsidP="00646F4E">
      <w:pPr>
        <w:pStyle w:val="4-SubsectionHeading"/>
      </w:pPr>
      <w:bookmarkStart w:id="68" w:name="_Toc22897644"/>
      <w:bookmarkStart w:id="69" w:name="_Toc167199651"/>
      <w:r w:rsidRPr="00B162C2">
        <w:t>Clinical claim</w:t>
      </w:r>
      <w:bookmarkEnd w:id="68"/>
      <w:bookmarkEnd w:id="69"/>
    </w:p>
    <w:p w14:paraId="68C7F272" w14:textId="5C0BD808" w:rsidR="00BE2F86" w:rsidRPr="007F52A5" w:rsidRDefault="00BE2F86" w:rsidP="00646F4E">
      <w:pPr>
        <w:pStyle w:val="3-BodyText"/>
      </w:pPr>
      <w:r w:rsidRPr="007F52A5">
        <w:t>The submission described zilucoplan in combination with standard therapy as superior in terms of efficacy and non-inferior in terms of safety compared to placebo in combination with standard therapy. Th</w:t>
      </w:r>
      <w:r w:rsidR="007B3108" w:rsidRPr="007F52A5">
        <w:t>e ESC considered th</w:t>
      </w:r>
      <w:r w:rsidRPr="007F52A5">
        <w:t xml:space="preserve">is claim was reasonable </w:t>
      </w:r>
      <w:r w:rsidR="004419C0" w:rsidRPr="007F52A5">
        <w:t xml:space="preserve">with </w:t>
      </w:r>
      <w:r w:rsidRPr="007F52A5">
        <w:t xml:space="preserve">regards to efficacy but was not adequately supported </w:t>
      </w:r>
      <w:r w:rsidR="004419C0" w:rsidRPr="007F52A5">
        <w:t xml:space="preserve">with </w:t>
      </w:r>
      <w:r w:rsidRPr="007F52A5">
        <w:t>regards to safety.</w:t>
      </w:r>
    </w:p>
    <w:p w14:paraId="5C168ABC" w14:textId="13B6DE45" w:rsidR="00BE2F86" w:rsidRPr="007F52A5" w:rsidRDefault="00BE2F86" w:rsidP="00646F4E">
      <w:pPr>
        <w:pStyle w:val="3-BodyText"/>
      </w:pPr>
      <w:bookmarkStart w:id="70" w:name="_Hlk173398067"/>
      <w:r w:rsidRPr="007F52A5">
        <w:t xml:space="preserve">The </w:t>
      </w:r>
      <w:r w:rsidR="006F2F02" w:rsidRPr="007F52A5">
        <w:t>ESC considered</w:t>
      </w:r>
      <w:r w:rsidRPr="007F52A5">
        <w:t>:</w:t>
      </w:r>
    </w:p>
    <w:p w14:paraId="7DC7F15C" w14:textId="04A606C3" w:rsidR="006F2F02" w:rsidRPr="007F52A5" w:rsidRDefault="006F2F02" w:rsidP="00646F4E">
      <w:pPr>
        <w:pStyle w:val="ListParagraph"/>
        <w:rPr>
          <w:rFonts w:eastAsia="Calibri"/>
        </w:rPr>
      </w:pPr>
      <w:r w:rsidRPr="007F52A5">
        <w:rPr>
          <w:rFonts w:eastAsia="Calibri"/>
        </w:rPr>
        <w:t>The benefit of zilucoplan versus placebo in the RAISE trial was modest.</w:t>
      </w:r>
      <w:r w:rsidR="00830093" w:rsidRPr="007F52A5">
        <w:rPr>
          <w:rFonts w:eastAsia="Calibri"/>
        </w:rPr>
        <w:t xml:space="preserve"> The ESC noted that the primary outcome was statistically significant (mean difference in the MG-ADL score of -2.09 (95% CI: -3.24, -0.95)), </w:t>
      </w:r>
      <w:r w:rsidR="009E1E90" w:rsidRPr="007F52A5">
        <w:rPr>
          <w:rFonts w:eastAsia="Calibri"/>
        </w:rPr>
        <w:t xml:space="preserve">and </w:t>
      </w:r>
      <w:r w:rsidR="00830093" w:rsidRPr="007F52A5">
        <w:rPr>
          <w:rFonts w:eastAsia="Calibri"/>
        </w:rPr>
        <w:t xml:space="preserve">the </w:t>
      </w:r>
      <w:r w:rsidR="00CA3EEC" w:rsidRPr="007F52A5">
        <w:rPr>
          <w:rFonts w:eastAsia="Calibri"/>
        </w:rPr>
        <w:t>mean difference exceeded</w:t>
      </w:r>
      <w:r w:rsidR="00830093" w:rsidRPr="007F52A5">
        <w:rPr>
          <w:rFonts w:eastAsia="Calibri"/>
        </w:rPr>
        <w:t xml:space="preserve"> the MCID</w:t>
      </w:r>
      <w:r w:rsidR="00CA3EEC" w:rsidRPr="007F52A5">
        <w:rPr>
          <w:rFonts w:eastAsia="Calibri"/>
        </w:rPr>
        <w:t xml:space="preserve"> in the MG-ADL instrument (which is a ≥ 2-point reduction)</w:t>
      </w:r>
      <w:r w:rsidR="00830093" w:rsidRPr="007F52A5">
        <w:rPr>
          <w:rFonts w:eastAsia="Calibri"/>
        </w:rPr>
        <w:t>.</w:t>
      </w:r>
      <w:r w:rsidR="00CA3EEC" w:rsidRPr="007F52A5">
        <w:rPr>
          <w:rFonts w:eastAsia="Calibri"/>
        </w:rPr>
        <w:t xml:space="preserve"> </w:t>
      </w:r>
      <w:r w:rsidR="009E1E90" w:rsidRPr="007F52A5">
        <w:rPr>
          <w:rFonts w:eastAsia="Calibri"/>
        </w:rPr>
        <w:t>However, t</w:t>
      </w:r>
      <w:r w:rsidR="00830093" w:rsidRPr="007F52A5">
        <w:rPr>
          <w:rFonts w:eastAsia="Calibri"/>
        </w:rPr>
        <w:t xml:space="preserve">he ESC noted </w:t>
      </w:r>
      <w:r w:rsidR="009E1E90" w:rsidRPr="007F52A5">
        <w:rPr>
          <w:rFonts w:eastAsia="Calibri"/>
        </w:rPr>
        <w:t xml:space="preserve">the high placebo response and </w:t>
      </w:r>
      <w:r w:rsidR="00830093" w:rsidRPr="007F52A5">
        <w:rPr>
          <w:rFonts w:eastAsia="Calibri"/>
        </w:rPr>
        <w:t>that</w:t>
      </w:r>
      <w:r w:rsidR="00545F2F" w:rsidRPr="007F52A5">
        <w:t xml:space="preserve"> </w:t>
      </w:r>
      <w:r w:rsidR="00545F2F" w:rsidRPr="007F52A5">
        <w:rPr>
          <w:rFonts w:eastAsia="Calibri"/>
        </w:rPr>
        <w:t xml:space="preserve">zilucoplan was associated with </w:t>
      </w:r>
      <w:r w:rsidR="009E1E90" w:rsidRPr="007F52A5">
        <w:rPr>
          <w:rFonts w:eastAsia="Calibri"/>
        </w:rPr>
        <w:t xml:space="preserve">only </w:t>
      </w:r>
      <w:r w:rsidR="00545F2F" w:rsidRPr="007F52A5">
        <w:rPr>
          <w:rFonts w:eastAsia="Calibri"/>
        </w:rPr>
        <w:t>a</w:t>
      </w:r>
      <w:r w:rsidR="004B07F9" w:rsidRPr="007F52A5">
        <w:rPr>
          <w:rFonts w:eastAsia="Calibri"/>
        </w:rPr>
        <w:t xml:space="preserve"> </w:t>
      </w:r>
      <w:r w:rsidR="00545F2F" w:rsidRPr="007F52A5">
        <w:rPr>
          <w:rFonts w:eastAsia="Calibri"/>
        </w:rPr>
        <w:t xml:space="preserve">16.5 </w:t>
      </w:r>
      <w:r w:rsidR="00B833E9">
        <w:rPr>
          <w:rFonts w:eastAsia="Calibri"/>
        </w:rPr>
        <w:t>percentage point</w:t>
      </w:r>
      <w:r w:rsidR="00545F2F" w:rsidRPr="007F52A5">
        <w:rPr>
          <w:rFonts w:eastAsia="Calibri"/>
        </w:rPr>
        <w:t xml:space="preserve"> increase in the proportion </w:t>
      </w:r>
      <w:r w:rsidR="009E1E90" w:rsidRPr="007F52A5">
        <w:rPr>
          <w:rFonts w:eastAsia="Calibri"/>
        </w:rPr>
        <w:t>with</w:t>
      </w:r>
      <w:r w:rsidR="00545F2F" w:rsidRPr="007F52A5">
        <w:rPr>
          <w:rFonts w:eastAsia="Calibri"/>
        </w:rPr>
        <w:t xml:space="preserve"> </w:t>
      </w:r>
      <w:r w:rsidR="00830093" w:rsidRPr="007F52A5">
        <w:rPr>
          <w:rFonts w:eastAsia="Calibri"/>
        </w:rPr>
        <w:t>a ≥</w:t>
      </w:r>
      <w:r w:rsidR="00B833E9">
        <w:rPr>
          <w:rFonts w:eastAsia="Calibri"/>
        </w:rPr>
        <w:t> </w:t>
      </w:r>
      <w:r w:rsidR="00830093" w:rsidRPr="007F52A5">
        <w:rPr>
          <w:rFonts w:eastAsia="Calibri"/>
        </w:rPr>
        <w:t>2</w:t>
      </w:r>
      <w:r w:rsidR="003937F1">
        <w:rPr>
          <w:rFonts w:eastAsia="Calibri"/>
        </w:rPr>
        <w:noBreakHyphen/>
      </w:r>
      <w:r w:rsidR="00830093" w:rsidRPr="007F52A5">
        <w:rPr>
          <w:rFonts w:eastAsia="Calibri"/>
        </w:rPr>
        <w:t xml:space="preserve">point reduction in MG-ADL scores from baseline to Week 12 (74.4% versus 57.9% </w:t>
      </w:r>
      <w:r w:rsidR="00B833E9">
        <w:rPr>
          <w:rFonts w:eastAsia="Calibri"/>
        </w:rPr>
        <w:t>in the zilucoplan and placebo arms, respectively</w:t>
      </w:r>
      <w:r w:rsidR="00830093" w:rsidRPr="007F52A5">
        <w:rPr>
          <w:rFonts w:eastAsia="Calibri"/>
        </w:rPr>
        <w:t>).</w:t>
      </w:r>
    </w:p>
    <w:p w14:paraId="19A4B069" w14:textId="5A995F49" w:rsidR="00830093" w:rsidRPr="007F52A5" w:rsidRDefault="00830093" w:rsidP="00646F4E">
      <w:pPr>
        <w:pStyle w:val="ListParagraph"/>
        <w:rPr>
          <w:rFonts w:eastAsia="Calibri"/>
        </w:rPr>
      </w:pPr>
      <w:r w:rsidRPr="007F52A5">
        <w:rPr>
          <w:rFonts w:eastAsia="Calibri"/>
        </w:rPr>
        <w:t>The ESC considered that the</w:t>
      </w:r>
      <w:r w:rsidR="009E1E90" w:rsidRPr="007F52A5">
        <w:rPr>
          <w:rFonts w:eastAsia="Calibri"/>
        </w:rPr>
        <w:t xml:space="preserve"> high</w:t>
      </w:r>
      <w:r w:rsidRPr="007F52A5">
        <w:rPr>
          <w:rFonts w:eastAsia="Calibri"/>
        </w:rPr>
        <w:t xml:space="preserve"> placebo response rates may have been due to: disease variability; the potentially subjective nature of the instruments used to assess response; and patients in the placebo arm continuing to receive active background therapy. </w:t>
      </w:r>
    </w:p>
    <w:p w14:paraId="481132F8" w14:textId="0B179A4A" w:rsidR="00BE2F86" w:rsidRPr="007F52A5" w:rsidRDefault="006F2F02" w:rsidP="00646F4E">
      <w:pPr>
        <w:pStyle w:val="ListParagraph"/>
        <w:rPr>
          <w:rFonts w:eastAsia="Calibri"/>
        </w:rPr>
      </w:pPr>
      <w:r w:rsidRPr="007F52A5">
        <w:rPr>
          <w:rFonts w:eastAsia="Calibri"/>
        </w:rPr>
        <w:t>It was unclear w</w:t>
      </w:r>
      <w:r w:rsidR="00BE2F86" w:rsidRPr="007F52A5">
        <w:rPr>
          <w:rFonts w:eastAsia="Calibri"/>
        </w:rPr>
        <w:t>hether the results from the overall RAISE trial can be generalised to the proposed PBS restriction given the different functional impairment and baseline medication use requirements</w:t>
      </w:r>
      <w:r w:rsidR="00ED7C60" w:rsidRPr="007F52A5">
        <w:rPr>
          <w:rFonts w:eastAsia="Calibri"/>
        </w:rPr>
        <w:t xml:space="preserve">. The ESC considered that, even if the PBS restriction was amended to more closely reflect the trial population, some applicability issues would remain (per paragraph </w:t>
      </w:r>
      <w:r w:rsidR="00ED7C60" w:rsidRPr="007F52A5">
        <w:rPr>
          <w:rFonts w:eastAsia="Calibri"/>
        </w:rPr>
        <w:fldChar w:fldCharType="begin" w:fldLock="1"/>
      </w:r>
      <w:r w:rsidR="00ED7C60" w:rsidRPr="007F52A5">
        <w:rPr>
          <w:rFonts w:eastAsia="Calibri"/>
        </w:rPr>
        <w:instrText xml:space="preserve"> REF _Ref169187058 \r \h </w:instrText>
      </w:r>
      <w:r w:rsidR="007F52A5" w:rsidRPr="007F52A5">
        <w:rPr>
          <w:rFonts w:eastAsia="Calibri"/>
        </w:rPr>
        <w:instrText xml:space="preserve"> \* MERGEFORMAT </w:instrText>
      </w:r>
      <w:r w:rsidR="00ED7C60" w:rsidRPr="007F52A5">
        <w:rPr>
          <w:rFonts w:eastAsia="Calibri"/>
        </w:rPr>
      </w:r>
      <w:r w:rsidR="00ED7C60" w:rsidRPr="007F52A5">
        <w:rPr>
          <w:rFonts w:eastAsia="Calibri"/>
        </w:rPr>
        <w:fldChar w:fldCharType="separate"/>
      </w:r>
      <w:r w:rsidR="00FC355E">
        <w:rPr>
          <w:rFonts w:eastAsia="Calibri"/>
        </w:rPr>
        <w:t>6.16</w:t>
      </w:r>
      <w:r w:rsidR="00ED7C60" w:rsidRPr="007F52A5">
        <w:rPr>
          <w:rFonts w:eastAsia="Calibri"/>
        </w:rPr>
        <w:fldChar w:fldCharType="end"/>
      </w:r>
      <w:r w:rsidR="00ED7C60" w:rsidRPr="007F52A5">
        <w:rPr>
          <w:rFonts w:eastAsia="Calibri"/>
        </w:rPr>
        <w:t>)</w:t>
      </w:r>
      <w:r w:rsidR="003D002A" w:rsidRPr="007F52A5">
        <w:rPr>
          <w:rFonts w:eastAsia="Calibri"/>
        </w:rPr>
        <w:t>.</w:t>
      </w:r>
    </w:p>
    <w:p w14:paraId="56DD1F8C" w14:textId="28528075" w:rsidR="00BE2F86" w:rsidRPr="007F52A5" w:rsidRDefault="00BE2F86" w:rsidP="00646F4E">
      <w:pPr>
        <w:pStyle w:val="ListParagraph"/>
        <w:rPr>
          <w:rFonts w:eastAsia="Calibri"/>
        </w:rPr>
      </w:pPr>
      <w:r w:rsidRPr="007F52A5">
        <w:rPr>
          <w:rFonts w:eastAsia="Calibri"/>
        </w:rPr>
        <w:t>The modest differences in functional and quality of life outcomes between zilucoplan and placebo in non-refractory patients, particularly given that these patients may have further options for treatment optimisation in clinical practice.</w:t>
      </w:r>
      <w:r w:rsidR="003D0E59" w:rsidRPr="007F52A5">
        <w:rPr>
          <w:rFonts w:eastAsia="Calibri"/>
        </w:rPr>
        <w:t xml:space="preserve"> </w:t>
      </w:r>
      <w:r w:rsidR="003D002A" w:rsidRPr="007F52A5">
        <w:t>T</w:t>
      </w:r>
      <w:r w:rsidR="003D0E59" w:rsidRPr="007F52A5">
        <w:t xml:space="preserve">he PSCR argued that RAISE </w:t>
      </w:r>
      <w:r w:rsidR="003D002A" w:rsidRPr="007F52A5">
        <w:t>‘</w:t>
      </w:r>
      <w:r w:rsidR="003D0E59" w:rsidRPr="007F52A5">
        <w:t>was not powered to detect treatment differences in these subgroups’</w:t>
      </w:r>
      <w:r w:rsidR="00AF663D" w:rsidRPr="007F52A5">
        <w:t>. T</w:t>
      </w:r>
      <w:r w:rsidR="003D0E59" w:rsidRPr="007F52A5">
        <w:t xml:space="preserve">he ESC </w:t>
      </w:r>
      <w:r w:rsidR="00AF663D" w:rsidRPr="007F52A5">
        <w:t>noted these were exploratory outcomes, and the submission provided no statistical testing of differences between arms and no testing for treatment-effect interactions by subgroups. Overall, the ESC considered</w:t>
      </w:r>
      <w:r w:rsidR="003D002A" w:rsidRPr="007F52A5">
        <w:t xml:space="preserve"> </w:t>
      </w:r>
      <w:r w:rsidR="00AF663D" w:rsidRPr="007F52A5">
        <w:t>the</w:t>
      </w:r>
      <w:r w:rsidR="00136F49" w:rsidRPr="007F52A5">
        <w:t xml:space="preserve"> </w:t>
      </w:r>
      <w:r w:rsidR="004B07F9" w:rsidRPr="007F52A5">
        <w:t xml:space="preserve">outcomes for </w:t>
      </w:r>
      <w:r w:rsidR="00136F49" w:rsidRPr="007F52A5">
        <w:t>treatment</w:t>
      </w:r>
      <w:r w:rsidR="00AF663D" w:rsidRPr="007F52A5">
        <w:t xml:space="preserve"> refractory and non-refractory subgroups were </w:t>
      </w:r>
      <w:r w:rsidR="003D002A" w:rsidRPr="007F52A5">
        <w:t>difficult to interpret</w:t>
      </w:r>
      <w:r w:rsidR="00AF663D" w:rsidRPr="007F52A5">
        <w:t xml:space="preserve">, but </w:t>
      </w:r>
      <w:r w:rsidR="003D0E59" w:rsidRPr="007F52A5">
        <w:t xml:space="preserve">noted the higher placebo response (proportion of patients with a 3-point reduction in MG-ADL score at 12 weeks) in the non-refractory group versus the refractory group (53.5% versus 40.5%, respectively per </w:t>
      </w:r>
      <w:r w:rsidR="003D0E59" w:rsidRPr="007F52A5">
        <w:fldChar w:fldCharType="begin" w:fldLock="1"/>
      </w:r>
      <w:r w:rsidR="003D0E59" w:rsidRPr="007F52A5">
        <w:instrText xml:space="preserve"> REF _Ref167095059 \h  \* MERGEFORMAT </w:instrText>
      </w:r>
      <w:r w:rsidR="003D0E59" w:rsidRPr="007F52A5">
        <w:fldChar w:fldCharType="separate"/>
      </w:r>
      <w:r w:rsidR="00FC355E">
        <w:t xml:space="preserve">Table </w:t>
      </w:r>
      <w:r w:rsidR="00FC355E">
        <w:rPr>
          <w:noProof/>
        </w:rPr>
        <w:t>7</w:t>
      </w:r>
      <w:r w:rsidR="003D0E59" w:rsidRPr="007F52A5">
        <w:fldChar w:fldCharType="end"/>
      </w:r>
      <w:r w:rsidR="003D0E59" w:rsidRPr="007F52A5">
        <w:t>)</w:t>
      </w:r>
      <w:r w:rsidR="003D002A" w:rsidRPr="007F52A5">
        <w:t xml:space="preserve">, and </w:t>
      </w:r>
      <w:r w:rsidR="003D0E59" w:rsidRPr="007F52A5">
        <w:t>considered this indicated that standard therapies are effective for many patients in the non-refractory group.</w:t>
      </w:r>
      <w:r w:rsidR="00214063">
        <w:t xml:space="preserve"> The pre-PBAC response stated that ‘a</w:t>
      </w:r>
      <w:r w:rsidR="00214063" w:rsidRPr="00214063">
        <w:t xml:space="preserve"> formal test for interaction has been conducted for the pre-PBAC response showing that refractory status is not a treatment effect modifier</w:t>
      </w:r>
      <w:r w:rsidR="00214063">
        <w:t>’.</w:t>
      </w:r>
    </w:p>
    <w:p w14:paraId="7C101453" w14:textId="5C423316" w:rsidR="00BE2F86" w:rsidRPr="007F52A5" w:rsidRDefault="00BE2F86" w:rsidP="00646F4E">
      <w:pPr>
        <w:pStyle w:val="ListParagraph"/>
        <w:rPr>
          <w:rFonts w:eastAsia="Calibri"/>
        </w:rPr>
      </w:pPr>
      <w:r w:rsidRPr="007F52A5">
        <w:rPr>
          <w:rFonts w:eastAsia="Calibri"/>
        </w:rPr>
        <w:t>The lack of a Myasthenia Gravis Composite score responder analysis given the proposed use of this instrument for treatment continuation in the</w:t>
      </w:r>
      <w:r w:rsidR="00861CB6" w:rsidRPr="007F52A5">
        <w:rPr>
          <w:rFonts w:eastAsia="Calibri"/>
        </w:rPr>
        <w:t xml:space="preserve"> proposed</w:t>
      </w:r>
      <w:r w:rsidRPr="007F52A5">
        <w:rPr>
          <w:rFonts w:eastAsia="Calibri"/>
        </w:rPr>
        <w:t xml:space="preserve"> restriction.</w:t>
      </w:r>
    </w:p>
    <w:p w14:paraId="153EFD7F" w14:textId="48E9523B" w:rsidR="00136F49" w:rsidRPr="007F52A5" w:rsidRDefault="00136F49" w:rsidP="00646F4E">
      <w:pPr>
        <w:pStyle w:val="ListParagraph"/>
        <w:rPr>
          <w:rFonts w:eastAsia="Calibri"/>
        </w:rPr>
      </w:pPr>
      <w:r w:rsidRPr="007F52A5">
        <w:rPr>
          <w:rFonts w:eastAsia="Calibri"/>
        </w:rPr>
        <w:t xml:space="preserve">The ESC considered that </w:t>
      </w:r>
      <w:r w:rsidR="00CF1E03" w:rsidRPr="007F52A5">
        <w:rPr>
          <w:rFonts w:eastAsia="Calibri"/>
        </w:rPr>
        <w:t xml:space="preserve">the claim of non-inferior </w:t>
      </w:r>
      <w:r w:rsidRPr="007F52A5">
        <w:rPr>
          <w:rFonts w:eastAsia="Calibri"/>
        </w:rPr>
        <w:t>safety versus placebo</w:t>
      </w:r>
      <w:r w:rsidR="00CF1E03" w:rsidRPr="007F52A5">
        <w:rPr>
          <w:rFonts w:eastAsia="Calibri"/>
        </w:rPr>
        <w:t xml:space="preserve"> was not adequately supported</w:t>
      </w:r>
      <w:r w:rsidRPr="007F52A5">
        <w:rPr>
          <w:rFonts w:eastAsia="Calibri"/>
        </w:rPr>
        <w:t>, particularly given the limited safety data and the potential for serious infections.</w:t>
      </w:r>
    </w:p>
    <w:p w14:paraId="2D2350D8" w14:textId="0B25D023" w:rsidR="00BE2F86" w:rsidRPr="007F52A5" w:rsidRDefault="00BE2F86" w:rsidP="00646F4E">
      <w:pPr>
        <w:pStyle w:val="3-BodyText"/>
      </w:pPr>
      <w:r w:rsidRPr="007F52A5">
        <w:t xml:space="preserve">The submission claimed the limited evidence base available for chronic IVIg/PLEX precludes any robust clinical conclusion on the comparative efficacy and safety of treatments. However, the submission considered that is likely that zilucoplan is at least non-inferior in terms of efficacy and safety compared to chronic IVIg/PLEX. Given the limitations of the data, the </w:t>
      </w:r>
      <w:r w:rsidR="00FC3CFC" w:rsidRPr="007F52A5">
        <w:t xml:space="preserve">ESC considered the </w:t>
      </w:r>
      <w:r w:rsidRPr="007F52A5">
        <w:t>relative efficacy and safety of zilucoplan compared to chronic IVIg/PLEX is unclear.</w:t>
      </w:r>
    </w:p>
    <w:p w14:paraId="61A5E721" w14:textId="3BD1D91A" w:rsidR="00BE2F86" w:rsidRPr="007F52A5" w:rsidRDefault="00BE2F86" w:rsidP="00646F4E">
      <w:pPr>
        <w:pStyle w:val="3-BodyText"/>
      </w:pPr>
      <w:r w:rsidRPr="007F52A5">
        <w:t>The submission described zilucoplan in combination with standard therapy as non-inferior in terms of efficacy and safety compared to ravulizumab in combination with standard therapy. Th</w:t>
      </w:r>
      <w:r w:rsidR="006F2F02" w:rsidRPr="007F52A5">
        <w:t xml:space="preserve">e </w:t>
      </w:r>
      <w:r w:rsidR="00CF1E03" w:rsidRPr="007F52A5">
        <w:t>ESC</w:t>
      </w:r>
      <w:r w:rsidR="006F2F02" w:rsidRPr="007F52A5">
        <w:t xml:space="preserve"> </w:t>
      </w:r>
      <w:r w:rsidR="00CF1E03" w:rsidRPr="007F52A5">
        <w:t>considered this claim may be reasonable but noted the wide confidence intervals in the indirect analysis suggest that the potential for clinically important differences between treatments cannot be excluded</w:t>
      </w:r>
      <w:r w:rsidRPr="007F52A5">
        <w:t>.</w:t>
      </w:r>
    </w:p>
    <w:p w14:paraId="7613B14B" w14:textId="507DC00E" w:rsidR="00BE2F86" w:rsidRPr="00141311" w:rsidRDefault="00BE2F86" w:rsidP="00646F4E">
      <w:pPr>
        <w:pStyle w:val="3-BodyText"/>
      </w:pPr>
      <w:r w:rsidRPr="007F52A5">
        <w:t xml:space="preserve">The </w:t>
      </w:r>
      <w:r w:rsidR="00141311">
        <w:t>evaluation considered that</w:t>
      </w:r>
      <w:r w:rsidRPr="007F52A5">
        <w:t xml:space="preserve"> differences in the mode and frequency of administration between zilucoplan (daily subcutaneous injection) and ravulizumab (intravenous infusion every 8 weeks) </w:t>
      </w:r>
      <w:r w:rsidR="00141311">
        <w:t>may potentially</w:t>
      </w:r>
      <w:r w:rsidRPr="007F52A5">
        <w:t xml:space="preserve"> affect treatment compliance and therefore longer-term comparative efficacy and safety.</w:t>
      </w:r>
      <w:r w:rsidR="00141311">
        <w:t xml:space="preserve"> However, the pre-PBAC response argued that zilucoplan was associated with high compliance rates in the key trial and extension study, and that patients may prefer the </w:t>
      </w:r>
      <w:r w:rsidR="00141311" w:rsidRPr="007F52A5">
        <w:t>subcutaneous</w:t>
      </w:r>
      <w:r w:rsidR="00141311">
        <w:t xml:space="preserve"> </w:t>
      </w:r>
      <w:r w:rsidR="00141311" w:rsidRPr="00141311">
        <w:t>formulation.</w:t>
      </w:r>
    </w:p>
    <w:p w14:paraId="55BF4461" w14:textId="6A234434" w:rsidR="007F52A5" w:rsidRPr="00141311" w:rsidRDefault="007F52A5" w:rsidP="00646F4E">
      <w:pPr>
        <w:pStyle w:val="3-BodyText"/>
      </w:pPr>
      <w:bookmarkStart w:id="71" w:name="_Hlk76376200"/>
      <w:r w:rsidRPr="00141311">
        <w:rPr>
          <w:iCs/>
        </w:rPr>
        <w:t>The</w:t>
      </w:r>
      <w:r w:rsidRPr="00141311">
        <w:t xml:space="preserve"> PBAC considered that the claim of superior comparative effectiveness </w:t>
      </w:r>
      <w:r w:rsidR="00141311" w:rsidRPr="00141311">
        <w:t xml:space="preserve">versus placebo </w:t>
      </w:r>
      <w:r w:rsidRPr="00141311">
        <w:t>was reasonable</w:t>
      </w:r>
      <w:r w:rsidR="00141311" w:rsidRPr="00141311">
        <w:t>, but that the benefit demonstrated in the RAISE trial was modest</w:t>
      </w:r>
      <w:r w:rsidRPr="00141311">
        <w:t>.</w:t>
      </w:r>
    </w:p>
    <w:p w14:paraId="25AF0F5D" w14:textId="1E4D8326" w:rsidR="007F52A5" w:rsidRPr="00141311" w:rsidRDefault="007F52A5" w:rsidP="00646F4E">
      <w:pPr>
        <w:pStyle w:val="3-BodyText"/>
      </w:pPr>
      <w:r w:rsidRPr="00141311">
        <w:t>The PBAC considered that</w:t>
      </w:r>
      <w:r w:rsidR="00E56E8F">
        <w:t>, while zilucoplan appeared well-tolerated,</w:t>
      </w:r>
      <w:r w:rsidRPr="00141311">
        <w:t xml:space="preserve"> the claim of non-inferior comparative safety </w:t>
      </w:r>
      <w:r w:rsidR="00141311" w:rsidRPr="00141311">
        <w:t xml:space="preserve">versus placebo </w:t>
      </w:r>
      <w:r w:rsidRPr="00141311">
        <w:t>was not adequately supported</w:t>
      </w:r>
      <w:r w:rsidR="00E56E8F">
        <w:t xml:space="preserve"> </w:t>
      </w:r>
      <w:r w:rsidR="00141311" w:rsidRPr="00141311">
        <w:t xml:space="preserve">given the limited safety data and the </w:t>
      </w:r>
      <w:r w:rsidR="00E56E8F">
        <w:t>requirement for patients to receive meningococcal vaccinations</w:t>
      </w:r>
      <w:r w:rsidRPr="00141311">
        <w:t>.</w:t>
      </w:r>
    </w:p>
    <w:p w14:paraId="490D0E57" w14:textId="77777777" w:rsidR="007F52A5" w:rsidRPr="00B162C2" w:rsidRDefault="007F52A5" w:rsidP="0023581C">
      <w:pPr>
        <w:pStyle w:val="4-SubsectionHeading"/>
      </w:pPr>
      <w:bookmarkStart w:id="72" w:name="_Toc22897645"/>
      <w:bookmarkStart w:id="73" w:name="_Toc167199652"/>
      <w:bookmarkEnd w:id="70"/>
      <w:bookmarkEnd w:id="71"/>
      <w:r w:rsidRPr="00B162C2">
        <w:t>Economic analysis</w:t>
      </w:r>
      <w:bookmarkEnd w:id="72"/>
      <w:bookmarkEnd w:id="73"/>
      <w:r w:rsidRPr="00B162C2">
        <w:t xml:space="preserve"> </w:t>
      </w:r>
    </w:p>
    <w:p w14:paraId="480D9500" w14:textId="356E63FD" w:rsidR="00270ABB" w:rsidRPr="007F52A5" w:rsidRDefault="00270ABB" w:rsidP="0023581C">
      <w:pPr>
        <w:pStyle w:val="3-BodyText"/>
      </w:pPr>
      <w:r w:rsidRPr="007F52A5">
        <w:t>The submission presented a stepped economic evaluation of zilucoplan in combination with standard therapy compared to placebo in combination with standard therapy for the treatment of AChR+ generalised myasthenia gravis in the second-line and treatment refractory settings. The economic evaluation was based on a direct randomised trial (RAISE) and extension study with additional modelled data. The economic evaluation was presented as a cost-effectiveness/cost-utility analysis.</w:t>
      </w:r>
    </w:p>
    <w:p w14:paraId="572CC778" w14:textId="2BF627F6" w:rsidR="00270ABB" w:rsidRPr="007F52A5" w:rsidRDefault="00FC3CFC" w:rsidP="0023581C">
      <w:pPr>
        <w:pStyle w:val="3-BodyText"/>
      </w:pPr>
      <w:bookmarkStart w:id="74" w:name="_Ref169270549"/>
      <w:r w:rsidRPr="007F52A5">
        <w:t>The evaluation and the ESC considered i</w:t>
      </w:r>
      <w:r w:rsidR="00270ABB" w:rsidRPr="007F52A5">
        <w:t>t would have been more appropriate to present separate economic analyses for each of the proposed places in therapy (second-line, treatment-refractory) given the differences in patient populations and treatment options.</w:t>
      </w:r>
      <w:bookmarkEnd w:id="74"/>
    </w:p>
    <w:p w14:paraId="3646F156" w14:textId="7573C04E" w:rsidR="00270ABB" w:rsidRPr="007F52A5" w:rsidRDefault="00270ABB" w:rsidP="0023581C">
      <w:pPr>
        <w:pStyle w:val="3-BodyText"/>
      </w:pPr>
      <w:r w:rsidRPr="007F52A5">
        <w:t>Key components of the economic evaluation are summarised in</w:t>
      </w:r>
      <w:r w:rsidR="005A6F32" w:rsidRPr="007F52A5">
        <w:t xml:space="preserve"> </w:t>
      </w:r>
      <w:r w:rsidR="00C93E59" w:rsidRPr="007F52A5">
        <w:fldChar w:fldCharType="begin" w:fldLock="1"/>
      </w:r>
      <w:r w:rsidR="00C93E59" w:rsidRPr="007F52A5">
        <w:instrText xml:space="preserve"> REF _Ref167111177 \h </w:instrText>
      </w:r>
      <w:r w:rsidR="007F52A5" w:rsidRPr="007F52A5">
        <w:instrText xml:space="preserve"> \* MERGEFORMAT </w:instrText>
      </w:r>
      <w:r w:rsidR="00C93E59" w:rsidRPr="007F52A5">
        <w:fldChar w:fldCharType="separate"/>
      </w:r>
      <w:r w:rsidR="00FC355E" w:rsidRPr="00B162C2">
        <w:t xml:space="preserve">Table </w:t>
      </w:r>
      <w:r w:rsidR="00FC355E">
        <w:rPr>
          <w:noProof/>
        </w:rPr>
        <w:t>13</w:t>
      </w:r>
      <w:r w:rsidR="00C93E59" w:rsidRPr="007F52A5">
        <w:fldChar w:fldCharType="end"/>
      </w:r>
      <w:r w:rsidRPr="007F52A5">
        <w:t xml:space="preserve">. </w:t>
      </w:r>
    </w:p>
    <w:p w14:paraId="1AE7CE51" w14:textId="5C905D44" w:rsidR="008344B9" w:rsidRPr="00B162C2" w:rsidRDefault="008344B9" w:rsidP="00803057">
      <w:pPr>
        <w:pStyle w:val="COMtablefigcaption"/>
        <w:keepLines/>
      </w:pPr>
      <w:bookmarkStart w:id="75" w:name="_Ref167111177"/>
      <w:r w:rsidRPr="00B162C2">
        <w:t xml:space="preserve">Table </w:t>
      </w:r>
      <w:r w:rsidR="002F23E8">
        <w:fldChar w:fldCharType="begin" w:fldLock="1"/>
      </w:r>
      <w:r w:rsidR="002F23E8">
        <w:instrText xml:space="preserve"> SEQ Table \* ARABIC </w:instrText>
      </w:r>
      <w:r w:rsidR="002F23E8">
        <w:fldChar w:fldCharType="separate"/>
      </w:r>
      <w:r w:rsidR="00FC355E">
        <w:rPr>
          <w:noProof/>
        </w:rPr>
        <w:t>13</w:t>
      </w:r>
      <w:r w:rsidR="002F23E8">
        <w:rPr>
          <w:noProof/>
        </w:rPr>
        <w:fldChar w:fldCharType="end"/>
      </w:r>
      <w:bookmarkEnd w:id="75"/>
      <w:r w:rsidRPr="00B162C2">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Caption w:val="Table 13: Key components of the economic evaluation"/>
      </w:tblPr>
      <w:tblGrid>
        <w:gridCol w:w="1834"/>
        <w:gridCol w:w="7181"/>
      </w:tblGrid>
      <w:tr w:rsidR="008344B9" w:rsidRPr="00B162C2" w14:paraId="685908DE" w14:textId="77777777" w:rsidTr="00926695">
        <w:trPr>
          <w:cantSplit/>
          <w:tblHeader/>
        </w:trPr>
        <w:tc>
          <w:tcPr>
            <w:tcW w:w="1017" w:type="pct"/>
          </w:tcPr>
          <w:p w14:paraId="49E2C733" w14:textId="77777777" w:rsidR="008344B9" w:rsidRPr="00B162C2" w:rsidRDefault="008344B9" w:rsidP="00803057">
            <w:pPr>
              <w:pStyle w:val="TableText"/>
              <w:keepLines/>
              <w:rPr>
                <w:b/>
              </w:rPr>
            </w:pPr>
            <w:r w:rsidRPr="00B162C2">
              <w:rPr>
                <w:b/>
              </w:rPr>
              <w:t xml:space="preserve">Component </w:t>
            </w:r>
          </w:p>
        </w:tc>
        <w:tc>
          <w:tcPr>
            <w:tcW w:w="3983" w:type="pct"/>
          </w:tcPr>
          <w:p w14:paraId="1C00DE33" w14:textId="77777777" w:rsidR="008344B9" w:rsidRPr="00B162C2" w:rsidRDefault="008344B9" w:rsidP="00803057">
            <w:pPr>
              <w:pStyle w:val="TableText"/>
              <w:keepLines/>
              <w:rPr>
                <w:b/>
              </w:rPr>
            </w:pPr>
            <w:r w:rsidRPr="00B162C2">
              <w:rPr>
                <w:b/>
              </w:rPr>
              <w:t>Description</w:t>
            </w:r>
          </w:p>
        </w:tc>
      </w:tr>
      <w:tr w:rsidR="008344B9" w:rsidRPr="00B162C2" w14:paraId="2B676706" w14:textId="77777777" w:rsidTr="00926695">
        <w:trPr>
          <w:cantSplit/>
        </w:trPr>
        <w:tc>
          <w:tcPr>
            <w:tcW w:w="1017" w:type="pct"/>
            <w:vAlign w:val="center"/>
          </w:tcPr>
          <w:p w14:paraId="3AB60B49" w14:textId="77777777" w:rsidR="008344B9" w:rsidRPr="00B162C2" w:rsidRDefault="008344B9" w:rsidP="00803057">
            <w:pPr>
              <w:pStyle w:val="TableText"/>
              <w:keepLines/>
            </w:pPr>
            <w:r w:rsidRPr="00B162C2">
              <w:t xml:space="preserve">Type of analysis </w:t>
            </w:r>
          </w:p>
        </w:tc>
        <w:tc>
          <w:tcPr>
            <w:tcW w:w="3983" w:type="pct"/>
            <w:vAlign w:val="center"/>
          </w:tcPr>
          <w:p w14:paraId="74DBB2CD" w14:textId="77777777" w:rsidR="008344B9" w:rsidRPr="00B162C2" w:rsidRDefault="008344B9" w:rsidP="00803057">
            <w:pPr>
              <w:pStyle w:val="TableText"/>
              <w:keepLines/>
              <w:rPr>
                <w:rFonts w:ascii="Times" w:eastAsia="Times New Roman" w:hAnsi="Times" w:cs="Times New Roman"/>
                <w:szCs w:val="20"/>
              </w:rPr>
            </w:pPr>
            <w:r w:rsidRPr="00B162C2">
              <w:t>Cost-effectiveness analysis/cost-utility analysis</w:t>
            </w:r>
          </w:p>
        </w:tc>
      </w:tr>
      <w:tr w:rsidR="008344B9" w:rsidRPr="00B162C2" w14:paraId="1270E6A2" w14:textId="77777777" w:rsidTr="00926695">
        <w:trPr>
          <w:cantSplit/>
        </w:trPr>
        <w:tc>
          <w:tcPr>
            <w:tcW w:w="1017" w:type="pct"/>
            <w:vAlign w:val="center"/>
          </w:tcPr>
          <w:p w14:paraId="38E81118" w14:textId="77777777" w:rsidR="008344B9" w:rsidRPr="00B162C2" w:rsidRDefault="008344B9" w:rsidP="00803057">
            <w:pPr>
              <w:pStyle w:val="TableText"/>
              <w:keepLines/>
              <w:rPr>
                <w:rFonts w:ascii="Times" w:eastAsia="Times New Roman" w:hAnsi="Times" w:cs="Times New Roman"/>
                <w:szCs w:val="20"/>
              </w:rPr>
            </w:pPr>
            <w:r w:rsidRPr="00B162C2">
              <w:t>Outcomes</w:t>
            </w:r>
          </w:p>
        </w:tc>
        <w:tc>
          <w:tcPr>
            <w:tcW w:w="3983" w:type="pct"/>
            <w:vAlign w:val="center"/>
          </w:tcPr>
          <w:p w14:paraId="39E49D3C" w14:textId="77777777" w:rsidR="008344B9" w:rsidRPr="00B162C2" w:rsidRDefault="008344B9" w:rsidP="00803057">
            <w:pPr>
              <w:pStyle w:val="TableText"/>
              <w:keepLines/>
            </w:pPr>
            <w:r w:rsidRPr="00B162C2">
              <w:t>Patients with response; life years; quality adjusted life years</w:t>
            </w:r>
          </w:p>
        </w:tc>
      </w:tr>
      <w:tr w:rsidR="008344B9" w:rsidRPr="00B162C2" w14:paraId="34130702" w14:textId="77777777" w:rsidTr="00926695">
        <w:trPr>
          <w:cantSplit/>
        </w:trPr>
        <w:tc>
          <w:tcPr>
            <w:tcW w:w="1017" w:type="pct"/>
            <w:vAlign w:val="center"/>
          </w:tcPr>
          <w:p w14:paraId="104C948B" w14:textId="77777777" w:rsidR="008344B9" w:rsidRPr="00B162C2" w:rsidRDefault="008344B9" w:rsidP="00803057">
            <w:pPr>
              <w:pStyle w:val="TableText"/>
              <w:keepLines/>
              <w:rPr>
                <w:rFonts w:ascii="Times" w:eastAsia="Times New Roman" w:hAnsi="Times" w:cs="Times New Roman"/>
                <w:szCs w:val="20"/>
              </w:rPr>
            </w:pPr>
            <w:r w:rsidRPr="00B162C2">
              <w:t>Time horizon</w:t>
            </w:r>
          </w:p>
        </w:tc>
        <w:tc>
          <w:tcPr>
            <w:tcW w:w="3983" w:type="pct"/>
            <w:vAlign w:val="center"/>
          </w:tcPr>
          <w:p w14:paraId="64EB5B1B" w14:textId="77777777" w:rsidR="008344B9" w:rsidRPr="00B162C2" w:rsidRDefault="008344B9" w:rsidP="00803057">
            <w:pPr>
              <w:pStyle w:val="TableText"/>
              <w:keepLines/>
              <w:rPr>
                <w:rFonts w:ascii="Times" w:eastAsia="Times New Roman" w:hAnsi="Times" w:cs="Times New Roman"/>
                <w:szCs w:val="20"/>
              </w:rPr>
            </w:pPr>
            <w:r w:rsidRPr="00B162C2">
              <w:t>10 years</w:t>
            </w:r>
          </w:p>
        </w:tc>
      </w:tr>
      <w:tr w:rsidR="008344B9" w:rsidRPr="00B162C2" w14:paraId="3E887485" w14:textId="77777777" w:rsidTr="00926695">
        <w:trPr>
          <w:cantSplit/>
        </w:trPr>
        <w:tc>
          <w:tcPr>
            <w:tcW w:w="1017" w:type="pct"/>
            <w:vAlign w:val="center"/>
          </w:tcPr>
          <w:p w14:paraId="5900964A" w14:textId="77777777" w:rsidR="008344B9" w:rsidRPr="00B162C2" w:rsidRDefault="008344B9" w:rsidP="00803057">
            <w:pPr>
              <w:pStyle w:val="TableText"/>
              <w:keepLines/>
              <w:rPr>
                <w:rFonts w:ascii="Times" w:eastAsia="Times New Roman" w:hAnsi="Times" w:cs="Times New Roman"/>
                <w:szCs w:val="20"/>
              </w:rPr>
            </w:pPr>
            <w:r w:rsidRPr="00B162C2">
              <w:t>Methods used to generate results</w:t>
            </w:r>
          </w:p>
        </w:tc>
        <w:tc>
          <w:tcPr>
            <w:tcW w:w="3983" w:type="pct"/>
            <w:vAlign w:val="center"/>
          </w:tcPr>
          <w:p w14:paraId="0692886D" w14:textId="77777777" w:rsidR="008344B9" w:rsidRPr="00B162C2" w:rsidRDefault="008344B9" w:rsidP="00803057">
            <w:pPr>
              <w:pStyle w:val="TableText"/>
              <w:keepLines/>
              <w:rPr>
                <w:rFonts w:ascii="Times" w:eastAsia="Times New Roman" w:hAnsi="Times" w:cs="Times New Roman"/>
                <w:szCs w:val="20"/>
              </w:rPr>
            </w:pPr>
            <w:r w:rsidRPr="00B162C2">
              <w:t xml:space="preserve">Markov cohort model </w:t>
            </w:r>
          </w:p>
        </w:tc>
      </w:tr>
      <w:tr w:rsidR="008344B9" w:rsidRPr="00B162C2" w14:paraId="558DB24C" w14:textId="77777777" w:rsidTr="00926695">
        <w:trPr>
          <w:cantSplit/>
        </w:trPr>
        <w:tc>
          <w:tcPr>
            <w:tcW w:w="1017" w:type="pct"/>
            <w:vAlign w:val="center"/>
          </w:tcPr>
          <w:p w14:paraId="13EAF1A1" w14:textId="77777777" w:rsidR="008344B9" w:rsidRPr="00B162C2" w:rsidRDefault="008344B9" w:rsidP="00803057">
            <w:pPr>
              <w:pStyle w:val="TableText"/>
              <w:keepLines/>
            </w:pPr>
            <w:r w:rsidRPr="00B162C2">
              <w:t>Treatments</w:t>
            </w:r>
          </w:p>
        </w:tc>
        <w:tc>
          <w:tcPr>
            <w:tcW w:w="3983" w:type="pct"/>
            <w:vAlign w:val="center"/>
          </w:tcPr>
          <w:p w14:paraId="374462C3" w14:textId="57147E46" w:rsidR="008344B9" w:rsidRPr="00B162C2" w:rsidRDefault="008344B9" w:rsidP="00803057">
            <w:pPr>
              <w:pStyle w:val="TableText"/>
              <w:keepLines/>
            </w:pPr>
            <w:r w:rsidRPr="00B162C2">
              <w:t>Zilucoplan and placebo in combination with standard therapy (consisting of anticholinesterases, corticosteroids and other immunosuppressive agents such as mycophenolate mofetil and azathioprine). Treatment non-responders in the treatment-refractory setting were assumed to receive subsequent treatment with chronic IVIg/PLEX and escalated standard therapy</w:t>
            </w:r>
            <w:r w:rsidR="00E82123">
              <w:t xml:space="preserve">. </w:t>
            </w:r>
          </w:p>
        </w:tc>
      </w:tr>
      <w:tr w:rsidR="008344B9" w:rsidRPr="00B162C2" w14:paraId="239F0A35" w14:textId="77777777" w:rsidTr="00926695">
        <w:trPr>
          <w:cantSplit/>
        </w:trPr>
        <w:tc>
          <w:tcPr>
            <w:tcW w:w="1017" w:type="pct"/>
            <w:vAlign w:val="center"/>
          </w:tcPr>
          <w:p w14:paraId="37FDF72F" w14:textId="77777777" w:rsidR="008344B9" w:rsidRPr="00B162C2" w:rsidRDefault="008344B9" w:rsidP="00803057">
            <w:pPr>
              <w:pStyle w:val="TableText"/>
              <w:keepLines/>
              <w:rPr>
                <w:rFonts w:ascii="Times" w:eastAsia="Times New Roman" w:hAnsi="Times" w:cs="Times New Roman"/>
                <w:szCs w:val="20"/>
              </w:rPr>
            </w:pPr>
            <w:r w:rsidRPr="00B162C2">
              <w:t>Health states</w:t>
            </w:r>
          </w:p>
        </w:tc>
        <w:tc>
          <w:tcPr>
            <w:tcW w:w="3983" w:type="pct"/>
            <w:vAlign w:val="center"/>
          </w:tcPr>
          <w:p w14:paraId="25009D4B" w14:textId="77777777" w:rsidR="008344B9" w:rsidRPr="00B162C2" w:rsidRDefault="008344B9" w:rsidP="00803057">
            <w:pPr>
              <w:pStyle w:val="TableText"/>
              <w:keepLines/>
            </w:pPr>
            <w:r w:rsidRPr="00B162C2">
              <w:t xml:space="preserve">6 health states including responder, non-responder (on-treatment), non-responder (off-treatment), exacerbation (on-treatment), exacerbation (off-treatment) and myasthenic crisis as well as death. </w:t>
            </w:r>
          </w:p>
        </w:tc>
      </w:tr>
      <w:tr w:rsidR="008344B9" w:rsidRPr="00B162C2" w14:paraId="107090D3" w14:textId="77777777" w:rsidTr="00926695">
        <w:trPr>
          <w:cantSplit/>
        </w:trPr>
        <w:tc>
          <w:tcPr>
            <w:tcW w:w="1017" w:type="pct"/>
            <w:vAlign w:val="center"/>
          </w:tcPr>
          <w:p w14:paraId="2757636E" w14:textId="77777777" w:rsidR="008344B9" w:rsidRPr="00B162C2" w:rsidRDefault="008344B9" w:rsidP="00803057">
            <w:pPr>
              <w:pStyle w:val="TableText"/>
              <w:keepLines/>
              <w:rPr>
                <w:rFonts w:ascii="Times" w:eastAsia="Times New Roman" w:hAnsi="Times" w:cs="Times New Roman"/>
                <w:szCs w:val="20"/>
              </w:rPr>
            </w:pPr>
            <w:r w:rsidRPr="00B162C2">
              <w:t>Cycle length</w:t>
            </w:r>
          </w:p>
        </w:tc>
        <w:tc>
          <w:tcPr>
            <w:tcW w:w="3983" w:type="pct"/>
            <w:vAlign w:val="center"/>
          </w:tcPr>
          <w:p w14:paraId="5E8E3412" w14:textId="77777777" w:rsidR="008344B9" w:rsidRPr="00B162C2" w:rsidRDefault="008344B9" w:rsidP="00803057">
            <w:pPr>
              <w:pStyle w:val="TableText"/>
              <w:keepLines/>
            </w:pPr>
            <w:r w:rsidRPr="00B162C2">
              <w:t>2-weeks (with no half-cycle correction)</w:t>
            </w:r>
          </w:p>
        </w:tc>
      </w:tr>
      <w:tr w:rsidR="002F563C" w:rsidRPr="00B162C2" w14:paraId="1CE8D8E2" w14:textId="77777777" w:rsidTr="00926695">
        <w:trPr>
          <w:cantSplit/>
          <w:trHeight w:val="347"/>
        </w:trPr>
        <w:tc>
          <w:tcPr>
            <w:tcW w:w="1017" w:type="pct"/>
            <w:vAlign w:val="center"/>
          </w:tcPr>
          <w:p w14:paraId="12894F29" w14:textId="330068C1" w:rsidR="002F563C" w:rsidRPr="00B162C2" w:rsidRDefault="002F563C" w:rsidP="00803057">
            <w:pPr>
              <w:pStyle w:val="TableText"/>
              <w:keepLines/>
            </w:pPr>
            <w:r w:rsidRPr="00B162C2">
              <w:t>Patient characteristics</w:t>
            </w:r>
          </w:p>
        </w:tc>
        <w:tc>
          <w:tcPr>
            <w:tcW w:w="3983" w:type="pct"/>
            <w:vAlign w:val="center"/>
          </w:tcPr>
          <w:p w14:paraId="38AE9723" w14:textId="6B1C8F77" w:rsidR="002F563C" w:rsidRPr="00B162C2" w:rsidRDefault="002F563C" w:rsidP="00803057">
            <w:pPr>
              <w:pStyle w:val="TableText"/>
              <w:keepLines/>
              <w:rPr>
                <w:szCs w:val="20"/>
              </w:rPr>
            </w:pPr>
            <w:r w:rsidRPr="00B162C2">
              <w:t>Age, sex, mean weight, distribution across weight categories, baseline MG-ADL score</w:t>
            </w:r>
            <w:r w:rsidR="00C4513A" w:rsidRPr="00B162C2">
              <w:t xml:space="preserve">, </w:t>
            </w:r>
            <w:r w:rsidRPr="00B162C2">
              <w:t xml:space="preserve">baseline EQ-5D utility value and the proportion of treatment refractory patients </w:t>
            </w:r>
            <w:r w:rsidR="00A664CF">
              <w:t xml:space="preserve">(50.6%) </w:t>
            </w:r>
            <w:r w:rsidRPr="00B162C2">
              <w:t>were based on data from the combined treatment arms of the RAISE trial.</w:t>
            </w:r>
          </w:p>
        </w:tc>
      </w:tr>
      <w:tr w:rsidR="002F563C" w:rsidRPr="00B162C2" w14:paraId="3B88735E" w14:textId="77777777" w:rsidTr="00926695">
        <w:trPr>
          <w:cantSplit/>
        </w:trPr>
        <w:tc>
          <w:tcPr>
            <w:tcW w:w="1017" w:type="pct"/>
            <w:vAlign w:val="center"/>
          </w:tcPr>
          <w:p w14:paraId="0233ADDD" w14:textId="699E40AB" w:rsidR="002F563C" w:rsidRPr="00B162C2" w:rsidRDefault="002F563C" w:rsidP="00803057">
            <w:pPr>
              <w:pStyle w:val="TableText"/>
              <w:keepLines/>
            </w:pPr>
            <w:r w:rsidRPr="00B162C2">
              <w:t>Circumstances of use</w:t>
            </w:r>
          </w:p>
        </w:tc>
        <w:tc>
          <w:tcPr>
            <w:tcW w:w="3983" w:type="pct"/>
            <w:vAlign w:val="center"/>
          </w:tcPr>
          <w:p w14:paraId="25C58736" w14:textId="1C4DF6FA" w:rsidR="00C4513A" w:rsidRPr="00B162C2" w:rsidRDefault="00C4513A" w:rsidP="00803057">
            <w:pPr>
              <w:pStyle w:val="TableText"/>
              <w:keepLines/>
              <w:spacing w:after="120"/>
            </w:pPr>
            <w:r w:rsidRPr="00B162C2">
              <w:t>The model assumed that all patients would be fully adherent to standard therapy.</w:t>
            </w:r>
          </w:p>
          <w:p w14:paraId="25E0E0CF" w14:textId="77777777" w:rsidR="00C4513A" w:rsidRPr="00B162C2" w:rsidRDefault="00C4513A" w:rsidP="00803057">
            <w:pPr>
              <w:pStyle w:val="TableText"/>
              <w:keepLines/>
              <w:spacing w:after="120"/>
            </w:pPr>
            <w:r w:rsidRPr="00B162C2">
              <w:t>Patients were assumed to be fully adherent with initial treatment (zilucoplan or placebo) and would only discontinue due to lack of response (at Week 16) or due to an exacerbation event, a myasthenic crisis event or death.</w:t>
            </w:r>
          </w:p>
          <w:p w14:paraId="3F1D35E6" w14:textId="218272D4" w:rsidR="00C4513A" w:rsidRPr="00B162C2" w:rsidRDefault="00C4513A" w:rsidP="00803057">
            <w:pPr>
              <w:pStyle w:val="TableText"/>
              <w:keepLines/>
              <w:spacing w:after="120"/>
            </w:pPr>
            <w:r w:rsidRPr="00B162C2">
              <w:t xml:space="preserve">Treatment responders were assumed to be able to decrease their corticosteroid dose while other medications remained unchanged. The submission assumed that treatment non-responders in the second-line setting would continue standard therapy without modification while treatment non-responders in the treatment </w:t>
            </w:r>
            <w:r w:rsidR="004419C0">
              <w:t>refractory</w:t>
            </w:r>
            <w:r w:rsidR="004419C0" w:rsidRPr="00B162C2">
              <w:t xml:space="preserve"> </w:t>
            </w:r>
            <w:r w:rsidRPr="00B162C2">
              <w:t>setting would switch to chronic IVIg/PLEX and escalated standard therapy.</w:t>
            </w:r>
            <w:r w:rsidR="00E82123">
              <w:t xml:space="preserve"> </w:t>
            </w:r>
          </w:p>
          <w:p w14:paraId="13A1A6CB" w14:textId="5EA98415" w:rsidR="002F563C" w:rsidRPr="00B162C2" w:rsidRDefault="00C4513A" w:rsidP="00803057">
            <w:pPr>
              <w:pStyle w:val="TableText"/>
              <w:keepLines/>
              <w:rPr>
                <w:szCs w:val="20"/>
              </w:rPr>
            </w:pPr>
            <w:r w:rsidRPr="00B162C2">
              <w:t>It was assumed that escalated standard therapy and chronic IVIg/PLEX would not improve symptom control but would be maintained until death.</w:t>
            </w:r>
          </w:p>
        </w:tc>
      </w:tr>
      <w:tr w:rsidR="002F563C" w:rsidRPr="00B162C2" w14:paraId="14DAD012" w14:textId="77777777" w:rsidTr="00926695">
        <w:trPr>
          <w:cantSplit/>
        </w:trPr>
        <w:tc>
          <w:tcPr>
            <w:tcW w:w="1017" w:type="pct"/>
            <w:vAlign w:val="center"/>
          </w:tcPr>
          <w:p w14:paraId="4970B2E9" w14:textId="703E7B7C" w:rsidR="002F563C" w:rsidRPr="00B162C2" w:rsidRDefault="002F563C" w:rsidP="002F563C">
            <w:pPr>
              <w:pStyle w:val="TableText"/>
              <w:keepNext w:val="0"/>
            </w:pPr>
            <w:r w:rsidRPr="00B162C2">
              <w:t>Transition p</w:t>
            </w:r>
            <w:r w:rsidR="00E87BB3" w:rsidRPr="00B162C2">
              <w:t>robabilities</w:t>
            </w:r>
            <w:r w:rsidRPr="00B162C2">
              <w:t xml:space="preserve"> </w:t>
            </w:r>
          </w:p>
        </w:tc>
        <w:tc>
          <w:tcPr>
            <w:tcW w:w="3983" w:type="pct"/>
            <w:vAlign w:val="center"/>
          </w:tcPr>
          <w:p w14:paraId="038C80B2" w14:textId="0B38D689" w:rsidR="002F563C" w:rsidRPr="00B162C2" w:rsidRDefault="002F563C" w:rsidP="002F563C">
            <w:pPr>
              <w:pStyle w:val="TableText"/>
              <w:keepNext w:val="0"/>
              <w:spacing w:after="120"/>
              <w:rPr>
                <w:szCs w:val="20"/>
              </w:rPr>
            </w:pPr>
            <w:r w:rsidRPr="00B162C2">
              <w:rPr>
                <w:szCs w:val="20"/>
              </w:rPr>
              <w:t>Treatment response rates for zilucoplan and placebo were based on the RAISE trial and extension study.</w:t>
            </w:r>
          </w:p>
          <w:p w14:paraId="4031DD4B" w14:textId="446AF302" w:rsidR="002F563C" w:rsidRPr="00B162C2" w:rsidRDefault="002F563C" w:rsidP="002F563C">
            <w:pPr>
              <w:pStyle w:val="TableText"/>
              <w:keepNext w:val="0"/>
              <w:spacing w:after="120"/>
              <w:rPr>
                <w:szCs w:val="20"/>
              </w:rPr>
            </w:pPr>
            <w:r w:rsidRPr="00B162C2">
              <w:rPr>
                <w:szCs w:val="20"/>
              </w:rPr>
              <w:t>Changes in MG-ADL sc</w:t>
            </w:r>
            <w:r w:rsidR="00E87BB3" w:rsidRPr="00B162C2">
              <w:rPr>
                <w:szCs w:val="20"/>
              </w:rPr>
              <w:t>ores in treatment responders were</w:t>
            </w:r>
            <w:r w:rsidRPr="00B162C2">
              <w:rPr>
                <w:szCs w:val="20"/>
              </w:rPr>
              <w:t xml:space="preserve"> separately estimated for each treatment arm (regardless of response status) using data from the RAISE extension study. Treatment non-responders were assumed to return to baseline MG-ADL scores.</w:t>
            </w:r>
            <w:r w:rsidR="00631F91">
              <w:rPr>
                <w:szCs w:val="20"/>
              </w:rPr>
              <w:t xml:space="preserve"> The submission assumed MG-ADL score could be used as a proxy for MGC score, which is used in the restriction </w:t>
            </w:r>
            <w:r w:rsidR="005A6F32" w:rsidRPr="00906ED7">
              <w:rPr>
                <w:szCs w:val="20"/>
              </w:rPr>
              <w:t>(s</w:t>
            </w:r>
            <w:r w:rsidR="00631F91" w:rsidRPr="00906ED7">
              <w:rPr>
                <w:szCs w:val="20"/>
              </w:rPr>
              <w:t xml:space="preserve">ee paragraph </w:t>
            </w:r>
            <w:r w:rsidR="00631F91" w:rsidRPr="00906ED7">
              <w:rPr>
                <w:szCs w:val="20"/>
              </w:rPr>
              <w:fldChar w:fldCharType="begin" w:fldLock="1"/>
            </w:r>
            <w:r w:rsidR="00631F91" w:rsidRPr="00906ED7">
              <w:rPr>
                <w:szCs w:val="20"/>
              </w:rPr>
              <w:instrText xml:space="preserve"> REF _Ref166668381 \r \h </w:instrText>
            </w:r>
            <w:r w:rsidR="00906ED7" w:rsidRPr="00906ED7">
              <w:rPr>
                <w:szCs w:val="20"/>
              </w:rPr>
              <w:instrText xml:space="preserve"> \* MERGEFORMAT </w:instrText>
            </w:r>
            <w:r w:rsidR="00631F91" w:rsidRPr="00906ED7">
              <w:rPr>
                <w:szCs w:val="20"/>
              </w:rPr>
            </w:r>
            <w:r w:rsidR="00631F91" w:rsidRPr="00906ED7">
              <w:rPr>
                <w:szCs w:val="20"/>
              </w:rPr>
              <w:fldChar w:fldCharType="separate"/>
            </w:r>
            <w:r w:rsidR="00FC355E">
              <w:rPr>
                <w:szCs w:val="20"/>
              </w:rPr>
              <w:t>6.72</w:t>
            </w:r>
            <w:r w:rsidR="00631F91" w:rsidRPr="00906ED7">
              <w:rPr>
                <w:szCs w:val="20"/>
              </w:rPr>
              <w:fldChar w:fldCharType="end"/>
            </w:r>
            <w:r w:rsidR="00631F91" w:rsidRPr="00906ED7">
              <w:rPr>
                <w:szCs w:val="20"/>
              </w:rPr>
              <w:t>).</w:t>
            </w:r>
            <w:r w:rsidR="00631F91">
              <w:rPr>
                <w:szCs w:val="20"/>
              </w:rPr>
              <w:t xml:space="preserve"> </w:t>
            </w:r>
          </w:p>
          <w:p w14:paraId="54035BAA" w14:textId="5EA211B0" w:rsidR="002F563C" w:rsidRPr="00B162C2" w:rsidRDefault="002F563C" w:rsidP="002F563C">
            <w:pPr>
              <w:pStyle w:val="TableText"/>
              <w:keepNext w:val="0"/>
              <w:spacing w:after="120"/>
              <w:rPr>
                <w:szCs w:val="20"/>
              </w:rPr>
            </w:pPr>
            <w:r w:rsidRPr="00B162C2">
              <w:rPr>
                <w:szCs w:val="20"/>
              </w:rPr>
              <w:t>The incidence of exacerbation and myasthenic crisis events with adjustment factors for treatment response were based on the published literature (Abuzinadah 2021; Gadjos 2005). The submission assumed an additional treatment effect for zilucoplan based on the time to rescue medication use from the RAISE trial</w:t>
            </w:r>
            <w:r w:rsidR="00E82123">
              <w:rPr>
                <w:szCs w:val="20"/>
              </w:rPr>
              <w:t xml:space="preserve"> (refer to paragraph </w:t>
            </w:r>
            <w:r w:rsidR="00E82123">
              <w:rPr>
                <w:szCs w:val="20"/>
              </w:rPr>
              <w:fldChar w:fldCharType="begin" w:fldLock="1"/>
            </w:r>
            <w:r w:rsidR="00E82123">
              <w:rPr>
                <w:szCs w:val="20"/>
              </w:rPr>
              <w:instrText xml:space="preserve"> REF _Ref167112456 \r \h </w:instrText>
            </w:r>
            <w:r w:rsidR="00E82123">
              <w:rPr>
                <w:szCs w:val="20"/>
              </w:rPr>
            </w:r>
            <w:r w:rsidR="00E82123">
              <w:rPr>
                <w:szCs w:val="20"/>
              </w:rPr>
              <w:fldChar w:fldCharType="separate"/>
            </w:r>
            <w:r w:rsidR="00FC355E">
              <w:rPr>
                <w:szCs w:val="20"/>
              </w:rPr>
              <w:t>6.28</w:t>
            </w:r>
            <w:r w:rsidR="00E82123">
              <w:rPr>
                <w:szCs w:val="20"/>
              </w:rPr>
              <w:fldChar w:fldCharType="end"/>
            </w:r>
            <w:r w:rsidR="00E82123">
              <w:rPr>
                <w:szCs w:val="20"/>
              </w:rPr>
              <w:t>)</w:t>
            </w:r>
            <w:r w:rsidRPr="00B162C2">
              <w:rPr>
                <w:szCs w:val="20"/>
              </w:rPr>
              <w:t>.</w:t>
            </w:r>
          </w:p>
          <w:p w14:paraId="1FE0654C" w14:textId="751D2708" w:rsidR="002F563C" w:rsidRPr="00B162C2" w:rsidRDefault="002F563C" w:rsidP="002F563C">
            <w:pPr>
              <w:pStyle w:val="TableText"/>
              <w:keepNext w:val="0"/>
              <w:spacing w:after="120"/>
              <w:rPr>
                <w:szCs w:val="20"/>
              </w:rPr>
            </w:pPr>
            <w:r w:rsidRPr="00B162C2">
              <w:rPr>
                <w:szCs w:val="20"/>
              </w:rPr>
              <w:t>All non-responders were assumed to discontinue treatment at 16 weeks. A risk of treatment discontinuation following an exacerbation in the first 16 weeks was assumed based on estimates from the published literature (Gadjos 2005). It was also assumed that all patients who experienced an exacerbation after 16 weeks of treatment or who experienced a myasthenic crisis at any time would discontinue therapy.</w:t>
            </w:r>
          </w:p>
          <w:p w14:paraId="7E9AD498" w14:textId="1BD0BD10" w:rsidR="002F563C" w:rsidRPr="00B162C2" w:rsidRDefault="002F563C" w:rsidP="002F563C">
            <w:pPr>
              <w:pStyle w:val="TableText"/>
              <w:keepNext w:val="0"/>
              <w:rPr>
                <w:szCs w:val="20"/>
              </w:rPr>
            </w:pPr>
            <w:r w:rsidRPr="00B162C2">
              <w:rPr>
                <w:szCs w:val="20"/>
              </w:rPr>
              <w:t>Transition probabilities for myasthenic crisis-related death were based on published estimates (Alshekhlee 2009). Transition probabilities for general</w:t>
            </w:r>
            <w:r w:rsidR="00E87BB3" w:rsidRPr="00B162C2">
              <w:rPr>
                <w:szCs w:val="20"/>
              </w:rPr>
              <w:t xml:space="preserve"> population</w:t>
            </w:r>
            <w:r w:rsidRPr="00B162C2">
              <w:rPr>
                <w:szCs w:val="20"/>
              </w:rPr>
              <w:t xml:space="preserve"> mortality were based on Australian life tables</w:t>
            </w:r>
            <w:r w:rsidR="00E87BB3" w:rsidRPr="00B162C2">
              <w:rPr>
                <w:szCs w:val="20"/>
              </w:rPr>
              <w:t>.</w:t>
            </w:r>
          </w:p>
        </w:tc>
      </w:tr>
      <w:tr w:rsidR="002F563C" w:rsidRPr="00B162C2" w14:paraId="0711DB18" w14:textId="77777777" w:rsidTr="00926695">
        <w:trPr>
          <w:cantSplit/>
        </w:trPr>
        <w:tc>
          <w:tcPr>
            <w:tcW w:w="1017" w:type="pct"/>
            <w:vAlign w:val="center"/>
          </w:tcPr>
          <w:p w14:paraId="740E239C" w14:textId="006B2DD9" w:rsidR="002F563C" w:rsidRPr="00B162C2" w:rsidRDefault="002F563C" w:rsidP="002F563C">
            <w:pPr>
              <w:pStyle w:val="TableText"/>
              <w:keepNext w:val="0"/>
            </w:pPr>
            <w:r w:rsidRPr="00B162C2">
              <w:t>Utility values</w:t>
            </w:r>
          </w:p>
        </w:tc>
        <w:tc>
          <w:tcPr>
            <w:tcW w:w="3983" w:type="pct"/>
            <w:vAlign w:val="center"/>
          </w:tcPr>
          <w:p w14:paraId="4B42BE5A" w14:textId="2960896F" w:rsidR="002F563C" w:rsidRPr="00B162C2" w:rsidRDefault="002F563C" w:rsidP="002F563C">
            <w:pPr>
              <w:pStyle w:val="Tabletext0"/>
              <w:spacing w:after="120"/>
              <w:rPr>
                <w:rFonts w:eastAsia="Calibri"/>
              </w:rPr>
            </w:pPr>
            <w:r w:rsidRPr="00B162C2">
              <w:rPr>
                <w:rFonts w:eastAsia="Calibri"/>
              </w:rPr>
              <w:t>Health state utility values were estimated using a regression equation derived from a</w:t>
            </w:r>
            <w:r w:rsidRPr="00B162C2">
              <w:rPr>
                <w:rFonts w:eastAsia="Calibri"/>
                <w:i/>
                <w:iCs/>
              </w:rPr>
              <w:t xml:space="preserve"> post</w:t>
            </w:r>
            <w:r w:rsidR="001254CD" w:rsidRPr="00B162C2">
              <w:rPr>
                <w:rFonts w:eastAsia="Calibri"/>
                <w:i/>
                <w:iCs/>
              </w:rPr>
              <w:t xml:space="preserve"> </w:t>
            </w:r>
            <w:r w:rsidRPr="00B162C2">
              <w:rPr>
                <w:rFonts w:eastAsia="Calibri"/>
                <w:i/>
                <w:iCs/>
              </w:rPr>
              <w:t xml:space="preserve">hoc </w:t>
            </w:r>
            <w:r w:rsidRPr="00B162C2">
              <w:rPr>
                <w:rFonts w:eastAsia="Calibri"/>
              </w:rPr>
              <w:t>analysis of the RAISE trial data (Grimson 2023; poster presentation). Health state utility values were updated in each cycle based on modelled changes in MG-ADL scores for treatment responders and non-responders.</w:t>
            </w:r>
          </w:p>
          <w:p w14:paraId="5A8D53C4" w14:textId="450DA87D" w:rsidR="002F563C" w:rsidRPr="00B162C2" w:rsidRDefault="002F563C" w:rsidP="002F563C">
            <w:pPr>
              <w:pStyle w:val="Tabletext0"/>
              <w:spacing w:after="120"/>
              <w:rPr>
                <w:rFonts w:eastAsia="Calibri"/>
              </w:rPr>
            </w:pPr>
            <w:r w:rsidRPr="00B162C2">
              <w:rPr>
                <w:rFonts w:eastAsia="Calibri"/>
              </w:rPr>
              <w:t>Exacerbation and myasthenic crisis disutility values were based on estimates used in the eculizumab 2020 CADTH submission for treatment-refractory generalised myasthenia gravis.</w:t>
            </w:r>
          </w:p>
          <w:p w14:paraId="5D790717" w14:textId="09CEC411" w:rsidR="002F563C" w:rsidRPr="00B162C2" w:rsidRDefault="002F563C" w:rsidP="002F563C">
            <w:pPr>
              <w:pStyle w:val="TableText"/>
              <w:keepNext w:val="0"/>
              <w:rPr>
                <w:szCs w:val="20"/>
              </w:rPr>
            </w:pPr>
            <w:r w:rsidRPr="00B162C2">
              <w:rPr>
                <w:rFonts w:eastAsia="Calibri"/>
              </w:rPr>
              <w:t>The disutility associated with high dose corticosteroids</w:t>
            </w:r>
            <w:r w:rsidR="0069364A" w:rsidRPr="00B162C2">
              <w:rPr>
                <w:rFonts w:eastAsia="Calibri"/>
              </w:rPr>
              <w:t xml:space="preserve"> (crude disutility: -0.1</w:t>
            </w:r>
            <w:r w:rsidR="00AF39EA">
              <w:rPr>
                <w:rFonts w:eastAsia="Calibri"/>
              </w:rPr>
              <w:t>8</w:t>
            </w:r>
            <w:r w:rsidR="0069364A" w:rsidRPr="00B162C2">
              <w:rPr>
                <w:rFonts w:eastAsia="Calibri"/>
              </w:rPr>
              <w:t>0</w:t>
            </w:r>
            <w:r w:rsidR="0069364A" w:rsidRPr="00E1771A">
              <w:rPr>
                <w:rFonts w:eastAsia="Calibri"/>
              </w:rPr>
              <w:t>; marginal disutility: -0.032)</w:t>
            </w:r>
            <w:r w:rsidRPr="00E1771A">
              <w:rPr>
                <w:rFonts w:eastAsia="Calibri"/>
              </w:rPr>
              <w:t xml:space="preserve"> was estimated based on the 2000-2003 United States Medical Expenditure Survey Panel for a subset of adult patients who have conditions for which systemic cortico</w:t>
            </w:r>
            <w:r w:rsidRPr="00B162C2">
              <w:rPr>
                <w:rFonts w:eastAsia="Calibri"/>
              </w:rPr>
              <w:t xml:space="preserve">steroids are commonly prescribed (Sullivan 2017). </w:t>
            </w:r>
          </w:p>
        </w:tc>
      </w:tr>
      <w:tr w:rsidR="002F563C" w:rsidRPr="00B162C2" w14:paraId="228BAD92" w14:textId="77777777" w:rsidTr="00926695">
        <w:trPr>
          <w:cantSplit/>
        </w:trPr>
        <w:tc>
          <w:tcPr>
            <w:tcW w:w="1017" w:type="pct"/>
            <w:vAlign w:val="center"/>
          </w:tcPr>
          <w:p w14:paraId="2CB83412" w14:textId="0E9B3F8A" w:rsidR="002F563C" w:rsidRPr="00B162C2" w:rsidRDefault="002F563C" w:rsidP="002F563C">
            <w:pPr>
              <w:pStyle w:val="TableText"/>
              <w:keepNext w:val="0"/>
            </w:pPr>
            <w:r w:rsidRPr="00B162C2">
              <w:t>Costs</w:t>
            </w:r>
          </w:p>
        </w:tc>
        <w:tc>
          <w:tcPr>
            <w:tcW w:w="3983" w:type="pct"/>
            <w:vAlign w:val="center"/>
          </w:tcPr>
          <w:p w14:paraId="1990A7C9" w14:textId="77777777" w:rsidR="002F563C" w:rsidRPr="00B162C2" w:rsidRDefault="002F563C" w:rsidP="002F563C">
            <w:pPr>
              <w:pStyle w:val="TableText"/>
              <w:spacing w:after="120"/>
            </w:pPr>
            <w:r w:rsidRPr="00B162C2">
              <w:t>Treatment costs for zilucoplan were estimated based on the proposed PBS effective price and assuming that patients will require a specialist visit for drug administration training and will also require meningococcal vaccination. Training costs were estimated based on MBS items while the cost of vaccination was estimated based on the Charles Sturt Health Services Price list.</w:t>
            </w:r>
          </w:p>
          <w:p w14:paraId="5D818F8D" w14:textId="060D3EE5" w:rsidR="002F563C" w:rsidRPr="00B162C2" w:rsidRDefault="002F563C" w:rsidP="002F563C">
            <w:pPr>
              <w:pStyle w:val="TableText"/>
              <w:spacing w:after="120"/>
            </w:pPr>
            <w:r w:rsidRPr="00B162C2">
              <w:t>The distribution of standard care therapies was estimated based on concomitant use for the combined treatment arms of the RAISE trial. Escalated standard care was assumed to be identical to standard care except all patients would also receive treatment with rituximab. Treatment costs were estimated based on current PBS items and dosing information from various published sources.</w:t>
            </w:r>
          </w:p>
          <w:p w14:paraId="4E6D03A4" w14:textId="77777777" w:rsidR="002F563C" w:rsidRPr="00B162C2" w:rsidRDefault="002F563C" w:rsidP="002F563C">
            <w:pPr>
              <w:pStyle w:val="TableText"/>
              <w:spacing w:after="120"/>
            </w:pPr>
            <w:r w:rsidRPr="00B162C2">
              <w:t>The distribution of chronic IVIg and chronic PLEX were derived from published estimates (Li 2021). The costs associated with subsequent IVIg/PLEX were estimated assuming patients receive the maximum subsidised dose for IVIg and would use a high intensity PLEX regimen. The cost of blood products was estimated based on the National Product Price List from the National Blood Authority. The cost of administration was estimated based on MBS items.</w:t>
            </w:r>
          </w:p>
          <w:p w14:paraId="4731883D" w14:textId="77777777" w:rsidR="002F563C" w:rsidRPr="00B162C2" w:rsidRDefault="002F563C" w:rsidP="002F563C">
            <w:pPr>
              <w:pStyle w:val="TableText"/>
              <w:spacing w:after="120"/>
            </w:pPr>
            <w:r w:rsidRPr="00B162C2">
              <w:t>The costs associated with exacerbations and myasthenic crises were calculated assuming all patients are hospitalised. The cost of hospitalisation was based on published AR-DRG cost weights.</w:t>
            </w:r>
          </w:p>
          <w:p w14:paraId="524467F2" w14:textId="77777777" w:rsidR="002F563C" w:rsidRPr="00B162C2" w:rsidRDefault="002F563C" w:rsidP="002F563C">
            <w:pPr>
              <w:pStyle w:val="TableText"/>
              <w:spacing w:after="120"/>
            </w:pPr>
            <w:r w:rsidRPr="00B162C2">
              <w:t xml:space="preserve">Disease management costs were based on expert opinion of resource use (nurse, GP and specialist visits as well as electrophysiology, physiotherapy and blood tests) for treatment responders and non-responders. These costs were estimated using MBS items. </w:t>
            </w:r>
          </w:p>
          <w:p w14:paraId="31B25C4C" w14:textId="7AB50C06" w:rsidR="002F563C" w:rsidRPr="00B162C2" w:rsidRDefault="002F563C" w:rsidP="002F563C">
            <w:pPr>
              <w:pStyle w:val="TableText"/>
              <w:keepNext w:val="0"/>
              <w:rPr>
                <w:szCs w:val="20"/>
              </w:rPr>
            </w:pPr>
            <w:r w:rsidRPr="00B162C2">
              <w:t>Terminal care costs were based on the average cost per separation for sub-acute episodes relating to palliative care according to the AN-SNAP classification system (NHCDC 2020-2021 report)</w:t>
            </w:r>
          </w:p>
        </w:tc>
      </w:tr>
      <w:tr w:rsidR="002F563C" w:rsidRPr="00B162C2" w14:paraId="22256B2D" w14:textId="77777777" w:rsidTr="00926695">
        <w:trPr>
          <w:cantSplit/>
        </w:trPr>
        <w:tc>
          <w:tcPr>
            <w:tcW w:w="1017" w:type="pct"/>
            <w:vAlign w:val="center"/>
          </w:tcPr>
          <w:p w14:paraId="296CF7F7" w14:textId="2C1D4A38" w:rsidR="002F563C" w:rsidRPr="00B162C2" w:rsidRDefault="002F563C" w:rsidP="002F563C">
            <w:pPr>
              <w:pStyle w:val="TableText"/>
              <w:keepNext w:val="0"/>
            </w:pPr>
            <w:r w:rsidRPr="00B162C2">
              <w:t>Discount rate</w:t>
            </w:r>
          </w:p>
        </w:tc>
        <w:tc>
          <w:tcPr>
            <w:tcW w:w="3983" w:type="pct"/>
            <w:vAlign w:val="center"/>
          </w:tcPr>
          <w:p w14:paraId="547185C3" w14:textId="43C9B478" w:rsidR="002F563C" w:rsidRPr="00B162C2" w:rsidRDefault="002F563C" w:rsidP="002F563C">
            <w:pPr>
              <w:pStyle w:val="TableText"/>
              <w:keepNext w:val="0"/>
            </w:pPr>
            <w:r w:rsidRPr="00B162C2">
              <w:t>5% for costs and outcomes</w:t>
            </w:r>
          </w:p>
        </w:tc>
      </w:tr>
      <w:tr w:rsidR="002F563C" w:rsidRPr="00B162C2" w14:paraId="51017246" w14:textId="77777777" w:rsidTr="00DE37B9">
        <w:tc>
          <w:tcPr>
            <w:tcW w:w="1017" w:type="pct"/>
            <w:vAlign w:val="center"/>
          </w:tcPr>
          <w:p w14:paraId="108D4EF4" w14:textId="723DB15A" w:rsidR="002F563C" w:rsidRPr="00B162C2" w:rsidRDefault="002F563C" w:rsidP="002F563C">
            <w:pPr>
              <w:pStyle w:val="TableText"/>
              <w:keepNext w:val="0"/>
              <w:rPr>
                <w:rFonts w:ascii="Times" w:eastAsia="Times New Roman" w:hAnsi="Times" w:cs="Times New Roman"/>
                <w:szCs w:val="20"/>
              </w:rPr>
            </w:pPr>
            <w:r w:rsidRPr="00B162C2">
              <w:t>Software package</w:t>
            </w:r>
          </w:p>
        </w:tc>
        <w:tc>
          <w:tcPr>
            <w:tcW w:w="3983" w:type="pct"/>
            <w:vAlign w:val="center"/>
          </w:tcPr>
          <w:p w14:paraId="181AA38F" w14:textId="02CFA01A" w:rsidR="002F563C" w:rsidRPr="00B162C2" w:rsidRDefault="002F563C" w:rsidP="002F563C">
            <w:pPr>
              <w:pStyle w:val="TableText"/>
              <w:keepNext w:val="0"/>
            </w:pPr>
            <w:r w:rsidRPr="00B162C2">
              <w:t>Microsoft Excel 365</w:t>
            </w:r>
          </w:p>
        </w:tc>
      </w:tr>
    </w:tbl>
    <w:p w14:paraId="1D70280F" w14:textId="77777777" w:rsidR="0069364A" w:rsidRPr="00B162C2" w:rsidRDefault="0069364A" w:rsidP="0069364A">
      <w:pPr>
        <w:pStyle w:val="TableFigureFooter"/>
      </w:pPr>
      <w:r w:rsidRPr="00B162C2">
        <w:t>Source: Section 3, pp106-170 of the submission</w:t>
      </w:r>
    </w:p>
    <w:p w14:paraId="72BD7DEB" w14:textId="393E2483" w:rsidR="0069364A" w:rsidRPr="00B162C2" w:rsidRDefault="0069364A" w:rsidP="0023581C">
      <w:pPr>
        <w:pStyle w:val="TableFigureFooter"/>
        <w:contextualSpacing w:val="0"/>
      </w:pPr>
      <w:r w:rsidRPr="00B162C2">
        <w:t xml:space="preserve">Abbreviations: </w:t>
      </w:r>
      <w:r w:rsidR="00C4513A" w:rsidRPr="00B162C2">
        <w:t xml:space="preserve">AN-SNAP, Australian National Subacute and Non-Acute Patient; </w:t>
      </w:r>
      <w:r w:rsidRPr="00B162C2">
        <w:t>AR-DRG, Australian Refined Diagnosis Related Groups; GP, general practitioner; IVIg, intravenous immunoglobulin; MBS, Medicare Benefits Schedule; MG-ADL, Myasthenia Gravis Activities of Daily Living; NHCDC; National Hospital Cost Data Collection; PBS, Pharmaceutical Benefits Scheme; PLEX, plasma exchange.</w:t>
      </w:r>
    </w:p>
    <w:p w14:paraId="0DA3637D" w14:textId="71784640" w:rsidR="00C90A7E" w:rsidRPr="00B162C2" w:rsidRDefault="00C90A7E" w:rsidP="0023581C">
      <w:pPr>
        <w:pStyle w:val="3-BodyText"/>
      </w:pPr>
      <w:r w:rsidRPr="00B162C2">
        <w:t xml:space="preserve">All patients begin the model in the non-responder (on-treatment) health state with a mix of patients in the second-line and treatment refractory settings. </w:t>
      </w:r>
      <w:r w:rsidR="00A664CF">
        <w:t>The difference between the two populations (</w:t>
      </w:r>
      <w:r w:rsidR="00A664CF" w:rsidRPr="00A664CF">
        <w:t>second</w:t>
      </w:r>
      <w:r w:rsidR="00803057">
        <w:t xml:space="preserve"> </w:t>
      </w:r>
      <w:r w:rsidR="00A664CF" w:rsidRPr="00A664CF">
        <w:t>line and treatment refractory</w:t>
      </w:r>
      <w:r w:rsidR="00A664CF">
        <w:t>)</w:t>
      </w:r>
      <w:r w:rsidR="00A664CF" w:rsidRPr="00A664CF">
        <w:t xml:space="preserve"> </w:t>
      </w:r>
      <w:r w:rsidR="00A664CF">
        <w:t xml:space="preserve">was the subsequent treatment costs applied as outlined in paragraph </w:t>
      </w:r>
      <w:r w:rsidR="00A664CF">
        <w:fldChar w:fldCharType="begin" w:fldLock="1"/>
      </w:r>
      <w:r w:rsidR="00A664CF">
        <w:instrText xml:space="preserve"> REF _Ref167195558 \r \h </w:instrText>
      </w:r>
      <w:r w:rsidR="0023581C">
        <w:instrText xml:space="preserve"> \* MERGEFORMAT </w:instrText>
      </w:r>
      <w:r w:rsidR="00A664CF">
        <w:fldChar w:fldCharType="separate"/>
      </w:r>
      <w:r w:rsidR="00FC355E">
        <w:t>6.68</w:t>
      </w:r>
      <w:r w:rsidR="00A664CF">
        <w:fldChar w:fldCharType="end"/>
      </w:r>
      <w:r w:rsidR="00A664CF">
        <w:t xml:space="preserve"> (health state transition probabilities were the same).</w:t>
      </w:r>
    </w:p>
    <w:p w14:paraId="54728E6F" w14:textId="681F27FD" w:rsidR="00C90A7E" w:rsidRPr="00B162C2" w:rsidRDefault="00C90A7E" w:rsidP="0023581C">
      <w:pPr>
        <w:pStyle w:val="3-BodyText"/>
      </w:pPr>
      <w:r w:rsidRPr="00B162C2">
        <w:t>During the first 16 weeks of the model, patients may remain in their current state, achieve response, experience an exacerbation or myasthenic crisis event or die in each cycle. Patients who experience an exacerbation event may continue or discontinue therapy and have an increased risk of a myasthenic crisis event in the next cycle. Patients who experience a myasthenic crisis event will discontinue therapy and have an increased risk of a crisis-related death in the next cycle.</w:t>
      </w:r>
    </w:p>
    <w:p w14:paraId="2AAD67C4" w14:textId="0C96AD95" w:rsidR="00C90A7E" w:rsidRPr="00B162C2" w:rsidRDefault="00C90A7E" w:rsidP="0023581C">
      <w:pPr>
        <w:pStyle w:val="3-BodyText"/>
      </w:pPr>
      <w:r w:rsidRPr="00B162C2">
        <w:t xml:space="preserve">After 16 weeks of treatment, all non-responders are assumed to discontinue treatment with zilucoplan or placebo. During each </w:t>
      </w:r>
      <w:r w:rsidR="004419C0">
        <w:t xml:space="preserve">subsequent </w:t>
      </w:r>
      <w:r w:rsidRPr="00B162C2">
        <w:t xml:space="preserve">cycle of the model, patients may remain in their current state, experience an exacerbation or myasthenic crisis event, or die. Treatment responders who experience an exacerbation event </w:t>
      </w:r>
      <w:r w:rsidR="00C654EA">
        <w:t xml:space="preserve">were assumed to </w:t>
      </w:r>
      <w:r w:rsidRPr="00B162C2">
        <w:t xml:space="preserve">discontinue therapy and all patients with an exacerbation have an increased risk of a myasthenic crisis event in the next cycle. Treatment responders who experience a myasthenic crisis event </w:t>
      </w:r>
      <w:r w:rsidR="00C654EA">
        <w:t xml:space="preserve">were assumed to </w:t>
      </w:r>
      <w:r w:rsidRPr="00B162C2">
        <w:t>discontinue therapy and all patients with a crisis event have an increased risk of a crisis-related death in the next cycle.</w:t>
      </w:r>
      <w:r w:rsidR="00395B9F">
        <w:t xml:space="preserve"> (That is, after 16 weeks, responders in the zilucoplan arm remain on zilucoplan treatment indefinitely unless they experience an exacerbation, </w:t>
      </w:r>
      <w:r w:rsidR="00395B9F" w:rsidRPr="00B162C2">
        <w:t>myasthenic crisis event, or die</w:t>
      </w:r>
      <w:r w:rsidR="00395B9F">
        <w:t>).</w:t>
      </w:r>
      <w:r w:rsidR="00E1771A" w:rsidRPr="00BC0A02">
        <w:rPr>
          <w:i/>
          <w:iCs/>
        </w:rPr>
        <w:t xml:space="preserve"> </w:t>
      </w:r>
    </w:p>
    <w:p w14:paraId="18DEE74A" w14:textId="3D348875" w:rsidR="00C90A7E" w:rsidRPr="007F52A5" w:rsidRDefault="00C90A7E" w:rsidP="0023581C">
      <w:pPr>
        <w:pStyle w:val="3-BodyText"/>
      </w:pPr>
      <w:bookmarkStart w:id="76" w:name="_Ref167195558"/>
      <w:r w:rsidRPr="00B162C2">
        <w:t>Patients in the second-line setting who discontinue initial therapy switch to standard care alone. Patients in the treatment refractory setting who discontinue initial therapy switch to chronic IVIg/PLEX treatment with escalated standard therapy</w:t>
      </w:r>
      <w:r w:rsidR="00C93E59">
        <w:t xml:space="preserve"> (including anticholinesterase, corticosteroids, </w:t>
      </w:r>
      <w:r w:rsidR="00C93E59" w:rsidRPr="00C93E59">
        <w:t>mycophenolate mofet</w:t>
      </w:r>
      <w:r w:rsidR="00C93E59">
        <w:t>il, azathioprine, methotrexate,</w:t>
      </w:r>
      <w:r w:rsidR="00C93E59" w:rsidRPr="00C93E59">
        <w:t xml:space="preserve"> </w:t>
      </w:r>
      <w:r w:rsidR="00661C7B">
        <w:t xml:space="preserve">and </w:t>
      </w:r>
      <w:r w:rsidR="00C93E59" w:rsidRPr="00C93E59">
        <w:t>ciclosporin</w:t>
      </w:r>
      <w:r w:rsidR="00661C7B">
        <w:t>;</w:t>
      </w:r>
      <w:r w:rsidR="00C93E59">
        <w:t xml:space="preserve"> with all patients receiving rituximab)</w:t>
      </w:r>
      <w:r w:rsidRPr="00B162C2">
        <w:t>. Patients using subsequent therapies can only discontinue due to death</w:t>
      </w:r>
      <w:r w:rsidRPr="007F52A5">
        <w:t>.</w:t>
      </w:r>
      <w:bookmarkEnd w:id="76"/>
      <w:r w:rsidR="00C654EA" w:rsidRPr="007F52A5">
        <w:t xml:space="preserve"> (</w:t>
      </w:r>
      <w:r w:rsidR="00C654EA" w:rsidRPr="007F52A5">
        <w:fldChar w:fldCharType="begin" w:fldLock="1"/>
      </w:r>
      <w:r w:rsidR="00C654EA" w:rsidRPr="007F52A5">
        <w:instrText xml:space="preserve"> REF _Ref164673996 \h  \* MERGEFORMAT </w:instrText>
      </w:r>
      <w:r w:rsidR="00C654EA" w:rsidRPr="007F52A5">
        <w:fldChar w:fldCharType="separate"/>
      </w:r>
      <w:r w:rsidR="00FC355E" w:rsidRPr="00B162C2">
        <w:t xml:space="preserve">Table </w:t>
      </w:r>
      <w:r w:rsidR="00FC355E">
        <w:rPr>
          <w:noProof/>
        </w:rPr>
        <w:t>14</w:t>
      </w:r>
      <w:r w:rsidR="00C654EA" w:rsidRPr="007F52A5">
        <w:fldChar w:fldCharType="end"/>
      </w:r>
      <w:r w:rsidR="00C654EA" w:rsidRPr="007F52A5">
        <w:t xml:space="preserve"> outlines issues with this approach.)</w:t>
      </w:r>
      <w:r w:rsidR="00E1771A" w:rsidRPr="007F52A5">
        <w:t xml:space="preserve"> </w:t>
      </w:r>
    </w:p>
    <w:p w14:paraId="68C955D6" w14:textId="3A5BC8EA" w:rsidR="00C90A7E" w:rsidRPr="00906ED7" w:rsidRDefault="00C90A7E" w:rsidP="0023581C">
      <w:pPr>
        <w:pStyle w:val="3-BodyText"/>
      </w:pPr>
      <w:r w:rsidRPr="00906ED7">
        <w:t>The model structure did not allow patients to transition between the second-line and treatment refractory settings.</w:t>
      </w:r>
    </w:p>
    <w:p w14:paraId="607C5049" w14:textId="45B56AE2" w:rsidR="00C93E59" w:rsidRPr="007F52A5" w:rsidRDefault="0069364A" w:rsidP="0023581C">
      <w:pPr>
        <w:pStyle w:val="3-BodyText"/>
      </w:pPr>
      <w:bookmarkStart w:id="77" w:name="_Ref169254713"/>
      <w:r w:rsidRPr="007F52A5">
        <w:t>The submission claimed that the modelled population aligned with both the key clinical data and the proposed PBS restriction. Th</w:t>
      </w:r>
      <w:r w:rsidR="000E34B9" w:rsidRPr="007F52A5">
        <w:t>e evaluation and the ESC considered th</w:t>
      </w:r>
      <w:r w:rsidRPr="007F52A5">
        <w:t xml:space="preserve">is was not reasonable. The submission did not adequately address the impact of differences in baseline functional impairment (the trial required patients to have MG-ADL </w:t>
      </w:r>
      <w:r w:rsidR="002B24C3" w:rsidRPr="007F52A5">
        <w:t xml:space="preserve">≥ </w:t>
      </w:r>
      <w:r w:rsidRPr="007F52A5">
        <w:t xml:space="preserve">6; QMG </w:t>
      </w:r>
      <w:r w:rsidR="002B24C3" w:rsidRPr="007F52A5">
        <w:t xml:space="preserve">≥ </w:t>
      </w:r>
      <w:r w:rsidRPr="007F52A5">
        <w:t xml:space="preserve">12 and </w:t>
      </w:r>
      <w:r w:rsidR="002B24C3" w:rsidRPr="007F52A5">
        <w:t>4</w:t>
      </w:r>
      <w:r w:rsidRPr="007F52A5">
        <w:t xml:space="preserve"> or more QMG items scored </w:t>
      </w:r>
      <w:r w:rsidR="002B24C3" w:rsidRPr="007F52A5">
        <w:t xml:space="preserve">≥ </w:t>
      </w:r>
      <w:r w:rsidRPr="007F52A5">
        <w:t xml:space="preserve">2 while the proposed restriction has no requirements) and medication use (the trial required no specific therapies while the proposed restriction requires </w:t>
      </w:r>
      <w:r w:rsidR="002B24C3" w:rsidRPr="007F52A5">
        <w:t xml:space="preserve">≥ </w:t>
      </w:r>
      <w:r w:rsidRPr="007F52A5">
        <w:t xml:space="preserve">1 immunosuppressant therapy) in the trial compared to the requested PBS population. </w:t>
      </w:r>
      <w:proofErr w:type="gramStart"/>
      <w:r w:rsidRPr="007F52A5">
        <w:t>In particular, it</w:t>
      </w:r>
      <w:proofErr w:type="gramEnd"/>
      <w:r w:rsidRPr="007F52A5">
        <w:t xml:space="preserve"> appeared high</w:t>
      </w:r>
      <w:r w:rsidR="00F115C5" w:rsidRPr="007F52A5">
        <w:t>ly</w:t>
      </w:r>
      <w:r w:rsidRPr="007F52A5">
        <w:t xml:space="preserve"> unlikely that in the absence of functional impairment criteria, 50.6% of the proposed PBS population would have treatment refractory disease. </w:t>
      </w:r>
      <w:r w:rsidR="00C93E59" w:rsidRPr="007F52A5">
        <w:t xml:space="preserve">In unselected myasthenia gravis populations, the submission noted that approximately 10-20% of patients could be considered as having treatment-refractory disease (Schneider-Gold 2019, Mantegazza 2018). </w:t>
      </w:r>
      <w:r w:rsidR="000E34B9" w:rsidRPr="007F52A5">
        <w:t xml:space="preserve">The PSCR stated that the sponsor was amenable to changes to better align the PBS restriction with the eligibility criteria and patient characteristics of the RAISE trial. However, the ESC considered that, even if the PBS restriction was amended to </w:t>
      </w:r>
      <w:r w:rsidR="007903F4" w:rsidRPr="007F52A5">
        <w:t>reflect the trial population more closely</w:t>
      </w:r>
      <w:r w:rsidR="000E34B9" w:rsidRPr="007F52A5">
        <w:t xml:space="preserve">, some applicability issues would remain (refer to paragraph </w:t>
      </w:r>
      <w:r w:rsidR="003A26F4">
        <w:fldChar w:fldCharType="begin" w:fldLock="1"/>
      </w:r>
      <w:r w:rsidR="003A26F4">
        <w:instrText xml:space="preserve"> REF _Ref169164366 \r \h </w:instrText>
      </w:r>
      <w:r w:rsidR="0023581C">
        <w:instrText xml:space="preserve"> \* MERGEFORMAT </w:instrText>
      </w:r>
      <w:r w:rsidR="003A26F4">
        <w:fldChar w:fldCharType="separate"/>
      </w:r>
      <w:r w:rsidR="00FC355E">
        <w:t>6.11</w:t>
      </w:r>
      <w:r w:rsidR="003A26F4">
        <w:fldChar w:fldCharType="end"/>
      </w:r>
      <w:r w:rsidR="000E34B9" w:rsidRPr="007F52A5">
        <w:t>).</w:t>
      </w:r>
      <w:bookmarkEnd w:id="77"/>
    </w:p>
    <w:p w14:paraId="49350BFD" w14:textId="50A4E1EE" w:rsidR="0069364A" w:rsidRPr="007F52A5" w:rsidRDefault="0069364A" w:rsidP="0023581C">
      <w:pPr>
        <w:pStyle w:val="3-BodyText"/>
      </w:pPr>
      <w:r w:rsidRPr="007F52A5">
        <w:t>Additionally, the submission assumed that patient characteristics were the same between the refractory and non-refractory populations which was not consistent with the available clinical data.</w:t>
      </w:r>
    </w:p>
    <w:p w14:paraId="27AE587E" w14:textId="2B0B63F7" w:rsidR="00A90559" w:rsidRPr="007F52A5" w:rsidRDefault="00A90559" w:rsidP="000A7D21">
      <w:pPr>
        <w:pStyle w:val="3-BodyText"/>
      </w:pPr>
      <w:bookmarkStart w:id="78" w:name="_Ref166668381"/>
      <w:r w:rsidRPr="007F52A5">
        <w:t xml:space="preserve">The submission acknowledged that using the MG-ADL instrument to assess treatment response in the economic model was not consistent with the proposed restriction which uses the MGC instrument to assess treatment response. However, the submission argued that given the strong correlation between MG-ADL scores and MGC scores it was reasonable to assume that an MG-ADL change </w:t>
      </w:r>
      <w:r w:rsidR="002B24C3" w:rsidRPr="007F52A5">
        <w:t xml:space="preserve">≥ </w:t>
      </w:r>
      <w:r w:rsidRPr="007F52A5">
        <w:t xml:space="preserve">3-points could be used as a proxy for an MGC change </w:t>
      </w:r>
      <w:r w:rsidR="002B24C3" w:rsidRPr="007F52A5">
        <w:t xml:space="preserve">≥ </w:t>
      </w:r>
      <w:r w:rsidRPr="007F52A5">
        <w:t>3-points.</w:t>
      </w:r>
      <w:bookmarkEnd w:id="78"/>
      <w:r w:rsidR="000E34B9" w:rsidRPr="007F52A5">
        <w:t xml:space="preserve"> However, </w:t>
      </w:r>
      <w:r w:rsidR="005A3BE3" w:rsidRPr="007F52A5">
        <w:t xml:space="preserve">as outlined in paragraph </w:t>
      </w:r>
      <w:r w:rsidR="005A3BE3" w:rsidRPr="007F52A5">
        <w:fldChar w:fldCharType="begin" w:fldLock="1"/>
      </w:r>
      <w:r w:rsidR="005A3BE3" w:rsidRPr="007F52A5">
        <w:instrText xml:space="preserve"> REF _Ref169165569 \r \h </w:instrText>
      </w:r>
      <w:r w:rsidR="007F52A5" w:rsidRPr="007F52A5">
        <w:instrText xml:space="preserve"> \* MERGEFORMAT </w:instrText>
      </w:r>
      <w:r w:rsidR="005A3BE3" w:rsidRPr="007F52A5">
        <w:fldChar w:fldCharType="separate"/>
      </w:r>
      <w:r w:rsidR="00FC355E">
        <w:t>3.9</w:t>
      </w:r>
      <w:r w:rsidR="005A3BE3" w:rsidRPr="007F52A5">
        <w:fldChar w:fldCharType="end"/>
      </w:r>
      <w:r w:rsidR="005A3BE3" w:rsidRPr="007F52A5">
        <w:t>,</w:t>
      </w:r>
      <w:r w:rsidR="00532A32" w:rsidRPr="007F52A5">
        <w:t xml:space="preserve"> </w:t>
      </w:r>
      <w:bookmarkStart w:id="79" w:name="_Ref166668384"/>
      <w:r w:rsidR="000E34B9" w:rsidRPr="007F52A5">
        <w:t>t</w:t>
      </w:r>
      <w:r w:rsidRPr="007F52A5">
        <w:t>he assumption of a 1:1 relationship between the instruments was not appropriate given that correlation estimates range from moderate (correlation coefficient: 0.57, Regnault 2022; 0.59, Luo 2021) to high (correlation coefficient: 0.96; Rozmilowska 2018) and the instruments are based on different scales (MG-ADL: 25 point scale; MGC: 51-point scale) which makes it highly unlikely that a 3-point reduction in MG-ADL would be equivalent to a 3-point reduction in MGC score.</w:t>
      </w:r>
      <w:bookmarkEnd w:id="79"/>
      <w:r w:rsidRPr="007F52A5">
        <w:t xml:space="preserve"> </w:t>
      </w:r>
    </w:p>
    <w:p w14:paraId="44F60A0D" w14:textId="5E8EB151" w:rsidR="0069364A" w:rsidRPr="007F52A5" w:rsidRDefault="0069364A" w:rsidP="000A7D21">
      <w:pPr>
        <w:pStyle w:val="3-BodyText"/>
      </w:pPr>
      <w:r w:rsidRPr="007F52A5">
        <w:t xml:space="preserve">Key drivers of the economic model are summarised in </w:t>
      </w:r>
      <w:r w:rsidRPr="007F52A5">
        <w:fldChar w:fldCharType="begin" w:fldLock="1"/>
      </w:r>
      <w:r w:rsidRPr="007F52A5">
        <w:instrText xml:space="preserve"> REF _Ref164673996 \h </w:instrText>
      </w:r>
      <w:r w:rsidR="007F52A5" w:rsidRPr="007F52A5">
        <w:instrText xml:space="preserve"> \* MERGEFORMAT </w:instrText>
      </w:r>
      <w:r w:rsidRPr="007F52A5">
        <w:fldChar w:fldCharType="separate"/>
      </w:r>
      <w:r w:rsidR="00FC355E" w:rsidRPr="00B162C2">
        <w:t xml:space="preserve">Table </w:t>
      </w:r>
      <w:r w:rsidR="00FC355E">
        <w:rPr>
          <w:noProof/>
        </w:rPr>
        <w:t>14</w:t>
      </w:r>
      <w:r w:rsidRPr="007F52A5">
        <w:fldChar w:fldCharType="end"/>
      </w:r>
      <w:r w:rsidRPr="007F52A5">
        <w:t>.</w:t>
      </w:r>
      <w:r w:rsidR="00126B95" w:rsidRPr="007F52A5">
        <w:t xml:space="preserve"> The evaluation </w:t>
      </w:r>
      <w:r w:rsidR="00C1317F" w:rsidRPr="007F52A5">
        <w:t xml:space="preserve">and the ESC </w:t>
      </w:r>
      <w:r w:rsidR="00126B95" w:rsidRPr="007F52A5">
        <w:t>considered the impact of each of the assumptions was high and favoured zilucoplan.</w:t>
      </w:r>
    </w:p>
    <w:p w14:paraId="609EA980" w14:textId="614AFF80" w:rsidR="0069364A" w:rsidRPr="00B162C2" w:rsidRDefault="0069364A" w:rsidP="00C1317F">
      <w:pPr>
        <w:pStyle w:val="COMtablefigcaption"/>
        <w:keepNext w:val="0"/>
      </w:pPr>
      <w:bookmarkStart w:id="80" w:name="_Ref164673996"/>
      <w:r w:rsidRPr="00B162C2">
        <w:t xml:space="preserve">Table </w:t>
      </w:r>
      <w:r w:rsidR="002F23E8">
        <w:fldChar w:fldCharType="begin" w:fldLock="1"/>
      </w:r>
      <w:r w:rsidR="002F23E8">
        <w:instrText xml:space="preserve"> SEQ Table \* ARABIC </w:instrText>
      </w:r>
      <w:r w:rsidR="002F23E8">
        <w:fldChar w:fldCharType="separate"/>
      </w:r>
      <w:r w:rsidR="00FC355E">
        <w:rPr>
          <w:noProof/>
        </w:rPr>
        <w:t>14</w:t>
      </w:r>
      <w:r w:rsidR="002F23E8">
        <w:rPr>
          <w:noProof/>
        </w:rPr>
        <w:fldChar w:fldCharType="end"/>
      </w:r>
      <w:bookmarkEnd w:id="80"/>
      <w:r w:rsidRPr="00B162C2">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Key drivers of the model"/>
      </w:tblPr>
      <w:tblGrid>
        <w:gridCol w:w="1414"/>
        <w:gridCol w:w="7603"/>
      </w:tblGrid>
      <w:tr w:rsidR="00126B95" w:rsidRPr="00906ED7" w14:paraId="2A3525B6" w14:textId="77777777" w:rsidTr="004334EB">
        <w:trPr>
          <w:tblHeader/>
        </w:trPr>
        <w:tc>
          <w:tcPr>
            <w:tcW w:w="784" w:type="pct"/>
            <w:vAlign w:val="center"/>
          </w:tcPr>
          <w:p w14:paraId="41D97309" w14:textId="77777777" w:rsidR="00126B95" w:rsidRPr="007F52A5" w:rsidRDefault="00126B95" w:rsidP="00C1317F">
            <w:pPr>
              <w:pStyle w:val="COMTableheadingrow"/>
              <w:keepNext w:val="0"/>
              <w:jc w:val="center"/>
              <w:rPr>
                <w:lang w:val="en-AU"/>
              </w:rPr>
            </w:pPr>
            <w:r w:rsidRPr="007F52A5">
              <w:rPr>
                <w:lang w:val="en-AU"/>
              </w:rPr>
              <w:t>Description</w:t>
            </w:r>
          </w:p>
        </w:tc>
        <w:tc>
          <w:tcPr>
            <w:tcW w:w="4216" w:type="pct"/>
            <w:vAlign w:val="center"/>
          </w:tcPr>
          <w:p w14:paraId="4E1EEA73" w14:textId="77777777" w:rsidR="00126B95" w:rsidRPr="007F52A5" w:rsidRDefault="00126B95" w:rsidP="00C1317F">
            <w:pPr>
              <w:pStyle w:val="COMTableheadingrow"/>
              <w:keepNext w:val="0"/>
              <w:jc w:val="center"/>
              <w:rPr>
                <w:lang w:val="en-AU"/>
              </w:rPr>
            </w:pPr>
            <w:r w:rsidRPr="007F52A5">
              <w:rPr>
                <w:lang w:val="en-AU"/>
              </w:rPr>
              <w:t>Method/Value</w:t>
            </w:r>
          </w:p>
        </w:tc>
      </w:tr>
      <w:tr w:rsidR="00126B95" w:rsidRPr="00906ED7" w14:paraId="2672144A" w14:textId="77777777" w:rsidTr="004334EB">
        <w:tc>
          <w:tcPr>
            <w:tcW w:w="784" w:type="pct"/>
            <w:vAlign w:val="center"/>
          </w:tcPr>
          <w:p w14:paraId="53F483C5" w14:textId="2A82A269" w:rsidR="00126B95" w:rsidRPr="007F52A5" w:rsidRDefault="00126B95" w:rsidP="00C1317F">
            <w:pPr>
              <w:pStyle w:val="COMTabletext"/>
              <w:keepNext w:val="0"/>
            </w:pPr>
            <w:r w:rsidRPr="007F52A5">
              <w:t>Subsequent therapy in treatment refractory patients</w:t>
            </w:r>
          </w:p>
        </w:tc>
        <w:tc>
          <w:tcPr>
            <w:tcW w:w="4216" w:type="pct"/>
            <w:vAlign w:val="center"/>
          </w:tcPr>
          <w:p w14:paraId="66A76FD3" w14:textId="59F3CA00" w:rsidR="00126B95" w:rsidRPr="007F52A5" w:rsidRDefault="00126B95" w:rsidP="004955BA">
            <w:pPr>
              <w:pStyle w:val="COMTabletext"/>
              <w:keepNext w:val="0"/>
              <w:spacing w:after="120"/>
              <w:jc w:val="both"/>
            </w:pPr>
            <w:r w:rsidRPr="007F52A5">
              <w:t>The submission assumed that escalated standard therapy would involve all patients receiving rituximab in addition to their other standard therapies. The submission assumed that chronic IVIg would be used at the maximum subsidised dose and chronic PLEX would be administered using a high intensity regimen. The submission assumed that escalated standard therapy and chronic IVIg/PLEX would not improve symptom control but would be maintained until death.</w:t>
            </w:r>
          </w:p>
          <w:p w14:paraId="5BA02C19" w14:textId="4AE28B79" w:rsidR="00126B95" w:rsidRPr="007F52A5" w:rsidRDefault="00126B95" w:rsidP="004955BA">
            <w:pPr>
              <w:pStyle w:val="COMTabletext"/>
              <w:keepNext w:val="0"/>
              <w:spacing w:after="120"/>
              <w:jc w:val="both"/>
            </w:pPr>
            <w:r w:rsidRPr="007F52A5">
              <w:t>The evaluation and the ESC considered that none of the assumptions regarding subsequent therapies were adequately justified. In particular, the assumption that patients would remain on chronic IVIg/PLEX indefinitely without any clinical benefit was not plausible. The current National Blood Authority listing of chronic IVIg requires treatment to be stopped at 4 months if no clinical benefit is observed. The PSCR noted that there was no clinical evidence to inform the proportion of patients who might respond to IVIg/PLEX treatment. However, the PSCR provided a sensitivity analysis in which a discontinuation rate of 0.59% per two-week cycle was applied to patients who received chronic IVIg/PLEX treatment in the refractory setting. This had a marginal effect on the ICER, increasing it from $</w:t>
            </w:r>
            <w:r w:rsidR="0069051D" w:rsidRPr="0069051D">
              <w:rPr>
                <w:color w:val="000000"/>
                <w:spacing w:val="9"/>
                <w:shd w:val="solid" w:color="000000" w:fill="000000"/>
                <w:fitText w:val="310" w:id="-893204479"/>
                <w14:textFill>
                  <w14:solidFill>
                    <w14:srgbClr w14:val="000000">
                      <w14:alpha w14:val="100000"/>
                    </w14:srgbClr>
                  </w14:solidFill>
                </w14:textFill>
              </w:rPr>
              <w:t>||  |</w:t>
            </w:r>
            <w:r w:rsidR="0069051D" w:rsidRPr="0069051D">
              <w:rPr>
                <w:color w:val="000000"/>
                <w:spacing w:val="4"/>
                <w:shd w:val="solid" w:color="000000" w:fill="000000"/>
                <w:fitText w:val="310" w:id="-893204479"/>
                <w14:textFill>
                  <w14:solidFill>
                    <w14:srgbClr w14:val="000000">
                      <w14:alpha w14:val="100000"/>
                    </w14:srgbClr>
                  </w14:solidFill>
                </w14:textFill>
              </w:rPr>
              <w:t>|</w:t>
            </w:r>
            <w:r w:rsidR="004479E8">
              <w:rPr>
                <w:vertAlign w:val="superscript"/>
              </w:rPr>
              <w:t>1</w:t>
            </w:r>
            <w:r w:rsidRPr="007F52A5">
              <w:t xml:space="preserve"> per QALY to $</w:t>
            </w:r>
            <w:r w:rsidR="0069051D" w:rsidRPr="0069051D">
              <w:rPr>
                <w:color w:val="000000"/>
                <w:spacing w:val="9"/>
                <w:shd w:val="solid" w:color="000000" w:fill="000000"/>
                <w:fitText w:val="310" w:id="-893204478"/>
                <w14:textFill>
                  <w14:solidFill>
                    <w14:srgbClr w14:val="000000">
                      <w14:alpha w14:val="100000"/>
                    </w14:srgbClr>
                  </w14:solidFill>
                </w14:textFill>
              </w:rPr>
              <w:t>||  |</w:t>
            </w:r>
            <w:r w:rsidR="0069051D" w:rsidRPr="0069051D">
              <w:rPr>
                <w:color w:val="000000"/>
                <w:spacing w:val="4"/>
                <w:shd w:val="solid" w:color="000000" w:fill="000000"/>
                <w:fitText w:val="310" w:id="-893204478"/>
                <w14:textFill>
                  <w14:solidFill>
                    <w14:srgbClr w14:val="000000">
                      <w14:alpha w14:val="100000"/>
                    </w14:srgbClr>
                  </w14:solidFill>
                </w14:textFill>
              </w:rPr>
              <w:t>|</w:t>
            </w:r>
            <w:r w:rsidR="004479E8">
              <w:rPr>
                <w:vertAlign w:val="superscript"/>
              </w:rPr>
              <w:t>1</w:t>
            </w:r>
            <w:r w:rsidRPr="007F52A5">
              <w:t xml:space="preserve"> per QALY. </w:t>
            </w:r>
            <w:bookmarkStart w:id="81" w:name="_Hlk171411865"/>
            <w:r w:rsidRPr="007F52A5">
              <w:t xml:space="preserve">However, the ESC considered the basis for the discontinuation rate applied was poorly justified and noted another sensitivity analysis which limited chronic IVIg use to four months (one-off cost applied at initiation) </w:t>
            </w:r>
            <w:r w:rsidR="00532A32" w:rsidRPr="007F52A5">
              <w:t xml:space="preserve">resulted in </w:t>
            </w:r>
            <w:r w:rsidRPr="007F52A5">
              <w:t>an ICER of $</w:t>
            </w:r>
            <w:r w:rsidR="0069051D" w:rsidRPr="0069051D">
              <w:rPr>
                <w:color w:val="000000"/>
                <w:spacing w:val="9"/>
                <w:shd w:val="solid" w:color="000000" w:fill="000000"/>
                <w:fitText w:val="310" w:id="-893204477"/>
                <w14:textFill>
                  <w14:solidFill>
                    <w14:srgbClr w14:val="000000">
                      <w14:alpha w14:val="100000"/>
                    </w14:srgbClr>
                  </w14:solidFill>
                </w14:textFill>
              </w:rPr>
              <w:t>||  |</w:t>
            </w:r>
            <w:r w:rsidR="0069051D" w:rsidRPr="0069051D">
              <w:rPr>
                <w:color w:val="000000"/>
                <w:spacing w:val="4"/>
                <w:shd w:val="solid" w:color="000000" w:fill="000000"/>
                <w:fitText w:val="310" w:id="-893204477"/>
                <w14:textFill>
                  <w14:solidFill>
                    <w14:srgbClr w14:val="000000">
                      <w14:alpha w14:val="100000"/>
                    </w14:srgbClr>
                  </w14:solidFill>
                </w14:textFill>
              </w:rPr>
              <w:t>|</w:t>
            </w:r>
            <w:r w:rsidR="0084392E">
              <w:rPr>
                <w:vertAlign w:val="superscript"/>
              </w:rPr>
              <w:t>2</w:t>
            </w:r>
            <w:r w:rsidRPr="007F52A5">
              <w:t xml:space="preserve"> per QALY. </w:t>
            </w:r>
            <w:r w:rsidR="003F4BAD" w:rsidRPr="007F52A5">
              <w:t>While acknowledging the latter sensitivity analysis may have been conservative (overestimated the impact), the ESC considered it indicated the model was sensitive to this parameter</w:t>
            </w:r>
            <w:r w:rsidRPr="007F52A5">
              <w:t>. Further, the ESC noted that these sensitivity analyses did not account for the efficacy of chronic IVIg/PLEX</w:t>
            </w:r>
            <w:bookmarkEnd w:id="81"/>
            <w:r w:rsidRPr="007F52A5">
              <w:t>.</w:t>
            </w:r>
          </w:p>
          <w:p w14:paraId="3CAB54B3" w14:textId="4DE4D4F0" w:rsidR="00126B95" w:rsidRPr="007F52A5" w:rsidRDefault="00126B95" w:rsidP="004955BA">
            <w:pPr>
              <w:pStyle w:val="COMTabletext"/>
              <w:keepNext w:val="0"/>
              <w:jc w:val="both"/>
            </w:pPr>
            <w:r w:rsidRPr="007F52A5">
              <w:t xml:space="preserve">Additionally, the average modelled IVIg dose per year </w:t>
            </w:r>
            <w:r w:rsidRPr="00DE7E71">
              <w:t xml:space="preserve">(1,247 g </w:t>
            </w:r>
            <w:r w:rsidRPr="007F52A5">
              <w:t xml:space="preserve">per patient in the initiating year </w:t>
            </w:r>
            <w:r w:rsidRPr="00DE7E71">
              <w:t>and 1,114</w:t>
            </w:r>
            <w:r w:rsidR="00532A32" w:rsidRPr="00DE7E71">
              <w:t> </w:t>
            </w:r>
            <w:r w:rsidRPr="00DE7E71">
              <w:t xml:space="preserve">g </w:t>
            </w:r>
            <w:r w:rsidRPr="007F52A5">
              <w:t>per patient in subsequent years) was substantially higher than estimated using Australian utilisation data (492 g per patient; MSAC Assessment Report 1566 April 2020 MSAC meeting). The ESC noted a sensitivity analysis that estimated chronic IVIg costs based on Australian utilisation data resulted in an ICER of $</w:t>
            </w:r>
            <w:r w:rsidR="0069051D" w:rsidRPr="0069051D">
              <w:rPr>
                <w:color w:val="000000"/>
                <w:spacing w:val="9"/>
                <w:shd w:val="solid" w:color="000000" w:fill="000000"/>
                <w:fitText w:val="310" w:id="-893204476"/>
                <w14:textFill>
                  <w14:solidFill>
                    <w14:srgbClr w14:val="000000">
                      <w14:alpha w14:val="100000"/>
                    </w14:srgbClr>
                  </w14:solidFill>
                </w14:textFill>
              </w:rPr>
              <w:t>||  |</w:t>
            </w:r>
            <w:r w:rsidR="0069051D" w:rsidRPr="0069051D">
              <w:rPr>
                <w:color w:val="000000"/>
                <w:spacing w:val="4"/>
                <w:shd w:val="solid" w:color="000000" w:fill="000000"/>
                <w:fitText w:val="310" w:id="-893204476"/>
                <w14:textFill>
                  <w14:solidFill>
                    <w14:srgbClr w14:val="000000">
                      <w14:alpha w14:val="100000"/>
                    </w14:srgbClr>
                  </w14:solidFill>
                </w14:textFill>
              </w:rPr>
              <w:t>|</w:t>
            </w:r>
            <w:r w:rsidR="0084392E">
              <w:rPr>
                <w:vertAlign w:val="superscript"/>
              </w:rPr>
              <w:t>1</w:t>
            </w:r>
            <w:r w:rsidRPr="007F52A5">
              <w:t xml:space="preserve"> per QALY</w:t>
            </w:r>
            <w:r w:rsidR="004955BA" w:rsidRPr="007F52A5">
              <w:t xml:space="preserve"> (</w:t>
            </w:r>
            <w:r w:rsidR="0069051D" w:rsidRPr="0069051D">
              <w:rPr>
                <w:color w:val="000000"/>
                <w:spacing w:val="7"/>
                <w:shd w:val="solid" w:color="000000" w:fill="000000"/>
                <w:fitText w:val="300" w:id="-893204475"/>
                <w14:textFill>
                  <w14:solidFill>
                    <w14:srgbClr w14:val="000000">
                      <w14:alpha w14:val="100000"/>
                    </w14:srgbClr>
                  </w14:solidFill>
                </w14:textFill>
              </w:rPr>
              <w:t>||  |</w:t>
            </w:r>
            <w:r w:rsidR="0069051D" w:rsidRPr="0069051D">
              <w:rPr>
                <w:color w:val="000000"/>
                <w:spacing w:val="4"/>
                <w:shd w:val="solid" w:color="000000" w:fill="000000"/>
                <w:fitText w:val="300" w:id="-893204475"/>
                <w14:textFill>
                  <w14:solidFill>
                    <w14:srgbClr w14:val="000000">
                      <w14:alpha w14:val="100000"/>
                    </w14:srgbClr>
                  </w14:solidFill>
                </w14:textFill>
              </w:rPr>
              <w:t>|</w:t>
            </w:r>
            <w:r w:rsidR="004955BA" w:rsidRPr="00730011">
              <w:t>%</w:t>
            </w:r>
            <w:r w:rsidR="004955BA" w:rsidRPr="007F52A5">
              <w:t xml:space="preserve"> increase)</w:t>
            </w:r>
            <w:r w:rsidRPr="007F52A5">
              <w:t xml:space="preserve">. </w:t>
            </w:r>
          </w:p>
        </w:tc>
      </w:tr>
      <w:tr w:rsidR="00126B95" w:rsidRPr="00906ED7" w14:paraId="3AC50C19" w14:textId="77777777" w:rsidTr="004334EB">
        <w:tc>
          <w:tcPr>
            <w:tcW w:w="784" w:type="pct"/>
            <w:vAlign w:val="center"/>
          </w:tcPr>
          <w:p w14:paraId="018124FE" w14:textId="033BE8D0" w:rsidR="00126B95" w:rsidRPr="007F52A5" w:rsidRDefault="00126B95" w:rsidP="00C1317F">
            <w:pPr>
              <w:pStyle w:val="COMTabletext"/>
              <w:keepNext w:val="0"/>
            </w:pPr>
            <w:r w:rsidRPr="007F52A5">
              <w:t>Risk of clinical events and discontinuation</w:t>
            </w:r>
          </w:p>
        </w:tc>
        <w:tc>
          <w:tcPr>
            <w:tcW w:w="4216" w:type="pct"/>
            <w:vAlign w:val="center"/>
          </w:tcPr>
          <w:p w14:paraId="082A2CDE" w14:textId="38772E71" w:rsidR="00126B95" w:rsidRPr="007F52A5" w:rsidRDefault="00126B95" w:rsidP="004955BA">
            <w:pPr>
              <w:pStyle w:val="COMTabletext"/>
              <w:keepNext w:val="0"/>
              <w:spacing w:after="120"/>
              <w:jc w:val="both"/>
            </w:pPr>
            <w:r w:rsidRPr="007F52A5">
              <w:t>The submission estimated the underlying risk of exacerbation and myasthenic crisis events based on a retrospective analysis of medical records for patients with AChR+ generalised myasthenia gravis from the University of Kansas Medical Center between 1999 and 2005 (Abuzinadah 2021).</w:t>
            </w:r>
          </w:p>
          <w:p w14:paraId="112ED4C4" w14:textId="54AA71C2" w:rsidR="00126B95" w:rsidRPr="007F52A5" w:rsidRDefault="00126B95" w:rsidP="004955BA">
            <w:pPr>
              <w:pStyle w:val="COMTabletext"/>
              <w:keepNext w:val="0"/>
              <w:spacing w:after="120"/>
              <w:jc w:val="both"/>
            </w:pPr>
            <w:r w:rsidRPr="007F52A5">
              <w:t>The submission estimated the risk of a subsequent myasthenic crisis event following an exacerbation based on a randomised controlled trial comparing different IVIg dosing regimens used as rescue therapy in myasthenia gravis patients experiencing an acute exacerbation (Gajdos 2005).</w:t>
            </w:r>
          </w:p>
          <w:p w14:paraId="1DA33443" w14:textId="5BB7F8A3" w:rsidR="00126B95" w:rsidRPr="007F52A5" w:rsidRDefault="00126B95" w:rsidP="004955BA">
            <w:pPr>
              <w:pStyle w:val="COMTabletext"/>
              <w:keepNext w:val="0"/>
              <w:spacing w:after="120"/>
              <w:jc w:val="both"/>
            </w:pPr>
            <w:r w:rsidRPr="007F52A5">
              <w:t>The submission estimated the risk of treatment discontinuation following an exacerbation in the first 16 weeks of treatment based on the proportion of patients achieving a treatment response to rescue IVIg 2g/kg split dosing in the Gajdos 2005 trial.</w:t>
            </w:r>
          </w:p>
          <w:p w14:paraId="7190C515" w14:textId="6677C635" w:rsidR="00126B95" w:rsidRPr="007F52A5" w:rsidRDefault="00126B95" w:rsidP="004955BA">
            <w:pPr>
              <w:pStyle w:val="COMTabletext"/>
              <w:keepNext w:val="0"/>
              <w:spacing w:after="120"/>
              <w:jc w:val="both"/>
            </w:pPr>
            <w:r w:rsidRPr="007F52A5">
              <w:t>The submission assumed that all patients who experienced an exacerbation after 16 weeks of treatment or who experienced a myasthenic crisis at any time would discontinue therapy.</w:t>
            </w:r>
          </w:p>
          <w:p w14:paraId="7BA1105D" w14:textId="774E94FD" w:rsidR="00126B95" w:rsidRPr="007F52A5" w:rsidRDefault="00126B95" w:rsidP="004955BA">
            <w:pPr>
              <w:pStyle w:val="COMTabletext"/>
              <w:keepNext w:val="0"/>
              <w:spacing w:after="120"/>
              <w:jc w:val="both"/>
            </w:pPr>
            <w:r w:rsidRPr="007F52A5">
              <w:t xml:space="preserve">The submission did not use consistent definitions of exacerbations (hospitalised versus non-hospitalised), double counted initial and subsequent myasthenic crisis events, claimed reductions in events due to response in the treatment arm which were not adequately supported by the available data (see paragraph </w:t>
            </w:r>
            <w:r w:rsidRPr="007F52A5">
              <w:fldChar w:fldCharType="begin" w:fldLock="1"/>
            </w:r>
            <w:r w:rsidRPr="007F52A5">
              <w:instrText xml:space="preserve"> REF _Ref167112456 \r \h  \* MERGEFORMAT </w:instrText>
            </w:r>
            <w:r w:rsidRPr="007F52A5">
              <w:fldChar w:fldCharType="separate"/>
            </w:r>
            <w:r w:rsidR="00FC355E">
              <w:t>6.28</w:t>
            </w:r>
            <w:r w:rsidRPr="007F52A5">
              <w:fldChar w:fldCharType="end"/>
            </w:r>
            <w:r w:rsidRPr="007F52A5">
              <w:t xml:space="preserve">), and included substantial calculation errors which was likely to lead to a substantial overestimation of the impact of these events. The ESC noted these issues were not corrected in sensitivity analyses in the commentary or PSCR. </w:t>
            </w:r>
          </w:p>
          <w:p w14:paraId="5F6810D2" w14:textId="0B9F0115" w:rsidR="00126B95" w:rsidRPr="007F52A5" w:rsidRDefault="00126B95" w:rsidP="004955BA">
            <w:pPr>
              <w:pStyle w:val="COMTabletext"/>
              <w:keepNext w:val="0"/>
              <w:jc w:val="both"/>
            </w:pPr>
            <w:r w:rsidRPr="007F52A5">
              <w:t>Additionally, there appeared to be no strong clinical rationale to support discontinuation of treatment following an exacerbation or myasthenic crisis.</w:t>
            </w:r>
          </w:p>
          <w:p w14:paraId="5274CA09" w14:textId="0987776A" w:rsidR="00126B95" w:rsidRPr="007F52A5" w:rsidRDefault="00126B95" w:rsidP="004955BA">
            <w:pPr>
              <w:pStyle w:val="COMTabletext"/>
              <w:keepNext w:val="0"/>
              <w:jc w:val="both"/>
            </w:pPr>
            <w:r w:rsidRPr="007F52A5">
              <w:t xml:space="preserve">The PSCR stated that in the event of an exacerbation or crisis, patients in RAISE remained on randomised treatment with the addition of rescue therapy (IVIg or PLEX) at the investigator’s discretion. The PSCR stated that the economic model reflected this approach as patients who experienced an exacerbation or crisis event up to Week 12 remained on zilucoplan or placebo therapy, but after 12 weeks they discontinued treatment. Additionally, the PSCR stated that the proportion of patients who would continue treatment following an exacerbation or crisis event in clinical practice was unknown, but that it was not likely to apply to all patients. The PSCR stated that the sensitivity analysis conducted by the evaluation which assumed that all patients would remain on treatment following an exacerbation or crisis event </w:t>
            </w:r>
            <w:bookmarkStart w:id="82" w:name="_Hlk169260781"/>
            <w:r w:rsidRPr="007F52A5">
              <w:t>(which resulted in an ICER of $</w:t>
            </w:r>
            <w:r w:rsidR="0069051D" w:rsidRPr="0069051D">
              <w:rPr>
                <w:color w:val="000000"/>
                <w:spacing w:val="7"/>
                <w:shd w:val="solid" w:color="000000" w:fill="000000"/>
                <w:fitText w:val="300" w:id="-893204474"/>
                <w14:textFill>
                  <w14:solidFill>
                    <w14:srgbClr w14:val="000000">
                      <w14:alpha w14:val="100000"/>
                    </w14:srgbClr>
                  </w14:solidFill>
                </w14:textFill>
              </w:rPr>
              <w:t>||  |</w:t>
            </w:r>
            <w:r w:rsidR="0069051D" w:rsidRPr="0069051D">
              <w:rPr>
                <w:color w:val="000000"/>
                <w:spacing w:val="4"/>
                <w:shd w:val="solid" w:color="000000" w:fill="000000"/>
                <w:fitText w:val="300" w:id="-893204474"/>
                <w14:textFill>
                  <w14:solidFill>
                    <w14:srgbClr w14:val="000000">
                      <w14:alpha w14:val="100000"/>
                    </w14:srgbClr>
                  </w14:solidFill>
                </w14:textFill>
              </w:rPr>
              <w:t>|</w:t>
            </w:r>
            <w:r w:rsidR="00F448FD">
              <w:rPr>
                <w:vertAlign w:val="superscript"/>
              </w:rPr>
              <w:t>2</w:t>
            </w:r>
            <w:r w:rsidRPr="007F52A5">
              <w:t xml:space="preserve">, an increase of </w:t>
            </w:r>
            <w:r w:rsidR="0069051D" w:rsidRPr="0069051D">
              <w:rPr>
                <w:color w:val="000000"/>
                <w:spacing w:val="9"/>
                <w:shd w:val="solid" w:color="000000" w:fill="000000"/>
                <w:fitText w:val="310" w:id="-893204473"/>
                <w14:textFill>
                  <w14:solidFill>
                    <w14:srgbClr w14:val="000000">
                      <w14:alpha w14:val="100000"/>
                    </w14:srgbClr>
                  </w14:solidFill>
                </w14:textFill>
              </w:rPr>
              <w:t>||  |</w:t>
            </w:r>
            <w:r w:rsidR="0069051D" w:rsidRPr="0069051D">
              <w:rPr>
                <w:color w:val="000000"/>
                <w:spacing w:val="4"/>
                <w:shd w:val="solid" w:color="000000" w:fill="000000"/>
                <w:fitText w:val="310" w:id="-893204473"/>
                <w14:textFill>
                  <w14:solidFill>
                    <w14:srgbClr w14:val="000000">
                      <w14:alpha w14:val="100000"/>
                    </w14:srgbClr>
                  </w14:solidFill>
                </w14:textFill>
              </w:rPr>
              <w:t>|</w:t>
            </w:r>
            <w:r w:rsidRPr="009569F6">
              <w:t>%)</w:t>
            </w:r>
            <w:bookmarkEnd w:id="82"/>
            <w:r w:rsidRPr="007F52A5">
              <w:t xml:space="preserve"> was overestimated. While the ESC agreed with the PSCR that the proportion of patients who would continue zilucoplan following an exacerbation or crisis event in clinical practice was unknown, the ESC considered it was not plausible to assume all patients would discontinue (per the model base case). The ESC acknowledged the evaluation sensitivity analysis which assumed all patients remain on treatment following an exacerbation was likely overestimated, but considered it </w:t>
            </w:r>
            <w:r w:rsidR="00C5031B" w:rsidRPr="007F52A5">
              <w:t>indicated the model was sensitive to this parameter</w:t>
            </w:r>
            <w:r w:rsidRPr="007F52A5">
              <w:t>.</w:t>
            </w:r>
          </w:p>
        </w:tc>
      </w:tr>
      <w:tr w:rsidR="00126B95" w:rsidRPr="00906ED7" w14:paraId="39937530" w14:textId="77777777" w:rsidTr="004334EB">
        <w:tc>
          <w:tcPr>
            <w:tcW w:w="784" w:type="pct"/>
            <w:vAlign w:val="center"/>
          </w:tcPr>
          <w:p w14:paraId="346DE975" w14:textId="781F318F" w:rsidR="00126B95" w:rsidRPr="007F52A5" w:rsidRDefault="00126B95" w:rsidP="00C1317F">
            <w:pPr>
              <w:pStyle w:val="COMTabletext"/>
              <w:keepNext w:val="0"/>
            </w:pPr>
            <w:r w:rsidRPr="007F52A5">
              <w:t>High-dose corticosteroid disutility</w:t>
            </w:r>
          </w:p>
        </w:tc>
        <w:tc>
          <w:tcPr>
            <w:tcW w:w="4216" w:type="pct"/>
            <w:vAlign w:val="center"/>
          </w:tcPr>
          <w:p w14:paraId="6F2A21B0" w14:textId="19EF12B5" w:rsidR="00126B95" w:rsidRPr="007F52A5" w:rsidRDefault="00126B95" w:rsidP="004955BA">
            <w:pPr>
              <w:pStyle w:val="COMTabletext"/>
              <w:keepNext w:val="0"/>
              <w:spacing w:after="120"/>
              <w:jc w:val="both"/>
            </w:pPr>
            <w:r w:rsidRPr="007F52A5">
              <w:t>The submission assumed that all treatment non-responders who were using corticosteroids would require high-dose therapy (and therefore would be subject to the additional disutility) while all treatment responders who were using corticosteroids could be maintained with lower corticosteroid doses.</w:t>
            </w:r>
          </w:p>
          <w:p w14:paraId="5F1D09B5" w14:textId="2376CBFF" w:rsidR="00126B95" w:rsidRPr="007F52A5" w:rsidRDefault="00126B95" w:rsidP="004955BA">
            <w:pPr>
              <w:pStyle w:val="COMTabletext"/>
              <w:keepNext w:val="0"/>
              <w:spacing w:after="120"/>
              <w:jc w:val="both"/>
            </w:pPr>
            <w:r w:rsidRPr="007F52A5">
              <w:t xml:space="preserve">This assumption was not adequately supported by clinical data. Data from the RAISE extension study suggest that a substantial proportion of treatment responders </w:t>
            </w:r>
            <w:proofErr w:type="gramStart"/>
            <w:r w:rsidRPr="007F52A5">
              <w:t>were not able to</w:t>
            </w:r>
            <w:proofErr w:type="gramEnd"/>
            <w:r w:rsidRPr="007F52A5">
              <w:t xml:space="preserve"> decrease their corticosteroid dose (see paragraph </w:t>
            </w:r>
            <w:r w:rsidRPr="007F52A5">
              <w:fldChar w:fldCharType="begin" w:fldLock="1"/>
            </w:r>
            <w:r w:rsidRPr="007F52A5">
              <w:instrText xml:space="preserve"> REF _Ref167175844 \r \h  \* MERGEFORMAT </w:instrText>
            </w:r>
            <w:r w:rsidRPr="007F52A5">
              <w:fldChar w:fldCharType="separate"/>
            </w:r>
            <w:r w:rsidR="00FC355E">
              <w:t>6.29</w:t>
            </w:r>
            <w:r w:rsidRPr="007F52A5">
              <w:fldChar w:fldCharType="end"/>
            </w:r>
            <w:r w:rsidRPr="007F52A5">
              <w:t>). The ESC considered that it would be more appropriate for assumptions to be applied that more closely reflect the trial results</w:t>
            </w:r>
            <w:r w:rsidR="003F4BAD" w:rsidRPr="007F52A5">
              <w:t>, noting no sensitivity analyses had been performed on this specific issue</w:t>
            </w:r>
            <w:r w:rsidRPr="007F52A5">
              <w:t xml:space="preserve">. </w:t>
            </w:r>
          </w:p>
          <w:p w14:paraId="52E0F9B5" w14:textId="4B2A2E34" w:rsidR="00126B95" w:rsidRPr="007F52A5" w:rsidRDefault="00126B95" w:rsidP="004955BA">
            <w:pPr>
              <w:pStyle w:val="COMTabletext"/>
              <w:keepNext w:val="0"/>
              <w:spacing w:after="120"/>
              <w:jc w:val="both"/>
            </w:pPr>
            <w:r w:rsidRPr="007F52A5">
              <w:t xml:space="preserve">The submission estimated the disutility associated with high-dose corticosteroids based on 2000-2003 United States Medical Expenditure Survey Panel for a subset of adult patients who have conditions for which systemic corticosteroids are commonly prescribed (Sullivan 2017). The value used in the submission was based on the crude difference in EQ-5D-3L utility values (US weights) between patients not using corticosteroids and patients with ≥ 4 corticosteroid prescriptions. </w:t>
            </w:r>
          </w:p>
          <w:p w14:paraId="77A20731" w14:textId="71077DCD" w:rsidR="00126B95" w:rsidRPr="007F52A5" w:rsidRDefault="00126B95" w:rsidP="004955BA">
            <w:pPr>
              <w:pStyle w:val="COMTabletext"/>
              <w:keepNext w:val="0"/>
              <w:jc w:val="both"/>
            </w:pPr>
            <w:r w:rsidRPr="007F52A5">
              <w:t>The submission did not adequately justify the use of the crude difference (-0.180) given that the publication reported the marginal disutility of using corticosteroids after controlling for other covariates (</w:t>
            </w:r>
            <w:r w:rsidR="003A26F4">
              <w:noBreakHyphen/>
            </w:r>
            <w:r w:rsidRPr="007F52A5">
              <w:t xml:space="preserve">0.032). Use of the crude difference substantially overestimated the disutility that can be attributed to corticosteroid treatment. The ESC noted that a sensitivity analysis that used the marginal disutility for high-dose corticosteroid use (-0.032), resulted in a </w:t>
            </w:r>
            <w:r w:rsidR="0069051D" w:rsidRPr="0069051D">
              <w:rPr>
                <w:color w:val="000000"/>
                <w:spacing w:val="9"/>
                <w:shd w:val="solid" w:color="000000" w:fill="000000"/>
                <w:fitText w:val="310" w:id="-893204472"/>
                <w14:textFill>
                  <w14:solidFill>
                    <w14:srgbClr w14:val="000000">
                      <w14:alpha w14:val="100000"/>
                    </w14:srgbClr>
                  </w14:solidFill>
                </w14:textFill>
              </w:rPr>
              <w:t>||  |</w:t>
            </w:r>
            <w:r w:rsidR="0069051D" w:rsidRPr="0069051D">
              <w:rPr>
                <w:color w:val="000000"/>
                <w:spacing w:val="4"/>
                <w:shd w:val="solid" w:color="000000" w:fill="000000"/>
                <w:fitText w:val="310" w:id="-893204472"/>
                <w14:textFill>
                  <w14:solidFill>
                    <w14:srgbClr w14:val="000000">
                      <w14:alpha w14:val="100000"/>
                    </w14:srgbClr>
                  </w14:solidFill>
                </w14:textFill>
              </w:rPr>
              <w:t>|</w:t>
            </w:r>
            <w:r w:rsidRPr="00DE7E71">
              <w:t>%</w:t>
            </w:r>
            <w:r w:rsidRPr="007F52A5">
              <w:t xml:space="preserve"> increase to the ICER ($</w:t>
            </w:r>
            <w:r w:rsidR="0069051D" w:rsidRPr="0069051D">
              <w:rPr>
                <w:color w:val="000000"/>
                <w:spacing w:val="9"/>
                <w:shd w:val="solid" w:color="000000" w:fill="000000"/>
                <w:fitText w:val="310" w:id="-893204471"/>
                <w14:textFill>
                  <w14:solidFill>
                    <w14:srgbClr w14:val="000000">
                      <w14:alpha w14:val="100000"/>
                    </w14:srgbClr>
                  </w14:solidFill>
                </w14:textFill>
              </w:rPr>
              <w:t>||  |</w:t>
            </w:r>
            <w:r w:rsidR="0069051D" w:rsidRPr="0069051D">
              <w:rPr>
                <w:color w:val="000000"/>
                <w:spacing w:val="4"/>
                <w:shd w:val="solid" w:color="000000" w:fill="000000"/>
                <w:fitText w:val="310" w:id="-893204471"/>
                <w14:textFill>
                  <w14:solidFill>
                    <w14:srgbClr w14:val="000000">
                      <w14:alpha w14:val="100000"/>
                    </w14:srgbClr>
                  </w14:solidFill>
                </w14:textFill>
              </w:rPr>
              <w:t>|</w:t>
            </w:r>
            <w:r w:rsidR="00D45C74">
              <w:rPr>
                <w:vertAlign w:val="superscript"/>
              </w:rPr>
              <w:t>2</w:t>
            </w:r>
            <w:r w:rsidRPr="007F52A5">
              <w:t xml:space="preserve"> per QALY) and considered this was a more plausible assumption.</w:t>
            </w:r>
          </w:p>
        </w:tc>
      </w:tr>
      <w:tr w:rsidR="00126B95" w:rsidRPr="00906ED7" w14:paraId="7B2BBF87" w14:textId="77777777" w:rsidTr="004334EB">
        <w:tc>
          <w:tcPr>
            <w:tcW w:w="784" w:type="pct"/>
            <w:vAlign w:val="center"/>
          </w:tcPr>
          <w:p w14:paraId="69037FE9" w14:textId="1EAF98C6" w:rsidR="00126B95" w:rsidRPr="007F52A5" w:rsidRDefault="00126B95" w:rsidP="00C1317F">
            <w:pPr>
              <w:pStyle w:val="COMTabletext"/>
              <w:keepNext w:val="0"/>
            </w:pPr>
            <w:r w:rsidRPr="007F52A5">
              <w:t>Change in MG-ADL scores over time</w:t>
            </w:r>
          </w:p>
        </w:tc>
        <w:tc>
          <w:tcPr>
            <w:tcW w:w="4216" w:type="pct"/>
            <w:vAlign w:val="center"/>
          </w:tcPr>
          <w:p w14:paraId="7E7B5414" w14:textId="581526D6" w:rsidR="00126B95" w:rsidRPr="007F52A5" w:rsidRDefault="00126B95" w:rsidP="004955BA">
            <w:pPr>
              <w:pStyle w:val="COMTabletext"/>
              <w:keepNext w:val="0"/>
              <w:spacing w:after="120"/>
              <w:jc w:val="both"/>
            </w:pPr>
            <w:r w:rsidRPr="007F52A5">
              <w:t>The mean change in MG-ADL scores over time were used to update health state utilities in each cycle of the model.</w:t>
            </w:r>
          </w:p>
          <w:p w14:paraId="3F356AA0" w14:textId="4547AA40" w:rsidR="00126B95" w:rsidRPr="007F52A5" w:rsidRDefault="00126B95" w:rsidP="004955BA">
            <w:pPr>
              <w:pStyle w:val="COMTabletext"/>
              <w:keepNext w:val="0"/>
              <w:spacing w:after="120"/>
              <w:jc w:val="both"/>
            </w:pPr>
            <w:r w:rsidRPr="007F52A5">
              <w:t>The submission estimated the mean change in MG-ADL score for treatment responders based on the mean change from baseline reported for each treatment arm in the RAISE extension study. The submission assumed that treatment non-responders would have no change from baseline.</w:t>
            </w:r>
          </w:p>
          <w:p w14:paraId="1EE99B8C" w14:textId="28A889E5" w:rsidR="00126B95" w:rsidRPr="007F52A5" w:rsidRDefault="00126B95" w:rsidP="004955BA">
            <w:pPr>
              <w:pStyle w:val="COMTabletext"/>
              <w:keepNext w:val="0"/>
              <w:spacing w:after="120"/>
              <w:jc w:val="both"/>
            </w:pPr>
            <w:r w:rsidRPr="007F52A5">
              <w:t>This was not appropriate as the overall estimate from each arm includes both treatment responders and non-responders and therefore using this estimate for treatment responders will bias the analysis in favour of zilucoplan given the higher proportion of non-responders in the placebo arm.</w:t>
            </w:r>
          </w:p>
          <w:p w14:paraId="464F06CE" w14:textId="68E91E11" w:rsidR="00126B95" w:rsidRPr="007F52A5" w:rsidRDefault="00126B95" w:rsidP="004955BA">
            <w:pPr>
              <w:pStyle w:val="COMTabletext"/>
              <w:keepNext w:val="0"/>
              <w:spacing w:after="120"/>
              <w:jc w:val="both"/>
            </w:pPr>
            <w:r w:rsidRPr="007F52A5">
              <w:t>Additionally, this approach leads to implausible estimates as treatment responders in the placebo arm can only achieve a maximum mean MG-ADL change of -2.93 despite all treatment responders requiring a minimum reduction in mean MG-ADL of -3.00. The ESC noted a sensitivity analysis that only used responder MG-ADL data for treatment responders during the RCT period resulted in a 10% increase to the ICER (</w:t>
            </w:r>
            <w:r w:rsidRPr="007F52A5">
              <w:rPr>
                <w:szCs w:val="20"/>
              </w:rPr>
              <w:t>$</w:t>
            </w:r>
            <w:r w:rsidR="0069051D" w:rsidRPr="0069051D">
              <w:rPr>
                <w:color w:val="000000"/>
                <w:spacing w:val="9"/>
                <w:szCs w:val="20"/>
                <w:shd w:val="solid" w:color="000000" w:fill="000000"/>
                <w:fitText w:val="310" w:id="-893204470"/>
                <w14:textFill>
                  <w14:solidFill>
                    <w14:srgbClr w14:val="000000">
                      <w14:alpha w14:val="100000"/>
                    </w14:srgbClr>
                  </w14:solidFill>
                </w14:textFill>
              </w:rPr>
              <w:t>||  |</w:t>
            </w:r>
            <w:r w:rsidR="0069051D" w:rsidRPr="0069051D">
              <w:rPr>
                <w:color w:val="000000"/>
                <w:spacing w:val="4"/>
                <w:szCs w:val="20"/>
                <w:shd w:val="solid" w:color="000000" w:fill="000000"/>
                <w:fitText w:val="310" w:id="-893204470"/>
                <w14:textFill>
                  <w14:solidFill>
                    <w14:srgbClr w14:val="000000">
                      <w14:alpha w14:val="100000"/>
                    </w14:srgbClr>
                  </w14:solidFill>
                </w14:textFill>
              </w:rPr>
              <w:t>|</w:t>
            </w:r>
            <w:r w:rsidR="00D45C74">
              <w:rPr>
                <w:szCs w:val="20"/>
                <w:vertAlign w:val="superscript"/>
              </w:rPr>
              <w:t>1</w:t>
            </w:r>
            <w:r w:rsidRPr="007F52A5">
              <w:rPr>
                <w:szCs w:val="20"/>
              </w:rPr>
              <w:t xml:space="preserve"> </w:t>
            </w:r>
            <w:r w:rsidRPr="007F52A5">
              <w:t>per QALY) and considered this was a more plausible assumption.</w:t>
            </w:r>
            <w:r w:rsidR="00532A32" w:rsidRPr="007F52A5">
              <w:t xml:space="preserve"> </w:t>
            </w:r>
            <w:r w:rsidRPr="007F52A5">
              <w:t xml:space="preserve">Finally, this approach assumed differences in the MG-ADL scores for zilucoplan and placebo responders which was not consistent with the clinical data which indicated no statistically significant differences between arms by responder status. The PSCR stated that post hoc analyses of MG-ADL score by responder status demonstrated that there was a numerically greater benefit for those treated with zilucoplan. However, the ESC considered this was inappropriate as the difference was not statistically significant. The ESC noted a sensitivity analysis that assumed zilucoplan and placebo responders have the same change in MG-ADL scores over time resulted in a </w:t>
            </w:r>
            <w:r w:rsidR="0069051D" w:rsidRPr="0069051D">
              <w:rPr>
                <w:color w:val="000000"/>
                <w:spacing w:val="9"/>
                <w:shd w:val="solid" w:color="000000" w:fill="000000"/>
                <w:fitText w:val="310" w:id="-893204469"/>
                <w14:textFill>
                  <w14:solidFill>
                    <w14:srgbClr w14:val="000000">
                      <w14:alpha w14:val="100000"/>
                    </w14:srgbClr>
                  </w14:solidFill>
                </w14:textFill>
              </w:rPr>
              <w:t>||  |</w:t>
            </w:r>
            <w:r w:rsidR="0069051D" w:rsidRPr="0069051D">
              <w:rPr>
                <w:color w:val="000000"/>
                <w:spacing w:val="4"/>
                <w:shd w:val="solid" w:color="000000" w:fill="000000"/>
                <w:fitText w:val="310" w:id="-893204469"/>
                <w14:textFill>
                  <w14:solidFill>
                    <w14:srgbClr w14:val="000000">
                      <w14:alpha w14:val="100000"/>
                    </w14:srgbClr>
                  </w14:solidFill>
                </w14:textFill>
              </w:rPr>
              <w:t>|</w:t>
            </w:r>
            <w:r w:rsidRPr="0052550D">
              <w:t xml:space="preserve">% </w:t>
            </w:r>
            <w:r w:rsidRPr="007F52A5">
              <w:t>increase to the ICER ($</w:t>
            </w:r>
            <w:r w:rsidR="0069051D" w:rsidRPr="0069051D">
              <w:rPr>
                <w:color w:val="000000"/>
                <w:spacing w:val="9"/>
                <w:shd w:val="solid" w:color="000000" w:fill="000000"/>
                <w:fitText w:val="310" w:id="-893204468"/>
                <w14:textFill>
                  <w14:solidFill>
                    <w14:srgbClr w14:val="000000">
                      <w14:alpha w14:val="100000"/>
                    </w14:srgbClr>
                  </w14:solidFill>
                </w14:textFill>
              </w:rPr>
              <w:t>||  |</w:t>
            </w:r>
            <w:r w:rsidR="0069051D" w:rsidRPr="0069051D">
              <w:rPr>
                <w:color w:val="000000"/>
                <w:spacing w:val="4"/>
                <w:shd w:val="solid" w:color="000000" w:fill="000000"/>
                <w:fitText w:val="310" w:id="-893204468"/>
                <w14:textFill>
                  <w14:solidFill>
                    <w14:srgbClr w14:val="000000">
                      <w14:alpha w14:val="100000"/>
                    </w14:srgbClr>
                  </w14:solidFill>
                </w14:textFill>
              </w:rPr>
              <w:t>|</w:t>
            </w:r>
            <w:r w:rsidR="00D45C74">
              <w:rPr>
                <w:szCs w:val="20"/>
                <w:vertAlign w:val="superscript"/>
              </w:rPr>
              <w:t>1</w:t>
            </w:r>
            <w:r w:rsidRPr="007F52A5">
              <w:t xml:space="preserve"> per QALY), and considered this was a more plausible assumption,</w:t>
            </w:r>
          </w:p>
        </w:tc>
      </w:tr>
    </w:tbl>
    <w:p w14:paraId="2AF76D0D" w14:textId="5150EEF7" w:rsidR="00816D1B" w:rsidRDefault="0069364A" w:rsidP="00B54967">
      <w:pPr>
        <w:pStyle w:val="TableFigureFooter"/>
        <w:keepNext/>
        <w:spacing w:after="0"/>
      </w:pPr>
      <w:r w:rsidRPr="00B162C2">
        <w:t>Source: Constructed during the evaluation</w:t>
      </w:r>
    </w:p>
    <w:p w14:paraId="6E4309CE" w14:textId="77777777" w:rsidR="008C7C09" w:rsidRPr="009A6D58" w:rsidRDefault="008C7C09" w:rsidP="00B54967">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CDC19C7" w14:textId="29E6F134" w:rsidR="008C7C09" w:rsidRPr="009A6D58" w:rsidRDefault="008C7C09" w:rsidP="00B54967">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B54967" w:rsidRPr="00B54967">
        <w:rPr>
          <w:rFonts w:ascii="Arial Narrow" w:hAnsi="Arial Narrow"/>
          <w:i/>
          <w:sz w:val="18"/>
          <w:szCs w:val="18"/>
        </w:rPr>
        <w:t>$255,000 to &lt; $355,000</w:t>
      </w:r>
    </w:p>
    <w:p w14:paraId="77C39FBF" w14:textId="7E9F2EE5" w:rsidR="00B54967" w:rsidRPr="00B162C2" w:rsidRDefault="008C7C09" w:rsidP="00B54967">
      <w:pPr>
        <w:spacing w:after="120"/>
      </w:pPr>
      <w:r w:rsidRPr="009A6D58">
        <w:rPr>
          <w:rFonts w:ascii="Arial Narrow" w:hAnsi="Arial Narrow"/>
          <w:i/>
          <w:sz w:val="18"/>
          <w:szCs w:val="18"/>
          <w:vertAlign w:val="superscript"/>
        </w:rPr>
        <w:t>2</w:t>
      </w:r>
      <w:r>
        <w:rPr>
          <w:rFonts w:ascii="Arial Narrow" w:hAnsi="Arial Narrow"/>
          <w:i/>
          <w:sz w:val="18"/>
          <w:szCs w:val="18"/>
        </w:rPr>
        <w:t xml:space="preserve"> </w:t>
      </w:r>
      <w:r w:rsidR="00B54967" w:rsidRPr="00B54967">
        <w:rPr>
          <w:rFonts w:ascii="Arial Narrow" w:hAnsi="Arial Narrow"/>
          <w:i/>
          <w:sz w:val="18"/>
          <w:szCs w:val="18"/>
        </w:rPr>
        <w:t>$255,000 to &lt; $355,000</w:t>
      </w:r>
    </w:p>
    <w:p w14:paraId="163CDE35" w14:textId="091E8422" w:rsidR="00816D1B" w:rsidRPr="00B162C2" w:rsidRDefault="00816D1B" w:rsidP="000A7D21">
      <w:pPr>
        <w:pStyle w:val="3-BodyText"/>
      </w:pPr>
      <w:r>
        <w:t xml:space="preserve">The results of the stepped economic evaluation are summarised in </w:t>
      </w:r>
      <w:r>
        <w:fldChar w:fldCharType="begin" w:fldLock="1"/>
      </w:r>
      <w:r>
        <w:instrText xml:space="preserve"> REF _Ref164676963 \h  \* MERGEFORMAT </w:instrText>
      </w:r>
      <w:r>
        <w:fldChar w:fldCharType="separate"/>
      </w:r>
      <w:r w:rsidR="00FC355E" w:rsidRPr="00B162C2">
        <w:t xml:space="preserve">Table </w:t>
      </w:r>
      <w:r w:rsidR="00FC355E">
        <w:rPr>
          <w:noProof/>
        </w:rPr>
        <w:t>15</w:t>
      </w:r>
      <w:r>
        <w:fldChar w:fldCharType="end"/>
      </w:r>
      <w:r>
        <w:t>.</w:t>
      </w:r>
    </w:p>
    <w:p w14:paraId="6A703543" w14:textId="3EAAF2D8" w:rsidR="00816D1B" w:rsidRPr="00B162C2" w:rsidRDefault="00816D1B" w:rsidP="00DC1249">
      <w:pPr>
        <w:pStyle w:val="COMtablefigcaption"/>
        <w:keepLines/>
      </w:pPr>
      <w:bookmarkStart w:id="83" w:name="_Ref164676963"/>
      <w:r w:rsidRPr="00B162C2">
        <w:t xml:space="preserve">Table </w:t>
      </w:r>
      <w:r w:rsidR="002F23E8">
        <w:fldChar w:fldCharType="begin" w:fldLock="1"/>
      </w:r>
      <w:r w:rsidR="002F23E8">
        <w:instrText xml:space="preserve"> SEQ Table \* ARABIC </w:instrText>
      </w:r>
      <w:r w:rsidR="002F23E8">
        <w:fldChar w:fldCharType="separate"/>
      </w:r>
      <w:r w:rsidR="00FC355E">
        <w:rPr>
          <w:noProof/>
        </w:rPr>
        <w:t>15</w:t>
      </w:r>
      <w:r w:rsidR="002F23E8">
        <w:rPr>
          <w:noProof/>
        </w:rPr>
        <w:fldChar w:fldCharType="end"/>
      </w:r>
      <w:bookmarkEnd w:id="83"/>
      <w:r w:rsidRPr="00B162C2">
        <w:t xml:space="preserve">: Stepped economic evaluation of zilucoplan compared to placebo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Stepped economic evaluation of zilucoplan compared to placebo "/>
      </w:tblPr>
      <w:tblGrid>
        <w:gridCol w:w="2533"/>
        <w:gridCol w:w="11"/>
        <w:gridCol w:w="1933"/>
        <w:gridCol w:w="1948"/>
        <w:gridCol w:w="2583"/>
      </w:tblGrid>
      <w:tr w:rsidR="00816D1B" w:rsidRPr="00B162C2" w14:paraId="6D1ECAF9" w14:textId="77777777" w:rsidTr="00BE10F4">
        <w:trPr>
          <w:trHeight w:val="43"/>
        </w:trPr>
        <w:tc>
          <w:tcPr>
            <w:tcW w:w="1406" w:type="pct"/>
            <w:vAlign w:val="center"/>
          </w:tcPr>
          <w:p w14:paraId="6DB8386F" w14:textId="77777777" w:rsidR="00816D1B" w:rsidRPr="00B162C2" w:rsidRDefault="00816D1B" w:rsidP="00DC1249">
            <w:pPr>
              <w:pStyle w:val="TableText"/>
              <w:keepLines/>
              <w:widowControl w:val="0"/>
              <w:jc w:val="center"/>
              <w:rPr>
                <w:b/>
              </w:rPr>
            </w:pPr>
            <w:r w:rsidRPr="00B162C2">
              <w:rPr>
                <w:b/>
              </w:rPr>
              <w:t>Type of resource item</w:t>
            </w:r>
          </w:p>
        </w:tc>
        <w:tc>
          <w:tcPr>
            <w:tcW w:w="1079" w:type="pct"/>
            <w:gridSpan w:val="2"/>
            <w:vAlign w:val="center"/>
          </w:tcPr>
          <w:p w14:paraId="4F59E625" w14:textId="77777777" w:rsidR="00816D1B" w:rsidRPr="00B162C2" w:rsidRDefault="00816D1B" w:rsidP="00DC1249">
            <w:pPr>
              <w:pStyle w:val="TableText"/>
              <w:keepLines/>
              <w:widowControl w:val="0"/>
              <w:jc w:val="center"/>
              <w:rPr>
                <w:b/>
              </w:rPr>
            </w:pPr>
            <w:r w:rsidRPr="00B162C2">
              <w:rPr>
                <w:b/>
              </w:rPr>
              <w:t>Zilucoplan</w:t>
            </w:r>
          </w:p>
        </w:tc>
        <w:tc>
          <w:tcPr>
            <w:tcW w:w="1081" w:type="pct"/>
            <w:vAlign w:val="center"/>
          </w:tcPr>
          <w:p w14:paraId="46DF01F7" w14:textId="77777777" w:rsidR="00816D1B" w:rsidRPr="00B162C2" w:rsidRDefault="00816D1B" w:rsidP="00DC1249">
            <w:pPr>
              <w:pStyle w:val="TableText"/>
              <w:keepLines/>
              <w:widowControl w:val="0"/>
              <w:jc w:val="center"/>
              <w:rPr>
                <w:b/>
              </w:rPr>
            </w:pPr>
            <w:r w:rsidRPr="00B162C2">
              <w:rPr>
                <w:b/>
              </w:rPr>
              <w:t>Placebo</w:t>
            </w:r>
          </w:p>
        </w:tc>
        <w:tc>
          <w:tcPr>
            <w:tcW w:w="1434" w:type="pct"/>
          </w:tcPr>
          <w:p w14:paraId="745B497A" w14:textId="77777777" w:rsidR="00816D1B" w:rsidRPr="00B162C2" w:rsidRDefault="00816D1B" w:rsidP="00DC1249">
            <w:pPr>
              <w:pStyle w:val="TableText"/>
              <w:keepLines/>
              <w:widowControl w:val="0"/>
              <w:jc w:val="center"/>
              <w:rPr>
                <w:b/>
              </w:rPr>
            </w:pPr>
            <w:r w:rsidRPr="00B162C2">
              <w:rPr>
                <w:b/>
              </w:rPr>
              <w:t>Increment</w:t>
            </w:r>
          </w:p>
        </w:tc>
      </w:tr>
      <w:tr w:rsidR="00816D1B" w:rsidRPr="00B162C2" w14:paraId="1062A8C0" w14:textId="77777777" w:rsidTr="00BE10F4">
        <w:tc>
          <w:tcPr>
            <w:tcW w:w="5000" w:type="pct"/>
            <w:gridSpan w:val="5"/>
          </w:tcPr>
          <w:p w14:paraId="515DA3D3" w14:textId="77777777" w:rsidR="00816D1B" w:rsidRPr="00B162C2" w:rsidRDefault="00816D1B" w:rsidP="00DC1249">
            <w:pPr>
              <w:pStyle w:val="TableText"/>
              <w:keepLines/>
              <w:widowControl w:val="0"/>
              <w:jc w:val="both"/>
              <w:rPr>
                <w:b/>
              </w:rPr>
            </w:pPr>
            <w:r w:rsidRPr="00B162C2">
              <w:rPr>
                <w:b/>
              </w:rPr>
              <w:t>Step 1: Modelled response rates at Week 16 using drug costs only</w:t>
            </w:r>
          </w:p>
        </w:tc>
      </w:tr>
      <w:tr w:rsidR="00816D1B" w:rsidRPr="00B162C2" w14:paraId="53496F13" w14:textId="77777777" w:rsidTr="00BE10F4">
        <w:tc>
          <w:tcPr>
            <w:tcW w:w="1406" w:type="pct"/>
          </w:tcPr>
          <w:p w14:paraId="33F09216" w14:textId="77777777" w:rsidR="00816D1B" w:rsidRPr="00B162C2" w:rsidRDefault="00816D1B" w:rsidP="00DC1249">
            <w:pPr>
              <w:pStyle w:val="TableText"/>
              <w:keepLines/>
              <w:widowControl w:val="0"/>
            </w:pPr>
            <w:r w:rsidRPr="00B162C2">
              <w:t>Costs</w:t>
            </w:r>
          </w:p>
        </w:tc>
        <w:tc>
          <w:tcPr>
            <w:tcW w:w="1079" w:type="pct"/>
            <w:gridSpan w:val="2"/>
            <w:vAlign w:val="bottom"/>
          </w:tcPr>
          <w:p w14:paraId="2F2122A5" w14:textId="420F8424" w:rsidR="00816D1B" w:rsidRPr="00B162C2" w:rsidRDefault="00816D1B" w:rsidP="00DC1249">
            <w:pPr>
              <w:pStyle w:val="TableText"/>
              <w:keepLines/>
              <w:widowControl w:val="0"/>
              <w:jc w:val="center"/>
            </w:pPr>
            <w:r w:rsidRPr="00B162C2">
              <w:t>$</w:t>
            </w:r>
            <w:r w:rsidR="0069051D" w:rsidRPr="0069051D">
              <w:rPr>
                <w:color w:val="000000"/>
                <w:shd w:val="solid" w:color="000000" w:fill="000000"/>
                <w14:textFill>
                  <w14:solidFill>
                    <w14:srgbClr w14:val="000000">
                      <w14:alpha w14:val="100000"/>
                    </w14:srgbClr>
                  </w14:solidFill>
                </w14:textFill>
              </w:rPr>
              <w:t>|</w:t>
            </w:r>
          </w:p>
        </w:tc>
        <w:tc>
          <w:tcPr>
            <w:tcW w:w="1081" w:type="pct"/>
            <w:vAlign w:val="bottom"/>
          </w:tcPr>
          <w:p w14:paraId="253AE6D0" w14:textId="77777777" w:rsidR="00816D1B" w:rsidRPr="00B162C2" w:rsidRDefault="00816D1B" w:rsidP="00DC1249">
            <w:pPr>
              <w:pStyle w:val="TableText"/>
              <w:keepLines/>
              <w:widowControl w:val="0"/>
              <w:jc w:val="center"/>
            </w:pPr>
            <w:r w:rsidRPr="00B162C2">
              <w:t>$226</w:t>
            </w:r>
          </w:p>
        </w:tc>
        <w:tc>
          <w:tcPr>
            <w:tcW w:w="1434" w:type="pct"/>
            <w:vAlign w:val="center"/>
          </w:tcPr>
          <w:p w14:paraId="5FB58F5B" w14:textId="0EA5CEA6" w:rsidR="00816D1B" w:rsidRPr="00B162C2" w:rsidRDefault="00816D1B" w:rsidP="00DC1249">
            <w:pPr>
              <w:pStyle w:val="TableText"/>
              <w:keepLines/>
              <w:widowControl w:val="0"/>
              <w:jc w:val="center"/>
            </w:pPr>
            <w:r w:rsidRPr="00B162C2">
              <w:t>$</w:t>
            </w:r>
            <w:r w:rsidR="0069051D" w:rsidRPr="0069051D">
              <w:rPr>
                <w:color w:val="000000"/>
                <w:shd w:val="solid" w:color="000000" w:fill="000000"/>
                <w14:textFill>
                  <w14:solidFill>
                    <w14:srgbClr w14:val="000000">
                      <w14:alpha w14:val="100000"/>
                    </w14:srgbClr>
                  </w14:solidFill>
                </w14:textFill>
              </w:rPr>
              <w:t>|</w:t>
            </w:r>
          </w:p>
        </w:tc>
      </w:tr>
      <w:tr w:rsidR="00816D1B" w:rsidRPr="00B162C2" w14:paraId="3E7494F7" w14:textId="77777777" w:rsidTr="00BE10F4">
        <w:tc>
          <w:tcPr>
            <w:tcW w:w="1406" w:type="pct"/>
          </w:tcPr>
          <w:p w14:paraId="4336FDA6" w14:textId="77777777" w:rsidR="00816D1B" w:rsidRPr="00B162C2" w:rsidRDefault="00816D1B" w:rsidP="00DC1249">
            <w:pPr>
              <w:pStyle w:val="TableText"/>
              <w:keepLines/>
              <w:widowControl w:val="0"/>
            </w:pPr>
            <w:r w:rsidRPr="00B162C2">
              <w:t>Patients with response</w:t>
            </w:r>
          </w:p>
        </w:tc>
        <w:tc>
          <w:tcPr>
            <w:tcW w:w="1079" w:type="pct"/>
            <w:gridSpan w:val="2"/>
            <w:vAlign w:val="bottom"/>
          </w:tcPr>
          <w:p w14:paraId="2FADA9AA" w14:textId="77777777" w:rsidR="00816D1B" w:rsidRPr="00B162C2" w:rsidRDefault="00816D1B" w:rsidP="00DC1249">
            <w:pPr>
              <w:pStyle w:val="TableText"/>
              <w:keepLines/>
              <w:widowControl w:val="0"/>
              <w:jc w:val="center"/>
            </w:pPr>
            <w:r w:rsidRPr="00B162C2">
              <w:t>85%</w:t>
            </w:r>
          </w:p>
        </w:tc>
        <w:tc>
          <w:tcPr>
            <w:tcW w:w="1081" w:type="pct"/>
            <w:vAlign w:val="bottom"/>
          </w:tcPr>
          <w:p w14:paraId="3452A8DD" w14:textId="77777777" w:rsidR="00816D1B" w:rsidRPr="00B162C2" w:rsidRDefault="00816D1B" w:rsidP="00DC1249">
            <w:pPr>
              <w:pStyle w:val="TableText"/>
              <w:keepLines/>
              <w:widowControl w:val="0"/>
              <w:jc w:val="center"/>
            </w:pPr>
            <w:r w:rsidRPr="00B162C2">
              <w:t>47%</w:t>
            </w:r>
          </w:p>
        </w:tc>
        <w:tc>
          <w:tcPr>
            <w:tcW w:w="1434" w:type="pct"/>
            <w:vAlign w:val="center"/>
          </w:tcPr>
          <w:p w14:paraId="6224F269" w14:textId="77777777" w:rsidR="00816D1B" w:rsidRPr="00B162C2" w:rsidRDefault="00816D1B" w:rsidP="00DC1249">
            <w:pPr>
              <w:pStyle w:val="TableText"/>
              <w:keepLines/>
              <w:widowControl w:val="0"/>
              <w:jc w:val="center"/>
            </w:pPr>
            <w:r w:rsidRPr="00B162C2">
              <w:t>38%</w:t>
            </w:r>
          </w:p>
        </w:tc>
      </w:tr>
      <w:tr w:rsidR="00816D1B" w:rsidRPr="00B162C2" w14:paraId="7A9C544B" w14:textId="77777777" w:rsidTr="00BE10F4">
        <w:tc>
          <w:tcPr>
            <w:tcW w:w="3566" w:type="pct"/>
            <w:gridSpan w:val="4"/>
          </w:tcPr>
          <w:p w14:paraId="19839403" w14:textId="77777777" w:rsidR="00816D1B" w:rsidRPr="00B162C2" w:rsidRDefault="00816D1B" w:rsidP="00DC1249">
            <w:pPr>
              <w:pStyle w:val="TableText"/>
              <w:keepLines/>
              <w:widowControl w:val="0"/>
              <w:jc w:val="right"/>
              <w:rPr>
                <w:b/>
              </w:rPr>
            </w:pPr>
            <w:r w:rsidRPr="00B162C2">
              <w:rPr>
                <w:b/>
              </w:rPr>
              <w:t>Incremental cost per additional patient with response</w:t>
            </w:r>
          </w:p>
        </w:tc>
        <w:tc>
          <w:tcPr>
            <w:tcW w:w="1434" w:type="pct"/>
            <w:vAlign w:val="center"/>
          </w:tcPr>
          <w:p w14:paraId="67D1E71E" w14:textId="70D9866A" w:rsidR="00816D1B" w:rsidRPr="00B47AE7" w:rsidRDefault="00816D1B" w:rsidP="00DC1249">
            <w:pPr>
              <w:pStyle w:val="TableText"/>
              <w:keepLines/>
              <w:widowControl w:val="0"/>
              <w:jc w:val="center"/>
              <w:rPr>
                <w:vertAlign w:val="superscript"/>
              </w:rPr>
            </w:pPr>
            <w:r w:rsidRPr="00B162C2">
              <w:t>$</w:t>
            </w:r>
            <w:r w:rsidR="0069051D" w:rsidRPr="0069051D">
              <w:rPr>
                <w:color w:val="000000"/>
                <w:shd w:val="solid" w:color="000000" w:fill="000000"/>
                <w14:textFill>
                  <w14:solidFill>
                    <w14:srgbClr w14:val="000000">
                      <w14:alpha w14:val="100000"/>
                    </w14:srgbClr>
                  </w14:solidFill>
                </w14:textFill>
              </w:rPr>
              <w:t>|</w:t>
            </w:r>
            <w:r w:rsidR="00B47AE7">
              <w:rPr>
                <w:vertAlign w:val="superscript"/>
              </w:rPr>
              <w:t>1</w:t>
            </w:r>
          </w:p>
        </w:tc>
      </w:tr>
      <w:tr w:rsidR="00816D1B" w:rsidRPr="00B162C2" w14:paraId="6654AF2E" w14:textId="77777777" w:rsidTr="00BE10F4">
        <w:tc>
          <w:tcPr>
            <w:tcW w:w="5000" w:type="pct"/>
            <w:gridSpan w:val="5"/>
          </w:tcPr>
          <w:p w14:paraId="5A5ABEC0" w14:textId="77777777" w:rsidR="00816D1B" w:rsidRPr="00B162C2" w:rsidRDefault="00816D1B" w:rsidP="00DC1249">
            <w:pPr>
              <w:pStyle w:val="TableText"/>
              <w:keepLines/>
              <w:widowControl w:val="0"/>
              <w:jc w:val="both"/>
              <w:rPr>
                <w:b/>
              </w:rPr>
            </w:pPr>
            <w:r w:rsidRPr="00B162C2">
              <w:rPr>
                <w:b/>
              </w:rPr>
              <w:t xml:space="preserve">Step 2a: Modelled outcomes to Week 16 </w:t>
            </w:r>
            <w:r w:rsidRPr="00B162C2">
              <w:rPr>
                <w:b/>
                <w:u w:val="single"/>
              </w:rPr>
              <w:t>including response, treatment discontinuation, exacerbation, myasthenic crisis and death events</w:t>
            </w:r>
            <w:r w:rsidRPr="00B162C2">
              <w:rPr>
                <w:b/>
              </w:rPr>
              <w:t xml:space="preserve"> using drug costs only</w:t>
            </w:r>
          </w:p>
        </w:tc>
      </w:tr>
      <w:tr w:rsidR="00816D1B" w:rsidRPr="00B162C2" w14:paraId="5A1799D2" w14:textId="77777777" w:rsidTr="00BE10F4">
        <w:tc>
          <w:tcPr>
            <w:tcW w:w="1406" w:type="pct"/>
          </w:tcPr>
          <w:p w14:paraId="59D152F9" w14:textId="77777777" w:rsidR="00816D1B" w:rsidRPr="00B162C2" w:rsidRDefault="00816D1B" w:rsidP="00DC1249">
            <w:pPr>
              <w:pStyle w:val="TableText"/>
              <w:keepLines/>
              <w:widowControl w:val="0"/>
            </w:pPr>
            <w:r w:rsidRPr="00B162C2">
              <w:t>Costs</w:t>
            </w:r>
          </w:p>
        </w:tc>
        <w:tc>
          <w:tcPr>
            <w:tcW w:w="1079" w:type="pct"/>
            <w:gridSpan w:val="2"/>
            <w:vAlign w:val="bottom"/>
          </w:tcPr>
          <w:p w14:paraId="4E68FD70" w14:textId="56E632F8" w:rsidR="00816D1B" w:rsidRPr="00B162C2" w:rsidRDefault="00816D1B" w:rsidP="00DC1249">
            <w:pPr>
              <w:pStyle w:val="TableText"/>
              <w:keepLines/>
              <w:widowControl w:val="0"/>
              <w:jc w:val="center"/>
            </w:pPr>
            <w:r w:rsidRPr="00B162C2">
              <w:t>$</w:t>
            </w:r>
            <w:r w:rsidR="0069051D" w:rsidRPr="0069051D">
              <w:rPr>
                <w:color w:val="000000"/>
                <w:shd w:val="solid" w:color="000000" w:fill="000000"/>
                <w14:textFill>
                  <w14:solidFill>
                    <w14:srgbClr w14:val="000000">
                      <w14:alpha w14:val="100000"/>
                    </w14:srgbClr>
                  </w14:solidFill>
                </w14:textFill>
              </w:rPr>
              <w:t>|</w:t>
            </w:r>
          </w:p>
        </w:tc>
        <w:tc>
          <w:tcPr>
            <w:tcW w:w="1081" w:type="pct"/>
            <w:vAlign w:val="bottom"/>
          </w:tcPr>
          <w:p w14:paraId="2CCF8981" w14:textId="77777777" w:rsidR="00816D1B" w:rsidRPr="00B162C2" w:rsidRDefault="00816D1B" w:rsidP="00DC1249">
            <w:pPr>
              <w:pStyle w:val="TableText"/>
              <w:keepLines/>
              <w:widowControl w:val="0"/>
              <w:jc w:val="center"/>
            </w:pPr>
            <w:r w:rsidRPr="00B162C2">
              <w:t>$452</w:t>
            </w:r>
          </w:p>
        </w:tc>
        <w:tc>
          <w:tcPr>
            <w:tcW w:w="1434" w:type="pct"/>
            <w:vAlign w:val="center"/>
          </w:tcPr>
          <w:p w14:paraId="30DAEF35" w14:textId="2465EA66" w:rsidR="00816D1B" w:rsidRPr="00B162C2" w:rsidRDefault="00816D1B" w:rsidP="00DC1249">
            <w:pPr>
              <w:pStyle w:val="TableText"/>
              <w:keepLines/>
              <w:widowControl w:val="0"/>
              <w:jc w:val="center"/>
            </w:pPr>
            <w:r w:rsidRPr="00B162C2">
              <w:t>$</w:t>
            </w:r>
            <w:r w:rsidR="0069051D" w:rsidRPr="0069051D">
              <w:rPr>
                <w:color w:val="000000"/>
                <w:shd w:val="solid" w:color="000000" w:fill="000000"/>
                <w14:textFill>
                  <w14:solidFill>
                    <w14:srgbClr w14:val="000000">
                      <w14:alpha w14:val="100000"/>
                    </w14:srgbClr>
                  </w14:solidFill>
                </w14:textFill>
              </w:rPr>
              <w:t>|</w:t>
            </w:r>
          </w:p>
        </w:tc>
      </w:tr>
      <w:tr w:rsidR="00816D1B" w:rsidRPr="00B162C2" w14:paraId="0ADE0B8F" w14:textId="77777777" w:rsidTr="00BE10F4">
        <w:tc>
          <w:tcPr>
            <w:tcW w:w="1406" w:type="pct"/>
          </w:tcPr>
          <w:p w14:paraId="5674F7C3" w14:textId="77777777" w:rsidR="00816D1B" w:rsidRPr="00B162C2" w:rsidRDefault="00816D1B" w:rsidP="00DC1249">
            <w:pPr>
              <w:pStyle w:val="TableText"/>
              <w:keepLines/>
              <w:widowControl w:val="0"/>
            </w:pPr>
            <w:r w:rsidRPr="00B162C2">
              <w:t>Life years</w:t>
            </w:r>
          </w:p>
        </w:tc>
        <w:tc>
          <w:tcPr>
            <w:tcW w:w="1079" w:type="pct"/>
            <w:gridSpan w:val="2"/>
            <w:vAlign w:val="bottom"/>
          </w:tcPr>
          <w:p w14:paraId="6051D1F3" w14:textId="77777777" w:rsidR="00816D1B" w:rsidRPr="00B162C2" w:rsidRDefault="00816D1B" w:rsidP="00DC1249">
            <w:pPr>
              <w:pStyle w:val="TableText"/>
              <w:keepLines/>
              <w:widowControl w:val="0"/>
              <w:jc w:val="center"/>
            </w:pPr>
            <w:r w:rsidRPr="00B162C2">
              <w:t>0.34482</w:t>
            </w:r>
          </w:p>
        </w:tc>
        <w:tc>
          <w:tcPr>
            <w:tcW w:w="1081" w:type="pct"/>
            <w:vAlign w:val="bottom"/>
          </w:tcPr>
          <w:p w14:paraId="3DF03683" w14:textId="77777777" w:rsidR="00816D1B" w:rsidRPr="00B162C2" w:rsidRDefault="00816D1B" w:rsidP="00DC1249">
            <w:pPr>
              <w:pStyle w:val="TableText"/>
              <w:keepLines/>
              <w:widowControl w:val="0"/>
              <w:jc w:val="center"/>
            </w:pPr>
            <w:r w:rsidRPr="00B162C2">
              <w:t>0.34481</w:t>
            </w:r>
          </w:p>
        </w:tc>
        <w:tc>
          <w:tcPr>
            <w:tcW w:w="1434" w:type="pct"/>
            <w:vAlign w:val="center"/>
          </w:tcPr>
          <w:p w14:paraId="43681442" w14:textId="77777777" w:rsidR="00816D1B" w:rsidRPr="00B162C2" w:rsidRDefault="00816D1B" w:rsidP="00DC1249">
            <w:pPr>
              <w:pStyle w:val="TableText"/>
              <w:keepLines/>
              <w:widowControl w:val="0"/>
              <w:jc w:val="center"/>
            </w:pPr>
            <w:r w:rsidRPr="00B162C2">
              <w:t>0.00001</w:t>
            </w:r>
          </w:p>
        </w:tc>
      </w:tr>
      <w:tr w:rsidR="00816D1B" w:rsidRPr="00B162C2" w14:paraId="75F2470A" w14:textId="77777777" w:rsidTr="00BE10F4">
        <w:tc>
          <w:tcPr>
            <w:tcW w:w="3566" w:type="pct"/>
            <w:gridSpan w:val="4"/>
          </w:tcPr>
          <w:p w14:paraId="036E2FCA" w14:textId="77777777" w:rsidR="00816D1B" w:rsidRPr="00B162C2" w:rsidRDefault="00816D1B" w:rsidP="00DC1249">
            <w:pPr>
              <w:pStyle w:val="TableText"/>
              <w:keepLines/>
              <w:widowControl w:val="0"/>
              <w:jc w:val="right"/>
              <w:rPr>
                <w:b/>
              </w:rPr>
            </w:pPr>
            <w:r w:rsidRPr="00B162C2">
              <w:rPr>
                <w:b/>
              </w:rPr>
              <w:t>Incremental cost per life year gained</w:t>
            </w:r>
          </w:p>
        </w:tc>
        <w:tc>
          <w:tcPr>
            <w:tcW w:w="1434" w:type="pct"/>
            <w:vAlign w:val="center"/>
          </w:tcPr>
          <w:p w14:paraId="352C0CC2" w14:textId="71D0BF6F" w:rsidR="00816D1B" w:rsidRPr="00B47AE7" w:rsidRDefault="00816D1B" w:rsidP="00DC1249">
            <w:pPr>
              <w:pStyle w:val="TableText"/>
              <w:keepLines/>
              <w:widowControl w:val="0"/>
              <w:jc w:val="center"/>
              <w:rPr>
                <w:vertAlign w:val="superscript"/>
              </w:rPr>
            </w:pPr>
            <w:r w:rsidRPr="00B162C2">
              <w:t>$</w:t>
            </w:r>
            <w:r w:rsidR="0069051D" w:rsidRPr="0069051D">
              <w:rPr>
                <w:color w:val="000000"/>
                <w:shd w:val="solid" w:color="000000" w:fill="000000"/>
                <w14:textFill>
                  <w14:solidFill>
                    <w14:srgbClr w14:val="000000">
                      <w14:alpha w14:val="100000"/>
                    </w14:srgbClr>
                  </w14:solidFill>
                </w14:textFill>
              </w:rPr>
              <w:t>|</w:t>
            </w:r>
            <w:r w:rsidR="00B47AE7">
              <w:rPr>
                <w:vertAlign w:val="superscript"/>
              </w:rPr>
              <w:t>2</w:t>
            </w:r>
          </w:p>
        </w:tc>
      </w:tr>
      <w:tr w:rsidR="00816D1B" w:rsidRPr="00B162C2" w14:paraId="07351969" w14:textId="77777777" w:rsidTr="00BE10F4">
        <w:tc>
          <w:tcPr>
            <w:tcW w:w="5000" w:type="pct"/>
            <w:gridSpan w:val="5"/>
          </w:tcPr>
          <w:p w14:paraId="6A9C3F4B" w14:textId="77777777" w:rsidR="00816D1B" w:rsidRPr="00B162C2" w:rsidRDefault="00816D1B" w:rsidP="00DC1249">
            <w:pPr>
              <w:pStyle w:val="TableText"/>
              <w:keepLines/>
              <w:widowControl w:val="0"/>
              <w:jc w:val="both"/>
              <w:rPr>
                <w:b/>
              </w:rPr>
            </w:pPr>
            <w:r w:rsidRPr="00B162C2">
              <w:rPr>
                <w:b/>
              </w:rPr>
              <w:t xml:space="preserve">Step 2b: Modelled outcomes to Week 16 including response, treatment discontinuation, exacerbation, myasthenic crisis and death events </w:t>
            </w:r>
            <w:r w:rsidRPr="00B162C2">
              <w:rPr>
                <w:b/>
                <w:u w:val="single"/>
              </w:rPr>
              <w:t>using health state utility values, event disutility values and high-dose corticosteroid utility values</w:t>
            </w:r>
            <w:r w:rsidRPr="00B162C2">
              <w:rPr>
                <w:b/>
              </w:rPr>
              <w:t xml:space="preserve"> and using drug costs only</w:t>
            </w:r>
          </w:p>
        </w:tc>
      </w:tr>
      <w:tr w:rsidR="00816D1B" w:rsidRPr="00B162C2" w14:paraId="38FCE244" w14:textId="77777777" w:rsidTr="00BE10F4">
        <w:tc>
          <w:tcPr>
            <w:tcW w:w="1406" w:type="pct"/>
          </w:tcPr>
          <w:p w14:paraId="1B1C799C" w14:textId="77777777" w:rsidR="00816D1B" w:rsidRPr="00B162C2" w:rsidRDefault="00816D1B" w:rsidP="00DC1249">
            <w:pPr>
              <w:pStyle w:val="TableText"/>
              <w:keepLines/>
              <w:widowControl w:val="0"/>
            </w:pPr>
            <w:r w:rsidRPr="00B162C2">
              <w:t>Costs</w:t>
            </w:r>
          </w:p>
        </w:tc>
        <w:tc>
          <w:tcPr>
            <w:tcW w:w="1079" w:type="pct"/>
            <w:gridSpan w:val="2"/>
            <w:vAlign w:val="bottom"/>
          </w:tcPr>
          <w:p w14:paraId="2E720C72" w14:textId="19E9AAB6" w:rsidR="00816D1B" w:rsidRPr="00B162C2" w:rsidRDefault="00816D1B" w:rsidP="00DC1249">
            <w:pPr>
              <w:pStyle w:val="TableText"/>
              <w:keepLines/>
              <w:widowControl w:val="0"/>
              <w:jc w:val="center"/>
            </w:pPr>
            <w:r w:rsidRPr="00B162C2">
              <w:t>$</w:t>
            </w:r>
            <w:r w:rsidR="0069051D" w:rsidRPr="0069051D">
              <w:rPr>
                <w:color w:val="000000"/>
                <w:shd w:val="solid" w:color="000000" w:fill="000000"/>
                <w14:textFill>
                  <w14:solidFill>
                    <w14:srgbClr w14:val="000000">
                      <w14:alpha w14:val="100000"/>
                    </w14:srgbClr>
                  </w14:solidFill>
                </w14:textFill>
              </w:rPr>
              <w:t>|</w:t>
            </w:r>
          </w:p>
        </w:tc>
        <w:tc>
          <w:tcPr>
            <w:tcW w:w="1081" w:type="pct"/>
            <w:vAlign w:val="bottom"/>
          </w:tcPr>
          <w:p w14:paraId="685442C9" w14:textId="77777777" w:rsidR="00816D1B" w:rsidRPr="00B162C2" w:rsidRDefault="00816D1B" w:rsidP="00DC1249">
            <w:pPr>
              <w:pStyle w:val="TableText"/>
              <w:keepLines/>
              <w:widowControl w:val="0"/>
              <w:jc w:val="center"/>
            </w:pPr>
            <w:r w:rsidRPr="00B162C2">
              <w:t>$452</w:t>
            </w:r>
          </w:p>
        </w:tc>
        <w:tc>
          <w:tcPr>
            <w:tcW w:w="1434" w:type="pct"/>
            <w:vAlign w:val="center"/>
          </w:tcPr>
          <w:p w14:paraId="0392FCE7" w14:textId="2EB23ACC" w:rsidR="00816D1B" w:rsidRPr="00B162C2" w:rsidRDefault="00816D1B" w:rsidP="00DC1249">
            <w:pPr>
              <w:pStyle w:val="TableText"/>
              <w:keepLines/>
              <w:widowControl w:val="0"/>
              <w:jc w:val="center"/>
            </w:pPr>
            <w:r w:rsidRPr="00B162C2">
              <w:t>$</w:t>
            </w:r>
            <w:r w:rsidR="0069051D" w:rsidRPr="0069051D">
              <w:rPr>
                <w:color w:val="000000"/>
                <w:shd w:val="solid" w:color="000000" w:fill="000000"/>
                <w14:textFill>
                  <w14:solidFill>
                    <w14:srgbClr w14:val="000000">
                      <w14:alpha w14:val="100000"/>
                    </w14:srgbClr>
                  </w14:solidFill>
                </w14:textFill>
              </w:rPr>
              <w:t>|</w:t>
            </w:r>
          </w:p>
        </w:tc>
      </w:tr>
      <w:tr w:rsidR="00816D1B" w:rsidRPr="00B162C2" w14:paraId="53AAF44C" w14:textId="77777777" w:rsidTr="00BE10F4">
        <w:tc>
          <w:tcPr>
            <w:tcW w:w="1406" w:type="pct"/>
          </w:tcPr>
          <w:p w14:paraId="588114F5" w14:textId="77777777" w:rsidR="00816D1B" w:rsidRPr="00B162C2" w:rsidRDefault="00816D1B" w:rsidP="00DC1249">
            <w:pPr>
              <w:pStyle w:val="TableText"/>
              <w:keepLines/>
              <w:widowControl w:val="0"/>
            </w:pPr>
            <w:r w:rsidRPr="00B162C2">
              <w:t>QALYs</w:t>
            </w:r>
          </w:p>
        </w:tc>
        <w:tc>
          <w:tcPr>
            <w:tcW w:w="1079" w:type="pct"/>
            <w:gridSpan w:val="2"/>
            <w:vAlign w:val="bottom"/>
          </w:tcPr>
          <w:p w14:paraId="6B0DD511" w14:textId="77777777" w:rsidR="00816D1B" w:rsidRPr="00B162C2" w:rsidRDefault="00816D1B" w:rsidP="00DC1249">
            <w:pPr>
              <w:pStyle w:val="TableText"/>
              <w:keepLines/>
              <w:widowControl w:val="0"/>
              <w:jc w:val="center"/>
            </w:pPr>
            <w:r w:rsidRPr="00B162C2">
              <w:t>0.2122</w:t>
            </w:r>
          </w:p>
        </w:tc>
        <w:tc>
          <w:tcPr>
            <w:tcW w:w="1081" w:type="pct"/>
            <w:vAlign w:val="bottom"/>
          </w:tcPr>
          <w:p w14:paraId="0CB3D3C2" w14:textId="77777777" w:rsidR="00816D1B" w:rsidRPr="00B162C2" w:rsidRDefault="00816D1B" w:rsidP="00DC1249">
            <w:pPr>
              <w:pStyle w:val="TableText"/>
              <w:keepLines/>
              <w:widowControl w:val="0"/>
              <w:jc w:val="center"/>
            </w:pPr>
            <w:r w:rsidRPr="00B162C2">
              <w:t>0.1955</w:t>
            </w:r>
          </w:p>
        </w:tc>
        <w:tc>
          <w:tcPr>
            <w:tcW w:w="1434" w:type="pct"/>
            <w:vAlign w:val="center"/>
          </w:tcPr>
          <w:p w14:paraId="69CF6036" w14:textId="77777777" w:rsidR="00816D1B" w:rsidRPr="00B162C2" w:rsidRDefault="00816D1B" w:rsidP="00DC1249">
            <w:pPr>
              <w:pStyle w:val="TableText"/>
              <w:keepLines/>
              <w:widowControl w:val="0"/>
              <w:jc w:val="center"/>
            </w:pPr>
            <w:r w:rsidRPr="00B162C2">
              <w:t>0.0167</w:t>
            </w:r>
          </w:p>
        </w:tc>
      </w:tr>
      <w:tr w:rsidR="00816D1B" w:rsidRPr="00B162C2" w14:paraId="0933692D" w14:textId="77777777" w:rsidTr="00BE10F4">
        <w:tc>
          <w:tcPr>
            <w:tcW w:w="3566" w:type="pct"/>
            <w:gridSpan w:val="4"/>
          </w:tcPr>
          <w:p w14:paraId="606AEB0A" w14:textId="77777777" w:rsidR="00816D1B" w:rsidRPr="00B162C2" w:rsidRDefault="00816D1B" w:rsidP="00DC1249">
            <w:pPr>
              <w:pStyle w:val="TableText"/>
              <w:keepLines/>
              <w:widowControl w:val="0"/>
              <w:jc w:val="right"/>
              <w:rPr>
                <w:b/>
              </w:rPr>
            </w:pPr>
            <w:r w:rsidRPr="00B162C2">
              <w:rPr>
                <w:b/>
              </w:rPr>
              <w:t>Incremental cost per QALY gained</w:t>
            </w:r>
          </w:p>
        </w:tc>
        <w:tc>
          <w:tcPr>
            <w:tcW w:w="1434" w:type="pct"/>
            <w:vAlign w:val="center"/>
          </w:tcPr>
          <w:p w14:paraId="00C7B9E6" w14:textId="0C36F98A" w:rsidR="00816D1B" w:rsidRPr="00B47AE7" w:rsidRDefault="00816D1B" w:rsidP="00DC1249">
            <w:pPr>
              <w:pStyle w:val="TableText"/>
              <w:keepLines/>
              <w:widowControl w:val="0"/>
              <w:jc w:val="center"/>
              <w:rPr>
                <w:vertAlign w:val="superscript"/>
              </w:rPr>
            </w:pPr>
            <w:r w:rsidRPr="00B162C2">
              <w:t>$</w:t>
            </w:r>
            <w:r w:rsidR="0069051D" w:rsidRPr="0069051D">
              <w:rPr>
                <w:color w:val="000000"/>
                <w:shd w:val="solid" w:color="000000" w:fill="000000"/>
                <w14:textFill>
                  <w14:solidFill>
                    <w14:srgbClr w14:val="000000">
                      <w14:alpha w14:val="100000"/>
                    </w14:srgbClr>
                  </w14:solidFill>
                </w14:textFill>
              </w:rPr>
              <w:t>|</w:t>
            </w:r>
            <w:r w:rsidR="007B2DC0">
              <w:rPr>
                <w:vertAlign w:val="superscript"/>
              </w:rPr>
              <w:t>2</w:t>
            </w:r>
          </w:p>
        </w:tc>
      </w:tr>
      <w:tr w:rsidR="00816D1B" w:rsidRPr="00B162C2" w14:paraId="58975D51" w14:textId="77777777" w:rsidTr="00BE10F4">
        <w:tc>
          <w:tcPr>
            <w:tcW w:w="5000" w:type="pct"/>
            <w:gridSpan w:val="5"/>
          </w:tcPr>
          <w:p w14:paraId="145694CE" w14:textId="77777777" w:rsidR="00816D1B" w:rsidRPr="00B162C2" w:rsidRDefault="00816D1B" w:rsidP="00DC1249">
            <w:pPr>
              <w:pStyle w:val="TableText"/>
              <w:keepLines/>
              <w:widowControl w:val="0"/>
              <w:jc w:val="both"/>
              <w:rPr>
                <w:b/>
                <w:iCs/>
              </w:rPr>
            </w:pPr>
            <w:r w:rsidRPr="00B162C2">
              <w:rPr>
                <w:b/>
                <w:iCs/>
              </w:rPr>
              <w:t xml:space="preserve">Step 3: </w:t>
            </w:r>
            <w:r w:rsidRPr="00B162C2">
              <w:rPr>
                <w:b/>
              </w:rPr>
              <w:t xml:space="preserve">Modelled outcomes to </w:t>
            </w:r>
            <w:r w:rsidRPr="00B162C2">
              <w:rPr>
                <w:b/>
                <w:u w:val="single"/>
              </w:rPr>
              <w:t>10 years</w:t>
            </w:r>
            <w:r w:rsidRPr="00B162C2">
              <w:rPr>
                <w:b/>
              </w:rPr>
              <w:t xml:space="preserve"> including response, treatment discontinuation, exacerbation, myasthenic crisis and death events using health state utility values, event disutility values and high-dose corticosteroid utility values and using drug costs only</w:t>
            </w:r>
          </w:p>
        </w:tc>
      </w:tr>
      <w:tr w:rsidR="00816D1B" w:rsidRPr="00B162C2" w14:paraId="2EECE4B8" w14:textId="77777777" w:rsidTr="00BE10F4">
        <w:tc>
          <w:tcPr>
            <w:tcW w:w="1406" w:type="pct"/>
          </w:tcPr>
          <w:p w14:paraId="41E3D0A4" w14:textId="77777777" w:rsidR="00816D1B" w:rsidRPr="00B162C2" w:rsidRDefault="00816D1B" w:rsidP="00DC1249">
            <w:pPr>
              <w:pStyle w:val="TableText"/>
              <w:keepLines/>
              <w:widowControl w:val="0"/>
              <w:rPr>
                <w:iCs/>
              </w:rPr>
            </w:pPr>
            <w:r w:rsidRPr="00B162C2">
              <w:rPr>
                <w:iCs/>
              </w:rPr>
              <w:t>Costs</w:t>
            </w:r>
          </w:p>
        </w:tc>
        <w:tc>
          <w:tcPr>
            <w:tcW w:w="1079" w:type="pct"/>
            <w:gridSpan w:val="2"/>
            <w:vAlign w:val="bottom"/>
          </w:tcPr>
          <w:p w14:paraId="5BC80E6D" w14:textId="4E7141E6" w:rsidR="00816D1B" w:rsidRPr="00B162C2" w:rsidRDefault="00816D1B" w:rsidP="00DC1249">
            <w:pPr>
              <w:pStyle w:val="TableText"/>
              <w:keepLines/>
              <w:widowControl w:val="0"/>
              <w:jc w:val="center"/>
              <w:rPr>
                <w:iCs/>
              </w:rPr>
            </w:pPr>
            <w:r w:rsidRPr="00B162C2">
              <w:rPr>
                <w:iCs/>
              </w:rPr>
              <w:t>$</w:t>
            </w:r>
            <w:r w:rsidR="0069051D" w:rsidRPr="0069051D">
              <w:rPr>
                <w:iCs/>
                <w:color w:val="000000"/>
                <w:shd w:val="solid" w:color="000000" w:fill="000000"/>
                <w14:textFill>
                  <w14:solidFill>
                    <w14:srgbClr w14:val="000000">
                      <w14:alpha w14:val="100000"/>
                    </w14:srgbClr>
                  </w14:solidFill>
                </w14:textFill>
              </w:rPr>
              <w:t>|</w:t>
            </w:r>
          </w:p>
        </w:tc>
        <w:tc>
          <w:tcPr>
            <w:tcW w:w="1081" w:type="pct"/>
            <w:vAlign w:val="bottom"/>
          </w:tcPr>
          <w:p w14:paraId="24DE4630" w14:textId="77777777" w:rsidR="00816D1B" w:rsidRPr="00B162C2" w:rsidRDefault="00816D1B" w:rsidP="00DC1249">
            <w:pPr>
              <w:pStyle w:val="TableText"/>
              <w:keepLines/>
              <w:widowControl w:val="0"/>
              <w:jc w:val="center"/>
              <w:rPr>
                <w:iCs/>
              </w:rPr>
            </w:pPr>
            <w:r w:rsidRPr="00B162C2">
              <w:rPr>
                <w:iCs/>
              </w:rPr>
              <w:t>$2,289</w:t>
            </w:r>
          </w:p>
        </w:tc>
        <w:tc>
          <w:tcPr>
            <w:tcW w:w="1434" w:type="pct"/>
            <w:vAlign w:val="center"/>
          </w:tcPr>
          <w:p w14:paraId="7E376A10" w14:textId="2985425F" w:rsidR="00816D1B" w:rsidRPr="00B162C2" w:rsidRDefault="00816D1B" w:rsidP="00DC1249">
            <w:pPr>
              <w:pStyle w:val="TableText"/>
              <w:keepLines/>
              <w:widowControl w:val="0"/>
              <w:jc w:val="center"/>
              <w:rPr>
                <w:iCs/>
              </w:rPr>
            </w:pPr>
            <w:r w:rsidRPr="00B162C2">
              <w:rPr>
                <w:iCs/>
              </w:rPr>
              <w:t>$</w:t>
            </w:r>
            <w:r w:rsidR="0069051D" w:rsidRPr="0069051D">
              <w:rPr>
                <w:iCs/>
                <w:color w:val="000000"/>
                <w:shd w:val="solid" w:color="000000" w:fill="000000"/>
                <w14:textFill>
                  <w14:solidFill>
                    <w14:srgbClr w14:val="000000">
                      <w14:alpha w14:val="100000"/>
                    </w14:srgbClr>
                  </w14:solidFill>
                </w14:textFill>
              </w:rPr>
              <w:t>|</w:t>
            </w:r>
          </w:p>
        </w:tc>
      </w:tr>
      <w:tr w:rsidR="00816D1B" w:rsidRPr="00B162C2" w14:paraId="14D70832" w14:textId="77777777" w:rsidTr="00BE10F4">
        <w:tc>
          <w:tcPr>
            <w:tcW w:w="1406" w:type="pct"/>
          </w:tcPr>
          <w:p w14:paraId="510F38E4" w14:textId="77777777" w:rsidR="00816D1B" w:rsidRPr="00B162C2" w:rsidRDefault="00816D1B" w:rsidP="00DC1249">
            <w:pPr>
              <w:pStyle w:val="TableText"/>
              <w:keepLines/>
              <w:widowControl w:val="0"/>
              <w:rPr>
                <w:iCs/>
              </w:rPr>
            </w:pPr>
            <w:r w:rsidRPr="00B162C2">
              <w:rPr>
                <w:iCs/>
              </w:rPr>
              <w:t>QALYs</w:t>
            </w:r>
          </w:p>
        </w:tc>
        <w:tc>
          <w:tcPr>
            <w:tcW w:w="1079" w:type="pct"/>
            <w:gridSpan w:val="2"/>
            <w:vAlign w:val="bottom"/>
          </w:tcPr>
          <w:p w14:paraId="500658B2" w14:textId="77777777" w:rsidR="00816D1B" w:rsidRPr="00B162C2" w:rsidRDefault="00816D1B" w:rsidP="00DC1249">
            <w:pPr>
              <w:pStyle w:val="TableText"/>
              <w:keepLines/>
              <w:widowControl w:val="0"/>
              <w:jc w:val="center"/>
              <w:rPr>
                <w:iCs/>
              </w:rPr>
            </w:pPr>
            <w:r w:rsidRPr="00B162C2">
              <w:rPr>
                <w:iCs/>
              </w:rPr>
              <w:t>4.5583</w:t>
            </w:r>
          </w:p>
        </w:tc>
        <w:tc>
          <w:tcPr>
            <w:tcW w:w="1081" w:type="pct"/>
            <w:vAlign w:val="bottom"/>
          </w:tcPr>
          <w:p w14:paraId="1E8584A6" w14:textId="77777777" w:rsidR="00816D1B" w:rsidRPr="00B162C2" w:rsidRDefault="00816D1B" w:rsidP="00DC1249">
            <w:pPr>
              <w:pStyle w:val="TableText"/>
              <w:keepLines/>
              <w:widowControl w:val="0"/>
              <w:jc w:val="center"/>
              <w:rPr>
                <w:iCs/>
              </w:rPr>
            </w:pPr>
            <w:r w:rsidRPr="00B162C2">
              <w:rPr>
                <w:iCs/>
              </w:rPr>
              <w:t>3.7538</w:t>
            </w:r>
          </w:p>
        </w:tc>
        <w:tc>
          <w:tcPr>
            <w:tcW w:w="1434" w:type="pct"/>
            <w:vAlign w:val="center"/>
          </w:tcPr>
          <w:p w14:paraId="033EA1EF" w14:textId="77777777" w:rsidR="00816D1B" w:rsidRPr="00B162C2" w:rsidRDefault="00816D1B" w:rsidP="00DC1249">
            <w:pPr>
              <w:pStyle w:val="TableText"/>
              <w:keepLines/>
              <w:widowControl w:val="0"/>
              <w:jc w:val="center"/>
              <w:rPr>
                <w:iCs/>
              </w:rPr>
            </w:pPr>
            <w:r w:rsidRPr="00B162C2">
              <w:rPr>
                <w:iCs/>
              </w:rPr>
              <w:t>0.8045</w:t>
            </w:r>
          </w:p>
        </w:tc>
      </w:tr>
      <w:tr w:rsidR="00816D1B" w:rsidRPr="00B162C2" w14:paraId="18BAB50F" w14:textId="77777777" w:rsidTr="00BE10F4">
        <w:tc>
          <w:tcPr>
            <w:tcW w:w="3566" w:type="pct"/>
            <w:gridSpan w:val="4"/>
          </w:tcPr>
          <w:p w14:paraId="18622CC0" w14:textId="77777777" w:rsidR="00816D1B" w:rsidRPr="00B162C2" w:rsidRDefault="00816D1B" w:rsidP="00DC1249">
            <w:pPr>
              <w:pStyle w:val="TableText"/>
              <w:keepLines/>
              <w:widowControl w:val="0"/>
              <w:jc w:val="right"/>
              <w:rPr>
                <w:b/>
                <w:iCs/>
              </w:rPr>
            </w:pPr>
            <w:r w:rsidRPr="00B162C2">
              <w:rPr>
                <w:b/>
              </w:rPr>
              <w:t>Incremental cost per QALY gained</w:t>
            </w:r>
          </w:p>
        </w:tc>
        <w:tc>
          <w:tcPr>
            <w:tcW w:w="1434" w:type="pct"/>
            <w:vAlign w:val="center"/>
          </w:tcPr>
          <w:p w14:paraId="095B9047" w14:textId="5C848B48" w:rsidR="00816D1B" w:rsidRPr="007B2DC0" w:rsidRDefault="00816D1B" w:rsidP="00DC1249">
            <w:pPr>
              <w:pStyle w:val="TableText"/>
              <w:keepLines/>
              <w:widowControl w:val="0"/>
              <w:jc w:val="center"/>
              <w:rPr>
                <w:iCs/>
                <w:vertAlign w:val="superscript"/>
              </w:rPr>
            </w:pPr>
            <w:r w:rsidRPr="00B162C2">
              <w:rPr>
                <w:iCs/>
              </w:rPr>
              <w:t>$</w:t>
            </w:r>
            <w:r w:rsidR="0069051D" w:rsidRPr="0069051D">
              <w:rPr>
                <w:iCs/>
                <w:color w:val="000000"/>
                <w:shd w:val="solid" w:color="000000" w:fill="000000"/>
                <w14:textFill>
                  <w14:solidFill>
                    <w14:srgbClr w14:val="000000">
                      <w14:alpha w14:val="100000"/>
                    </w14:srgbClr>
                  </w14:solidFill>
                </w14:textFill>
              </w:rPr>
              <w:t>|</w:t>
            </w:r>
            <w:r w:rsidRPr="00B162C2">
              <w:rPr>
                <w:iCs/>
              </w:rPr>
              <w:tab/>
            </w:r>
            <w:r w:rsidR="007B2DC0">
              <w:rPr>
                <w:iCs/>
                <w:vertAlign w:val="superscript"/>
              </w:rPr>
              <w:t>3</w:t>
            </w:r>
          </w:p>
        </w:tc>
      </w:tr>
      <w:tr w:rsidR="00816D1B" w:rsidRPr="00B162C2" w14:paraId="75F6EEEE" w14:textId="77777777" w:rsidTr="00BE10F4">
        <w:tc>
          <w:tcPr>
            <w:tcW w:w="5000" w:type="pct"/>
            <w:gridSpan w:val="5"/>
          </w:tcPr>
          <w:p w14:paraId="4DC0BBF1" w14:textId="77777777" w:rsidR="00816D1B" w:rsidRPr="00B162C2" w:rsidRDefault="00816D1B" w:rsidP="00DC1249">
            <w:pPr>
              <w:pStyle w:val="TableText"/>
              <w:keepLines/>
              <w:widowControl w:val="0"/>
              <w:rPr>
                <w:iCs/>
              </w:rPr>
            </w:pPr>
            <w:r w:rsidRPr="00B162C2">
              <w:rPr>
                <w:b/>
                <w:iCs/>
              </w:rPr>
              <w:t xml:space="preserve">Step 4: </w:t>
            </w:r>
            <w:r w:rsidRPr="00B162C2">
              <w:rPr>
                <w:b/>
              </w:rPr>
              <w:t xml:space="preserve">Modelled outcomes to 10 years including response, treatment discontinuation, exacerbation, myasthenic crisis and death events using health state utility values, event disutility values and high-dose corticosteroid utility values and </w:t>
            </w:r>
            <w:r w:rsidRPr="00B162C2">
              <w:rPr>
                <w:b/>
                <w:u w:val="single"/>
              </w:rPr>
              <w:t>using all treatment costs, disease management costs, events costs and terminal care costs</w:t>
            </w:r>
          </w:p>
        </w:tc>
      </w:tr>
      <w:tr w:rsidR="00816D1B" w:rsidRPr="00B162C2" w14:paraId="1DA27AEB" w14:textId="77777777" w:rsidTr="00BE10F4">
        <w:tc>
          <w:tcPr>
            <w:tcW w:w="1412" w:type="pct"/>
            <w:gridSpan w:val="2"/>
          </w:tcPr>
          <w:p w14:paraId="1D390D42" w14:textId="77777777" w:rsidR="00816D1B" w:rsidRPr="00B162C2" w:rsidRDefault="00816D1B" w:rsidP="00DC1249">
            <w:pPr>
              <w:pStyle w:val="TableText"/>
              <w:keepLines/>
              <w:widowControl w:val="0"/>
              <w:rPr>
                <w:b/>
              </w:rPr>
            </w:pPr>
            <w:r w:rsidRPr="00B162C2">
              <w:rPr>
                <w:iCs/>
              </w:rPr>
              <w:t>Costs</w:t>
            </w:r>
          </w:p>
        </w:tc>
        <w:tc>
          <w:tcPr>
            <w:tcW w:w="1073" w:type="pct"/>
          </w:tcPr>
          <w:p w14:paraId="30BE6CED" w14:textId="2FAF03EE" w:rsidR="00816D1B" w:rsidRPr="00B162C2" w:rsidRDefault="00816D1B" w:rsidP="00DC1249">
            <w:pPr>
              <w:pStyle w:val="TableText"/>
              <w:keepLines/>
              <w:widowControl w:val="0"/>
              <w:jc w:val="center"/>
              <w:rPr>
                <w:bCs w:val="0"/>
              </w:rPr>
            </w:pPr>
            <w:r w:rsidRPr="00B162C2">
              <w:rPr>
                <w:bCs w:val="0"/>
              </w:rPr>
              <w:t>$</w:t>
            </w:r>
            <w:r w:rsidR="0069051D" w:rsidRPr="0069051D">
              <w:rPr>
                <w:bCs w:val="0"/>
                <w:color w:val="000000"/>
                <w:shd w:val="solid" w:color="000000" w:fill="000000"/>
                <w14:textFill>
                  <w14:solidFill>
                    <w14:srgbClr w14:val="000000">
                      <w14:alpha w14:val="100000"/>
                    </w14:srgbClr>
                  </w14:solidFill>
                </w14:textFill>
              </w:rPr>
              <w:t>|</w:t>
            </w:r>
          </w:p>
        </w:tc>
        <w:tc>
          <w:tcPr>
            <w:tcW w:w="1081" w:type="pct"/>
          </w:tcPr>
          <w:p w14:paraId="146592AC" w14:textId="77777777" w:rsidR="00816D1B" w:rsidRPr="00B162C2" w:rsidRDefault="00816D1B" w:rsidP="00DC1249">
            <w:pPr>
              <w:pStyle w:val="TableText"/>
              <w:keepLines/>
              <w:widowControl w:val="0"/>
              <w:jc w:val="center"/>
              <w:rPr>
                <w:bCs w:val="0"/>
              </w:rPr>
            </w:pPr>
            <w:r w:rsidRPr="00B162C2">
              <w:rPr>
                <w:bCs w:val="0"/>
              </w:rPr>
              <w:t>$321,233</w:t>
            </w:r>
          </w:p>
        </w:tc>
        <w:tc>
          <w:tcPr>
            <w:tcW w:w="1434" w:type="pct"/>
            <w:vAlign w:val="center"/>
          </w:tcPr>
          <w:p w14:paraId="17B88A68" w14:textId="667F1002" w:rsidR="00816D1B" w:rsidRPr="00B162C2" w:rsidRDefault="00816D1B" w:rsidP="00DC1249">
            <w:pPr>
              <w:pStyle w:val="TableText"/>
              <w:keepLines/>
              <w:widowControl w:val="0"/>
              <w:jc w:val="center"/>
              <w:rPr>
                <w:bCs w:val="0"/>
                <w:iCs/>
              </w:rPr>
            </w:pPr>
            <w:r w:rsidRPr="00B162C2">
              <w:rPr>
                <w:bCs w:val="0"/>
                <w:iCs/>
              </w:rPr>
              <w:t>$</w:t>
            </w:r>
            <w:r w:rsidR="0069051D" w:rsidRPr="0069051D">
              <w:rPr>
                <w:bCs w:val="0"/>
                <w:iCs/>
                <w:color w:val="000000"/>
                <w:shd w:val="solid" w:color="000000" w:fill="000000"/>
                <w14:textFill>
                  <w14:solidFill>
                    <w14:srgbClr w14:val="000000">
                      <w14:alpha w14:val="100000"/>
                    </w14:srgbClr>
                  </w14:solidFill>
                </w14:textFill>
              </w:rPr>
              <w:t>|</w:t>
            </w:r>
          </w:p>
        </w:tc>
      </w:tr>
      <w:tr w:rsidR="00824C97" w:rsidRPr="00B162C2" w14:paraId="4C920F9C" w14:textId="77777777" w:rsidTr="00BE10F4">
        <w:tc>
          <w:tcPr>
            <w:tcW w:w="1412" w:type="pct"/>
            <w:gridSpan w:val="2"/>
          </w:tcPr>
          <w:p w14:paraId="26983D90" w14:textId="5EB520E6" w:rsidR="00101EC9" w:rsidRPr="00B162C2" w:rsidRDefault="00101EC9" w:rsidP="00DC1249">
            <w:pPr>
              <w:pStyle w:val="TableText"/>
              <w:keepLines/>
              <w:widowControl w:val="0"/>
              <w:rPr>
                <w:iCs/>
              </w:rPr>
            </w:pPr>
            <w:r>
              <w:rPr>
                <w:iCs/>
              </w:rPr>
              <w:t>Life years</w:t>
            </w:r>
          </w:p>
        </w:tc>
        <w:tc>
          <w:tcPr>
            <w:tcW w:w="1073" w:type="pct"/>
          </w:tcPr>
          <w:p w14:paraId="397E79C8" w14:textId="4F884233" w:rsidR="00101EC9" w:rsidRPr="00B162C2" w:rsidRDefault="00101EC9" w:rsidP="00DC1249">
            <w:pPr>
              <w:pStyle w:val="TableText"/>
              <w:keepLines/>
              <w:widowControl w:val="0"/>
              <w:jc w:val="center"/>
              <w:rPr>
                <w:bCs w:val="0"/>
              </w:rPr>
            </w:pPr>
            <w:r w:rsidRPr="00101EC9">
              <w:rPr>
                <w:bCs w:val="0"/>
              </w:rPr>
              <w:t>7.7888</w:t>
            </w:r>
          </w:p>
        </w:tc>
        <w:tc>
          <w:tcPr>
            <w:tcW w:w="1081" w:type="pct"/>
          </w:tcPr>
          <w:p w14:paraId="4412B789" w14:textId="160586C8" w:rsidR="00101EC9" w:rsidRPr="00B162C2" w:rsidRDefault="00101EC9" w:rsidP="00DC1249">
            <w:pPr>
              <w:pStyle w:val="TableText"/>
              <w:keepLines/>
              <w:widowControl w:val="0"/>
              <w:jc w:val="center"/>
              <w:rPr>
                <w:bCs w:val="0"/>
              </w:rPr>
            </w:pPr>
            <w:r w:rsidRPr="00101EC9">
              <w:rPr>
                <w:bCs w:val="0"/>
              </w:rPr>
              <w:t>7.7851</w:t>
            </w:r>
          </w:p>
        </w:tc>
        <w:tc>
          <w:tcPr>
            <w:tcW w:w="1434" w:type="pct"/>
            <w:vAlign w:val="center"/>
          </w:tcPr>
          <w:p w14:paraId="1D17E05C" w14:textId="043AE9DA" w:rsidR="00101EC9" w:rsidRPr="00B162C2" w:rsidRDefault="00101EC9" w:rsidP="00DC1249">
            <w:pPr>
              <w:pStyle w:val="TableText"/>
              <w:keepLines/>
              <w:widowControl w:val="0"/>
              <w:jc w:val="center"/>
              <w:rPr>
                <w:bCs w:val="0"/>
                <w:iCs/>
              </w:rPr>
            </w:pPr>
            <w:r w:rsidRPr="00101EC9">
              <w:rPr>
                <w:bCs w:val="0"/>
                <w:iCs/>
              </w:rPr>
              <w:t>0.0037</w:t>
            </w:r>
          </w:p>
        </w:tc>
      </w:tr>
      <w:tr w:rsidR="00816D1B" w:rsidRPr="00B162C2" w14:paraId="34632C7C" w14:textId="77777777" w:rsidTr="00BE10F4">
        <w:tc>
          <w:tcPr>
            <w:tcW w:w="1412" w:type="pct"/>
            <w:gridSpan w:val="2"/>
          </w:tcPr>
          <w:p w14:paraId="7D52599E" w14:textId="77777777" w:rsidR="00816D1B" w:rsidRPr="00B162C2" w:rsidRDefault="00816D1B" w:rsidP="00DC1249">
            <w:pPr>
              <w:pStyle w:val="TableText"/>
              <w:keepLines/>
              <w:widowControl w:val="0"/>
              <w:rPr>
                <w:b/>
              </w:rPr>
            </w:pPr>
            <w:r w:rsidRPr="00B162C2">
              <w:rPr>
                <w:iCs/>
              </w:rPr>
              <w:t>QALYs</w:t>
            </w:r>
          </w:p>
        </w:tc>
        <w:tc>
          <w:tcPr>
            <w:tcW w:w="1073" w:type="pct"/>
          </w:tcPr>
          <w:p w14:paraId="5B44F0D7" w14:textId="77777777" w:rsidR="00816D1B" w:rsidRPr="00B162C2" w:rsidRDefault="00816D1B" w:rsidP="00DC1249">
            <w:pPr>
              <w:pStyle w:val="TableText"/>
              <w:keepLines/>
              <w:widowControl w:val="0"/>
              <w:jc w:val="center"/>
              <w:rPr>
                <w:bCs w:val="0"/>
              </w:rPr>
            </w:pPr>
            <w:r w:rsidRPr="00B162C2">
              <w:rPr>
                <w:bCs w:val="0"/>
              </w:rPr>
              <w:t>4.5583</w:t>
            </w:r>
          </w:p>
        </w:tc>
        <w:tc>
          <w:tcPr>
            <w:tcW w:w="1081" w:type="pct"/>
          </w:tcPr>
          <w:p w14:paraId="7ED85E6A" w14:textId="77777777" w:rsidR="00816D1B" w:rsidRPr="00B162C2" w:rsidRDefault="00816D1B" w:rsidP="00DC1249">
            <w:pPr>
              <w:pStyle w:val="TableText"/>
              <w:keepLines/>
              <w:widowControl w:val="0"/>
              <w:jc w:val="center"/>
              <w:rPr>
                <w:bCs w:val="0"/>
              </w:rPr>
            </w:pPr>
            <w:r w:rsidRPr="00B162C2">
              <w:rPr>
                <w:bCs w:val="0"/>
              </w:rPr>
              <w:t>3.7538</w:t>
            </w:r>
          </w:p>
        </w:tc>
        <w:tc>
          <w:tcPr>
            <w:tcW w:w="1434" w:type="pct"/>
            <w:vAlign w:val="center"/>
          </w:tcPr>
          <w:p w14:paraId="4DAB0171" w14:textId="77777777" w:rsidR="00816D1B" w:rsidRPr="00B162C2" w:rsidRDefault="00816D1B" w:rsidP="00DC1249">
            <w:pPr>
              <w:pStyle w:val="TableText"/>
              <w:keepLines/>
              <w:widowControl w:val="0"/>
              <w:jc w:val="center"/>
              <w:rPr>
                <w:bCs w:val="0"/>
                <w:iCs/>
              </w:rPr>
            </w:pPr>
            <w:r w:rsidRPr="00B162C2">
              <w:rPr>
                <w:bCs w:val="0"/>
                <w:iCs/>
              </w:rPr>
              <w:t>0.8045</w:t>
            </w:r>
          </w:p>
        </w:tc>
      </w:tr>
      <w:tr w:rsidR="00DC1332" w:rsidRPr="00B162C2" w14:paraId="5EDEAAE5" w14:textId="77777777" w:rsidTr="00BE10F4">
        <w:tc>
          <w:tcPr>
            <w:tcW w:w="3566" w:type="pct"/>
            <w:gridSpan w:val="4"/>
          </w:tcPr>
          <w:p w14:paraId="5BAE621E" w14:textId="2E5334C6" w:rsidR="00DC1332" w:rsidRPr="00B162C2" w:rsidRDefault="00DC1332" w:rsidP="00DC1249">
            <w:pPr>
              <w:pStyle w:val="TableText"/>
              <w:keepLines/>
              <w:widowControl w:val="0"/>
              <w:jc w:val="right"/>
              <w:rPr>
                <w:b/>
              </w:rPr>
            </w:pPr>
            <w:r w:rsidRPr="00B162C2">
              <w:rPr>
                <w:b/>
              </w:rPr>
              <w:t>Incremental cost per life year gained</w:t>
            </w:r>
          </w:p>
        </w:tc>
        <w:tc>
          <w:tcPr>
            <w:tcW w:w="1434" w:type="pct"/>
            <w:vAlign w:val="center"/>
          </w:tcPr>
          <w:p w14:paraId="4BF70744" w14:textId="7353E06E" w:rsidR="00DC1332" w:rsidRPr="007B2DC0" w:rsidRDefault="00DC1332" w:rsidP="00DC1249">
            <w:pPr>
              <w:pStyle w:val="TableText"/>
              <w:keepLines/>
              <w:widowControl w:val="0"/>
              <w:jc w:val="center"/>
              <w:rPr>
                <w:iCs/>
                <w:vertAlign w:val="superscript"/>
              </w:rPr>
            </w:pPr>
            <w:r>
              <w:rPr>
                <w:iCs/>
              </w:rPr>
              <w:t>$</w:t>
            </w:r>
            <w:r w:rsidR="0069051D" w:rsidRPr="0069051D">
              <w:rPr>
                <w:iCs/>
                <w:color w:val="000000"/>
                <w:shd w:val="solid" w:color="000000" w:fill="000000"/>
                <w14:textFill>
                  <w14:solidFill>
                    <w14:srgbClr w14:val="000000">
                      <w14:alpha w14:val="100000"/>
                    </w14:srgbClr>
                  </w14:solidFill>
                </w14:textFill>
              </w:rPr>
              <w:t>|</w:t>
            </w:r>
            <w:r w:rsidR="004643CF">
              <w:rPr>
                <w:iCs/>
                <w:vertAlign w:val="superscript"/>
              </w:rPr>
              <w:t>2</w:t>
            </w:r>
          </w:p>
        </w:tc>
      </w:tr>
      <w:tr w:rsidR="00DC1332" w:rsidRPr="00B162C2" w14:paraId="22B9498F" w14:textId="77777777" w:rsidTr="00BE10F4">
        <w:tc>
          <w:tcPr>
            <w:tcW w:w="3566" w:type="pct"/>
            <w:gridSpan w:val="4"/>
          </w:tcPr>
          <w:p w14:paraId="153FA9B4" w14:textId="7641D5CC" w:rsidR="00DC1332" w:rsidRPr="00B162C2" w:rsidRDefault="00DC1332" w:rsidP="00DC1249">
            <w:pPr>
              <w:pStyle w:val="TableText"/>
              <w:keepLines/>
              <w:widowControl w:val="0"/>
              <w:jc w:val="right"/>
              <w:rPr>
                <w:b/>
              </w:rPr>
            </w:pPr>
            <w:r w:rsidRPr="00B162C2">
              <w:rPr>
                <w:b/>
              </w:rPr>
              <w:t>Incremental cost per QALY gained</w:t>
            </w:r>
          </w:p>
        </w:tc>
        <w:tc>
          <w:tcPr>
            <w:tcW w:w="1434" w:type="pct"/>
            <w:vAlign w:val="center"/>
          </w:tcPr>
          <w:p w14:paraId="465E1786" w14:textId="39F680C2" w:rsidR="00DC1332" w:rsidRPr="004643CF" w:rsidRDefault="00DC1332" w:rsidP="00DC1249">
            <w:pPr>
              <w:pStyle w:val="TableText"/>
              <w:keepLines/>
              <w:widowControl w:val="0"/>
              <w:jc w:val="center"/>
              <w:rPr>
                <w:iCs/>
                <w:vertAlign w:val="superscript"/>
              </w:rPr>
            </w:pPr>
            <w:r w:rsidRPr="00B162C2">
              <w:rPr>
                <w:iCs/>
              </w:rPr>
              <w:t>$</w:t>
            </w:r>
            <w:r w:rsidR="0069051D" w:rsidRPr="0069051D">
              <w:rPr>
                <w:iCs/>
                <w:color w:val="000000"/>
                <w:shd w:val="solid" w:color="000000" w:fill="000000"/>
                <w14:textFill>
                  <w14:solidFill>
                    <w14:srgbClr w14:val="000000">
                      <w14:alpha w14:val="100000"/>
                    </w14:srgbClr>
                  </w14:solidFill>
                </w14:textFill>
              </w:rPr>
              <w:t>|</w:t>
            </w:r>
            <w:r w:rsidR="004643CF">
              <w:rPr>
                <w:iCs/>
                <w:vertAlign w:val="superscript"/>
              </w:rPr>
              <w:t>4</w:t>
            </w:r>
          </w:p>
        </w:tc>
      </w:tr>
    </w:tbl>
    <w:p w14:paraId="1F4F0250" w14:textId="77777777" w:rsidR="00816D1B" w:rsidRPr="00B162C2" w:rsidRDefault="00816D1B" w:rsidP="00DC1249">
      <w:pPr>
        <w:pStyle w:val="TableFigureFooter"/>
        <w:keepNext/>
        <w:keepLines/>
      </w:pPr>
      <w:r w:rsidRPr="00B162C2">
        <w:t>Source: Table 3.8-2, p166 of the submission</w:t>
      </w:r>
    </w:p>
    <w:p w14:paraId="7EA0E340" w14:textId="13C54DDC" w:rsidR="00816D1B" w:rsidRDefault="00816D1B" w:rsidP="00DC1249">
      <w:pPr>
        <w:pStyle w:val="TableFigureFooter"/>
        <w:keepNext/>
        <w:keepLines/>
        <w:spacing w:after="0"/>
      </w:pPr>
      <w:r w:rsidRPr="00B162C2">
        <w:t>Abbreviations: QALY, quality-adjusted life year</w:t>
      </w:r>
    </w:p>
    <w:p w14:paraId="28DC1567" w14:textId="77777777" w:rsidR="00CD10EB" w:rsidRPr="009A6D58" w:rsidRDefault="00CD10EB" w:rsidP="00DC1249">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E2DE3D1" w14:textId="16BE31AD" w:rsidR="00CD10EB" w:rsidRPr="00F464E6" w:rsidRDefault="00CD10EB" w:rsidP="00DC1249">
      <w:pPr>
        <w:keepNext/>
        <w:keepLines/>
        <w:rPr>
          <w:rFonts w:ascii="Arial Narrow" w:hAnsi="Arial Narrow"/>
          <w:i/>
          <w:sz w:val="16"/>
          <w:szCs w:val="16"/>
        </w:rPr>
      </w:pPr>
      <w:r w:rsidRPr="009A6D58">
        <w:rPr>
          <w:rFonts w:ascii="Arial Narrow" w:hAnsi="Arial Narrow"/>
          <w:i/>
          <w:sz w:val="18"/>
          <w:szCs w:val="18"/>
          <w:vertAlign w:val="superscript"/>
        </w:rPr>
        <w:t>1</w:t>
      </w:r>
      <w:r>
        <w:rPr>
          <w:rFonts w:ascii="Arial Narrow" w:hAnsi="Arial Narrow"/>
          <w:i/>
          <w:sz w:val="18"/>
          <w:szCs w:val="18"/>
        </w:rPr>
        <w:t xml:space="preserve"> </w:t>
      </w:r>
      <w:r w:rsidR="00E9233C">
        <w:rPr>
          <w:rFonts w:ascii="Arial Narrow" w:hAnsi="Arial Narrow"/>
          <w:i/>
          <w:sz w:val="18"/>
          <w:szCs w:val="18"/>
        </w:rPr>
        <w:t>$55</w:t>
      </w:r>
      <w:r w:rsidR="00F464E6">
        <w:rPr>
          <w:rFonts w:ascii="Arial Narrow" w:hAnsi="Arial Narrow"/>
          <w:i/>
          <w:sz w:val="18"/>
          <w:szCs w:val="18"/>
        </w:rPr>
        <w:t>,000 to </w:t>
      </w:r>
      <w:r w:rsidR="00F464E6">
        <w:rPr>
          <w:rFonts w:ascii="Arial Narrow" w:hAnsi="Arial Narrow"/>
          <w:i/>
          <w:sz w:val="16"/>
          <w:szCs w:val="16"/>
        </w:rPr>
        <w:t>&lt; $75,000</w:t>
      </w:r>
    </w:p>
    <w:p w14:paraId="618982C5" w14:textId="1419B88B" w:rsidR="00CD10EB" w:rsidRPr="009A6D58" w:rsidRDefault="00CD10EB" w:rsidP="00DC1249">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6B4908" w:rsidRPr="006B4908">
        <w:rPr>
          <w:rFonts w:ascii="Arial Narrow" w:hAnsi="Arial Narrow"/>
          <w:i/>
          <w:sz w:val="18"/>
          <w:szCs w:val="18"/>
        </w:rPr>
        <w:t>&gt; $1,055,000</w:t>
      </w:r>
    </w:p>
    <w:p w14:paraId="736AA218" w14:textId="3654B910" w:rsidR="00CD10EB" w:rsidRDefault="00CD10EB" w:rsidP="00DC1249">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DC1249">
        <w:rPr>
          <w:rFonts w:ascii="Arial Narrow" w:hAnsi="Arial Narrow"/>
          <w:i/>
          <w:sz w:val="18"/>
          <w:szCs w:val="18"/>
        </w:rPr>
        <w:t>$355,000 to &lt; $455,000</w:t>
      </w:r>
    </w:p>
    <w:p w14:paraId="0F3885FC" w14:textId="0760FD34" w:rsidR="00CD10EB" w:rsidRPr="00CD10EB" w:rsidRDefault="00CD10EB" w:rsidP="00CD10EB">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DC1249">
        <w:rPr>
          <w:rFonts w:ascii="Arial Narrow" w:hAnsi="Arial Narrow"/>
          <w:i/>
          <w:sz w:val="18"/>
          <w:szCs w:val="18"/>
        </w:rPr>
        <w:t>$255,000 to &lt; $355,000</w:t>
      </w:r>
    </w:p>
    <w:p w14:paraId="5EA27793" w14:textId="41E4846E" w:rsidR="00A90559" w:rsidRPr="007F52A5" w:rsidRDefault="00816D1B" w:rsidP="00905DC8">
      <w:pPr>
        <w:pStyle w:val="3-BodyText"/>
      </w:pPr>
      <w:bookmarkStart w:id="84" w:name="_Ref170129909"/>
      <w:r w:rsidRPr="007F52A5">
        <w:t>Based on the economic model, treatment with zilucoplan in combination with standard therapy was associated with a</w:t>
      </w:r>
      <w:r w:rsidR="00DF14A5" w:rsidRPr="007F52A5">
        <w:t>n incremental</w:t>
      </w:r>
      <w:r w:rsidRPr="007F52A5">
        <w:t xml:space="preserve"> cost per QALY gained of </w:t>
      </w:r>
      <w:r w:rsidR="00DC1249" w:rsidRPr="00DC1249">
        <w:rPr>
          <w:iCs/>
        </w:rPr>
        <w:t>$255,000 to &lt; $355,000</w:t>
      </w:r>
      <w:r w:rsidR="00DC1249">
        <w:rPr>
          <w:iCs/>
        </w:rPr>
        <w:t xml:space="preserve"> </w:t>
      </w:r>
      <w:r w:rsidRPr="007F52A5">
        <w:t>compared to placebo in combination with standard therapy for the treatment of myasthenia gravis.</w:t>
      </w:r>
      <w:r w:rsidR="00DF14A5" w:rsidRPr="007F52A5">
        <w:t xml:space="preserve"> The ESC considered this ICER was </w:t>
      </w:r>
      <w:r w:rsidR="00137786" w:rsidRPr="007F52A5">
        <w:t xml:space="preserve">very </w:t>
      </w:r>
      <w:r w:rsidR="00DF14A5" w:rsidRPr="007F52A5">
        <w:t xml:space="preserve">high, </w:t>
      </w:r>
      <w:r w:rsidR="00137786" w:rsidRPr="007F52A5">
        <w:t>and still likely to be underestimated</w:t>
      </w:r>
      <w:r w:rsidR="00DF14A5" w:rsidRPr="007F52A5">
        <w:t>.</w:t>
      </w:r>
      <w:bookmarkEnd w:id="84"/>
      <w:r w:rsidR="00DF14A5" w:rsidRPr="007F52A5">
        <w:t xml:space="preserve"> </w:t>
      </w:r>
    </w:p>
    <w:p w14:paraId="556E3624" w14:textId="04294E41" w:rsidR="00A90559" w:rsidRPr="007F52A5" w:rsidRDefault="00A90559" w:rsidP="00905DC8">
      <w:pPr>
        <w:pStyle w:val="3-BodyText"/>
      </w:pPr>
      <w:r w:rsidRPr="007F52A5">
        <w:t>It was unclear whether the modelled cost-effectiveness estimate can be generalised to the requested PBS population due to substantial differences in baseline functional impairment, response definitions and co-administered therapies between the modelled population and the target populations</w:t>
      </w:r>
      <w:r w:rsidR="00DF14A5" w:rsidRPr="007F52A5">
        <w:t xml:space="preserve"> (refer to paragraph </w:t>
      </w:r>
      <w:r w:rsidR="00DF14A5" w:rsidRPr="007F52A5">
        <w:fldChar w:fldCharType="begin" w:fldLock="1"/>
      </w:r>
      <w:r w:rsidR="00DF14A5" w:rsidRPr="007F52A5">
        <w:instrText xml:space="preserve"> REF _Ref169254713 \r \h </w:instrText>
      </w:r>
      <w:r w:rsidR="007F52A5" w:rsidRPr="007F52A5">
        <w:instrText xml:space="preserve"> \* MERGEFORMAT </w:instrText>
      </w:r>
      <w:r w:rsidR="00DF14A5" w:rsidRPr="007F52A5">
        <w:fldChar w:fldCharType="separate"/>
      </w:r>
      <w:r w:rsidR="00FC355E">
        <w:t>6.70</w:t>
      </w:r>
      <w:r w:rsidR="00DF14A5" w:rsidRPr="007F52A5">
        <w:fldChar w:fldCharType="end"/>
      </w:r>
      <w:r w:rsidR="00DF14A5" w:rsidRPr="007F52A5">
        <w:t>)</w:t>
      </w:r>
      <w:r w:rsidRPr="007F52A5">
        <w:t>.</w:t>
      </w:r>
    </w:p>
    <w:p w14:paraId="14B23AE0" w14:textId="11548351" w:rsidR="00A90559" w:rsidRPr="007F52A5" w:rsidRDefault="00A90559" w:rsidP="00905DC8">
      <w:pPr>
        <w:pStyle w:val="3-BodyText"/>
      </w:pPr>
      <w:bookmarkStart w:id="85" w:name="_Ref169260979"/>
      <w:r w:rsidRPr="007F52A5">
        <w:t xml:space="preserve">The </w:t>
      </w:r>
      <w:r w:rsidR="00DF14A5" w:rsidRPr="007F52A5">
        <w:t xml:space="preserve">evaluation and the ESC considered the </w:t>
      </w:r>
      <w:r w:rsidRPr="007F52A5">
        <w:t>estimated incremental cost effectiveness of zilucoplan compared to placebo was highly uncertain and was dependent on four optimistic core assumptions</w:t>
      </w:r>
      <w:r w:rsidR="00541C2E" w:rsidRPr="007F52A5">
        <w:t xml:space="preserve"> (also outlined in </w:t>
      </w:r>
      <w:r w:rsidR="00541C2E" w:rsidRPr="007F52A5">
        <w:fldChar w:fldCharType="begin" w:fldLock="1"/>
      </w:r>
      <w:r w:rsidR="00541C2E" w:rsidRPr="007F52A5">
        <w:instrText xml:space="preserve"> REF _Ref164673996 \h </w:instrText>
      </w:r>
      <w:r w:rsidR="007F52A5" w:rsidRPr="007F52A5">
        <w:instrText xml:space="preserve"> \* MERGEFORMAT </w:instrText>
      </w:r>
      <w:r w:rsidR="00541C2E" w:rsidRPr="007F52A5">
        <w:fldChar w:fldCharType="separate"/>
      </w:r>
      <w:r w:rsidR="00FC355E" w:rsidRPr="00B162C2">
        <w:t xml:space="preserve">Table </w:t>
      </w:r>
      <w:r w:rsidR="00FC355E">
        <w:rPr>
          <w:noProof/>
        </w:rPr>
        <w:t>14</w:t>
      </w:r>
      <w:r w:rsidR="00541C2E" w:rsidRPr="007F52A5">
        <w:fldChar w:fldCharType="end"/>
      </w:r>
      <w:r w:rsidR="00541C2E" w:rsidRPr="007F52A5">
        <w:t>)</w:t>
      </w:r>
      <w:r w:rsidRPr="007F52A5">
        <w:t>:</w:t>
      </w:r>
      <w:bookmarkEnd w:id="85"/>
    </w:p>
    <w:p w14:paraId="390CAE6E" w14:textId="4C8E9328" w:rsidR="00101EC9" w:rsidRPr="007F52A5" w:rsidRDefault="00A90559" w:rsidP="00905DC8">
      <w:pPr>
        <w:pStyle w:val="ListParagraph"/>
      </w:pPr>
      <w:r w:rsidRPr="007F52A5">
        <w:t>That non-responders in the treatment-refractory setting would switch to chronic IVIg/PLEX and escalated standard-of-care therapies and remain fully adherent to therapy for the remainder on the model despite gaining no improvement in clinical outcomes with treatment.</w:t>
      </w:r>
      <w:r w:rsidR="00101EC9" w:rsidRPr="007F52A5">
        <w:t xml:space="preserve"> The current National Blood Authority listing of chronic IVIg requires treatment to be stopped at four months if no clinical benefit is observed.</w:t>
      </w:r>
      <w:r w:rsidR="003B21F5" w:rsidRPr="007F52A5">
        <w:t xml:space="preserve"> While the PSCR noted that there was no clinical evidence to inform the proportion of patients who might respond to IVIg/PLEX treatment, the ESC considered the </w:t>
      </w:r>
      <w:r w:rsidR="00745805" w:rsidRPr="007F52A5">
        <w:t xml:space="preserve">average dose and </w:t>
      </w:r>
      <w:r w:rsidR="003B21F5" w:rsidRPr="007F52A5">
        <w:t>treatment length should be corrected</w:t>
      </w:r>
      <w:r w:rsidR="009B2D9D" w:rsidRPr="007F52A5">
        <w:t>.</w:t>
      </w:r>
    </w:p>
    <w:p w14:paraId="74B8D0A6" w14:textId="4321A680" w:rsidR="00A90559" w:rsidRPr="007F52A5" w:rsidRDefault="00A90559" w:rsidP="00905DC8">
      <w:pPr>
        <w:pStyle w:val="ListParagraph"/>
      </w:pPr>
      <w:r w:rsidRPr="007F52A5">
        <w:t xml:space="preserve">That patients experiencing an exacerbation or myasthenic crisis event would discontinue therapy with zilucoplan and placebo despite no clear clinical rationale for this assumption. </w:t>
      </w:r>
      <w:r w:rsidR="00E67346" w:rsidRPr="007F52A5">
        <w:t xml:space="preserve">While the ESC agreed with the PSCR that the proportion of patients who would continue zilucoplan following an exacerbation or crisis event in clinical practice was unknown, the ESC considered it was not plausible to assume all patients would discontinue (per the model base case). </w:t>
      </w:r>
      <w:r w:rsidRPr="007F52A5">
        <w:t xml:space="preserve">Additionally, the calculation of event rates was poorly justified in the submission and is likely to substantially overestimate the risk of events in the modelled population (see </w:t>
      </w:r>
      <w:r w:rsidR="00DD1A5F" w:rsidRPr="007F52A5">
        <w:fldChar w:fldCharType="begin" w:fldLock="1"/>
      </w:r>
      <w:r w:rsidR="00DD1A5F" w:rsidRPr="007F52A5">
        <w:instrText xml:space="preserve"> REF _Ref164673996 \h  \* MERGEFORMAT </w:instrText>
      </w:r>
      <w:r w:rsidR="00DD1A5F" w:rsidRPr="007F52A5">
        <w:fldChar w:fldCharType="separate"/>
      </w:r>
      <w:r w:rsidR="00FC355E" w:rsidRPr="00B162C2">
        <w:t xml:space="preserve">Table </w:t>
      </w:r>
      <w:r w:rsidR="00FC355E">
        <w:rPr>
          <w:noProof/>
        </w:rPr>
        <w:t>14</w:t>
      </w:r>
      <w:r w:rsidR="00DD1A5F" w:rsidRPr="007F52A5">
        <w:fldChar w:fldCharType="end"/>
      </w:r>
      <w:r w:rsidR="00DD1A5F" w:rsidRPr="007F52A5">
        <w:t xml:space="preserve"> above</w:t>
      </w:r>
      <w:r w:rsidRPr="007F52A5">
        <w:t>)</w:t>
      </w:r>
      <w:r w:rsidR="00861CB6" w:rsidRPr="007F52A5">
        <w:t>.</w:t>
      </w:r>
    </w:p>
    <w:p w14:paraId="71295D66" w14:textId="440A44D4" w:rsidR="00A90559" w:rsidRPr="007F52A5" w:rsidRDefault="00A90559" w:rsidP="00905DC8">
      <w:pPr>
        <w:pStyle w:val="ListParagraph"/>
      </w:pPr>
      <w:r w:rsidRPr="007F52A5">
        <w:t>That all patients who respond to treatment can eliminate the need for high-dose corticosteroids</w:t>
      </w:r>
      <w:r w:rsidR="00DD1A5F" w:rsidRPr="007F52A5">
        <w:t>,</w:t>
      </w:r>
      <w:r w:rsidRPr="007F52A5">
        <w:t xml:space="preserve"> which was not adequately supported by clinical data. Additionally, the disutility used for high dose corticosteroids use was inappropriate and substantially overestimate</w:t>
      </w:r>
      <w:r w:rsidR="00861CB6" w:rsidRPr="007F52A5">
        <w:t>s</w:t>
      </w:r>
      <w:r w:rsidRPr="007F52A5">
        <w:t xml:space="preserve"> the disutility attributable to corticosteroids (</w:t>
      </w:r>
      <w:r w:rsidR="00BD2001" w:rsidRPr="007F52A5">
        <w:t xml:space="preserve">see </w:t>
      </w:r>
      <w:r w:rsidR="00BD2001" w:rsidRPr="007F52A5">
        <w:fldChar w:fldCharType="begin" w:fldLock="1"/>
      </w:r>
      <w:r w:rsidR="00BD2001" w:rsidRPr="007F52A5">
        <w:instrText xml:space="preserve"> REF _Ref164673996 \h  \* MERGEFORMAT </w:instrText>
      </w:r>
      <w:r w:rsidR="00BD2001" w:rsidRPr="007F52A5">
        <w:fldChar w:fldCharType="separate"/>
      </w:r>
      <w:r w:rsidR="00FC355E" w:rsidRPr="00B162C2">
        <w:t xml:space="preserve">Table </w:t>
      </w:r>
      <w:r w:rsidR="00FC355E">
        <w:rPr>
          <w:noProof/>
        </w:rPr>
        <w:t>14</w:t>
      </w:r>
      <w:r w:rsidR="00BD2001" w:rsidRPr="007F52A5">
        <w:fldChar w:fldCharType="end"/>
      </w:r>
      <w:r w:rsidR="00BD2001" w:rsidRPr="007F52A5">
        <w:t xml:space="preserve"> above</w:t>
      </w:r>
      <w:r w:rsidRPr="007F52A5">
        <w:t>).</w:t>
      </w:r>
    </w:p>
    <w:p w14:paraId="6A4862E6" w14:textId="5AE400F3" w:rsidR="00A90559" w:rsidRPr="007F52A5" w:rsidRDefault="00A90559" w:rsidP="00905DC8">
      <w:pPr>
        <w:pStyle w:val="ListParagraph"/>
      </w:pPr>
      <w:r w:rsidRPr="007F52A5">
        <w:t xml:space="preserve">That responders in the zilucoplan arm </w:t>
      </w:r>
      <w:r w:rsidR="00E15BFB" w:rsidRPr="007F52A5">
        <w:t xml:space="preserve">were assumed to </w:t>
      </w:r>
      <w:r w:rsidRPr="007F52A5">
        <w:t xml:space="preserve">have larger improvements in MG-ADL scores compared to responders in the placebo arm which was </w:t>
      </w:r>
      <w:r w:rsidR="00E15BFB" w:rsidRPr="007F52A5">
        <w:t>in</w:t>
      </w:r>
      <w:r w:rsidRPr="007F52A5">
        <w:t>consistent with the clinical trial data</w:t>
      </w:r>
      <w:r w:rsidR="00E15BFB" w:rsidRPr="007F52A5">
        <w:rPr>
          <w:rFonts w:ascii="Calibri" w:hAnsi="Calibri"/>
          <w:snapToGrid/>
          <w:sz w:val="20"/>
          <w:szCs w:val="20"/>
        </w:rPr>
        <w:t xml:space="preserve"> </w:t>
      </w:r>
      <w:r w:rsidR="00E15BFB" w:rsidRPr="007F52A5">
        <w:t>which showed no statistically significant difference in responder utility value by treatment arm</w:t>
      </w:r>
      <w:r w:rsidRPr="007F52A5">
        <w:t xml:space="preserve">. Additionally, the calculation of MG-ADL scores was poorly justified and results in implausible results such as </w:t>
      </w:r>
      <w:r w:rsidR="00861CB6" w:rsidRPr="007F52A5">
        <w:t xml:space="preserve">the </w:t>
      </w:r>
      <w:r w:rsidRPr="007F52A5">
        <w:t>maximum MG-ADL change in placebo responders being lower than the minimum response threshold (</w:t>
      </w:r>
      <w:r w:rsidR="00BD2001" w:rsidRPr="007F52A5">
        <w:t xml:space="preserve">see </w:t>
      </w:r>
      <w:r w:rsidR="00BD2001" w:rsidRPr="007F52A5">
        <w:fldChar w:fldCharType="begin" w:fldLock="1"/>
      </w:r>
      <w:r w:rsidR="00BD2001" w:rsidRPr="007F52A5">
        <w:instrText xml:space="preserve"> REF _Ref164673996 \h  \* MERGEFORMAT </w:instrText>
      </w:r>
      <w:r w:rsidR="00BD2001" w:rsidRPr="007F52A5">
        <w:fldChar w:fldCharType="separate"/>
      </w:r>
      <w:r w:rsidR="00FC355E" w:rsidRPr="00B162C2">
        <w:t xml:space="preserve">Table </w:t>
      </w:r>
      <w:r w:rsidR="00FC355E">
        <w:rPr>
          <w:noProof/>
        </w:rPr>
        <w:t>14</w:t>
      </w:r>
      <w:r w:rsidR="00BD2001" w:rsidRPr="007F52A5">
        <w:fldChar w:fldCharType="end"/>
      </w:r>
      <w:r w:rsidR="00BD2001" w:rsidRPr="007F52A5">
        <w:t xml:space="preserve"> above</w:t>
      </w:r>
      <w:r w:rsidRPr="007F52A5">
        <w:t>).</w:t>
      </w:r>
    </w:p>
    <w:p w14:paraId="1D5DB4F7" w14:textId="12B09FC5" w:rsidR="00A54BCD" w:rsidRDefault="003B786A" w:rsidP="00905DC8">
      <w:pPr>
        <w:pStyle w:val="3-BodyText"/>
      </w:pPr>
      <w:bookmarkStart w:id="86" w:name="_Ref173418157"/>
      <w:r w:rsidRPr="007F52A5">
        <w:t xml:space="preserve">The ESC considered that the combined impact of these four issues could be explored with a multivariate sensitivity analysis, and noted that sensitivity analyses were available </w:t>
      </w:r>
      <w:r w:rsidR="0097060F">
        <w:t xml:space="preserve">in the submission and commentary </w:t>
      </w:r>
      <w:r w:rsidRPr="007F52A5">
        <w:t xml:space="preserve">that adequately addressed some of the issues, while other issues would need to be addressed using assumptions that were more plausible than those that had been applied in the submission’s base case (refer to </w:t>
      </w:r>
      <w:r w:rsidR="00803057" w:rsidRPr="007F52A5">
        <w:fldChar w:fldCharType="begin" w:fldLock="1"/>
      </w:r>
      <w:r w:rsidR="00803057" w:rsidRPr="007F52A5">
        <w:instrText xml:space="preserve"> REF _Ref164673996 \h </w:instrText>
      </w:r>
      <w:r w:rsidR="007F52A5" w:rsidRPr="007F52A5">
        <w:instrText xml:space="preserve"> \* MERGEFORMAT </w:instrText>
      </w:r>
      <w:r w:rsidR="00803057" w:rsidRPr="007F52A5">
        <w:fldChar w:fldCharType="separate"/>
      </w:r>
      <w:r w:rsidR="00FC355E" w:rsidRPr="00B162C2">
        <w:t xml:space="preserve">Table </w:t>
      </w:r>
      <w:r w:rsidR="00FC355E">
        <w:rPr>
          <w:noProof/>
        </w:rPr>
        <w:t>14</w:t>
      </w:r>
      <w:r w:rsidR="00803057" w:rsidRPr="007F52A5">
        <w:fldChar w:fldCharType="end"/>
      </w:r>
      <w:r w:rsidRPr="007F52A5">
        <w:t xml:space="preserve">). </w:t>
      </w:r>
      <w:r w:rsidR="00DF14A5" w:rsidRPr="007F52A5">
        <w:t xml:space="preserve">While the ESC considered this </w:t>
      </w:r>
      <w:r w:rsidR="00A54BCD" w:rsidRPr="007F52A5">
        <w:t>would be indicative of a more plausible ICER in the broad population modelled, it would not represent a ‘revised base case’ as it would be more appropriate to present separate economic analyses for each of the proposed places in therapy (second-line, treatment-refractory) given the differences in patient populations and treatment options.</w:t>
      </w:r>
      <w:bookmarkEnd w:id="86"/>
    </w:p>
    <w:p w14:paraId="3AEDBA62" w14:textId="4ED3C54E" w:rsidR="00FC2492" w:rsidRPr="007F52A5" w:rsidRDefault="0097060F" w:rsidP="00905DC8">
      <w:pPr>
        <w:pStyle w:val="3-BodyText"/>
      </w:pPr>
      <w:bookmarkStart w:id="87" w:name="_Ref173418158"/>
      <w:r>
        <w:t xml:space="preserve">The PBAC noted that a </w:t>
      </w:r>
      <w:r w:rsidR="00BB0E8D">
        <w:t xml:space="preserve">multivariate sensitivity analysis that partially </w:t>
      </w:r>
      <w:r w:rsidR="00975718">
        <w:t xml:space="preserve">addressed </w:t>
      </w:r>
      <w:r w:rsidR="00BB0E8D">
        <w:t xml:space="preserve">some of the issues raised in paragraph </w:t>
      </w:r>
      <w:r w:rsidR="00BB0E8D">
        <w:fldChar w:fldCharType="begin" w:fldLock="1"/>
      </w:r>
      <w:r w:rsidR="00BB0E8D">
        <w:instrText xml:space="preserve"> REF _Ref169260979 \r \h </w:instrText>
      </w:r>
      <w:r w:rsidR="00905DC8">
        <w:instrText xml:space="preserve"> \* MERGEFORMAT </w:instrText>
      </w:r>
      <w:r w:rsidR="00BB0E8D">
        <w:fldChar w:fldCharType="separate"/>
      </w:r>
      <w:r w:rsidR="00FC355E">
        <w:t>6.77</w:t>
      </w:r>
      <w:r w:rsidR="00BB0E8D">
        <w:fldChar w:fldCharType="end"/>
      </w:r>
      <w:r w:rsidR="00BB0E8D">
        <w:t xml:space="preserve"> resulted in an ICER of </w:t>
      </w:r>
      <w:r w:rsidR="00AD24AE" w:rsidRPr="00DC1249">
        <w:rPr>
          <w:iCs/>
        </w:rPr>
        <w:t>$</w:t>
      </w:r>
      <w:r w:rsidR="00AD24AE">
        <w:rPr>
          <w:iCs/>
        </w:rPr>
        <w:t>5</w:t>
      </w:r>
      <w:r w:rsidR="00AD24AE" w:rsidRPr="00DC1249">
        <w:rPr>
          <w:iCs/>
        </w:rPr>
        <w:t>55,000 to &lt; $</w:t>
      </w:r>
      <w:r w:rsidR="00AD24AE">
        <w:rPr>
          <w:iCs/>
        </w:rPr>
        <w:t>6</w:t>
      </w:r>
      <w:r w:rsidR="00AD24AE" w:rsidRPr="00DC1249">
        <w:rPr>
          <w:iCs/>
        </w:rPr>
        <w:t>55,000</w:t>
      </w:r>
      <w:r w:rsidR="00AD24AE">
        <w:rPr>
          <w:iCs/>
        </w:rPr>
        <w:t xml:space="preserve"> </w:t>
      </w:r>
      <w:r w:rsidR="00BB0E8D" w:rsidRPr="00BB0E8D">
        <w:t>/QAL</w:t>
      </w:r>
      <w:r w:rsidR="00BB0E8D">
        <w:t xml:space="preserve">Y. Addressing </w:t>
      </w:r>
      <w:proofErr w:type="gramStart"/>
      <w:r w:rsidR="00BB0E8D">
        <w:t>all of</w:t>
      </w:r>
      <w:proofErr w:type="gramEnd"/>
      <w:r w:rsidR="00BB0E8D">
        <w:t xml:space="preserve"> the issues raised in paragraph </w:t>
      </w:r>
      <w:r w:rsidR="00BB0E8D">
        <w:fldChar w:fldCharType="begin" w:fldLock="1"/>
      </w:r>
      <w:r w:rsidR="00BB0E8D">
        <w:instrText xml:space="preserve"> REF _Ref169260979 \r \h </w:instrText>
      </w:r>
      <w:r w:rsidR="00905DC8">
        <w:instrText xml:space="preserve"> \* MERGEFORMAT </w:instrText>
      </w:r>
      <w:r w:rsidR="00BB0E8D">
        <w:fldChar w:fldCharType="separate"/>
      </w:r>
      <w:r w:rsidR="00FC355E">
        <w:t>6.77</w:t>
      </w:r>
      <w:r w:rsidR="00BB0E8D">
        <w:fldChar w:fldCharType="end"/>
      </w:r>
      <w:r w:rsidR="00BB0E8D">
        <w:t xml:space="preserve"> would require additional </w:t>
      </w:r>
      <w:proofErr w:type="gramStart"/>
      <w:r w:rsidR="00BB0E8D">
        <w:t>assumptions, and</w:t>
      </w:r>
      <w:proofErr w:type="gramEnd"/>
      <w:r w:rsidR="00BB0E8D">
        <w:t xml:space="preserve"> would be likely to further increase the ICER</w:t>
      </w:r>
      <w:r w:rsidR="00BB0E8D" w:rsidRPr="00BB0E8D">
        <w:t xml:space="preserve">. </w:t>
      </w:r>
      <w:bookmarkEnd w:id="87"/>
      <w:r w:rsidR="00BB0E8D">
        <w:t xml:space="preserve">On the other hand, the PBAC noted that including a stopping assumption would substantially reduce the ICER. The PBAC noted that </w:t>
      </w:r>
      <w:r w:rsidR="00D517F0">
        <w:t xml:space="preserve">the economic model estimated an average time on zilucoplan treatment of </w:t>
      </w:r>
      <w:r w:rsidR="00D517F0" w:rsidRPr="00FA5AC5">
        <w:t xml:space="preserve">4.9 </w:t>
      </w:r>
      <w:r w:rsidR="00D517F0">
        <w:t xml:space="preserve">years and </w:t>
      </w:r>
      <w:r w:rsidR="00BB0E8D">
        <w:t>acknowledged</w:t>
      </w:r>
      <w:r w:rsidR="00D517F0">
        <w:t xml:space="preserve"> that</w:t>
      </w:r>
      <w:r w:rsidR="00BB0E8D">
        <w:t xml:space="preserve"> the impact of a stopping rule on</w:t>
      </w:r>
      <w:r w:rsidR="00D517F0">
        <w:t xml:space="preserve"> costs and</w:t>
      </w:r>
      <w:r w:rsidR="00BB0E8D">
        <w:t xml:space="preserve"> efficacy was unknown.</w:t>
      </w:r>
    </w:p>
    <w:p w14:paraId="7606FA4D" w14:textId="284CC2F6" w:rsidR="00A90559" w:rsidRPr="007F52A5" w:rsidRDefault="007B4115" w:rsidP="00905DC8">
      <w:pPr>
        <w:pStyle w:val="3-BodyText"/>
      </w:pPr>
      <w:r>
        <w:t>T</w:t>
      </w:r>
      <w:r w:rsidR="00A90559" w:rsidRPr="007F52A5">
        <w:t>he model only estimated the cost-effectiveness of zilucoplan assuming a fixed distribution of patients in the second-line (49.4%) and treatment refractory (50.6%) setting</w:t>
      </w:r>
      <w:r w:rsidR="00861CB6" w:rsidRPr="007F52A5">
        <w:t>s</w:t>
      </w:r>
      <w:r w:rsidR="00A90559" w:rsidRPr="007F52A5">
        <w:t>. Patients in the second-line setting were not allowed to progress to the treatment-refractory setting</w:t>
      </w:r>
      <w:r w:rsidR="001F0E1A" w:rsidRPr="007F52A5">
        <w:t>. P</w:t>
      </w:r>
      <w:r w:rsidR="00A90559" w:rsidRPr="007F52A5">
        <w:t>atients in the treatment-refractory setting were assumed to use placebo prior to switching to chronic IVIg/PLEX despite the submission acknowledging that zilucoplan will likely replace these treatment options in this setting.</w:t>
      </w:r>
    </w:p>
    <w:p w14:paraId="185F0858" w14:textId="39379311" w:rsidR="00A90559" w:rsidRPr="00906ED7" w:rsidRDefault="00A90559" w:rsidP="00905DC8">
      <w:pPr>
        <w:pStyle w:val="3-BodyText"/>
      </w:pPr>
      <w:r w:rsidRPr="00906ED7">
        <w:t>The results of key</w:t>
      </w:r>
      <w:r w:rsidR="00D23D11" w:rsidRPr="00906ED7">
        <w:t xml:space="preserve"> sensitivity analyses are summarised </w:t>
      </w:r>
      <w:r w:rsidRPr="00906ED7">
        <w:t xml:space="preserve">in </w:t>
      </w:r>
      <w:r w:rsidRPr="00906ED7">
        <w:fldChar w:fldCharType="begin" w:fldLock="1"/>
      </w:r>
      <w:r w:rsidRPr="00906ED7">
        <w:instrText xml:space="preserve"> REF _Ref164677866 \h </w:instrText>
      </w:r>
      <w:r w:rsidR="00906ED7" w:rsidRPr="00906ED7">
        <w:instrText xml:space="preserve"> \* MERGEFORMAT </w:instrText>
      </w:r>
      <w:r w:rsidRPr="00906ED7">
        <w:fldChar w:fldCharType="separate"/>
      </w:r>
      <w:r w:rsidR="00FC355E" w:rsidRPr="00B162C2">
        <w:t xml:space="preserve">Table </w:t>
      </w:r>
      <w:r w:rsidR="00FC355E">
        <w:rPr>
          <w:noProof/>
        </w:rPr>
        <w:t>16</w:t>
      </w:r>
      <w:r w:rsidRPr="00906ED7">
        <w:fldChar w:fldCharType="end"/>
      </w:r>
      <w:r w:rsidR="00D23D11" w:rsidRPr="00906ED7">
        <w:t xml:space="preserve">. </w:t>
      </w:r>
    </w:p>
    <w:p w14:paraId="048683C2" w14:textId="022A5B8F" w:rsidR="00A90559" w:rsidRPr="00B162C2" w:rsidRDefault="00A90559" w:rsidP="005174A1">
      <w:pPr>
        <w:pStyle w:val="COMtablefigcaption"/>
        <w:rPr>
          <w:rStyle w:val="CommentReference"/>
          <w:b/>
          <w:szCs w:val="24"/>
        </w:rPr>
      </w:pPr>
      <w:bookmarkStart w:id="88" w:name="_Ref164677866"/>
      <w:bookmarkStart w:id="89" w:name="_Hlk171411037"/>
      <w:r w:rsidRPr="00B162C2">
        <w:t xml:space="preserve">Table </w:t>
      </w:r>
      <w:r w:rsidR="002F23E8">
        <w:fldChar w:fldCharType="begin" w:fldLock="1"/>
      </w:r>
      <w:r w:rsidR="002F23E8">
        <w:instrText xml:space="preserve"> SEQ Table \* ARABIC </w:instrText>
      </w:r>
      <w:r w:rsidR="002F23E8">
        <w:fldChar w:fldCharType="separate"/>
      </w:r>
      <w:r w:rsidR="00FC355E">
        <w:rPr>
          <w:noProof/>
        </w:rPr>
        <w:t>16</w:t>
      </w:r>
      <w:r w:rsidR="002F23E8">
        <w:rPr>
          <w:noProof/>
        </w:rPr>
        <w:fldChar w:fldCharType="end"/>
      </w:r>
      <w:bookmarkEnd w:id="88"/>
      <w:r w:rsidR="00882295" w:rsidRPr="00B162C2">
        <w:rPr>
          <w:rStyle w:val="CommentReference"/>
          <w:b/>
          <w:szCs w:val="24"/>
        </w:rPr>
        <w:t>:</w:t>
      </w:r>
      <w:r w:rsidR="008B5889">
        <w:rPr>
          <w:rStyle w:val="CommentReference"/>
          <w:b/>
          <w:szCs w:val="24"/>
        </w:rPr>
        <w:t xml:space="preserve"> </w:t>
      </w:r>
      <w:r w:rsidRPr="00B162C2">
        <w:rPr>
          <w:rStyle w:val="CommentReference"/>
          <w:b/>
          <w:szCs w:val="24"/>
        </w:rPr>
        <w:t xml:space="preserve">Results of key 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6: Results of key sensitivity analyses "/>
      </w:tblPr>
      <w:tblGrid>
        <w:gridCol w:w="5670"/>
        <w:gridCol w:w="851"/>
        <w:gridCol w:w="709"/>
        <w:gridCol w:w="850"/>
        <w:gridCol w:w="949"/>
      </w:tblGrid>
      <w:tr w:rsidR="00506EB9" w:rsidRPr="00906ED7" w14:paraId="354015F3" w14:textId="77777777" w:rsidTr="00080CC7">
        <w:trPr>
          <w:trHeight w:val="113"/>
          <w:tblHeader/>
        </w:trPr>
        <w:tc>
          <w:tcPr>
            <w:tcW w:w="5670" w:type="dxa"/>
            <w:tcMar>
              <w:top w:w="0" w:type="dxa"/>
              <w:left w:w="28" w:type="dxa"/>
              <w:bottom w:w="0" w:type="dxa"/>
              <w:right w:w="28" w:type="dxa"/>
            </w:tcMar>
            <w:vAlign w:val="center"/>
            <w:hideMark/>
          </w:tcPr>
          <w:p w14:paraId="377958E8" w14:textId="77777777" w:rsidR="00A90559" w:rsidRPr="00906ED7" w:rsidRDefault="00A90559" w:rsidP="003663C0">
            <w:pPr>
              <w:pStyle w:val="Tabletext0"/>
              <w:keepNext/>
              <w:rPr>
                <w:szCs w:val="20"/>
              </w:rPr>
            </w:pPr>
            <w:r w:rsidRPr="00906ED7">
              <w:rPr>
                <w:b/>
                <w:bCs/>
                <w:szCs w:val="20"/>
              </w:rPr>
              <w:t>Analyses</w:t>
            </w:r>
          </w:p>
        </w:tc>
        <w:tc>
          <w:tcPr>
            <w:tcW w:w="851" w:type="dxa"/>
            <w:tcMar>
              <w:top w:w="0" w:type="dxa"/>
              <w:left w:w="28" w:type="dxa"/>
              <w:bottom w:w="0" w:type="dxa"/>
              <w:right w:w="28" w:type="dxa"/>
            </w:tcMar>
            <w:vAlign w:val="center"/>
            <w:hideMark/>
          </w:tcPr>
          <w:p w14:paraId="4554954C" w14:textId="6A89BFC4" w:rsidR="00A90559" w:rsidRPr="00906ED7" w:rsidRDefault="00ED0CA5" w:rsidP="003663C0">
            <w:pPr>
              <w:pStyle w:val="Tabletext0"/>
              <w:keepNext/>
              <w:jc w:val="center"/>
              <w:rPr>
                <w:b/>
                <w:bCs/>
                <w:szCs w:val="20"/>
              </w:rPr>
            </w:pPr>
            <w:r w:rsidRPr="00906ED7">
              <w:rPr>
                <w:b/>
                <w:bCs/>
                <w:szCs w:val="20"/>
              </w:rPr>
              <w:t>Incr</w:t>
            </w:r>
            <w:r>
              <w:rPr>
                <w:b/>
                <w:bCs/>
                <w:szCs w:val="20"/>
              </w:rPr>
              <w:t xml:space="preserve">. </w:t>
            </w:r>
            <w:r w:rsidR="00A90559" w:rsidRPr="00906ED7">
              <w:rPr>
                <w:b/>
                <w:bCs/>
                <w:szCs w:val="20"/>
              </w:rPr>
              <w:t>cost</w:t>
            </w:r>
          </w:p>
        </w:tc>
        <w:tc>
          <w:tcPr>
            <w:tcW w:w="709" w:type="dxa"/>
            <w:tcMar>
              <w:top w:w="0" w:type="dxa"/>
              <w:left w:w="28" w:type="dxa"/>
              <w:bottom w:w="0" w:type="dxa"/>
              <w:right w:w="28" w:type="dxa"/>
            </w:tcMar>
            <w:vAlign w:val="center"/>
            <w:hideMark/>
          </w:tcPr>
          <w:p w14:paraId="58F0565B" w14:textId="48C16D8B" w:rsidR="00A90559" w:rsidRPr="00906ED7" w:rsidRDefault="00ED0CA5" w:rsidP="003663C0">
            <w:pPr>
              <w:pStyle w:val="Tabletext0"/>
              <w:keepNext/>
              <w:jc w:val="center"/>
              <w:rPr>
                <w:b/>
                <w:bCs/>
                <w:szCs w:val="20"/>
              </w:rPr>
            </w:pPr>
            <w:r w:rsidRPr="00906ED7">
              <w:rPr>
                <w:b/>
                <w:bCs/>
                <w:szCs w:val="20"/>
              </w:rPr>
              <w:t>Incr</w:t>
            </w:r>
            <w:r>
              <w:rPr>
                <w:b/>
                <w:bCs/>
                <w:szCs w:val="20"/>
              </w:rPr>
              <w:t>.</w:t>
            </w:r>
            <w:r w:rsidRPr="00906ED7">
              <w:rPr>
                <w:b/>
                <w:bCs/>
                <w:szCs w:val="20"/>
              </w:rPr>
              <w:t xml:space="preserve"> </w:t>
            </w:r>
            <w:r w:rsidR="00A90559" w:rsidRPr="00906ED7">
              <w:rPr>
                <w:b/>
                <w:bCs/>
                <w:szCs w:val="20"/>
              </w:rPr>
              <w:t>QALYs</w:t>
            </w:r>
          </w:p>
        </w:tc>
        <w:tc>
          <w:tcPr>
            <w:tcW w:w="850" w:type="dxa"/>
            <w:tcMar>
              <w:top w:w="0" w:type="dxa"/>
              <w:left w:w="28" w:type="dxa"/>
              <w:bottom w:w="0" w:type="dxa"/>
              <w:right w:w="28" w:type="dxa"/>
            </w:tcMar>
            <w:vAlign w:val="center"/>
            <w:hideMark/>
          </w:tcPr>
          <w:p w14:paraId="172DC16B" w14:textId="77777777" w:rsidR="00A90559" w:rsidRPr="00906ED7" w:rsidRDefault="00A90559" w:rsidP="003663C0">
            <w:pPr>
              <w:pStyle w:val="Tabletext0"/>
              <w:keepNext/>
              <w:jc w:val="center"/>
              <w:rPr>
                <w:b/>
                <w:bCs/>
                <w:szCs w:val="20"/>
              </w:rPr>
            </w:pPr>
            <w:r w:rsidRPr="00906ED7">
              <w:rPr>
                <w:b/>
                <w:bCs/>
                <w:szCs w:val="20"/>
              </w:rPr>
              <w:t>ICER</w:t>
            </w:r>
          </w:p>
        </w:tc>
        <w:tc>
          <w:tcPr>
            <w:tcW w:w="949" w:type="dxa"/>
            <w:tcMar>
              <w:left w:w="28" w:type="dxa"/>
              <w:right w:w="28" w:type="dxa"/>
            </w:tcMar>
            <w:vAlign w:val="center"/>
          </w:tcPr>
          <w:p w14:paraId="5161EFF9" w14:textId="27C80A74" w:rsidR="00A90559" w:rsidRPr="00906ED7" w:rsidRDefault="00A90559" w:rsidP="003663C0">
            <w:pPr>
              <w:pStyle w:val="Tabletext0"/>
              <w:keepNext/>
              <w:jc w:val="center"/>
              <w:rPr>
                <w:b/>
                <w:bCs/>
                <w:szCs w:val="20"/>
              </w:rPr>
            </w:pPr>
            <w:r w:rsidRPr="00906ED7">
              <w:rPr>
                <w:b/>
                <w:bCs/>
              </w:rPr>
              <w:t>Change from base case</w:t>
            </w:r>
          </w:p>
        </w:tc>
      </w:tr>
      <w:tr w:rsidR="00506EB9" w:rsidRPr="00906ED7" w14:paraId="39A5D7A2" w14:textId="77777777" w:rsidTr="00080CC7">
        <w:trPr>
          <w:trHeight w:val="113"/>
          <w:tblHeader/>
        </w:trPr>
        <w:tc>
          <w:tcPr>
            <w:tcW w:w="5670" w:type="dxa"/>
            <w:tcMar>
              <w:top w:w="0" w:type="dxa"/>
              <w:left w:w="28" w:type="dxa"/>
              <w:bottom w:w="0" w:type="dxa"/>
              <w:right w:w="28" w:type="dxa"/>
            </w:tcMar>
            <w:hideMark/>
          </w:tcPr>
          <w:p w14:paraId="7696D3BB" w14:textId="77777777" w:rsidR="00A90559" w:rsidRPr="00906ED7" w:rsidRDefault="00A90559" w:rsidP="003663C0">
            <w:pPr>
              <w:pStyle w:val="Tabletext0"/>
              <w:keepNext/>
              <w:rPr>
                <w:b/>
                <w:bCs/>
                <w:szCs w:val="20"/>
                <w:vertAlign w:val="superscript"/>
              </w:rPr>
            </w:pPr>
            <w:r w:rsidRPr="00906ED7">
              <w:rPr>
                <w:b/>
                <w:bCs/>
                <w:szCs w:val="20"/>
              </w:rPr>
              <w:t>Base case</w:t>
            </w:r>
          </w:p>
        </w:tc>
        <w:tc>
          <w:tcPr>
            <w:tcW w:w="851" w:type="dxa"/>
            <w:tcMar>
              <w:top w:w="0" w:type="dxa"/>
              <w:left w:w="28" w:type="dxa"/>
              <w:bottom w:w="0" w:type="dxa"/>
              <w:right w:w="28" w:type="dxa"/>
            </w:tcMar>
          </w:tcPr>
          <w:p w14:paraId="13459F94" w14:textId="44AA7B04" w:rsidR="00A90559" w:rsidRPr="00906ED7" w:rsidRDefault="00A90559" w:rsidP="003663C0">
            <w:pPr>
              <w:pStyle w:val="Tabletext0"/>
              <w:keepNext/>
              <w:jc w:val="center"/>
              <w:rPr>
                <w:b/>
                <w:bCs/>
                <w:szCs w:val="20"/>
              </w:rPr>
            </w:pPr>
            <w:r w:rsidRPr="00906ED7">
              <w:rPr>
                <w:b/>
                <w:bCs/>
                <w:szCs w:val="20"/>
              </w:rPr>
              <w:t>$</w:t>
            </w:r>
            <w:r w:rsidR="0069051D" w:rsidRPr="0069051D">
              <w:rPr>
                <w:b/>
                <w:bCs/>
                <w:color w:val="000000"/>
                <w:spacing w:val="148"/>
                <w:szCs w:val="20"/>
                <w:shd w:val="solid" w:color="000000" w:fill="000000"/>
                <w:fitText w:val="240" w:id="-893204467"/>
                <w14:textFill>
                  <w14:solidFill>
                    <w14:srgbClr w14:val="000000">
                      <w14:alpha w14:val="100000"/>
                    </w14:srgbClr>
                  </w14:solidFill>
                </w14:textFill>
              </w:rPr>
              <w:t>|</w:t>
            </w:r>
            <w:r w:rsidR="0069051D" w:rsidRPr="0069051D">
              <w:rPr>
                <w:b/>
                <w:bCs/>
                <w:color w:val="000000"/>
                <w:spacing w:val="1"/>
                <w:szCs w:val="20"/>
                <w:shd w:val="solid" w:color="000000" w:fill="000000"/>
                <w:fitText w:val="240" w:id="-893204467"/>
                <w14:textFill>
                  <w14:solidFill>
                    <w14:srgbClr w14:val="000000">
                      <w14:alpha w14:val="100000"/>
                    </w14:srgbClr>
                  </w14:solidFill>
                </w14:textFill>
              </w:rPr>
              <w:t>|</w:t>
            </w:r>
          </w:p>
        </w:tc>
        <w:tc>
          <w:tcPr>
            <w:tcW w:w="709" w:type="dxa"/>
            <w:tcMar>
              <w:top w:w="0" w:type="dxa"/>
              <w:left w:w="28" w:type="dxa"/>
              <w:bottom w:w="0" w:type="dxa"/>
              <w:right w:w="28" w:type="dxa"/>
            </w:tcMar>
          </w:tcPr>
          <w:p w14:paraId="7107A0F1" w14:textId="77777777" w:rsidR="00A90559" w:rsidRPr="00906ED7" w:rsidRDefault="00A90559" w:rsidP="003663C0">
            <w:pPr>
              <w:pStyle w:val="Tabletext0"/>
              <w:keepNext/>
              <w:jc w:val="center"/>
              <w:rPr>
                <w:b/>
                <w:bCs/>
                <w:szCs w:val="20"/>
              </w:rPr>
            </w:pPr>
            <w:r w:rsidRPr="00906ED7">
              <w:rPr>
                <w:b/>
                <w:bCs/>
                <w:szCs w:val="20"/>
              </w:rPr>
              <w:t>0.8045</w:t>
            </w:r>
          </w:p>
        </w:tc>
        <w:tc>
          <w:tcPr>
            <w:tcW w:w="850" w:type="dxa"/>
            <w:tcMar>
              <w:top w:w="0" w:type="dxa"/>
              <w:left w:w="28" w:type="dxa"/>
              <w:bottom w:w="0" w:type="dxa"/>
              <w:right w:w="28" w:type="dxa"/>
            </w:tcMar>
          </w:tcPr>
          <w:p w14:paraId="4CB635E3" w14:textId="7A3AE55C" w:rsidR="00A90559" w:rsidRPr="008B5889" w:rsidRDefault="00A90559" w:rsidP="003663C0">
            <w:pPr>
              <w:pStyle w:val="Tabletext0"/>
              <w:keepNext/>
              <w:jc w:val="center"/>
              <w:rPr>
                <w:b/>
                <w:bCs/>
                <w:szCs w:val="20"/>
                <w:vertAlign w:val="superscript"/>
              </w:rPr>
            </w:pPr>
            <w:r w:rsidRPr="00906ED7">
              <w:rPr>
                <w:b/>
                <w:bCs/>
                <w:szCs w:val="20"/>
              </w:rPr>
              <w:t>$</w:t>
            </w:r>
            <w:r w:rsidR="0069051D" w:rsidRPr="0069051D">
              <w:rPr>
                <w:b/>
                <w:bCs/>
                <w:color w:val="000000"/>
                <w:spacing w:val="188"/>
                <w:szCs w:val="20"/>
                <w:shd w:val="solid" w:color="000000" w:fill="000000"/>
                <w:fitText w:val="280" w:id="-893204466"/>
                <w14:textFill>
                  <w14:solidFill>
                    <w14:srgbClr w14:val="000000">
                      <w14:alpha w14:val="100000"/>
                    </w14:srgbClr>
                  </w14:solidFill>
                </w14:textFill>
              </w:rPr>
              <w:t>|</w:t>
            </w:r>
            <w:r w:rsidR="0069051D" w:rsidRPr="0069051D">
              <w:rPr>
                <w:b/>
                <w:bCs/>
                <w:color w:val="000000"/>
                <w:spacing w:val="1"/>
                <w:szCs w:val="20"/>
                <w:shd w:val="solid" w:color="000000" w:fill="000000"/>
                <w:fitText w:val="280" w:id="-893204466"/>
                <w14:textFill>
                  <w14:solidFill>
                    <w14:srgbClr w14:val="000000">
                      <w14:alpha w14:val="100000"/>
                    </w14:srgbClr>
                  </w14:solidFill>
                </w14:textFill>
              </w:rPr>
              <w:t>|</w:t>
            </w:r>
            <w:r w:rsidR="008B5889" w:rsidRPr="008B5889">
              <w:rPr>
                <w:b/>
                <w:bCs/>
                <w:szCs w:val="20"/>
                <w:vertAlign w:val="superscript"/>
              </w:rPr>
              <w:t xml:space="preserve"> </w:t>
            </w:r>
            <w:r w:rsidR="008B5889">
              <w:rPr>
                <w:b/>
                <w:bCs/>
                <w:szCs w:val="20"/>
                <w:vertAlign w:val="superscript"/>
              </w:rPr>
              <w:t>1</w:t>
            </w:r>
          </w:p>
        </w:tc>
        <w:tc>
          <w:tcPr>
            <w:tcW w:w="949" w:type="dxa"/>
            <w:tcMar>
              <w:left w:w="28" w:type="dxa"/>
              <w:right w:w="28" w:type="dxa"/>
            </w:tcMar>
          </w:tcPr>
          <w:p w14:paraId="053E1485" w14:textId="77777777" w:rsidR="00A90559" w:rsidRPr="00906ED7" w:rsidRDefault="00A90559" w:rsidP="003663C0">
            <w:pPr>
              <w:pStyle w:val="Tabletext0"/>
              <w:keepNext/>
              <w:jc w:val="center"/>
              <w:rPr>
                <w:b/>
                <w:bCs/>
                <w:szCs w:val="20"/>
              </w:rPr>
            </w:pPr>
            <w:r w:rsidRPr="00906ED7">
              <w:rPr>
                <w:b/>
                <w:bCs/>
                <w:szCs w:val="20"/>
              </w:rPr>
              <w:t>-</w:t>
            </w:r>
          </w:p>
        </w:tc>
      </w:tr>
      <w:tr w:rsidR="00A90559" w:rsidRPr="00906ED7" w14:paraId="1335AAEE" w14:textId="77777777" w:rsidTr="003663C0">
        <w:trPr>
          <w:trHeight w:val="113"/>
        </w:trPr>
        <w:tc>
          <w:tcPr>
            <w:tcW w:w="9029" w:type="dxa"/>
            <w:gridSpan w:val="5"/>
            <w:tcMar>
              <w:top w:w="0" w:type="dxa"/>
              <w:left w:w="28" w:type="dxa"/>
              <w:bottom w:w="0" w:type="dxa"/>
              <w:right w:w="28" w:type="dxa"/>
            </w:tcMar>
            <w:hideMark/>
          </w:tcPr>
          <w:p w14:paraId="2A4E26DD" w14:textId="77777777" w:rsidR="00A90559" w:rsidRPr="00906ED7" w:rsidRDefault="00A90559" w:rsidP="003663C0">
            <w:pPr>
              <w:pStyle w:val="Tabletext0"/>
              <w:keepNext/>
              <w:rPr>
                <w:szCs w:val="20"/>
              </w:rPr>
            </w:pPr>
            <w:r w:rsidRPr="00906ED7">
              <w:rPr>
                <w:b/>
                <w:bCs/>
                <w:szCs w:val="20"/>
              </w:rPr>
              <w:t>Discount rate (base case: 5% for benefits and costs)</w:t>
            </w:r>
          </w:p>
        </w:tc>
      </w:tr>
      <w:tr w:rsidR="00506EB9" w:rsidRPr="00906ED7" w14:paraId="2540E94E" w14:textId="77777777" w:rsidTr="00080CC7">
        <w:trPr>
          <w:trHeight w:val="113"/>
        </w:trPr>
        <w:tc>
          <w:tcPr>
            <w:tcW w:w="5670" w:type="dxa"/>
            <w:tcMar>
              <w:top w:w="0" w:type="dxa"/>
              <w:left w:w="28" w:type="dxa"/>
              <w:bottom w:w="0" w:type="dxa"/>
              <w:right w:w="28" w:type="dxa"/>
            </w:tcMar>
            <w:hideMark/>
          </w:tcPr>
          <w:p w14:paraId="0CEB1A3F" w14:textId="77777777" w:rsidR="00A90559" w:rsidRPr="00906ED7" w:rsidRDefault="00A90559" w:rsidP="003663C0">
            <w:pPr>
              <w:pStyle w:val="Tabletext0"/>
              <w:keepNext/>
              <w:rPr>
                <w:szCs w:val="20"/>
              </w:rPr>
            </w:pPr>
            <w:r w:rsidRPr="00906ED7">
              <w:rPr>
                <w:szCs w:val="20"/>
              </w:rPr>
              <w:t>3.5% discount rate</w:t>
            </w:r>
          </w:p>
        </w:tc>
        <w:tc>
          <w:tcPr>
            <w:tcW w:w="851" w:type="dxa"/>
            <w:tcMar>
              <w:top w:w="0" w:type="dxa"/>
              <w:left w:w="28" w:type="dxa"/>
              <w:bottom w:w="0" w:type="dxa"/>
              <w:right w:w="28" w:type="dxa"/>
            </w:tcMar>
          </w:tcPr>
          <w:p w14:paraId="325A95B0" w14:textId="10A02DA7" w:rsidR="00A90559" w:rsidRPr="00906ED7" w:rsidRDefault="00A90559" w:rsidP="003663C0">
            <w:pPr>
              <w:pStyle w:val="Tabletext0"/>
              <w:keepNext/>
              <w:jc w:val="center"/>
              <w:rPr>
                <w:szCs w:val="20"/>
              </w:rPr>
            </w:pPr>
            <w:r w:rsidRPr="00906ED7">
              <w:rPr>
                <w:szCs w:val="20"/>
              </w:rPr>
              <w:t>$</w:t>
            </w:r>
            <w:r w:rsidR="0069051D" w:rsidRPr="0069051D">
              <w:rPr>
                <w:color w:val="000000"/>
                <w:spacing w:val="114"/>
                <w:szCs w:val="20"/>
                <w:shd w:val="solid" w:color="000000" w:fill="000000"/>
                <w:fitText w:val="200" w:id="-893204465"/>
                <w14:textFill>
                  <w14:solidFill>
                    <w14:srgbClr w14:val="000000">
                      <w14:alpha w14:val="100000"/>
                    </w14:srgbClr>
                  </w14:solidFill>
                </w14:textFill>
              </w:rPr>
              <w:t>|</w:t>
            </w:r>
            <w:r w:rsidR="0069051D" w:rsidRPr="0069051D">
              <w:rPr>
                <w:color w:val="000000"/>
                <w:spacing w:val="1"/>
                <w:szCs w:val="20"/>
                <w:shd w:val="solid" w:color="000000" w:fill="000000"/>
                <w:fitText w:val="200" w:id="-893204465"/>
                <w14:textFill>
                  <w14:solidFill>
                    <w14:srgbClr w14:val="000000">
                      <w14:alpha w14:val="100000"/>
                    </w14:srgbClr>
                  </w14:solidFill>
                </w14:textFill>
              </w:rPr>
              <w:t>|</w:t>
            </w:r>
          </w:p>
        </w:tc>
        <w:tc>
          <w:tcPr>
            <w:tcW w:w="709" w:type="dxa"/>
            <w:tcMar>
              <w:top w:w="0" w:type="dxa"/>
              <w:left w:w="28" w:type="dxa"/>
              <w:bottom w:w="0" w:type="dxa"/>
              <w:right w:w="28" w:type="dxa"/>
            </w:tcMar>
          </w:tcPr>
          <w:p w14:paraId="582D609F" w14:textId="77777777" w:rsidR="00A90559" w:rsidRPr="00906ED7" w:rsidRDefault="00A90559" w:rsidP="003663C0">
            <w:pPr>
              <w:pStyle w:val="Tabletext0"/>
              <w:keepNext/>
              <w:jc w:val="center"/>
              <w:rPr>
                <w:szCs w:val="20"/>
              </w:rPr>
            </w:pPr>
            <w:r w:rsidRPr="00906ED7">
              <w:rPr>
                <w:szCs w:val="20"/>
              </w:rPr>
              <w:t>0.8556</w:t>
            </w:r>
          </w:p>
        </w:tc>
        <w:tc>
          <w:tcPr>
            <w:tcW w:w="850" w:type="dxa"/>
            <w:tcMar>
              <w:top w:w="0" w:type="dxa"/>
              <w:left w:w="28" w:type="dxa"/>
              <w:bottom w:w="0" w:type="dxa"/>
              <w:right w:w="28" w:type="dxa"/>
            </w:tcMar>
          </w:tcPr>
          <w:p w14:paraId="5FE08BE0" w14:textId="36199733" w:rsidR="00A90559" w:rsidRPr="00906ED7" w:rsidRDefault="00A90559" w:rsidP="003663C0">
            <w:pPr>
              <w:pStyle w:val="Tabletext0"/>
              <w:keepNext/>
              <w:jc w:val="center"/>
              <w:rPr>
                <w:szCs w:val="20"/>
              </w:rPr>
            </w:pPr>
            <w:r w:rsidRPr="00906ED7">
              <w:rPr>
                <w:szCs w:val="20"/>
              </w:rPr>
              <w:t>$</w:t>
            </w:r>
            <w:r w:rsidR="0069051D" w:rsidRPr="0069051D">
              <w:rPr>
                <w:color w:val="000000"/>
                <w:spacing w:val="154"/>
                <w:szCs w:val="20"/>
                <w:shd w:val="solid" w:color="000000" w:fill="000000"/>
                <w:fitText w:val="240" w:id="-893204464"/>
                <w14:textFill>
                  <w14:solidFill>
                    <w14:srgbClr w14:val="000000">
                      <w14:alpha w14:val="100000"/>
                    </w14:srgbClr>
                  </w14:solidFill>
                </w14:textFill>
              </w:rPr>
              <w:t>|</w:t>
            </w:r>
            <w:r w:rsidR="0069051D" w:rsidRPr="0069051D">
              <w:rPr>
                <w:color w:val="000000"/>
                <w:spacing w:val="1"/>
                <w:szCs w:val="20"/>
                <w:shd w:val="solid" w:color="000000" w:fill="000000"/>
                <w:fitText w:val="240" w:id="-893204464"/>
                <w14:textFill>
                  <w14:solidFill>
                    <w14:srgbClr w14:val="000000">
                      <w14:alpha w14:val="100000"/>
                    </w14:srgbClr>
                  </w14:solidFill>
                </w14:textFill>
              </w:rPr>
              <w:t>|</w:t>
            </w:r>
            <w:r w:rsidR="008B5889" w:rsidRPr="008B5889">
              <w:rPr>
                <w:b/>
                <w:bCs/>
                <w:szCs w:val="20"/>
                <w:vertAlign w:val="superscript"/>
              </w:rPr>
              <w:t xml:space="preserve"> </w:t>
            </w:r>
            <w:r w:rsidR="008B5889">
              <w:rPr>
                <w:b/>
                <w:bCs/>
                <w:szCs w:val="20"/>
                <w:vertAlign w:val="superscript"/>
              </w:rPr>
              <w:t>1</w:t>
            </w:r>
          </w:p>
        </w:tc>
        <w:tc>
          <w:tcPr>
            <w:tcW w:w="949" w:type="dxa"/>
            <w:tcMar>
              <w:left w:w="28" w:type="dxa"/>
              <w:right w:w="28" w:type="dxa"/>
            </w:tcMar>
          </w:tcPr>
          <w:p w14:paraId="44630197" w14:textId="4A25C745" w:rsidR="00A90559" w:rsidRPr="00906ED7" w:rsidRDefault="00A90559" w:rsidP="003663C0">
            <w:pPr>
              <w:pStyle w:val="Tabletext0"/>
              <w:keepNext/>
              <w:jc w:val="center"/>
              <w:rPr>
                <w:szCs w:val="20"/>
              </w:rPr>
            </w:pPr>
            <w:r w:rsidRPr="00906ED7">
              <w:rPr>
                <w:szCs w:val="20"/>
              </w:rPr>
              <w:t>-</w:t>
            </w:r>
            <w:r w:rsidR="0069051D" w:rsidRPr="0069051D">
              <w:rPr>
                <w:color w:val="000000"/>
                <w:spacing w:val="114"/>
                <w:szCs w:val="20"/>
                <w:shd w:val="solid" w:color="000000" w:fill="000000"/>
                <w:fitText w:val="200" w:id="-893204480"/>
                <w14:textFill>
                  <w14:solidFill>
                    <w14:srgbClr w14:val="000000">
                      <w14:alpha w14:val="100000"/>
                    </w14:srgbClr>
                  </w14:solidFill>
                </w14:textFill>
              </w:rPr>
              <w:t>|</w:t>
            </w:r>
            <w:r w:rsidR="0069051D" w:rsidRPr="0069051D">
              <w:rPr>
                <w:color w:val="000000"/>
                <w:spacing w:val="1"/>
                <w:szCs w:val="20"/>
                <w:shd w:val="solid" w:color="000000" w:fill="000000"/>
                <w:fitText w:val="200" w:id="-893204480"/>
                <w14:textFill>
                  <w14:solidFill>
                    <w14:srgbClr w14:val="000000">
                      <w14:alpha w14:val="100000"/>
                    </w14:srgbClr>
                  </w14:solidFill>
                </w14:textFill>
              </w:rPr>
              <w:t>|</w:t>
            </w:r>
            <w:r w:rsidRPr="00906ED7">
              <w:rPr>
                <w:szCs w:val="20"/>
              </w:rPr>
              <w:t>%</w:t>
            </w:r>
          </w:p>
        </w:tc>
      </w:tr>
      <w:tr w:rsidR="00506EB9" w:rsidRPr="00906ED7" w14:paraId="61EF1CED" w14:textId="77777777" w:rsidTr="00080CC7">
        <w:trPr>
          <w:trHeight w:val="113"/>
        </w:trPr>
        <w:tc>
          <w:tcPr>
            <w:tcW w:w="5670" w:type="dxa"/>
            <w:tcMar>
              <w:top w:w="0" w:type="dxa"/>
              <w:left w:w="28" w:type="dxa"/>
              <w:bottom w:w="0" w:type="dxa"/>
              <w:right w:w="28" w:type="dxa"/>
            </w:tcMar>
            <w:hideMark/>
          </w:tcPr>
          <w:p w14:paraId="46431AF2" w14:textId="77777777" w:rsidR="00A90559" w:rsidRPr="00906ED7" w:rsidRDefault="00A90559" w:rsidP="003663C0">
            <w:pPr>
              <w:pStyle w:val="Tabletext0"/>
              <w:keepNext/>
              <w:rPr>
                <w:szCs w:val="20"/>
              </w:rPr>
            </w:pPr>
            <w:r w:rsidRPr="00906ED7">
              <w:rPr>
                <w:szCs w:val="20"/>
              </w:rPr>
              <w:t>0% discount rate</w:t>
            </w:r>
          </w:p>
        </w:tc>
        <w:tc>
          <w:tcPr>
            <w:tcW w:w="851" w:type="dxa"/>
            <w:tcMar>
              <w:top w:w="0" w:type="dxa"/>
              <w:left w:w="28" w:type="dxa"/>
              <w:bottom w:w="0" w:type="dxa"/>
              <w:right w:w="28" w:type="dxa"/>
            </w:tcMar>
          </w:tcPr>
          <w:p w14:paraId="176D85F1" w14:textId="2D36F35B" w:rsidR="00A90559" w:rsidRPr="00906ED7" w:rsidRDefault="00A90559" w:rsidP="003663C0">
            <w:pPr>
              <w:pStyle w:val="Tabletext0"/>
              <w:keepNext/>
              <w:jc w:val="center"/>
              <w:rPr>
                <w:szCs w:val="20"/>
              </w:rPr>
            </w:pPr>
            <w:r w:rsidRPr="00906ED7">
              <w:rPr>
                <w:szCs w:val="20"/>
              </w:rPr>
              <w:t>$</w:t>
            </w:r>
            <w:r w:rsidR="0069051D" w:rsidRPr="0069051D">
              <w:rPr>
                <w:color w:val="000000"/>
                <w:spacing w:val="114"/>
                <w:szCs w:val="20"/>
                <w:shd w:val="solid" w:color="000000" w:fill="000000"/>
                <w:fitText w:val="200" w:id="-893204479"/>
                <w14:textFill>
                  <w14:solidFill>
                    <w14:srgbClr w14:val="000000">
                      <w14:alpha w14:val="100000"/>
                    </w14:srgbClr>
                  </w14:solidFill>
                </w14:textFill>
              </w:rPr>
              <w:t>|</w:t>
            </w:r>
            <w:r w:rsidR="0069051D" w:rsidRPr="0069051D">
              <w:rPr>
                <w:color w:val="000000"/>
                <w:spacing w:val="1"/>
                <w:szCs w:val="20"/>
                <w:shd w:val="solid" w:color="000000" w:fill="000000"/>
                <w:fitText w:val="200" w:id="-893204479"/>
                <w14:textFill>
                  <w14:solidFill>
                    <w14:srgbClr w14:val="000000">
                      <w14:alpha w14:val="100000"/>
                    </w14:srgbClr>
                  </w14:solidFill>
                </w14:textFill>
              </w:rPr>
              <w:t>|</w:t>
            </w:r>
          </w:p>
        </w:tc>
        <w:tc>
          <w:tcPr>
            <w:tcW w:w="709" w:type="dxa"/>
            <w:tcMar>
              <w:top w:w="0" w:type="dxa"/>
              <w:left w:w="28" w:type="dxa"/>
              <w:bottom w:w="0" w:type="dxa"/>
              <w:right w:w="28" w:type="dxa"/>
            </w:tcMar>
          </w:tcPr>
          <w:p w14:paraId="5FB821BA" w14:textId="77777777" w:rsidR="00A90559" w:rsidRPr="00906ED7" w:rsidRDefault="00A90559" w:rsidP="003663C0">
            <w:pPr>
              <w:pStyle w:val="Tabletext0"/>
              <w:keepNext/>
              <w:jc w:val="center"/>
              <w:rPr>
                <w:szCs w:val="20"/>
              </w:rPr>
            </w:pPr>
            <w:r w:rsidRPr="00906ED7">
              <w:rPr>
                <w:szCs w:val="20"/>
              </w:rPr>
              <w:t>0.9975</w:t>
            </w:r>
          </w:p>
        </w:tc>
        <w:tc>
          <w:tcPr>
            <w:tcW w:w="850" w:type="dxa"/>
            <w:tcMar>
              <w:top w:w="0" w:type="dxa"/>
              <w:left w:w="28" w:type="dxa"/>
              <w:bottom w:w="0" w:type="dxa"/>
              <w:right w:w="28" w:type="dxa"/>
            </w:tcMar>
          </w:tcPr>
          <w:p w14:paraId="35F2B8BC" w14:textId="7B10481B" w:rsidR="00A90559" w:rsidRPr="00906ED7" w:rsidRDefault="00A90559" w:rsidP="003663C0">
            <w:pPr>
              <w:pStyle w:val="Tabletext0"/>
              <w:keepNext/>
              <w:jc w:val="center"/>
              <w:rPr>
                <w:szCs w:val="20"/>
              </w:rPr>
            </w:pPr>
            <w:r w:rsidRPr="00906ED7">
              <w:rPr>
                <w:szCs w:val="20"/>
              </w:rPr>
              <w:t>$</w:t>
            </w:r>
            <w:r w:rsidR="0069051D" w:rsidRPr="0069051D">
              <w:rPr>
                <w:color w:val="000000"/>
                <w:spacing w:val="154"/>
                <w:szCs w:val="20"/>
                <w:shd w:val="solid" w:color="000000" w:fill="000000"/>
                <w:fitText w:val="240" w:id="-893204478"/>
                <w14:textFill>
                  <w14:solidFill>
                    <w14:srgbClr w14:val="000000">
                      <w14:alpha w14:val="100000"/>
                    </w14:srgbClr>
                  </w14:solidFill>
                </w14:textFill>
              </w:rPr>
              <w:t>|</w:t>
            </w:r>
            <w:r w:rsidR="0069051D" w:rsidRPr="0069051D">
              <w:rPr>
                <w:color w:val="000000"/>
                <w:spacing w:val="1"/>
                <w:szCs w:val="20"/>
                <w:shd w:val="solid" w:color="000000" w:fill="000000"/>
                <w:fitText w:val="240" w:id="-893204478"/>
                <w14:textFill>
                  <w14:solidFill>
                    <w14:srgbClr w14:val="000000">
                      <w14:alpha w14:val="100000"/>
                    </w14:srgbClr>
                  </w14:solidFill>
                </w14:textFill>
              </w:rPr>
              <w:t>|</w:t>
            </w:r>
            <w:r w:rsidR="008B5889" w:rsidRPr="008B5889">
              <w:rPr>
                <w:b/>
                <w:bCs/>
                <w:szCs w:val="20"/>
                <w:vertAlign w:val="superscript"/>
              </w:rPr>
              <w:t xml:space="preserve"> </w:t>
            </w:r>
            <w:r w:rsidR="008B5889">
              <w:rPr>
                <w:b/>
                <w:bCs/>
                <w:szCs w:val="20"/>
                <w:vertAlign w:val="superscript"/>
              </w:rPr>
              <w:t>1</w:t>
            </w:r>
          </w:p>
        </w:tc>
        <w:tc>
          <w:tcPr>
            <w:tcW w:w="949" w:type="dxa"/>
            <w:tcMar>
              <w:left w:w="28" w:type="dxa"/>
              <w:right w:w="28" w:type="dxa"/>
            </w:tcMar>
          </w:tcPr>
          <w:p w14:paraId="3BA5C7CF" w14:textId="3D9C2D45" w:rsidR="00A90559" w:rsidRPr="00906ED7" w:rsidRDefault="00A90559" w:rsidP="003663C0">
            <w:pPr>
              <w:pStyle w:val="Tabletext0"/>
              <w:keepNext/>
              <w:jc w:val="center"/>
              <w:rPr>
                <w:szCs w:val="20"/>
              </w:rPr>
            </w:pPr>
            <w:r w:rsidRPr="00906ED7">
              <w:rPr>
                <w:szCs w:val="20"/>
              </w:rPr>
              <w:t>-</w:t>
            </w:r>
            <w:r w:rsidR="0069051D" w:rsidRPr="0069051D">
              <w:rPr>
                <w:color w:val="000000"/>
                <w:spacing w:val="114"/>
                <w:szCs w:val="20"/>
                <w:shd w:val="solid" w:color="000000" w:fill="000000"/>
                <w:fitText w:val="200" w:id="-893204477"/>
                <w14:textFill>
                  <w14:solidFill>
                    <w14:srgbClr w14:val="000000">
                      <w14:alpha w14:val="100000"/>
                    </w14:srgbClr>
                  </w14:solidFill>
                </w14:textFill>
              </w:rPr>
              <w:t>|</w:t>
            </w:r>
            <w:r w:rsidR="0069051D" w:rsidRPr="0069051D">
              <w:rPr>
                <w:color w:val="000000"/>
                <w:spacing w:val="1"/>
                <w:szCs w:val="20"/>
                <w:shd w:val="solid" w:color="000000" w:fill="000000"/>
                <w:fitText w:val="200" w:id="-893204477"/>
                <w14:textFill>
                  <w14:solidFill>
                    <w14:srgbClr w14:val="000000">
                      <w14:alpha w14:val="100000"/>
                    </w14:srgbClr>
                  </w14:solidFill>
                </w14:textFill>
              </w:rPr>
              <w:t>|</w:t>
            </w:r>
            <w:r w:rsidRPr="00906ED7">
              <w:rPr>
                <w:szCs w:val="20"/>
              </w:rPr>
              <w:t>%</w:t>
            </w:r>
          </w:p>
        </w:tc>
      </w:tr>
      <w:tr w:rsidR="00A90559" w:rsidRPr="00906ED7" w14:paraId="79F98DDB" w14:textId="77777777" w:rsidTr="003663C0">
        <w:trPr>
          <w:trHeight w:val="113"/>
        </w:trPr>
        <w:tc>
          <w:tcPr>
            <w:tcW w:w="9029" w:type="dxa"/>
            <w:gridSpan w:val="5"/>
            <w:tcMar>
              <w:top w:w="0" w:type="dxa"/>
              <w:left w:w="28" w:type="dxa"/>
              <w:bottom w:w="0" w:type="dxa"/>
              <w:right w:w="28" w:type="dxa"/>
            </w:tcMar>
            <w:hideMark/>
          </w:tcPr>
          <w:p w14:paraId="2D3589F0" w14:textId="77777777" w:rsidR="00A90559" w:rsidRPr="00906ED7" w:rsidRDefault="00A90559" w:rsidP="003663C0">
            <w:pPr>
              <w:pStyle w:val="Tabletext0"/>
              <w:keepNext/>
              <w:rPr>
                <w:szCs w:val="20"/>
              </w:rPr>
            </w:pPr>
            <w:r w:rsidRPr="00906ED7">
              <w:rPr>
                <w:b/>
                <w:bCs/>
                <w:szCs w:val="20"/>
              </w:rPr>
              <w:t>Time horizon (base case: 10 years)</w:t>
            </w:r>
          </w:p>
        </w:tc>
      </w:tr>
      <w:tr w:rsidR="00506EB9" w:rsidRPr="00906ED7" w14:paraId="75191F8E" w14:textId="77777777" w:rsidTr="00080CC7">
        <w:trPr>
          <w:trHeight w:val="113"/>
        </w:trPr>
        <w:tc>
          <w:tcPr>
            <w:tcW w:w="5670" w:type="dxa"/>
            <w:tcMar>
              <w:top w:w="0" w:type="dxa"/>
              <w:left w:w="28" w:type="dxa"/>
              <w:bottom w:w="0" w:type="dxa"/>
              <w:right w:w="28" w:type="dxa"/>
            </w:tcMar>
          </w:tcPr>
          <w:p w14:paraId="75C40A4F" w14:textId="77777777" w:rsidR="00A90559" w:rsidRPr="00906ED7" w:rsidRDefault="00A90559" w:rsidP="003663C0">
            <w:pPr>
              <w:pStyle w:val="Tabletext0"/>
              <w:keepNext/>
              <w:rPr>
                <w:szCs w:val="20"/>
              </w:rPr>
            </w:pPr>
            <w:r w:rsidRPr="00906ED7">
              <w:rPr>
                <w:szCs w:val="20"/>
              </w:rPr>
              <w:t>20 years</w:t>
            </w:r>
          </w:p>
        </w:tc>
        <w:tc>
          <w:tcPr>
            <w:tcW w:w="851" w:type="dxa"/>
            <w:tcMar>
              <w:top w:w="0" w:type="dxa"/>
              <w:left w:w="28" w:type="dxa"/>
              <w:bottom w:w="0" w:type="dxa"/>
              <w:right w:w="28" w:type="dxa"/>
            </w:tcMar>
          </w:tcPr>
          <w:p w14:paraId="7CCC6D5C" w14:textId="72BF1791" w:rsidR="00A90559" w:rsidRPr="00906ED7" w:rsidRDefault="00A90559" w:rsidP="003663C0">
            <w:pPr>
              <w:pStyle w:val="Tabletext0"/>
              <w:keepNext/>
              <w:jc w:val="center"/>
              <w:rPr>
                <w:szCs w:val="20"/>
              </w:rPr>
            </w:pPr>
            <w:r w:rsidRPr="00906ED7">
              <w:rPr>
                <w:szCs w:val="20"/>
              </w:rPr>
              <w:t>$</w:t>
            </w:r>
            <w:r w:rsidR="0069051D" w:rsidRPr="0069051D">
              <w:rPr>
                <w:color w:val="000000"/>
                <w:spacing w:val="114"/>
                <w:szCs w:val="20"/>
                <w:shd w:val="solid" w:color="000000" w:fill="000000"/>
                <w:fitText w:val="200" w:id="-893204476"/>
                <w14:textFill>
                  <w14:solidFill>
                    <w14:srgbClr w14:val="000000">
                      <w14:alpha w14:val="100000"/>
                    </w14:srgbClr>
                  </w14:solidFill>
                </w14:textFill>
              </w:rPr>
              <w:t>|</w:t>
            </w:r>
            <w:r w:rsidR="0069051D" w:rsidRPr="0069051D">
              <w:rPr>
                <w:color w:val="000000"/>
                <w:spacing w:val="1"/>
                <w:szCs w:val="20"/>
                <w:shd w:val="solid" w:color="000000" w:fill="000000"/>
                <w:fitText w:val="200" w:id="-893204476"/>
                <w14:textFill>
                  <w14:solidFill>
                    <w14:srgbClr w14:val="000000">
                      <w14:alpha w14:val="100000"/>
                    </w14:srgbClr>
                  </w14:solidFill>
                </w14:textFill>
              </w:rPr>
              <w:t>|</w:t>
            </w:r>
          </w:p>
        </w:tc>
        <w:tc>
          <w:tcPr>
            <w:tcW w:w="709" w:type="dxa"/>
            <w:tcMar>
              <w:top w:w="0" w:type="dxa"/>
              <w:left w:w="28" w:type="dxa"/>
              <w:bottom w:w="0" w:type="dxa"/>
              <w:right w:w="28" w:type="dxa"/>
            </w:tcMar>
          </w:tcPr>
          <w:p w14:paraId="498C5B95" w14:textId="77777777" w:rsidR="00A90559" w:rsidRPr="00906ED7" w:rsidRDefault="00A90559" w:rsidP="003663C0">
            <w:pPr>
              <w:pStyle w:val="Tabletext0"/>
              <w:keepNext/>
              <w:jc w:val="center"/>
              <w:rPr>
                <w:szCs w:val="20"/>
              </w:rPr>
            </w:pPr>
            <w:r w:rsidRPr="00906ED7">
              <w:rPr>
                <w:szCs w:val="20"/>
              </w:rPr>
              <w:t>1.0109</w:t>
            </w:r>
          </w:p>
        </w:tc>
        <w:tc>
          <w:tcPr>
            <w:tcW w:w="850" w:type="dxa"/>
            <w:tcMar>
              <w:top w:w="0" w:type="dxa"/>
              <w:left w:w="28" w:type="dxa"/>
              <w:bottom w:w="0" w:type="dxa"/>
              <w:right w:w="28" w:type="dxa"/>
            </w:tcMar>
          </w:tcPr>
          <w:p w14:paraId="28A23208" w14:textId="545EFD18" w:rsidR="00A90559" w:rsidRPr="00906ED7" w:rsidRDefault="00A90559" w:rsidP="003663C0">
            <w:pPr>
              <w:pStyle w:val="Tabletext0"/>
              <w:keepNext/>
              <w:jc w:val="center"/>
              <w:rPr>
                <w:szCs w:val="20"/>
              </w:rPr>
            </w:pPr>
            <w:r w:rsidRPr="00906ED7">
              <w:rPr>
                <w:szCs w:val="20"/>
              </w:rPr>
              <w:t>$</w:t>
            </w:r>
            <w:r w:rsidR="0069051D" w:rsidRPr="0069051D">
              <w:rPr>
                <w:color w:val="000000"/>
                <w:spacing w:val="154"/>
                <w:szCs w:val="20"/>
                <w:shd w:val="solid" w:color="000000" w:fill="000000"/>
                <w:fitText w:val="240" w:id="-893204475"/>
                <w14:textFill>
                  <w14:solidFill>
                    <w14:srgbClr w14:val="000000">
                      <w14:alpha w14:val="100000"/>
                    </w14:srgbClr>
                  </w14:solidFill>
                </w14:textFill>
              </w:rPr>
              <w:t>|</w:t>
            </w:r>
            <w:r w:rsidR="0069051D" w:rsidRPr="0069051D">
              <w:rPr>
                <w:color w:val="000000"/>
                <w:spacing w:val="1"/>
                <w:szCs w:val="20"/>
                <w:shd w:val="solid" w:color="000000" w:fill="000000"/>
                <w:fitText w:val="240" w:id="-893204475"/>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2</w:t>
            </w:r>
          </w:p>
        </w:tc>
        <w:tc>
          <w:tcPr>
            <w:tcW w:w="949" w:type="dxa"/>
            <w:tcMar>
              <w:left w:w="28" w:type="dxa"/>
              <w:right w:w="28" w:type="dxa"/>
            </w:tcMar>
          </w:tcPr>
          <w:p w14:paraId="71661AA5" w14:textId="1DA2A6FE" w:rsidR="00A90559" w:rsidRPr="00906ED7" w:rsidRDefault="00A90559" w:rsidP="003663C0">
            <w:pPr>
              <w:pStyle w:val="Tabletext0"/>
              <w:keepNext/>
              <w:jc w:val="center"/>
              <w:rPr>
                <w:szCs w:val="20"/>
              </w:rPr>
            </w:pPr>
            <w:r w:rsidRPr="00906ED7">
              <w:rPr>
                <w:szCs w:val="20"/>
              </w:rPr>
              <w:t>-</w:t>
            </w:r>
            <w:r w:rsidR="0069051D" w:rsidRPr="0069051D">
              <w:rPr>
                <w:color w:val="000000"/>
                <w:spacing w:val="114"/>
                <w:szCs w:val="20"/>
                <w:shd w:val="solid" w:color="000000" w:fill="000000"/>
                <w:fitText w:val="200" w:id="-893204474"/>
                <w14:textFill>
                  <w14:solidFill>
                    <w14:srgbClr w14:val="000000">
                      <w14:alpha w14:val="100000"/>
                    </w14:srgbClr>
                  </w14:solidFill>
                </w14:textFill>
              </w:rPr>
              <w:t>|</w:t>
            </w:r>
            <w:r w:rsidR="0069051D" w:rsidRPr="0069051D">
              <w:rPr>
                <w:color w:val="000000"/>
                <w:spacing w:val="1"/>
                <w:szCs w:val="20"/>
                <w:shd w:val="solid" w:color="000000" w:fill="000000"/>
                <w:fitText w:val="200" w:id="-893204474"/>
                <w14:textFill>
                  <w14:solidFill>
                    <w14:srgbClr w14:val="000000">
                      <w14:alpha w14:val="100000"/>
                    </w14:srgbClr>
                  </w14:solidFill>
                </w14:textFill>
              </w:rPr>
              <w:t>|</w:t>
            </w:r>
            <w:r w:rsidRPr="00906ED7">
              <w:rPr>
                <w:szCs w:val="20"/>
              </w:rPr>
              <w:t>%</w:t>
            </w:r>
          </w:p>
        </w:tc>
      </w:tr>
      <w:tr w:rsidR="00506EB9" w:rsidRPr="00906ED7" w14:paraId="03C86831" w14:textId="77777777" w:rsidTr="00080CC7">
        <w:trPr>
          <w:trHeight w:val="113"/>
        </w:trPr>
        <w:tc>
          <w:tcPr>
            <w:tcW w:w="5670" w:type="dxa"/>
            <w:tcMar>
              <w:top w:w="0" w:type="dxa"/>
              <w:left w:w="28" w:type="dxa"/>
              <w:bottom w:w="0" w:type="dxa"/>
              <w:right w:w="28" w:type="dxa"/>
            </w:tcMar>
          </w:tcPr>
          <w:p w14:paraId="5FDC6EEA" w14:textId="77777777" w:rsidR="00A90559" w:rsidRPr="00906ED7" w:rsidRDefault="00A90559" w:rsidP="003663C0">
            <w:pPr>
              <w:pStyle w:val="Tabletext0"/>
              <w:keepNext/>
              <w:rPr>
                <w:szCs w:val="20"/>
              </w:rPr>
            </w:pPr>
            <w:r w:rsidRPr="00906ED7">
              <w:rPr>
                <w:szCs w:val="20"/>
              </w:rPr>
              <w:t>5 years</w:t>
            </w:r>
          </w:p>
        </w:tc>
        <w:tc>
          <w:tcPr>
            <w:tcW w:w="851" w:type="dxa"/>
            <w:tcMar>
              <w:top w:w="0" w:type="dxa"/>
              <w:left w:w="28" w:type="dxa"/>
              <w:bottom w:w="0" w:type="dxa"/>
              <w:right w:w="28" w:type="dxa"/>
            </w:tcMar>
          </w:tcPr>
          <w:p w14:paraId="2697E93E" w14:textId="5D51E955" w:rsidR="00A90559" w:rsidRPr="00906ED7" w:rsidRDefault="00A90559" w:rsidP="003663C0">
            <w:pPr>
              <w:pStyle w:val="Tabletext0"/>
              <w:keepNext/>
              <w:jc w:val="center"/>
              <w:rPr>
                <w:szCs w:val="20"/>
              </w:rPr>
            </w:pPr>
            <w:r w:rsidRPr="00906ED7">
              <w:rPr>
                <w:szCs w:val="20"/>
              </w:rPr>
              <w:t>$</w:t>
            </w:r>
            <w:r w:rsidR="0069051D" w:rsidRPr="0069051D">
              <w:rPr>
                <w:color w:val="000000"/>
                <w:spacing w:val="114"/>
                <w:szCs w:val="20"/>
                <w:shd w:val="solid" w:color="000000" w:fill="000000"/>
                <w:fitText w:val="200" w:id="-893204473"/>
                <w14:textFill>
                  <w14:solidFill>
                    <w14:srgbClr w14:val="000000">
                      <w14:alpha w14:val="100000"/>
                    </w14:srgbClr>
                  </w14:solidFill>
                </w14:textFill>
              </w:rPr>
              <w:t>|</w:t>
            </w:r>
            <w:r w:rsidR="0069051D" w:rsidRPr="0069051D">
              <w:rPr>
                <w:color w:val="000000"/>
                <w:spacing w:val="1"/>
                <w:szCs w:val="20"/>
                <w:shd w:val="solid" w:color="000000" w:fill="000000"/>
                <w:fitText w:val="200" w:id="-893204473"/>
                <w14:textFill>
                  <w14:solidFill>
                    <w14:srgbClr w14:val="000000">
                      <w14:alpha w14:val="100000"/>
                    </w14:srgbClr>
                  </w14:solidFill>
                </w14:textFill>
              </w:rPr>
              <w:t>|</w:t>
            </w:r>
          </w:p>
        </w:tc>
        <w:tc>
          <w:tcPr>
            <w:tcW w:w="709" w:type="dxa"/>
            <w:tcMar>
              <w:top w:w="0" w:type="dxa"/>
              <w:left w:w="28" w:type="dxa"/>
              <w:bottom w:w="0" w:type="dxa"/>
              <w:right w:w="28" w:type="dxa"/>
            </w:tcMar>
          </w:tcPr>
          <w:p w14:paraId="2CDBA805" w14:textId="77777777" w:rsidR="00A90559" w:rsidRPr="00906ED7" w:rsidRDefault="00A90559" w:rsidP="003663C0">
            <w:pPr>
              <w:pStyle w:val="Tabletext0"/>
              <w:keepNext/>
              <w:jc w:val="center"/>
              <w:rPr>
                <w:szCs w:val="20"/>
              </w:rPr>
            </w:pPr>
            <w:r w:rsidRPr="00906ED7">
              <w:rPr>
                <w:szCs w:val="20"/>
              </w:rPr>
              <w:t>0.5017</w:t>
            </w:r>
          </w:p>
        </w:tc>
        <w:tc>
          <w:tcPr>
            <w:tcW w:w="850" w:type="dxa"/>
            <w:tcMar>
              <w:top w:w="0" w:type="dxa"/>
              <w:left w:w="28" w:type="dxa"/>
              <w:bottom w:w="0" w:type="dxa"/>
              <w:right w:w="28" w:type="dxa"/>
            </w:tcMar>
          </w:tcPr>
          <w:p w14:paraId="01C9A003" w14:textId="5558BAA7" w:rsidR="00A90559" w:rsidRPr="00906ED7" w:rsidRDefault="00A90559" w:rsidP="003663C0">
            <w:pPr>
              <w:pStyle w:val="Tabletext0"/>
              <w:keepNext/>
              <w:jc w:val="center"/>
              <w:rPr>
                <w:szCs w:val="20"/>
              </w:rPr>
            </w:pPr>
            <w:r w:rsidRPr="00906ED7">
              <w:rPr>
                <w:szCs w:val="20"/>
              </w:rPr>
              <w:t>$</w:t>
            </w:r>
            <w:r w:rsidR="0069051D" w:rsidRPr="0069051D">
              <w:rPr>
                <w:color w:val="000000"/>
                <w:spacing w:val="154"/>
                <w:szCs w:val="20"/>
                <w:shd w:val="solid" w:color="000000" w:fill="000000"/>
                <w:fitText w:val="240" w:id="-893204472"/>
                <w14:textFill>
                  <w14:solidFill>
                    <w14:srgbClr w14:val="000000">
                      <w14:alpha w14:val="100000"/>
                    </w14:srgbClr>
                  </w14:solidFill>
                </w14:textFill>
              </w:rPr>
              <w:t>|</w:t>
            </w:r>
            <w:r w:rsidR="0069051D" w:rsidRPr="0069051D">
              <w:rPr>
                <w:color w:val="000000"/>
                <w:spacing w:val="1"/>
                <w:szCs w:val="20"/>
                <w:shd w:val="solid" w:color="000000" w:fill="000000"/>
                <w:fitText w:val="240" w:id="-893204472"/>
                <w14:textFill>
                  <w14:solidFill>
                    <w14:srgbClr w14:val="000000">
                      <w14:alpha w14:val="100000"/>
                    </w14:srgbClr>
                  </w14:solidFill>
                </w14:textFill>
              </w:rPr>
              <w:t>|</w:t>
            </w:r>
            <w:r w:rsidR="008B5889" w:rsidRPr="008B5889">
              <w:rPr>
                <w:b/>
                <w:bCs/>
                <w:szCs w:val="20"/>
                <w:vertAlign w:val="superscript"/>
              </w:rPr>
              <w:t xml:space="preserve"> </w:t>
            </w:r>
            <w:r w:rsidR="008B5889">
              <w:rPr>
                <w:b/>
                <w:bCs/>
                <w:szCs w:val="20"/>
                <w:vertAlign w:val="superscript"/>
              </w:rPr>
              <w:t>1</w:t>
            </w:r>
          </w:p>
        </w:tc>
        <w:tc>
          <w:tcPr>
            <w:tcW w:w="949" w:type="dxa"/>
            <w:tcMar>
              <w:left w:w="28" w:type="dxa"/>
              <w:right w:w="28" w:type="dxa"/>
            </w:tcMar>
          </w:tcPr>
          <w:p w14:paraId="2F0C3E8D" w14:textId="2BABA2EF" w:rsidR="00A90559" w:rsidRPr="00906ED7" w:rsidRDefault="00A90559" w:rsidP="003663C0">
            <w:pPr>
              <w:pStyle w:val="Tabletext0"/>
              <w:keepNext/>
              <w:jc w:val="center"/>
            </w:pPr>
            <w:r w:rsidRPr="00906ED7">
              <w:t>+</w:t>
            </w:r>
            <w:r w:rsidR="0069051D" w:rsidRPr="0069051D">
              <w:rPr>
                <w:color w:val="000000"/>
                <w:spacing w:val="46"/>
                <w:shd w:val="solid" w:color="000000" w:fill="000000"/>
                <w:fitText w:val="220" w:id="-893204471"/>
                <w14:textFill>
                  <w14:solidFill>
                    <w14:srgbClr w14:val="000000">
                      <w14:alpha w14:val="100000"/>
                    </w14:srgbClr>
                  </w14:solidFill>
                </w14:textFill>
              </w:rPr>
              <w:t>||</w:t>
            </w:r>
            <w:r w:rsidR="0069051D" w:rsidRPr="0069051D">
              <w:rPr>
                <w:color w:val="000000"/>
                <w:spacing w:val="1"/>
                <w:shd w:val="solid" w:color="000000" w:fill="000000"/>
                <w:fitText w:val="220" w:id="-893204471"/>
                <w14:textFill>
                  <w14:solidFill>
                    <w14:srgbClr w14:val="000000">
                      <w14:alpha w14:val="100000"/>
                    </w14:srgbClr>
                  </w14:solidFill>
                </w14:textFill>
              </w:rPr>
              <w:t>|</w:t>
            </w:r>
            <w:r w:rsidRPr="00906ED7">
              <w:t>%</w:t>
            </w:r>
          </w:p>
        </w:tc>
      </w:tr>
      <w:tr w:rsidR="00A90559" w:rsidRPr="00906ED7" w14:paraId="709BD708" w14:textId="77777777" w:rsidTr="003663C0">
        <w:trPr>
          <w:trHeight w:val="113"/>
        </w:trPr>
        <w:tc>
          <w:tcPr>
            <w:tcW w:w="9029" w:type="dxa"/>
            <w:gridSpan w:val="5"/>
            <w:tcMar>
              <w:top w:w="0" w:type="dxa"/>
              <w:left w:w="28" w:type="dxa"/>
              <w:bottom w:w="0" w:type="dxa"/>
              <w:right w:w="28" w:type="dxa"/>
            </w:tcMar>
          </w:tcPr>
          <w:p w14:paraId="3A51D66D" w14:textId="77777777" w:rsidR="00A90559" w:rsidRPr="00906ED7" w:rsidRDefault="00A90559" w:rsidP="003663C0">
            <w:pPr>
              <w:pStyle w:val="Tabletext0"/>
              <w:keepNext/>
              <w:rPr>
                <w:b/>
                <w:bCs/>
              </w:rPr>
            </w:pPr>
            <w:r w:rsidRPr="00906ED7">
              <w:rPr>
                <w:b/>
                <w:bCs/>
              </w:rPr>
              <w:t>Patient population (base case: 49.4% second-line; 50.6% treatment refractory)</w:t>
            </w:r>
          </w:p>
        </w:tc>
      </w:tr>
      <w:tr w:rsidR="00506EB9" w:rsidRPr="00906ED7" w14:paraId="3C8F813E" w14:textId="77777777" w:rsidTr="00080CC7">
        <w:trPr>
          <w:trHeight w:val="113"/>
        </w:trPr>
        <w:tc>
          <w:tcPr>
            <w:tcW w:w="5670" w:type="dxa"/>
            <w:tcMar>
              <w:top w:w="0" w:type="dxa"/>
              <w:left w:w="28" w:type="dxa"/>
              <w:bottom w:w="0" w:type="dxa"/>
              <w:right w:w="28" w:type="dxa"/>
            </w:tcMar>
          </w:tcPr>
          <w:p w14:paraId="25953A08" w14:textId="6DC6D40E" w:rsidR="00A90559" w:rsidRPr="00906ED7" w:rsidRDefault="00A90559" w:rsidP="003663C0">
            <w:pPr>
              <w:pStyle w:val="Tabletext0"/>
              <w:keepNext/>
              <w:rPr>
                <w:szCs w:val="20"/>
              </w:rPr>
            </w:pPr>
            <w:r w:rsidRPr="00906ED7">
              <w:rPr>
                <w:szCs w:val="20"/>
              </w:rPr>
              <w:t>100% second-line patients</w:t>
            </w:r>
            <w:r w:rsidR="00101EC9" w:rsidRPr="00906ED7">
              <w:rPr>
                <w:szCs w:val="20"/>
              </w:rPr>
              <w:t xml:space="preserve"> (subsequent treatment with standard therapy in non-responders)</w:t>
            </w:r>
          </w:p>
        </w:tc>
        <w:tc>
          <w:tcPr>
            <w:tcW w:w="851" w:type="dxa"/>
            <w:tcMar>
              <w:top w:w="0" w:type="dxa"/>
              <w:left w:w="28" w:type="dxa"/>
              <w:bottom w:w="0" w:type="dxa"/>
              <w:right w:w="28" w:type="dxa"/>
            </w:tcMar>
            <w:vAlign w:val="center"/>
          </w:tcPr>
          <w:p w14:paraId="68DFFC93" w14:textId="0A6003EE" w:rsidR="00A90559" w:rsidRPr="00906ED7" w:rsidRDefault="00A90559" w:rsidP="003663C0">
            <w:pPr>
              <w:pStyle w:val="Tabletext0"/>
              <w:keepNext/>
              <w:jc w:val="center"/>
              <w:rPr>
                <w:szCs w:val="20"/>
              </w:rPr>
            </w:pPr>
            <w:r w:rsidRPr="00906ED7">
              <w:rPr>
                <w:szCs w:val="20"/>
              </w:rPr>
              <w:t>$</w:t>
            </w:r>
            <w:r w:rsidR="0069051D" w:rsidRPr="0069051D">
              <w:rPr>
                <w:color w:val="000000"/>
                <w:spacing w:val="114"/>
                <w:szCs w:val="20"/>
                <w:shd w:val="solid" w:color="000000" w:fill="000000"/>
                <w:fitText w:val="200" w:id="-893204470"/>
                <w14:textFill>
                  <w14:solidFill>
                    <w14:srgbClr w14:val="000000">
                      <w14:alpha w14:val="100000"/>
                    </w14:srgbClr>
                  </w14:solidFill>
                </w14:textFill>
              </w:rPr>
              <w:t>|</w:t>
            </w:r>
            <w:r w:rsidR="0069051D" w:rsidRPr="0069051D">
              <w:rPr>
                <w:color w:val="000000"/>
                <w:spacing w:val="1"/>
                <w:szCs w:val="20"/>
                <w:shd w:val="solid" w:color="000000" w:fill="000000"/>
                <w:fitText w:val="200" w:id="-893204470"/>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73E99207" w14:textId="77777777" w:rsidR="00A90559" w:rsidRPr="00906ED7" w:rsidRDefault="00A90559" w:rsidP="003663C0">
            <w:pPr>
              <w:pStyle w:val="Tabletext0"/>
              <w:keepNext/>
              <w:jc w:val="center"/>
              <w:rPr>
                <w:szCs w:val="20"/>
              </w:rPr>
            </w:pPr>
            <w:r w:rsidRPr="00906ED7">
              <w:rPr>
                <w:szCs w:val="20"/>
              </w:rPr>
              <w:t>0.8045</w:t>
            </w:r>
          </w:p>
        </w:tc>
        <w:tc>
          <w:tcPr>
            <w:tcW w:w="850" w:type="dxa"/>
            <w:tcMar>
              <w:top w:w="0" w:type="dxa"/>
              <w:left w:w="28" w:type="dxa"/>
              <w:bottom w:w="0" w:type="dxa"/>
              <w:right w:w="28" w:type="dxa"/>
            </w:tcMar>
            <w:vAlign w:val="center"/>
          </w:tcPr>
          <w:p w14:paraId="629415B2" w14:textId="3D7CE0DA" w:rsidR="00A90559" w:rsidRPr="00906ED7" w:rsidRDefault="00A90559" w:rsidP="003663C0">
            <w:pPr>
              <w:pStyle w:val="Tabletext0"/>
              <w:keepNext/>
              <w:jc w:val="center"/>
              <w:rPr>
                <w:szCs w:val="20"/>
              </w:rPr>
            </w:pPr>
            <w:r w:rsidRPr="00906ED7">
              <w:rPr>
                <w:szCs w:val="20"/>
              </w:rPr>
              <w:t>$</w:t>
            </w:r>
            <w:r w:rsidR="0069051D" w:rsidRPr="0069051D">
              <w:rPr>
                <w:color w:val="000000"/>
                <w:spacing w:val="154"/>
                <w:szCs w:val="20"/>
                <w:shd w:val="solid" w:color="000000" w:fill="000000"/>
                <w:fitText w:val="240" w:id="-893204469"/>
                <w14:textFill>
                  <w14:solidFill>
                    <w14:srgbClr w14:val="000000">
                      <w14:alpha w14:val="100000"/>
                    </w14:srgbClr>
                  </w14:solidFill>
                </w14:textFill>
              </w:rPr>
              <w:t>|</w:t>
            </w:r>
            <w:r w:rsidR="0069051D" w:rsidRPr="0069051D">
              <w:rPr>
                <w:color w:val="000000"/>
                <w:spacing w:val="1"/>
                <w:szCs w:val="20"/>
                <w:shd w:val="solid" w:color="000000" w:fill="000000"/>
                <w:fitText w:val="240" w:id="-893204469"/>
                <w14:textFill>
                  <w14:solidFill>
                    <w14:srgbClr w14:val="000000">
                      <w14:alpha w14:val="100000"/>
                    </w14:srgbClr>
                  </w14:solidFill>
                </w14:textFill>
              </w:rPr>
              <w:t>|</w:t>
            </w:r>
            <w:r w:rsidR="00E41377" w:rsidRPr="008B5889">
              <w:rPr>
                <w:b/>
                <w:bCs/>
                <w:szCs w:val="20"/>
                <w:vertAlign w:val="superscript"/>
              </w:rPr>
              <w:t xml:space="preserve"> </w:t>
            </w:r>
            <w:r w:rsidR="00E41377">
              <w:rPr>
                <w:b/>
                <w:bCs/>
                <w:szCs w:val="20"/>
                <w:vertAlign w:val="superscript"/>
              </w:rPr>
              <w:t>3</w:t>
            </w:r>
          </w:p>
        </w:tc>
        <w:tc>
          <w:tcPr>
            <w:tcW w:w="949" w:type="dxa"/>
            <w:tcMar>
              <w:left w:w="28" w:type="dxa"/>
              <w:right w:w="28" w:type="dxa"/>
            </w:tcMar>
            <w:vAlign w:val="center"/>
          </w:tcPr>
          <w:p w14:paraId="661130F1" w14:textId="7F3F4710" w:rsidR="00A90559" w:rsidRPr="00906ED7" w:rsidRDefault="00A90559" w:rsidP="003663C0">
            <w:pPr>
              <w:pStyle w:val="Tabletext0"/>
              <w:keepNext/>
              <w:jc w:val="center"/>
            </w:pPr>
            <w:r w:rsidRPr="00906ED7">
              <w:t>+</w:t>
            </w:r>
            <w:r w:rsidR="0069051D" w:rsidRPr="0069051D">
              <w:rPr>
                <w:color w:val="000000"/>
                <w:spacing w:val="46"/>
                <w:shd w:val="solid" w:color="000000" w:fill="000000"/>
                <w:fitText w:val="220" w:id="-893204468"/>
                <w14:textFill>
                  <w14:solidFill>
                    <w14:srgbClr w14:val="000000">
                      <w14:alpha w14:val="100000"/>
                    </w14:srgbClr>
                  </w14:solidFill>
                </w14:textFill>
              </w:rPr>
              <w:t>||</w:t>
            </w:r>
            <w:r w:rsidR="0069051D" w:rsidRPr="0069051D">
              <w:rPr>
                <w:color w:val="000000"/>
                <w:spacing w:val="1"/>
                <w:shd w:val="solid" w:color="000000" w:fill="000000"/>
                <w:fitText w:val="220" w:id="-893204468"/>
                <w14:textFill>
                  <w14:solidFill>
                    <w14:srgbClr w14:val="000000">
                      <w14:alpha w14:val="100000"/>
                    </w14:srgbClr>
                  </w14:solidFill>
                </w14:textFill>
              </w:rPr>
              <w:t>|</w:t>
            </w:r>
            <w:r w:rsidRPr="00906ED7">
              <w:t>%</w:t>
            </w:r>
          </w:p>
        </w:tc>
      </w:tr>
      <w:tr w:rsidR="00506EB9" w:rsidRPr="00906ED7" w14:paraId="4E06C030" w14:textId="77777777" w:rsidTr="00080CC7">
        <w:trPr>
          <w:trHeight w:val="113"/>
        </w:trPr>
        <w:tc>
          <w:tcPr>
            <w:tcW w:w="5670" w:type="dxa"/>
            <w:tcMar>
              <w:top w:w="0" w:type="dxa"/>
              <w:left w:w="28" w:type="dxa"/>
              <w:bottom w:w="0" w:type="dxa"/>
              <w:right w:w="28" w:type="dxa"/>
            </w:tcMar>
          </w:tcPr>
          <w:p w14:paraId="685DEC61" w14:textId="682B4A06" w:rsidR="00A90559" w:rsidRPr="00906ED7" w:rsidRDefault="00A90559" w:rsidP="003663C0">
            <w:pPr>
              <w:pStyle w:val="Tabletext0"/>
              <w:keepNext/>
              <w:rPr>
                <w:szCs w:val="20"/>
              </w:rPr>
            </w:pPr>
            <w:r w:rsidRPr="00906ED7">
              <w:rPr>
                <w:szCs w:val="20"/>
              </w:rPr>
              <w:t>100% treatment-refractory patients</w:t>
            </w:r>
            <w:r w:rsidR="00101EC9" w:rsidRPr="00906ED7">
              <w:rPr>
                <w:szCs w:val="20"/>
              </w:rPr>
              <w:t xml:space="preserve"> (subsequent treatment with chronic IVIg/PLEX and escalated standard therapy in non-responders)</w:t>
            </w:r>
          </w:p>
        </w:tc>
        <w:tc>
          <w:tcPr>
            <w:tcW w:w="851" w:type="dxa"/>
            <w:tcMar>
              <w:top w:w="0" w:type="dxa"/>
              <w:left w:w="28" w:type="dxa"/>
              <w:bottom w:w="0" w:type="dxa"/>
              <w:right w:w="28" w:type="dxa"/>
            </w:tcMar>
            <w:vAlign w:val="center"/>
          </w:tcPr>
          <w:p w14:paraId="764242AA" w14:textId="730FE27B" w:rsidR="00A90559" w:rsidRPr="00906ED7" w:rsidRDefault="00A90559" w:rsidP="003663C0">
            <w:pPr>
              <w:pStyle w:val="Tabletext0"/>
              <w:keepNext/>
              <w:jc w:val="center"/>
              <w:rPr>
                <w:szCs w:val="20"/>
              </w:rPr>
            </w:pPr>
            <w:r w:rsidRPr="00906ED7">
              <w:rPr>
                <w:szCs w:val="20"/>
              </w:rPr>
              <w:t>$</w:t>
            </w:r>
            <w:r w:rsidR="0069051D" w:rsidRPr="0069051D">
              <w:rPr>
                <w:color w:val="000000"/>
                <w:spacing w:val="114"/>
                <w:szCs w:val="20"/>
                <w:shd w:val="solid" w:color="000000" w:fill="000000"/>
                <w:fitText w:val="200" w:id="-893204467"/>
                <w14:textFill>
                  <w14:solidFill>
                    <w14:srgbClr w14:val="000000">
                      <w14:alpha w14:val="100000"/>
                    </w14:srgbClr>
                  </w14:solidFill>
                </w14:textFill>
              </w:rPr>
              <w:t>|</w:t>
            </w:r>
            <w:r w:rsidR="0069051D" w:rsidRPr="0069051D">
              <w:rPr>
                <w:color w:val="000000"/>
                <w:spacing w:val="1"/>
                <w:szCs w:val="20"/>
                <w:shd w:val="solid" w:color="000000" w:fill="000000"/>
                <w:fitText w:val="200" w:id="-893204467"/>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67047681" w14:textId="77777777" w:rsidR="00A90559" w:rsidRPr="00906ED7" w:rsidRDefault="00A90559" w:rsidP="003663C0">
            <w:pPr>
              <w:pStyle w:val="Tabletext0"/>
              <w:keepNext/>
              <w:jc w:val="center"/>
              <w:rPr>
                <w:szCs w:val="20"/>
              </w:rPr>
            </w:pPr>
            <w:r w:rsidRPr="00906ED7">
              <w:rPr>
                <w:szCs w:val="20"/>
              </w:rPr>
              <w:t>0.8045</w:t>
            </w:r>
          </w:p>
        </w:tc>
        <w:tc>
          <w:tcPr>
            <w:tcW w:w="850" w:type="dxa"/>
            <w:tcMar>
              <w:top w:w="0" w:type="dxa"/>
              <w:left w:w="28" w:type="dxa"/>
              <w:bottom w:w="0" w:type="dxa"/>
              <w:right w:w="28" w:type="dxa"/>
            </w:tcMar>
            <w:vAlign w:val="center"/>
          </w:tcPr>
          <w:p w14:paraId="314331B8" w14:textId="0D048A2C" w:rsidR="00A90559" w:rsidRPr="00906ED7" w:rsidRDefault="00A90559" w:rsidP="003663C0">
            <w:pPr>
              <w:pStyle w:val="Tabletext0"/>
              <w:keepNext/>
              <w:jc w:val="center"/>
              <w:rPr>
                <w:szCs w:val="20"/>
              </w:rPr>
            </w:pPr>
            <w:r w:rsidRPr="00906ED7">
              <w:rPr>
                <w:szCs w:val="20"/>
              </w:rPr>
              <w:t>$</w:t>
            </w:r>
            <w:r w:rsidR="0069051D" w:rsidRPr="0069051D">
              <w:rPr>
                <w:color w:val="000000"/>
                <w:spacing w:val="154"/>
                <w:szCs w:val="20"/>
                <w:shd w:val="solid" w:color="000000" w:fill="000000"/>
                <w:fitText w:val="240" w:id="-893204466"/>
                <w14:textFill>
                  <w14:solidFill>
                    <w14:srgbClr w14:val="000000">
                      <w14:alpha w14:val="100000"/>
                    </w14:srgbClr>
                  </w14:solidFill>
                </w14:textFill>
              </w:rPr>
              <w:t>|</w:t>
            </w:r>
            <w:r w:rsidR="0069051D" w:rsidRPr="0069051D">
              <w:rPr>
                <w:color w:val="000000"/>
                <w:spacing w:val="1"/>
                <w:szCs w:val="20"/>
                <w:shd w:val="solid" w:color="000000" w:fill="000000"/>
                <w:fitText w:val="240" w:id="-893204466"/>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2</w:t>
            </w:r>
          </w:p>
        </w:tc>
        <w:tc>
          <w:tcPr>
            <w:tcW w:w="949" w:type="dxa"/>
            <w:tcMar>
              <w:left w:w="28" w:type="dxa"/>
              <w:right w:w="28" w:type="dxa"/>
            </w:tcMar>
            <w:vAlign w:val="center"/>
          </w:tcPr>
          <w:p w14:paraId="79D7272C" w14:textId="7ABBF2FE" w:rsidR="00A90559" w:rsidRPr="00906ED7" w:rsidRDefault="00A90559" w:rsidP="003663C0">
            <w:pPr>
              <w:pStyle w:val="Tabletext0"/>
              <w:keepNext/>
              <w:jc w:val="center"/>
            </w:pPr>
            <w:r w:rsidRPr="00906ED7">
              <w:t>-</w:t>
            </w:r>
            <w:r w:rsidR="0069051D" w:rsidRPr="0069051D">
              <w:rPr>
                <w:color w:val="000000"/>
                <w:spacing w:val="114"/>
                <w:shd w:val="solid" w:color="000000" w:fill="000000"/>
                <w:fitText w:val="200" w:id="-893204465"/>
                <w14:textFill>
                  <w14:solidFill>
                    <w14:srgbClr w14:val="000000">
                      <w14:alpha w14:val="100000"/>
                    </w14:srgbClr>
                  </w14:solidFill>
                </w14:textFill>
              </w:rPr>
              <w:t>|</w:t>
            </w:r>
            <w:r w:rsidR="0069051D" w:rsidRPr="0069051D">
              <w:rPr>
                <w:color w:val="000000"/>
                <w:spacing w:val="1"/>
                <w:shd w:val="solid" w:color="000000" w:fill="000000"/>
                <w:fitText w:val="200" w:id="-893204465"/>
                <w14:textFill>
                  <w14:solidFill>
                    <w14:srgbClr w14:val="000000">
                      <w14:alpha w14:val="100000"/>
                    </w14:srgbClr>
                  </w14:solidFill>
                </w14:textFill>
              </w:rPr>
              <w:t>|</w:t>
            </w:r>
            <w:r w:rsidRPr="00906ED7">
              <w:t>%</w:t>
            </w:r>
          </w:p>
        </w:tc>
      </w:tr>
      <w:tr w:rsidR="00A90559" w:rsidRPr="00906ED7" w14:paraId="03CF81CC" w14:textId="77777777" w:rsidTr="003663C0">
        <w:trPr>
          <w:trHeight w:val="113"/>
        </w:trPr>
        <w:tc>
          <w:tcPr>
            <w:tcW w:w="9029" w:type="dxa"/>
            <w:gridSpan w:val="5"/>
            <w:tcMar>
              <w:top w:w="0" w:type="dxa"/>
              <w:left w:w="28" w:type="dxa"/>
              <w:bottom w:w="0" w:type="dxa"/>
              <w:right w:w="28" w:type="dxa"/>
            </w:tcMar>
          </w:tcPr>
          <w:p w14:paraId="6D3E22F2" w14:textId="77777777" w:rsidR="00A90559" w:rsidRPr="00906ED7" w:rsidRDefault="00A90559" w:rsidP="003663C0">
            <w:pPr>
              <w:pStyle w:val="Tabletext0"/>
              <w:keepNext/>
              <w:rPr>
                <w:b/>
                <w:bCs/>
              </w:rPr>
            </w:pPr>
            <w:r w:rsidRPr="00906ED7">
              <w:rPr>
                <w:b/>
                <w:bCs/>
              </w:rPr>
              <w:t>Change in MG-ADL scores (base case: changes in MG-ADL score in treatment responders based on overall data from each arm up to Week 12 for placebo and Week 192 for zilucoplan based on the RAISE trial extension; non-responders assumed to return to baseline scores)</w:t>
            </w:r>
          </w:p>
        </w:tc>
      </w:tr>
      <w:bookmarkEnd w:id="89"/>
      <w:tr w:rsidR="00506EB9" w:rsidRPr="00906ED7" w14:paraId="54EA61B2" w14:textId="77777777" w:rsidTr="00080CC7">
        <w:trPr>
          <w:trHeight w:val="113"/>
        </w:trPr>
        <w:tc>
          <w:tcPr>
            <w:tcW w:w="5670" w:type="dxa"/>
            <w:tcMar>
              <w:top w:w="0" w:type="dxa"/>
              <w:left w:w="28" w:type="dxa"/>
              <w:bottom w:w="0" w:type="dxa"/>
              <w:right w:w="28" w:type="dxa"/>
            </w:tcMar>
          </w:tcPr>
          <w:p w14:paraId="4AB32788" w14:textId="77777777" w:rsidR="00A90559" w:rsidRPr="00906ED7" w:rsidRDefault="00A90559" w:rsidP="003663C0">
            <w:pPr>
              <w:pStyle w:val="Tabletext0"/>
              <w:keepNext/>
              <w:rPr>
                <w:szCs w:val="20"/>
              </w:rPr>
            </w:pPr>
            <w:r w:rsidRPr="00906ED7">
              <w:rPr>
                <w:szCs w:val="20"/>
              </w:rPr>
              <w:t>Use MG-ADL data from RCT period only</w:t>
            </w:r>
          </w:p>
        </w:tc>
        <w:tc>
          <w:tcPr>
            <w:tcW w:w="851" w:type="dxa"/>
            <w:tcMar>
              <w:top w:w="0" w:type="dxa"/>
              <w:left w:w="28" w:type="dxa"/>
              <w:bottom w:w="0" w:type="dxa"/>
              <w:right w:w="28" w:type="dxa"/>
            </w:tcMar>
            <w:vAlign w:val="center"/>
          </w:tcPr>
          <w:p w14:paraId="56005DA1" w14:textId="4F24A4AB" w:rsidR="00A90559" w:rsidRPr="00906ED7" w:rsidRDefault="00A90559" w:rsidP="003663C0">
            <w:pPr>
              <w:pStyle w:val="Tabletext0"/>
              <w:keepNext/>
              <w:jc w:val="center"/>
              <w:rPr>
                <w:szCs w:val="20"/>
              </w:rPr>
            </w:pPr>
            <w:r w:rsidRPr="00906ED7">
              <w:rPr>
                <w:szCs w:val="20"/>
              </w:rPr>
              <w:t>$</w:t>
            </w:r>
            <w:r w:rsidR="0069051D" w:rsidRPr="0069051D">
              <w:rPr>
                <w:color w:val="000000"/>
                <w:spacing w:val="114"/>
                <w:szCs w:val="20"/>
                <w:shd w:val="solid" w:color="000000" w:fill="000000"/>
                <w:fitText w:val="200" w:id="-893204464"/>
                <w14:textFill>
                  <w14:solidFill>
                    <w14:srgbClr w14:val="000000">
                      <w14:alpha w14:val="100000"/>
                    </w14:srgbClr>
                  </w14:solidFill>
                </w14:textFill>
              </w:rPr>
              <w:t>|</w:t>
            </w:r>
            <w:r w:rsidR="0069051D" w:rsidRPr="0069051D">
              <w:rPr>
                <w:color w:val="000000"/>
                <w:spacing w:val="1"/>
                <w:szCs w:val="20"/>
                <w:shd w:val="solid" w:color="000000" w:fill="000000"/>
                <w:fitText w:val="200" w:id="-893204464"/>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6714BF6E" w14:textId="77777777" w:rsidR="00A90559" w:rsidRPr="00906ED7" w:rsidRDefault="00A90559" w:rsidP="003663C0">
            <w:pPr>
              <w:pStyle w:val="Tabletext0"/>
              <w:keepNext/>
              <w:jc w:val="center"/>
              <w:rPr>
                <w:szCs w:val="20"/>
              </w:rPr>
            </w:pPr>
            <w:r w:rsidRPr="00906ED7">
              <w:rPr>
                <w:szCs w:val="20"/>
              </w:rPr>
              <w:t>0.6232</w:t>
            </w:r>
          </w:p>
        </w:tc>
        <w:tc>
          <w:tcPr>
            <w:tcW w:w="850" w:type="dxa"/>
            <w:tcMar>
              <w:top w:w="0" w:type="dxa"/>
              <w:left w:w="28" w:type="dxa"/>
              <w:bottom w:w="0" w:type="dxa"/>
              <w:right w:w="28" w:type="dxa"/>
            </w:tcMar>
            <w:vAlign w:val="center"/>
          </w:tcPr>
          <w:p w14:paraId="2200C5EA" w14:textId="08A1671B" w:rsidR="00A90559" w:rsidRPr="00906ED7" w:rsidRDefault="00A90559" w:rsidP="003663C0">
            <w:pPr>
              <w:pStyle w:val="Tabletext0"/>
              <w:keepNext/>
              <w:jc w:val="center"/>
              <w:rPr>
                <w:szCs w:val="20"/>
              </w:rPr>
            </w:pPr>
            <w:r w:rsidRPr="00906ED7">
              <w:rPr>
                <w:szCs w:val="20"/>
              </w:rPr>
              <w:t>$</w:t>
            </w:r>
            <w:r w:rsidR="0069051D" w:rsidRPr="0069051D">
              <w:rPr>
                <w:color w:val="000000"/>
                <w:spacing w:val="154"/>
                <w:szCs w:val="20"/>
                <w:shd w:val="solid" w:color="000000" w:fill="000000"/>
                <w:fitText w:val="240" w:id="-893204480"/>
                <w14:textFill>
                  <w14:solidFill>
                    <w14:srgbClr w14:val="000000">
                      <w14:alpha w14:val="100000"/>
                    </w14:srgbClr>
                  </w14:solidFill>
                </w14:textFill>
              </w:rPr>
              <w:t>|</w:t>
            </w:r>
            <w:r w:rsidR="0069051D" w:rsidRPr="0069051D">
              <w:rPr>
                <w:color w:val="000000"/>
                <w:spacing w:val="1"/>
                <w:szCs w:val="20"/>
                <w:shd w:val="solid" w:color="000000" w:fill="000000"/>
                <w:fitText w:val="240" w:id="-893204480"/>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1</w:t>
            </w:r>
          </w:p>
        </w:tc>
        <w:tc>
          <w:tcPr>
            <w:tcW w:w="949" w:type="dxa"/>
            <w:tcMar>
              <w:left w:w="28" w:type="dxa"/>
              <w:right w:w="28" w:type="dxa"/>
            </w:tcMar>
            <w:vAlign w:val="center"/>
          </w:tcPr>
          <w:p w14:paraId="12B56B84" w14:textId="50EBF62E" w:rsidR="00A90559" w:rsidRPr="00906ED7" w:rsidRDefault="00A90559" w:rsidP="003663C0">
            <w:pPr>
              <w:pStyle w:val="Tabletext0"/>
              <w:keepNext/>
              <w:jc w:val="center"/>
            </w:pPr>
            <w:r w:rsidRPr="00906ED7">
              <w:rPr>
                <w:szCs w:val="20"/>
              </w:rPr>
              <w:t>+</w:t>
            </w:r>
            <w:r w:rsidR="0069051D" w:rsidRPr="0069051D">
              <w:rPr>
                <w:color w:val="000000"/>
                <w:spacing w:val="46"/>
                <w:szCs w:val="20"/>
                <w:shd w:val="solid" w:color="000000" w:fill="000000"/>
                <w:fitText w:val="220" w:id="-893204479"/>
                <w14:textFill>
                  <w14:solidFill>
                    <w14:srgbClr w14:val="000000">
                      <w14:alpha w14:val="100000"/>
                    </w14:srgbClr>
                  </w14:solidFill>
                </w14:textFill>
              </w:rPr>
              <w:t>||</w:t>
            </w:r>
            <w:r w:rsidR="0069051D" w:rsidRPr="0069051D">
              <w:rPr>
                <w:color w:val="000000"/>
                <w:spacing w:val="1"/>
                <w:szCs w:val="20"/>
                <w:shd w:val="solid" w:color="000000" w:fill="000000"/>
                <w:fitText w:val="220" w:id="-893204479"/>
                <w14:textFill>
                  <w14:solidFill>
                    <w14:srgbClr w14:val="000000">
                      <w14:alpha w14:val="100000"/>
                    </w14:srgbClr>
                  </w14:solidFill>
                </w14:textFill>
              </w:rPr>
              <w:t>|</w:t>
            </w:r>
            <w:r w:rsidRPr="00906ED7">
              <w:rPr>
                <w:szCs w:val="20"/>
              </w:rPr>
              <w:t>%</w:t>
            </w:r>
          </w:p>
        </w:tc>
      </w:tr>
      <w:tr w:rsidR="00506EB9" w:rsidRPr="00906ED7" w14:paraId="147875DD" w14:textId="77777777" w:rsidTr="00080CC7">
        <w:trPr>
          <w:trHeight w:val="113"/>
        </w:trPr>
        <w:tc>
          <w:tcPr>
            <w:tcW w:w="5670" w:type="dxa"/>
            <w:tcMar>
              <w:top w:w="0" w:type="dxa"/>
              <w:left w:w="28" w:type="dxa"/>
              <w:bottom w:w="0" w:type="dxa"/>
              <w:right w:w="28" w:type="dxa"/>
            </w:tcMar>
          </w:tcPr>
          <w:p w14:paraId="3EB2D317" w14:textId="77777777" w:rsidR="00A90559" w:rsidRPr="00906ED7" w:rsidRDefault="00A90559" w:rsidP="003663C0">
            <w:pPr>
              <w:pStyle w:val="Tabletext0"/>
              <w:keepNext/>
              <w:rPr>
                <w:szCs w:val="20"/>
              </w:rPr>
            </w:pPr>
            <w:r w:rsidRPr="00906ED7">
              <w:rPr>
                <w:szCs w:val="20"/>
              </w:rPr>
              <w:t xml:space="preserve">Only use responder MG-ADL data for treatment responders during the RCT period </w:t>
            </w:r>
          </w:p>
        </w:tc>
        <w:tc>
          <w:tcPr>
            <w:tcW w:w="851" w:type="dxa"/>
            <w:tcMar>
              <w:top w:w="0" w:type="dxa"/>
              <w:left w:w="28" w:type="dxa"/>
              <w:bottom w:w="0" w:type="dxa"/>
              <w:right w:w="28" w:type="dxa"/>
            </w:tcMar>
            <w:vAlign w:val="center"/>
          </w:tcPr>
          <w:p w14:paraId="6D58E2A2" w14:textId="2F9C35C3" w:rsidR="00A90559" w:rsidRPr="00906ED7" w:rsidRDefault="00A90559" w:rsidP="003663C0">
            <w:pPr>
              <w:pStyle w:val="Tabletext0"/>
              <w:keepNext/>
              <w:jc w:val="center"/>
              <w:rPr>
                <w:szCs w:val="20"/>
              </w:rPr>
            </w:pPr>
            <w:r w:rsidRPr="00906ED7">
              <w:rPr>
                <w:szCs w:val="20"/>
              </w:rPr>
              <w:t>$</w:t>
            </w:r>
            <w:r w:rsidR="0069051D" w:rsidRPr="0069051D">
              <w:rPr>
                <w:color w:val="000000"/>
                <w:spacing w:val="114"/>
                <w:szCs w:val="20"/>
                <w:shd w:val="solid" w:color="000000" w:fill="000000"/>
                <w:fitText w:val="200" w:id="-893204478"/>
                <w14:textFill>
                  <w14:solidFill>
                    <w14:srgbClr w14:val="000000">
                      <w14:alpha w14:val="100000"/>
                    </w14:srgbClr>
                  </w14:solidFill>
                </w14:textFill>
              </w:rPr>
              <w:t>|</w:t>
            </w:r>
            <w:r w:rsidR="0069051D" w:rsidRPr="0069051D">
              <w:rPr>
                <w:color w:val="000000"/>
                <w:spacing w:val="1"/>
                <w:szCs w:val="20"/>
                <w:shd w:val="solid" w:color="000000" w:fill="000000"/>
                <w:fitText w:val="200" w:id="-893204478"/>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05FB536C" w14:textId="77777777" w:rsidR="00A90559" w:rsidRPr="00906ED7" w:rsidRDefault="00A90559" w:rsidP="003663C0">
            <w:pPr>
              <w:pStyle w:val="Tabletext0"/>
              <w:keepNext/>
              <w:jc w:val="center"/>
              <w:rPr>
                <w:szCs w:val="20"/>
              </w:rPr>
            </w:pPr>
            <w:r w:rsidRPr="00906ED7">
              <w:rPr>
                <w:szCs w:val="20"/>
              </w:rPr>
              <w:t>0.7334</w:t>
            </w:r>
          </w:p>
        </w:tc>
        <w:tc>
          <w:tcPr>
            <w:tcW w:w="850" w:type="dxa"/>
            <w:tcMar>
              <w:top w:w="0" w:type="dxa"/>
              <w:left w:w="28" w:type="dxa"/>
              <w:bottom w:w="0" w:type="dxa"/>
              <w:right w:w="28" w:type="dxa"/>
            </w:tcMar>
            <w:vAlign w:val="center"/>
          </w:tcPr>
          <w:p w14:paraId="15BBFF5F" w14:textId="61F34235" w:rsidR="00A90559" w:rsidRPr="00906ED7" w:rsidRDefault="00A90559" w:rsidP="003663C0">
            <w:pPr>
              <w:pStyle w:val="Tabletext0"/>
              <w:keepNext/>
              <w:jc w:val="center"/>
              <w:rPr>
                <w:szCs w:val="20"/>
              </w:rPr>
            </w:pPr>
            <w:r w:rsidRPr="00906ED7">
              <w:rPr>
                <w:szCs w:val="20"/>
              </w:rPr>
              <w:t>$</w:t>
            </w:r>
            <w:r w:rsidR="0069051D" w:rsidRPr="0069051D">
              <w:rPr>
                <w:color w:val="000000"/>
                <w:spacing w:val="154"/>
                <w:szCs w:val="20"/>
                <w:shd w:val="solid" w:color="000000" w:fill="000000"/>
                <w:fitText w:val="240" w:id="-893204477"/>
                <w14:textFill>
                  <w14:solidFill>
                    <w14:srgbClr w14:val="000000">
                      <w14:alpha w14:val="100000"/>
                    </w14:srgbClr>
                  </w14:solidFill>
                </w14:textFill>
              </w:rPr>
              <w:t>|</w:t>
            </w:r>
            <w:r w:rsidR="0069051D" w:rsidRPr="0069051D">
              <w:rPr>
                <w:color w:val="000000"/>
                <w:spacing w:val="1"/>
                <w:szCs w:val="20"/>
                <w:shd w:val="solid" w:color="000000" w:fill="000000"/>
                <w:fitText w:val="240" w:id="-893204477"/>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1</w:t>
            </w:r>
          </w:p>
        </w:tc>
        <w:tc>
          <w:tcPr>
            <w:tcW w:w="949" w:type="dxa"/>
            <w:tcMar>
              <w:left w:w="28" w:type="dxa"/>
              <w:right w:w="28" w:type="dxa"/>
            </w:tcMar>
            <w:vAlign w:val="center"/>
          </w:tcPr>
          <w:p w14:paraId="6840AEA2" w14:textId="7C280034" w:rsidR="00A90559" w:rsidRPr="00906ED7" w:rsidRDefault="00A90559" w:rsidP="003663C0">
            <w:pPr>
              <w:pStyle w:val="Tabletext0"/>
              <w:keepNext/>
              <w:jc w:val="center"/>
              <w:rPr>
                <w:szCs w:val="20"/>
              </w:rPr>
            </w:pPr>
            <w:r w:rsidRPr="00906ED7">
              <w:rPr>
                <w:szCs w:val="20"/>
              </w:rPr>
              <w:t>+</w:t>
            </w:r>
            <w:r w:rsidR="0069051D" w:rsidRPr="0069051D">
              <w:rPr>
                <w:color w:val="000000"/>
                <w:spacing w:val="46"/>
                <w:szCs w:val="20"/>
                <w:shd w:val="solid" w:color="000000" w:fill="000000"/>
                <w:fitText w:val="220" w:id="-893204476"/>
                <w14:textFill>
                  <w14:solidFill>
                    <w14:srgbClr w14:val="000000">
                      <w14:alpha w14:val="100000"/>
                    </w14:srgbClr>
                  </w14:solidFill>
                </w14:textFill>
              </w:rPr>
              <w:t>||</w:t>
            </w:r>
            <w:r w:rsidR="0069051D" w:rsidRPr="0069051D">
              <w:rPr>
                <w:color w:val="000000"/>
                <w:spacing w:val="1"/>
                <w:szCs w:val="20"/>
                <w:shd w:val="solid" w:color="000000" w:fill="000000"/>
                <w:fitText w:val="220" w:id="-893204476"/>
                <w14:textFill>
                  <w14:solidFill>
                    <w14:srgbClr w14:val="000000">
                      <w14:alpha w14:val="100000"/>
                    </w14:srgbClr>
                  </w14:solidFill>
                </w14:textFill>
              </w:rPr>
              <w:t>|</w:t>
            </w:r>
            <w:r w:rsidRPr="00906ED7">
              <w:rPr>
                <w:szCs w:val="20"/>
              </w:rPr>
              <w:t>%</w:t>
            </w:r>
          </w:p>
        </w:tc>
      </w:tr>
      <w:tr w:rsidR="00506EB9" w:rsidRPr="00906ED7" w14:paraId="0CFCDFFE" w14:textId="77777777" w:rsidTr="00080CC7">
        <w:trPr>
          <w:trHeight w:val="113"/>
        </w:trPr>
        <w:tc>
          <w:tcPr>
            <w:tcW w:w="5670" w:type="dxa"/>
            <w:tcMar>
              <w:top w:w="0" w:type="dxa"/>
              <w:left w:w="28" w:type="dxa"/>
              <w:bottom w:w="0" w:type="dxa"/>
              <w:right w:w="28" w:type="dxa"/>
            </w:tcMar>
          </w:tcPr>
          <w:p w14:paraId="6C4E602C" w14:textId="360834F0" w:rsidR="00A90559" w:rsidRPr="00906ED7" w:rsidRDefault="00BB0E8D" w:rsidP="003663C0">
            <w:pPr>
              <w:pStyle w:val="Tabletext0"/>
              <w:rPr>
                <w:szCs w:val="20"/>
              </w:rPr>
            </w:pPr>
            <w:r>
              <w:rPr>
                <w:b/>
                <w:bCs/>
                <w:szCs w:val="20"/>
              </w:rPr>
              <w:t xml:space="preserve">#1 </w:t>
            </w:r>
            <w:r w:rsidR="00A90559" w:rsidRPr="00906ED7">
              <w:rPr>
                <w:szCs w:val="20"/>
              </w:rPr>
              <w:t>Assume zilucoplan and placebo responders have the same change in MG-ADL scores over time</w:t>
            </w:r>
          </w:p>
        </w:tc>
        <w:tc>
          <w:tcPr>
            <w:tcW w:w="851" w:type="dxa"/>
            <w:tcMar>
              <w:top w:w="0" w:type="dxa"/>
              <w:left w:w="28" w:type="dxa"/>
              <w:bottom w:w="0" w:type="dxa"/>
              <w:right w:w="28" w:type="dxa"/>
            </w:tcMar>
            <w:vAlign w:val="center"/>
          </w:tcPr>
          <w:p w14:paraId="15CC5D5E" w14:textId="0DADF4C5"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475"/>
                <w14:textFill>
                  <w14:solidFill>
                    <w14:srgbClr w14:val="000000">
                      <w14:alpha w14:val="100000"/>
                    </w14:srgbClr>
                  </w14:solidFill>
                </w14:textFill>
              </w:rPr>
              <w:t>|</w:t>
            </w:r>
            <w:r w:rsidR="0069051D" w:rsidRPr="0069051D">
              <w:rPr>
                <w:color w:val="000000"/>
                <w:spacing w:val="1"/>
                <w:szCs w:val="20"/>
                <w:shd w:val="solid" w:color="000000" w:fill="000000"/>
                <w:fitText w:val="200" w:id="-893204475"/>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5C26897B" w14:textId="77777777" w:rsidR="00A90559" w:rsidRPr="00906ED7" w:rsidRDefault="00A90559" w:rsidP="003663C0">
            <w:pPr>
              <w:pStyle w:val="Tabletext0"/>
              <w:jc w:val="center"/>
              <w:rPr>
                <w:szCs w:val="20"/>
              </w:rPr>
            </w:pPr>
            <w:r w:rsidRPr="00906ED7">
              <w:rPr>
                <w:szCs w:val="20"/>
              </w:rPr>
              <w:t>0.6941</w:t>
            </w:r>
          </w:p>
        </w:tc>
        <w:tc>
          <w:tcPr>
            <w:tcW w:w="850" w:type="dxa"/>
            <w:tcMar>
              <w:top w:w="0" w:type="dxa"/>
              <w:left w:w="28" w:type="dxa"/>
              <w:bottom w:w="0" w:type="dxa"/>
              <w:right w:w="28" w:type="dxa"/>
            </w:tcMar>
            <w:vAlign w:val="center"/>
          </w:tcPr>
          <w:p w14:paraId="4D752593" w14:textId="52D9CE01"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474"/>
                <w14:textFill>
                  <w14:solidFill>
                    <w14:srgbClr w14:val="000000">
                      <w14:alpha w14:val="100000"/>
                    </w14:srgbClr>
                  </w14:solidFill>
                </w14:textFill>
              </w:rPr>
              <w:t>|</w:t>
            </w:r>
            <w:r w:rsidR="0069051D" w:rsidRPr="0069051D">
              <w:rPr>
                <w:color w:val="000000"/>
                <w:spacing w:val="1"/>
                <w:szCs w:val="20"/>
                <w:shd w:val="solid" w:color="000000" w:fill="000000"/>
                <w:fitText w:val="240" w:id="-893204474"/>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1</w:t>
            </w:r>
          </w:p>
        </w:tc>
        <w:tc>
          <w:tcPr>
            <w:tcW w:w="949" w:type="dxa"/>
            <w:tcMar>
              <w:left w:w="28" w:type="dxa"/>
              <w:right w:w="28" w:type="dxa"/>
            </w:tcMar>
            <w:vAlign w:val="center"/>
          </w:tcPr>
          <w:p w14:paraId="222F55D7" w14:textId="56943C19"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473"/>
                <w14:textFill>
                  <w14:solidFill>
                    <w14:srgbClr w14:val="000000">
                      <w14:alpha w14:val="100000"/>
                    </w14:srgbClr>
                  </w14:solidFill>
                </w14:textFill>
              </w:rPr>
              <w:t>||</w:t>
            </w:r>
            <w:r w:rsidR="0069051D" w:rsidRPr="0069051D">
              <w:rPr>
                <w:color w:val="000000"/>
                <w:spacing w:val="1"/>
                <w:szCs w:val="20"/>
                <w:shd w:val="solid" w:color="000000" w:fill="000000"/>
                <w:fitText w:val="220" w:id="-893204473"/>
                <w14:textFill>
                  <w14:solidFill>
                    <w14:srgbClr w14:val="000000">
                      <w14:alpha w14:val="100000"/>
                    </w14:srgbClr>
                  </w14:solidFill>
                </w14:textFill>
              </w:rPr>
              <w:t>|</w:t>
            </w:r>
            <w:r w:rsidRPr="00906ED7">
              <w:rPr>
                <w:szCs w:val="20"/>
              </w:rPr>
              <w:t>%</w:t>
            </w:r>
          </w:p>
        </w:tc>
      </w:tr>
      <w:tr w:rsidR="00A90559" w:rsidRPr="00906ED7" w14:paraId="48C3508B" w14:textId="77777777" w:rsidTr="003663C0">
        <w:trPr>
          <w:trHeight w:val="113"/>
        </w:trPr>
        <w:tc>
          <w:tcPr>
            <w:tcW w:w="9029" w:type="dxa"/>
            <w:gridSpan w:val="5"/>
            <w:tcMar>
              <w:top w:w="0" w:type="dxa"/>
              <w:left w:w="28" w:type="dxa"/>
              <w:bottom w:w="0" w:type="dxa"/>
              <w:right w:w="28" w:type="dxa"/>
            </w:tcMar>
            <w:vAlign w:val="center"/>
          </w:tcPr>
          <w:p w14:paraId="5C29C04E" w14:textId="77777777" w:rsidR="00A90559" w:rsidRPr="00906ED7" w:rsidRDefault="00A90559" w:rsidP="003663C0">
            <w:pPr>
              <w:pStyle w:val="Tabletext0"/>
              <w:rPr>
                <w:b/>
                <w:bCs/>
                <w:szCs w:val="20"/>
              </w:rPr>
            </w:pPr>
            <w:r w:rsidRPr="00906ED7">
              <w:rPr>
                <w:b/>
                <w:bCs/>
                <w:szCs w:val="20"/>
              </w:rPr>
              <w:t>Treatment discontinuation rates (base case: all non-responders discontinue therapy at 16 weeks, 51.8% of patients who experience an exacerbation in the first 16 weeks will discontinue therapy and 100% of patients who experience an exacerbation will discontinue therapy after 16 weeks; all patients experiencing a myasthenic crisis event will discontinue therapy)</w:t>
            </w:r>
          </w:p>
        </w:tc>
      </w:tr>
      <w:tr w:rsidR="00506EB9" w:rsidRPr="00906ED7" w14:paraId="24B50DA9" w14:textId="77777777" w:rsidTr="00080CC7">
        <w:trPr>
          <w:trHeight w:val="113"/>
        </w:trPr>
        <w:tc>
          <w:tcPr>
            <w:tcW w:w="5670" w:type="dxa"/>
            <w:tcMar>
              <w:top w:w="0" w:type="dxa"/>
              <w:left w:w="28" w:type="dxa"/>
              <w:bottom w:w="0" w:type="dxa"/>
              <w:right w:w="28" w:type="dxa"/>
            </w:tcMar>
            <w:vAlign w:val="center"/>
          </w:tcPr>
          <w:p w14:paraId="07F5C708" w14:textId="77777777" w:rsidR="00A90559" w:rsidRPr="00906ED7" w:rsidRDefault="00A90559" w:rsidP="003663C0">
            <w:pPr>
              <w:pStyle w:val="Tabletext0"/>
              <w:rPr>
                <w:szCs w:val="20"/>
              </w:rPr>
            </w:pPr>
            <w:r w:rsidRPr="00906ED7">
              <w:rPr>
                <w:szCs w:val="20"/>
              </w:rPr>
              <w:t>Include trial-based discontinuation rates for duration of model (0.59% per cycle)</w:t>
            </w:r>
          </w:p>
        </w:tc>
        <w:tc>
          <w:tcPr>
            <w:tcW w:w="851" w:type="dxa"/>
            <w:tcMar>
              <w:top w:w="0" w:type="dxa"/>
              <w:left w:w="28" w:type="dxa"/>
              <w:bottom w:w="0" w:type="dxa"/>
              <w:right w:w="28" w:type="dxa"/>
            </w:tcMar>
            <w:vAlign w:val="center"/>
          </w:tcPr>
          <w:p w14:paraId="7AE12BE9" w14:textId="587324E6"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472"/>
                <w14:textFill>
                  <w14:solidFill>
                    <w14:srgbClr w14:val="000000">
                      <w14:alpha w14:val="100000"/>
                    </w14:srgbClr>
                  </w14:solidFill>
                </w14:textFill>
              </w:rPr>
              <w:t>|</w:t>
            </w:r>
            <w:r w:rsidR="0069051D" w:rsidRPr="0069051D">
              <w:rPr>
                <w:color w:val="000000"/>
                <w:spacing w:val="1"/>
                <w:szCs w:val="20"/>
                <w:shd w:val="solid" w:color="000000" w:fill="000000"/>
                <w:fitText w:val="200" w:id="-893204472"/>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2B5E77B7" w14:textId="77777777" w:rsidR="00A90559" w:rsidRPr="00906ED7" w:rsidRDefault="00A90559" w:rsidP="003663C0">
            <w:pPr>
              <w:pStyle w:val="Tabletext0"/>
              <w:jc w:val="center"/>
              <w:rPr>
                <w:szCs w:val="20"/>
              </w:rPr>
            </w:pPr>
            <w:r w:rsidRPr="00906ED7">
              <w:rPr>
                <w:szCs w:val="20"/>
              </w:rPr>
              <w:t>0.4634</w:t>
            </w:r>
          </w:p>
        </w:tc>
        <w:tc>
          <w:tcPr>
            <w:tcW w:w="850" w:type="dxa"/>
            <w:tcMar>
              <w:top w:w="0" w:type="dxa"/>
              <w:left w:w="28" w:type="dxa"/>
              <w:bottom w:w="0" w:type="dxa"/>
              <w:right w:w="28" w:type="dxa"/>
            </w:tcMar>
            <w:vAlign w:val="center"/>
          </w:tcPr>
          <w:p w14:paraId="62237AE0" w14:textId="1EE0D3DB"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471"/>
                <w14:textFill>
                  <w14:solidFill>
                    <w14:srgbClr w14:val="000000">
                      <w14:alpha w14:val="100000"/>
                    </w14:srgbClr>
                  </w14:solidFill>
                </w14:textFill>
              </w:rPr>
              <w:t>|</w:t>
            </w:r>
            <w:r w:rsidR="0069051D" w:rsidRPr="0069051D">
              <w:rPr>
                <w:color w:val="000000"/>
                <w:spacing w:val="1"/>
                <w:szCs w:val="20"/>
                <w:shd w:val="solid" w:color="000000" w:fill="000000"/>
                <w:fitText w:val="240" w:id="-893204471"/>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1</w:t>
            </w:r>
          </w:p>
        </w:tc>
        <w:tc>
          <w:tcPr>
            <w:tcW w:w="949" w:type="dxa"/>
            <w:tcMar>
              <w:left w:w="28" w:type="dxa"/>
              <w:right w:w="28" w:type="dxa"/>
            </w:tcMar>
            <w:vAlign w:val="center"/>
          </w:tcPr>
          <w:p w14:paraId="062DC396" w14:textId="0B29A32D"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470"/>
                <w14:textFill>
                  <w14:solidFill>
                    <w14:srgbClr w14:val="000000">
                      <w14:alpha w14:val="100000"/>
                    </w14:srgbClr>
                  </w14:solidFill>
                </w14:textFill>
              </w:rPr>
              <w:t>||</w:t>
            </w:r>
            <w:r w:rsidR="0069051D" w:rsidRPr="0069051D">
              <w:rPr>
                <w:color w:val="000000"/>
                <w:spacing w:val="1"/>
                <w:szCs w:val="20"/>
                <w:shd w:val="solid" w:color="000000" w:fill="000000"/>
                <w:fitText w:val="220" w:id="-893204470"/>
                <w14:textFill>
                  <w14:solidFill>
                    <w14:srgbClr w14:val="000000">
                      <w14:alpha w14:val="100000"/>
                    </w14:srgbClr>
                  </w14:solidFill>
                </w14:textFill>
              </w:rPr>
              <w:t>|</w:t>
            </w:r>
            <w:r w:rsidRPr="00906ED7">
              <w:rPr>
                <w:szCs w:val="20"/>
              </w:rPr>
              <w:t>%</w:t>
            </w:r>
          </w:p>
        </w:tc>
      </w:tr>
      <w:tr w:rsidR="00506EB9" w:rsidRPr="00906ED7" w14:paraId="4FC91661" w14:textId="77777777" w:rsidTr="00080CC7">
        <w:trPr>
          <w:trHeight w:val="113"/>
        </w:trPr>
        <w:tc>
          <w:tcPr>
            <w:tcW w:w="5670" w:type="dxa"/>
            <w:tcMar>
              <w:top w:w="0" w:type="dxa"/>
              <w:left w:w="28" w:type="dxa"/>
              <w:bottom w:w="0" w:type="dxa"/>
              <w:right w:w="28" w:type="dxa"/>
            </w:tcMar>
            <w:vAlign w:val="center"/>
          </w:tcPr>
          <w:p w14:paraId="50D9E0C3" w14:textId="563E8B8C" w:rsidR="00476E6B" w:rsidRPr="00476E6B" w:rsidRDefault="00A90559" w:rsidP="003663C0">
            <w:pPr>
              <w:pStyle w:val="Tabletext0"/>
              <w:rPr>
                <w:i/>
                <w:iCs/>
                <w:szCs w:val="20"/>
              </w:rPr>
            </w:pPr>
            <w:r w:rsidRPr="00476E6B">
              <w:rPr>
                <w:szCs w:val="20"/>
              </w:rPr>
              <w:t>De-link discontinuations from exacerbations</w:t>
            </w:r>
            <w:r w:rsidRPr="00476E6B">
              <w:rPr>
                <w:szCs w:val="20"/>
                <w:vertAlign w:val="superscript"/>
              </w:rPr>
              <w:t>a</w:t>
            </w:r>
            <w:r w:rsidR="00476E6B" w:rsidRPr="00476E6B">
              <w:rPr>
                <w:szCs w:val="20"/>
              </w:rPr>
              <w:t xml:space="preserve"> </w:t>
            </w:r>
            <w:r w:rsidR="00476E6B" w:rsidRPr="00476E6B">
              <w:rPr>
                <w:i/>
                <w:iCs/>
                <w:szCs w:val="20"/>
              </w:rPr>
              <w:t>i.e. all patients remain on treatment following an exacerbation or crisis event</w:t>
            </w:r>
          </w:p>
        </w:tc>
        <w:tc>
          <w:tcPr>
            <w:tcW w:w="851" w:type="dxa"/>
            <w:tcMar>
              <w:top w:w="0" w:type="dxa"/>
              <w:left w:w="28" w:type="dxa"/>
              <w:bottom w:w="0" w:type="dxa"/>
              <w:right w:w="28" w:type="dxa"/>
            </w:tcMar>
            <w:vAlign w:val="center"/>
          </w:tcPr>
          <w:p w14:paraId="519086E9" w14:textId="4E60841C" w:rsidR="00A90559" w:rsidRPr="00476E6B" w:rsidRDefault="00A90559" w:rsidP="003663C0">
            <w:pPr>
              <w:pStyle w:val="Tabletext0"/>
              <w:jc w:val="center"/>
              <w:rPr>
                <w:szCs w:val="20"/>
              </w:rPr>
            </w:pPr>
            <w:r w:rsidRPr="00476E6B">
              <w:rPr>
                <w:szCs w:val="20"/>
              </w:rPr>
              <w:t>$</w:t>
            </w:r>
            <w:r w:rsidR="0069051D" w:rsidRPr="0069051D">
              <w:rPr>
                <w:color w:val="000000"/>
                <w:spacing w:val="114"/>
                <w:szCs w:val="20"/>
                <w:shd w:val="solid" w:color="000000" w:fill="000000"/>
                <w:fitText w:val="200" w:id="-893204469"/>
                <w14:textFill>
                  <w14:solidFill>
                    <w14:srgbClr w14:val="000000">
                      <w14:alpha w14:val="100000"/>
                    </w14:srgbClr>
                  </w14:solidFill>
                </w14:textFill>
              </w:rPr>
              <w:t>|</w:t>
            </w:r>
            <w:r w:rsidR="0069051D" w:rsidRPr="0069051D">
              <w:rPr>
                <w:color w:val="000000"/>
                <w:spacing w:val="1"/>
                <w:szCs w:val="20"/>
                <w:shd w:val="solid" w:color="000000" w:fill="000000"/>
                <w:fitText w:val="200" w:id="-893204469"/>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30946BF7" w14:textId="77777777" w:rsidR="00A90559" w:rsidRPr="00476E6B" w:rsidRDefault="00A90559" w:rsidP="003663C0">
            <w:pPr>
              <w:pStyle w:val="Tabletext0"/>
              <w:jc w:val="center"/>
              <w:rPr>
                <w:szCs w:val="20"/>
              </w:rPr>
            </w:pPr>
            <w:r w:rsidRPr="00476E6B">
              <w:rPr>
                <w:szCs w:val="20"/>
              </w:rPr>
              <w:t>0.9675</w:t>
            </w:r>
          </w:p>
        </w:tc>
        <w:tc>
          <w:tcPr>
            <w:tcW w:w="850" w:type="dxa"/>
            <w:tcMar>
              <w:top w:w="0" w:type="dxa"/>
              <w:left w:w="28" w:type="dxa"/>
              <w:bottom w:w="0" w:type="dxa"/>
              <w:right w:w="28" w:type="dxa"/>
            </w:tcMar>
            <w:vAlign w:val="center"/>
          </w:tcPr>
          <w:p w14:paraId="48FEBBF8" w14:textId="69042E8B" w:rsidR="00A90559" w:rsidRPr="00476E6B" w:rsidRDefault="00A90559" w:rsidP="003663C0">
            <w:pPr>
              <w:pStyle w:val="Tabletext0"/>
              <w:jc w:val="center"/>
              <w:rPr>
                <w:szCs w:val="20"/>
              </w:rPr>
            </w:pPr>
            <w:r w:rsidRPr="00476E6B">
              <w:rPr>
                <w:szCs w:val="20"/>
              </w:rPr>
              <w:t>$</w:t>
            </w:r>
            <w:r w:rsidR="0069051D" w:rsidRPr="0069051D">
              <w:rPr>
                <w:color w:val="000000"/>
                <w:spacing w:val="154"/>
                <w:szCs w:val="20"/>
                <w:shd w:val="solid" w:color="000000" w:fill="000000"/>
                <w:fitText w:val="240" w:id="-893204468"/>
                <w14:textFill>
                  <w14:solidFill>
                    <w14:srgbClr w14:val="000000">
                      <w14:alpha w14:val="100000"/>
                    </w14:srgbClr>
                  </w14:solidFill>
                </w14:textFill>
              </w:rPr>
              <w:t>|</w:t>
            </w:r>
            <w:r w:rsidR="0069051D" w:rsidRPr="0069051D">
              <w:rPr>
                <w:color w:val="000000"/>
                <w:spacing w:val="1"/>
                <w:szCs w:val="20"/>
                <w:shd w:val="solid" w:color="000000" w:fill="000000"/>
                <w:fitText w:val="240" w:id="-893204468"/>
                <w14:textFill>
                  <w14:solidFill>
                    <w14:srgbClr w14:val="000000">
                      <w14:alpha w14:val="100000"/>
                    </w14:srgbClr>
                  </w14:solidFill>
                </w14:textFill>
              </w:rPr>
              <w:t>|</w:t>
            </w:r>
            <w:r w:rsidR="00E41377" w:rsidRPr="008B5889">
              <w:rPr>
                <w:b/>
                <w:bCs/>
                <w:szCs w:val="20"/>
                <w:vertAlign w:val="superscript"/>
              </w:rPr>
              <w:t xml:space="preserve"> </w:t>
            </w:r>
            <w:r w:rsidR="00E41377">
              <w:rPr>
                <w:b/>
                <w:bCs/>
                <w:szCs w:val="20"/>
                <w:vertAlign w:val="superscript"/>
              </w:rPr>
              <w:t>3</w:t>
            </w:r>
          </w:p>
        </w:tc>
        <w:tc>
          <w:tcPr>
            <w:tcW w:w="949" w:type="dxa"/>
            <w:tcMar>
              <w:left w:w="28" w:type="dxa"/>
              <w:right w:w="28" w:type="dxa"/>
            </w:tcMar>
            <w:vAlign w:val="center"/>
          </w:tcPr>
          <w:p w14:paraId="6F7DFFBE" w14:textId="16895F76" w:rsidR="00A90559" w:rsidRPr="00476E6B" w:rsidRDefault="00A90559" w:rsidP="003663C0">
            <w:pPr>
              <w:pStyle w:val="Tabletext0"/>
              <w:jc w:val="center"/>
              <w:rPr>
                <w:szCs w:val="20"/>
              </w:rPr>
            </w:pPr>
            <w:r w:rsidRPr="00476E6B">
              <w:rPr>
                <w:szCs w:val="20"/>
              </w:rPr>
              <w:t>+</w:t>
            </w:r>
            <w:r w:rsidR="0069051D" w:rsidRPr="0069051D">
              <w:rPr>
                <w:color w:val="000000"/>
                <w:spacing w:val="46"/>
                <w:szCs w:val="20"/>
                <w:shd w:val="solid" w:color="000000" w:fill="000000"/>
                <w:fitText w:val="220" w:id="-893204467"/>
                <w14:textFill>
                  <w14:solidFill>
                    <w14:srgbClr w14:val="000000">
                      <w14:alpha w14:val="100000"/>
                    </w14:srgbClr>
                  </w14:solidFill>
                </w14:textFill>
              </w:rPr>
              <w:t>||</w:t>
            </w:r>
            <w:r w:rsidR="0069051D" w:rsidRPr="0069051D">
              <w:rPr>
                <w:color w:val="000000"/>
                <w:spacing w:val="1"/>
                <w:szCs w:val="20"/>
                <w:shd w:val="solid" w:color="000000" w:fill="000000"/>
                <w:fitText w:val="220" w:id="-893204467"/>
                <w14:textFill>
                  <w14:solidFill>
                    <w14:srgbClr w14:val="000000">
                      <w14:alpha w14:val="100000"/>
                    </w14:srgbClr>
                  </w14:solidFill>
                </w14:textFill>
              </w:rPr>
              <w:t>|</w:t>
            </w:r>
            <w:r w:rsidRPr="00476E6B">
              <w:rPr>
                <w:szCs w:val="20"/>
              </w:rPr>
              <w:t>%</w:t>
            </w:r>
          </w:p>
        </w:tc>
      </w:tr>
      <w:tr w:rsidR="00A90559" w:rsidRPr="00906ED7" w14:paraId="0C6724D1" w14:textId="77777777" w:rsidTr="003663C0">
        <w:trPr>
          <w:trHeight w:val="113"/>
        </w:trPr>
        <w:tc>
          <w:tcPr>
            <w:tcW w:w="9029" w:type="dxa"/>
            <w:gridSpan w:val="5"/>
            <w:tcMar>
              <w:top w:w="0" w:type="dxa"/>
              <w:left w:w="28" w:type="dxa"/>
              <w:bottom w:w="0" w:type="dxa"/>
              <w:right w:w="28" w:type="dxa"/>
            </w:tcMar>
            <w:vAlign w:val="center"/>
          </w:tcPr>
          <w:p w14:paraId="706C78E7" w14:textId="77777777" w:rsidR="00A90559" w:rsidRPr="00476E6B" w:rsidRDefault="00A90559" w:rsidP="003663C0">
            <w:pPr>
              <w:pStyle w:val="Tabletext0"/>
              <w:rPr>
                <w:b/>
                <w:bCs/>
                <w:szCs w:val="20"/>
              </w:rPr>
            </w:pPr>
            <w:r w:rsidRPr="00476E6B">
              <w:rPr>
                <w:b/>
                <w:bCs/>
                <w:szCs w:val="20"/>
              </w:rPr>
              <w:t>Exacerbation/myasthenic crisis events (base case: rate of events in responders/non-responders based on Abuzinadah 2021 for any exacerbation event; zilucoplan treatment effect estimated based on rescue medication use in the RAISE trial)</w:t>
            </w:r>
          </w:p>
        </w:tc>
      </w:tr>
      <w:tr w:rsidR="00506EB9" w:rsidRPr="00906ED7" w14:paraId="06DABE01" w14:textId="77777777" w:rsidTr="00080CC7">
        <w:trPr>
          <w:trHeight w:val="113"/>
        </w:trPr>
        <w:tc>
          <w:tcPr>
            <w:tcW w:w="5670" w:type="dxa"/>
            <w:tcMar>
              <w:top w:w="0" w:type="dxa"/>
              <w:left w:w="28" w:type="dxa"/>
              <w:bottom w:w="0" w:type="dxa"/>
              <w:right w:w="28" w:type="dxa"/>
            </w:tcMar>
            <w:vAlign w:val="center"/>
          </w:tcPr>
          <w:p w14:paraId="6BFC12CE" w14:textId="77777777" w:rsidR="00A90559" w:rsidRPr="00906ED7" w:rsidRDefault="00A90559" w:rsidP="003663C0">
            <w:pPr>
              <w:pStyle w:val="Tabletext0"/>
              <w:rPr>
                <w:szCs w:val="20"/>
              </w:rPr>
            </w:pPr>
            <w:r w:rsidRPr="00906ED7">
              <w:rPr>
                <w:szCs w:val="20"/>
              </w:rPr>
              <w:t xml:space="preserve">Based on moderate-to-severe exacerbation events (0.122 events in non-responders using same multipliers as base case for response and treatment effects) </w:t>
            </w:r>
          </w:p>
        </w:tc>
        <w:tc>
          <w:tcPr>
            <w:tcW w:w="851" w:type="dxa"/>
            <w:tcMar>
              <w:top w:w="0" w:type="dxa"/>
              <w:left w:w="28" w:type="dxa"/>
              <w:bottom w:w="0" w:type="dxa"/>
              <w:right w:w="28" w:type="dxa"/>
            </w:tcMar>
            <w:vAlign w:val="center"/>
          </w:tcPr>
          <w:p w14:paraId="406A6179" w14:textId="6EB9D222"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466"/>
                <w14:textFill>
                  <w14:solidFill>
                    <w14:srgbClr w14:val="000000">
                      <w14:alpha w14:val="100000"/>
                    </w14:srgbClr>
                  </w14:solidFill>
                </w14:textFill>
              </w:rPr>
              <w:t>|</w:t>
            </w:r>
            <w:r w:rsidR="0069051D" w:rsidRPr="0069051D">
              <w:rPr>
                <w:color w:val="000000"/>
                <w:spacing w:val="1"/>
                <w:szCs w:val="20"/>
                <w:shd w:val="solid" w:color="000000" w:fill="000000"/>
                <w:fitText w:val="200" w:id="-893204466"/>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4C2A2384" w14:textId="77777777" w:rsidR="00A90559" w:rsidRPr="00906ED7" w:rsidRDefault="00A90559" w:rsidP="003663C0">
            <w:pPr>
              <w:pStyle w:val="Tabletext0"/>
              <w:jc w:val="center"/>
              <w:rPr>
                <w:szCs w:val="20"/>
              </w:rPr>
            </w:pPr>
            <w:r w:rsidRPr="00906ED7">
              <w:rPr>
                <w:szCs w:val="20"/>
              </w:rPr>
              <w:t>0.9336</w:t>
            </w:r>
          </w:p>
        </w:tc>
        <w:tc>
          <w:tcPr>
            <w:tcW w:w="850" w:type="dxa"/>
            <w:tcMar>
              <w:top w:w="0" w:type="dxa"/>
              <w:left w:w="28" w:type="dxa"/>
              <w:bottom w:w="0" w:type="dxa"/>
              <w:right w:w="28" w:type="dxa"/>
            </w:tcMar>
            <w:vAlign w:val="center"/>
          </w:tcPr>
          <w:p w14:paraId="07A16083" w14:textId="34272870"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465"/>
                <w14:textFill>
                  <w14:solidFill>
                    <w14:srgbClr w14:val="000000">
                      <w14:alpha w14:val="100000"/>
                    </w14:srgbClr>
                  </w14:solidFill>
                </w14:textFill>
              </w:rPr>
              <w:t>|</w:t>
            </w:r>
            <w:r w:rsidR="0069051D" w:rsidRPr="0069051D">
              <w:rPr>
                <w:color w:val="000000"/>
                <w:spacing w:val="1"/>
                <w:szCs w:val="20"/>
                <w:shd w:val="solid" w:color="000000" w:fill="000000"/>
                <w:fitText w:val="240" w:id="-893204465"/>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1</w:t>
            </w:r>
          </w:p>
        </w:tc>
        <w:tc>
          <w:tcPr>
            <w:tcW w:w="949" w:type="dxa"/>
            <w:tcMar>
              <w:left w:w="28" w:type="dxa"/>
              <w:right w:w="28" w:type="dxa"/>
            </w:tcMar>
            <w:vAlign w:val="center"/>
          </w:tcPr>
          <w:p w14:paraId="55004819" w14:textId="01CA349A"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464"/>
                <w14:textFill>
                  <w14:solidFill>
                    <w14:srgbClr w14:val="000000">
                      <w14:alpha w14:val="100000"/>
                    </w14:srgbClr>
                  </w14:solidFill>
                </w14:textFill>
              </w:rPr>
              <w:t>||</w:t>
            </w:r>
            <w:r w:rsidR="0069051D" w:rsidRPr="0069051D">
              <w:rPr>
                <w:color w:val="000000"/>
                <w:spacing w:val="1"/>
                <w:szCs w:val="20"/>
                <w:shd w:val="solid" w:color="000000" w:fill="000000"/>
                <w:fitText w:val="220" w:id="-893204464"/>
                <w14:textFill>
                  <w14:solidFill>
                    <w14:srgbClr w14:val="000000">
                      <w14:alpha w14:val="100000"/>
                    </w14:srgbClr>
                  </w14:solidFill>
                </w14:textFill>
              </w:rPr>
              <w:t>|</w:t>
            </w:r>
            <w:r w:rsidRPr="00906ED7">
              <w:rPr>
                <w:szCs w:val="20"/>
              </w:rPr>
              <w:t>%</w:t>
            </w:r>
          </w:p>
        </w:tc>
      </w:tr>
      <w:tr w:rsidR="00506EB9" w:rsidRPr="00906ED7" w14:paraId="672DB786" w14:textId="77777777" w:rsidTr="00080CC7">
        <w:trPr>
          <w:trHeight w:val="113"/>
        </w:trPr>
        <w:tc>
          <w:tcPr>
            <w:tcW w:w="5670" w:type="dxa"/>
            <w:tcMar>
              <w:top w:w="0" w:type="dxa"/>
              <w:left w:w="28" w:type="dxa"/>
              <w:bottom w:w="0" w:type="dxa"/>
              <w:right w:w="28" w:type="dxa"/>
            </w:tcMar>
            <w:vAlign w:val="center"/>
          </w:tcPr>
          <w:p w14:paraId="33F91296" w14:textId="77777777" w:rsidR="00A90559" w:rsidRPr="00906ED7" w:rsidRDefault="00A90559" w:rsidP="003663C0">
            <w:pPr>
              <w:pStyle w:val="Tabletext0"/>
              <w:rPr>
                <w:szCs w:val="20"/>
              </w:rPr>
            </w:pPr>
            <w:r w:rsidRPr="00906ED7">
              <w:rPr>
                <w:szCs w:val="20"/>
              </w:rPr>
              <w:t>Assume no difference in responders/non-responders (based on non-responder value)</w:t>
            </w:r>
          </w:p>
        </w:tc>
        <w:tc>
          <w:tcPr>
            <w:tcW w:w="851" w:type="dxa"/>
            <w:tcMar>
              <w:top w:w="0" w:type="dxa"/>
              <w:left w:w="28" w:type="dxa"/>
              <w:bottom w:w="0" w:type="dxa"/>
              <w:right w:w="28" w:type="dxa"/>
            </w:tcMar>
            <w:vAlign w:val="center"/>
          </w:tcPr>
          <w:p w14:paraId="754AD2DD" w14:textId="62E80398"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480"/>
                <w14:textFill>
                  <w14:solidFill>
                    <w14:srgbClr w14:val="000000">
                      <w14:alpha w14:val="100000"/>
                    </w14:srgbClr>
                  </w14:solidFill>
                </w14:textFill>
              </w:rPr>
              <w:t>|</w:t>
            </w:r>
            <w:r w:rsidR="0069051D" w:rsidRPr="0069051D">
              <w:rPr>
                <w:color w:val="000000"/>
                <w:spacing w:val="1"/>
                <w:szCs w:val="20"/>
                <w:shd w:val="solid" w:color="000000" w:fill="000000"/>
                <w:fitText w:val="200" w:id="-893204480"/>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52886856" w14:textId="77777777" w:rsidR="00A90559" w:rsidRPr="00906ED7" w:rsidRDefault="00A90559" w:rsidP="003663C0">
            <w:pPr>
              <w:pStyle w:val="Tabletext0"/>
              <w:jc w:val="center"/>
              <w:rPr>
                <w:szCs w:val="20"/>
              </w:rPr>
            </w:pPr>
            <w:r w:rsidRPr="00906ED7">
              <w:rPr>
                <w:szCs w:val="20"/>
              </w:rPr>
              <w:t>0.4763</w:t>
            </w:r>
          </w:p>
        </w:tc>
        <w:tc>
          <w:tcPr>
            <w:tcW w:w="850" w:type="dxa"/>
            <w:tcMar>
              <w:top w:w="0" w:type="dxa"/>
              <w:left w:w="28" w:type="dxa"/>
              <w:bottom w:w="0" w:type="dxa"/>
              <w:right w:w="28" w:type="dxa"/>
            </w:tcMar>
            <w:vAlign w:val="center"/>
          </w:tcPr>
          <w:p w14:paraId="5617956A" w14:textId="5ADA0A47"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479"/>
                <w14:textFill>
                  <w14:solidFill>
                    <w14:srgbClr w14:val="000000">
                      <w14:alpha w14:val="100000"/>
                    </w14:srgbClr>
                  </w14:solidFill>
                </w14:textFill>
              </w:rPr>
              <w:t>|</w:t>
            </w:r>
            <w:r w:rsidR="0069051D" w:rsidRPr="0069051D">
              <w:rPr>
                <w:color w:val="000000"/>
                <w:spacing w:val="1"/>
                <w:szCs w:val="20"/>
                <w:shd w:val="solid" w:color="000000" w:fill="000000"/>
                <w:fitText w:val="240" w:id="-893204479"/>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1</w:t>
            </w:r>
          </w:p>
        </w:tc>
        <w:tc>
          <w:tcPr>
            <w:tcW w:w="949" w:type="dxa"/>
            <w:tcMar>
              <w:left w:w="28" w:type="dxa"/>
              <w:right w:w="28" w:type="dxa"/>
            </w:tcMar>
            <w:vAlign w:val="center"/>
          </w:tcPr>
          <w:p w14:paraId="61CBEC1B" w14:textId="0D923D5A"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478"/>
                <w14:textFill>
                  <w14:solidFill>
                    <w14:srgbClr w14:val="000000">
                      <w14:alpha w14:val="100000"/>
                    </w14:srgbClr>
                  </w14:solidFill>
                </w14:textFill>
              </w:rPr>
              <w:t>|</w:t>
            </w:r>
            <w:r w:rsidR="0069051D" w:rsidRPr="0069051D">
              <w:rPr>
                <w:color w:val="000000"/>
                <w:spacing w:val="1"/>
                <w:szCs w:val="20"/>
                <w:shd w:val="solid" w:color="000000" w:fill="000000"/>
                <w:fitText w:val="200" w:id="-893204478"/>
                <w14:textFill>
                  <w14:solidFill>
                    <w14:srgbClr w14:val="000000">
                      <w14:alpha w14:val="100000"/>
                    </w14:srgbClr>
                  </w14:solidFill>
                </w14:textFill>
              </w:rPr>
              <w:t>|</w:t>
            </w:r>
            <w:r w:rsidRPr="00906ED7">
              <w:rPr>
                <w:szCs w:val="20"/>
              </w:rPr>
              <w:t>%</w:t>
            </w:r>
          </w:p>
        </w:tc>
      </w:tr>
      <w:tr w:rsidR="00506EB9" w:rsidRPr="00906ED7" w14:paraId="7987DE8E" w14:textId="77777777" w:rsidTr="00080CC7">
        <w:trPr>
          <w:trHeight w:val="113"/>
        </w:trPr>
        <w:tc>
          <w:tcPr>
            <w:tcW w:w="5670" w:type="dxa"/>
            <w:tcMar>
              <w:top w:w="0" w:type="dxa"/>
              <w:left w:w="28" w:type="dxa"/>
              <w:bottom w:w="0" w:type="dxa"/>
              <w:right w:w="28" w:type="dxa"/>
            </w:tcMar>
            <w:vAlign w:val="center"/>
          </w:tcPr>
          <w:p w14:paraId="5FE68936" w14:textId="77777777" w:rsidR="00A90559" w:rsidRPr="00906ED7" w:rsidRDefault="00A90559" w:rsidP="003663C0">
            <w:pPr>
              <w:pStyle w:val="Tabletext0"/>
              <w:rPr>
                <w:szCs w:val="20"/>
              </w:rPr>
            </w:pPr>
            <w:r w:rsidRPr="00906ED7">
              <w:rPr>
                <w:szCs w:val="20"/>
              </w:rPr>
              <w:t>Assume no difference in responders/non-responders (based on responder value)</w:t>
            </w:r>
          </w:p>
        </w:tc>
        <w:tc>
          <w:tcPr>
            <w:tcW w:w="851" w:type="dxa"/>
            <w:tcMar>
              <w:top w:w="0" w:type="dxa"/>
              <w:left w:w="28" w:type="dxa"/>
              <w:bottom w:w="0" w:type="dxa"/>
              <w:right w:w="28" w:type="dxa"/>
            </w:tcMar>
            <w:vAlign w:val="center"/>
          </w:tcPr>
          <w:p w14:paraId="2A2ACE49" w14:textId="712DC823"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477"/>
                <w14:textFill>
                  <w14:solidFill>
                    <w14:srgbClr w14:val="000000">
                      <w14:alpha w14:val="100000"/>
                    </w14:srgbClr>
                  </w14:solidFill>
                </w14:textFill>
              </w:rPr>
              <w:t>|</w:t>
            </w:r>
            <w:r w:rsidR="0069051D" w:rsidRPr="0069051D">
              <w:rPr>
                <w:color w:val="000000"/>
                <w:spacing w:val="1"/>
                <w:szCs w:val="20"/>
                <w:shd w:val="solid" w:color="000000" w:fill="000000"/>
                <w:fitText w:val="200" w:id="-893204477"/>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47388F0D" w14:textId="77777777" w:rsidR="00A90559" w:rsidRPr="00906ED7" w:rsidRDefault="00A90559" w:rsidP="003663C0">
            <w:pPr>
              <w:pStyle w:val="Tabletext0"/>
              <w:jc w:val="center"/>
              <w:rPr>
                <w:szCs w:val="20"/>
              </w:rPr>
            </w:pPr>
            <w:r w:rsidRPr="00906ED7">
              <w:rPr>
                <w:szCs w:val="20"/>
              </w:rPr>
              <w:t>0.8059</w:t>
            </w:r>
          </w:p>
        </w:tc>
        <w:tc>
          <w:tcPr>
            <w:tcW w:w="850" w:type="dxa"/>
            <w:tcMar>
              <w:top w:w="0" w:type="dxa"/>
              <w:left w:w="28" w:type="dxa"/>
              <w:bottom w:w="0" w:type="dxa"/>
              <w:right w:w="28" w:type="dxa"/>
            </w:tcMar>
            <w:vAlign w:val="center"/>
          </w:tcPr>
          <w:p w14:paraId="5FD4B8F7" w14:textId="70BD0E79"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476"/>
                <w14:textFill>
                  <w14:solidFill>
                    <w14:srgbClr w14:val="000000">
                      <w14:alpha w14:val="100000"/>
                    </w14:srgbClr>
                  </w14:solidFill>
                </w14:textFill>
              </w:rPr>
              <w:t>|</w:t>
            </w:r>
            <w:r w:rsidR="0069051D" w:rsidRPr="0069051D">
              <w:rPr>
                <w:color w:val="000000"/>
                <w:spacing w:val="1"/>
                <w:szCs w:val="20"/>
                <w:shd w:val="solid" w:color="000000" w:fill="000000"/>
                <w:fitText w:val="240" w:id="-893204476"/>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1</w:t>
            </w:r>
          </w:p>
        </w:tc>
        <w:tc>
          <w:tcPr>
            <w:tcW w:w="949" w:type="dxa"/>
            <w:tcMar>
              <w:left w:w="28" w:type="dxa"/>
              <w:right w:w="28" w:type="dxa"/>
            </w:tcMar>
            <w:vAlign w:val="center"/>
          </w:tcPr>
          <w:p w14:paraId="7EC8D45D" w14:textId="618ECCDF"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475"/>
                <w14:textFill>
                  <w14:solidFill>
                    <w14:srgbClr w14:val="000000">
                      <w14:alpha w14:val="100000"/>
                    </w14:srgbClr>
                  </w14:solidFill>
                </w14:textFill>
              </w:rPr>
              <w:t>||</w:t>
            </w:r>
            <w:r w:rsidR="0069051D" w:rsidRPr="0069051D">
              <w:rPr>
                <w:color w:val="000000"/>
                <w:spacing w:val="1"/>
                <w:szCs w:val="20"/>
                <w:shd w:val="solid" w:color="000000" w:fill="000000"/>
                <w:fitText w:val="220" w:id="-893204475"/>
                <w14:textFill>
                  <w14:solidFill>
                    <w14:srgbClr w14:val="000000">
                      <w14:alpha w14:val="100000"/>
                    </w14:srgbClr>
                  </w14:solidFill>
                </w14:textFill>
              </w:rPr>
              <w:t>|</w:t>
            </w:r>
            <w:r w:rsidRPr="00906ED7">
              <w:rPr>
                <w:szCs w:val="20"/>
              </w:rPr>
              <w:t>%</w:t>
            </w:r>
          </w:p>
        </w:tc>
      </w:tr>
      <w:tr w:rsidR="00506EB9" w:rsidRPr="00906ED7" w14:paraId="2FED2A42" w14:textId="77777777" w:rsidTr="00080CC7">
        <w:trPr>
          <w:trHeight w:val="113"/>
        </w:trPr>
        <w:tc>
          <w:tcPr>
            <w:tcW w:w="5670" w:type="dxa"/>
            <w:tcMar>
              <w:top w:w="0" w:type="dxa"/>
              <w:left w:w="28" w:type="dxa"/>
              <w:bottom w:w="0" w:type="dxa"/>
              <w:right w:w="28" w:type="dxa"/>
            </w:tcMar>
            <w:vAlign w:val="center"/>
          </w:tcPr>
          <w:p w14:paraId="6C71E7A4" w14:textId="56465014" w:rsidR="00A90559" w:rsidRPr="00906ED7" w:rsidRDefault="00A90559" w:rsidP="003663C0">
            <w:pPr>
              <w:pStyle w:val="Tabletext0"/>
              <w:rPr>
                <w:szCs w:val="20"/>
              </w:rPr>
            </w:pPr>
            <w:r w:rsidRPr="00906ED7">
              <w:rPr>
                <w:szCs w:val="20"/>
              </w:rPr>
              <w:t>Use lower bound of zilucoplan treatment effect (HR 0.12)</w:t>
            </w:r>
          </w:p>
        </w:tc>
        <w:tc>
          <w:tcPr>
            <w:tcW w:w="851" w:type="dxa"/>
            <w:tcMar>
              <w:top w:w="0" w:type="dxa"/>
              <w:left w:w="28" w:type="dxa"/>
              <w:bottom w:w="0" w:type="dxa"/>
              <w:right w:w="28" w:type="dxa"/>
            </w:tcMar>
            <w:vAlign w:val="center"/>
          </w:tcPr>
          <w:p w14:paraId="68D07ABB" w14:textId="76799618"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474"/>
                <w14:textFill>
                  <w14:solidFill>
                    <w14:srgbClr w14:val="000000">
                      <w14:alpha w14:val="100000"/>
                    </w14:srgbClr>
                  </w14:solidFill>
                </w14:textFill>
              </w:rPr>
              <w:t>|</w:t>
            </w:r>
            <w:r w:rsidR="0069051D" w:rsidRPr="0069051D">
              <w:rPr>
                <w:color w:val="000000"/>
                <w:spacing w:val="1"/>
                <w:szCs w:val="20"/>
                <w:shd w:val="solid" w:color="000000" w:fill="000000"/>
                <w:fitText w:val="200" w:id="-893204474"/>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21015764" w14:textId="77777777" w:rsidR="00A90559" w:rsidRPr="00906ED7" w:rsidRDefault="00A90559" w:rsidP="003663C0">
            <w:pPr>
              <w:pStyle w:val="Tabletext0"/>
              <w:jc w:val="center"/>
              <w:rPr>
                <w:szCs w:val="20"/>
              </w:rPr>
            </w:pPr>
            <w:r w:rsidRPr="00906ED7">
              <w:rPr>
                <w:szCs w:val="20"/>
              </w:rPr>
              <w:t>1.2099</w:t>
            </w:r>
          </w:p>
        </w:tc>
        <w:tc>
          <w:tcPr>
            <w:tcW w:w="850" w:type="dxa"/>
            <w:tcMar>
              <w:top w:w="0" w:type="dxa"/>
              <w:left w:w="28" w:type="dxa"/>
              <w:bottom w:w="0" w:type="dxa"/>
              <w:right w:w="28" w:type="dxa"/>
            </w:tcMar>
            <w:vAlign w:val="center"/>
          </w:tcPr>
          <w:p w14:paraId="4B8249AE" w14:textId="7AB07B1B"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473"/>
                <w14:textFill>
                  <w14:solidFill>
                    <w14:srgbClr w14:val="000000">
                      <w14:alpha w14:val="100000"/>
                    </w14:srgbClr>
                  </w14:solidFill>
                </w14:textFill>
              </w:rPr>
              <w:t>|</w:t>
            </w:r>
            <w:r w:rsidR="0069051D" w:rsidRPr="0069051D">
              <w:rPr>
                <w:color w:val="000000"/>
                <w:spacing w:val="1"/>
                <w:szCs w:val="20"/>
                <w:shd w:val="solid" w:color="000000" w:fill="000000"/>
                <w:fitText w:val="240" w:id="-893204473"/>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2</w:t>
            </w:r>
          </w:p>
        </w:tc>
        <w:tc>
          <w:tcPr>
            <w:tcW w:w="949" w:type="dxa"/>
            <w:tcMar>
              <w:left w:w="28" w:type="dxa"/>
              <w:right w:w="28" w:type="dxa"/>
            </w:tcMar>
            <w:vAlign w:val="center"/>
          </w:tcPr>
          <w:p w14:paraId="60517472" w14:textId="7C60A00F"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472"/>
                <w14:textFill>
                  <w14:solidFill>
                    <w14:srgbClr w14:val="000000">
                      <w14:alpha w14:val="100000"/>
                    </w14:srgbClr>
                  </w14:solidFill>
                </w14:textFill>
              </w:rPr>
              <w:t>|</w:t>
            </w:r>
            <w:r w:rsidR="0069051D" w:rsidRPr="0069051D">
              <w:rPr>
                <w:color w:val="000000"/>
                <w:spacing w:val="1"/>
                <w:szCs w:val="20"/>
                <w:shd w:val="solid" w:color="000000" w:fill="000000"/>
                <w:fitText w:val="200" w:id="-893204472"/>
                <w14:textFill>
                  <w14:solidFill>
                    <w14:srgbClr w14:val="000000">
                      <w14:alpha w14:val="100000"/>
                    </w14:srgbClr>
                  </w14:solidFill>
                </w14:textFill>
              </w:rPr>
              <w:t>|</w:t>
            </w:r>
            <w:r w:rsidRPr="00906ED7">
              <w:rPr>
                <w:szCs w:val="20"/>
              </w:rPr>
              <w:t>%</w:t>
            </w:r>
          </w:p>
        </w:tc>
      </w:tr>
      <w:tr w:rsidR="00506EB9" w:rsidRPr="00906ED7" w14:paraId="60462903" w14:textId="77777777" w:rsidTr="00080CC7">
        <w:trPr>
          <w:trHeight w:val="113"/>
        </w:trPr>
        <w:tc>
          <w:tcPr>
            <w:tcW w:w="5670" w:type="dxa"/>
            <w:tcMar>
              <w:top w:w="0" w:type="dxa"/>
              <w:left w:w="28" w:type="dxa"/>
              <w:bottom w:w="0" w:type="dxa"/>
              <w:right w:w="28" w:type="dxa"/>
            </w:tcMar>
            <w:vAlign w:val="center"/>
          </w:tcPr>
          <w:p w14:paraId="387AEE95" w14:textId="627AFA69" w:rsidR="00A90559" w:rsidRPr="00906ED7" w:rsidRDefault="00A90559" w:rsidP="003663C0">
            <w:pPr>
              <w:pStyle w:val="Tabletext0"/>
              <w:rPr>
                <w:szCs w:val="20"/>
              </w:rPr>
            </w:pPr>
            <w:r w:rsidRPr="00906ED7">
              <w:rPr>
                <w:szCs w:val="20"/>
              </w:rPr>
              <w:t>Use upper bound of zilucoplan treatment effect (HR 1.20)</w:t>
            </w:r>
          </w:p>
        </w:tc>
        <w:tc>
          <w:tcPr>
            <w:tcW w:w="851" w:type="dxa"/>
            <w:tcMar>
              <w:top w:w="0" w:type="dxa"/>
              <w:left w:w="28" w:type="dxa"/>
              <w:bottom w:w="0" w:type="dxa"/>
              <w:right w:w="28" w:type="dxa"/>
            </w:tcMar>
            <w:vAlign w:val="center"/>
          </w:tcPr>
          <w:p w14:paraId="5F1FA457" w14:textId="27484CEC"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224"/>
                <w14:textFill>
                  <w14:solidFill>
                    <w14:srgbClr w14:val="000000">
                      <w14:alpha w14:val="100000"/>
                    </w14:srgbClr>
                  </w14:solidFill>
                </w14:textFill>
              </w:rPr>
              <w:t>|</w:t>
            </w:r>
            <w:r w:rsidR="0069051D" w:rsidRPr="0069051D">
              <w:rPr>
                <w:color w:val="000000"/>
                <w:spacing w:val="1"/>
                <w:szCs w:val="20"/>
                <w:shd w:val="solid" w:color="000000" w:fill="000000"/>
                <w:fitText w:val="200" w:id="-893204224"/>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5BF0921E" w14:textId="77777777" w:rsidR="00A90559" w:rsidRPr="00906ED7" w:rsidRDefault="00A90559" w:rsidP="003663C0">
            <w:pPr>
              <w:pStyle w:val="Tabletext0"/>
              <w:jc w:val="center"/>
              <w:rPr>
                <w:szCs w:val="20"/>
              </w:rPr>
            </w:pPr>
            <w:r w:rsidRPr="00906ED7">
              <w:rPr>
                <w:szCs w:val="20"/>
              </w:rPr>
              <w:t>0.2996</w:t>
            </w:r>
          </w:p>
        </w:tc>
        <w:tc>
          <w:tcPr>
            <w:tcW w:w="850" w:type="dxa"/>
            <w:tcMar>
              <w:top w:w="0" w:type="dxa"/>
              <w:left w:w="28" w:type="dxa"/>
              <w:bottom w:w="0" w:type="dxa"/>
              <w:right w:w="28" w:type="dxa"/>
            </w:tcMar>
            <w:vAlign w:val="center"/>
          </w:tcPr>
          <w:p w14:paraId="3722740C" w14:textId="7F0F0884"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223"/>
                <w14:textFill>
                  <w14:solidFill>
                    <w14:srgbClr w14:val="000000">
                      <w14:alpha w14:val="100000"/>
                    </w14:srgbClr>
                  </w14:solidFill>
                </w14:textFill>
              </w:rPr>
              <w:t>|</w:t>
            </w:r>
            <w:r w:rsidR="0069051D" w:rsidRPr="0069051D">
              <w:rPr>
                <w:color w:val="000000"/>
                <w:spacing w:val="1"/>
                <w:szCs w:val="20"/>
                <w:shd w:val="solid" w:color="000000" w:fill="000000"/>
                <w:fitText w:val="240" w:id="-893204223"/>
                <w14:textFill>
                  <w14:solidFill>
                    <w14:srgbClr w14:val="000000">
                      <w14:alpha w14:val="100000"/>
                    </w14:srgbClr>
                  </w14:solidFill>
                </w14:textFill>
              </w:rPr>
              <w:t>|</w:t>
            </w:r>
            <w:r w:rsidR="00E41377" w:rsidRPr="008B5889">
              <w:rPr>
                <w:b/>
                <w:bCs/>
                <w:szCs w:val="20"/>
                <w:vertAlign w:val="superscript"/>
              </w:rPr>
              <w:t xml:space="preserve"> </w:t>
            </w:r>
            <w:r w:rsidR="00E41377">
              <w:rPr>
                <w:b/>
                <w:bCs/>
                <w:szCs w:val="20"/>
                <w:vertAlign w:val="superscript"/>
              </w:rPr>
              <w:t>4</w:t>
            </w:r>
          </w:p>
        </w:tc>
        <w:tc>
          <w:tcPr>
            <w:tcW w:w="949" w:type="dxa"/>
            <w:tcMar>
              <w:left w:w="28" w:type="dxa"/>
              <w:right w:w="28" w:type="dxa"/>
            </w:tcMar>
            <w:vAlign w:val="center"/>
          </w:tcPr>
          <w:p w14:paraId="3FCAC075" w14:textId="7836D798"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222"/>
                <w14:textFill>
                  <w14:solidFill>
                    <w14:srgbClr w14:val="000000">
                      <w14:alpha w14:val="100000"/>
                    </w14:srgbClr>
                  </w14:solidFill>
                </w14:textFill>
              </w:rPr>
              <w:t>||</w:t>
            </w:r>
            <w:r w:rsidR="0069051D" w:rsidRPr="0069051D">
              <w:rPr>
                <w:color w:val="000000"/>
                <w:spacing w:val="1"/>
                <w:szCs w:val="20"/>
                <w:shd w:val="solid" w:color="000000" w:fill="000000"/>
                <w:fitText w:val="220" w:id="-893204222"/>
                <w14:textFill>
                  <w14:solidFill>
                    <w14:srgbClr w14:val="000000">
                      <w14:alpha w14:val="100000"/>
                    </w14:srgbClr>
                  </w14:solidFill>
                </w14:textFill>
              </w:rPr>
              <w:t>|</w:t>
            </w:r>
            <w:r w:rsidRPr="00906ED7">
              <w:rPr>
                <w:szCs w:val="20"/>
              </w:rPr>
              <w:t>%</w:t>
            </w:r>
          </w:p>
        </w:tc>
      </w:tr>
      <w:tr w:rsidR="00506EB9" w:rsidRPr="00906ED7" w14:paraId="571B5111" w14:textId="77777777" w:rsidTr="00080CC7">
        <w:trPr>
          <w:trHeight w:val="113"/>
        </w:trPr>
        <w:tc>
          <w:tcPr>
            <w:tcW w:w="5670" w:type="dxa"/>
            <w:tcMar>
              <w:top w:w="0" w:type="dxa"/>
              <w:left w:w="28" w:type="dxa"/>
              <w:bottom w:w="0" w:type="dxa"/>
              <w:right w:w="28" w:type="dxa"/>
            </w:tcMar>
            <w:vAlign w:val="center"/>
          </w:tcPr>
          <w:p w14:paraId="7EA03021" w14:textId="77777777" w:rsidR="00A90559" w:rsidRPr="00906ED7" w:rsidRDefault="00A90559" w:rsidP="003663C0">
            <w:pPr>
              <w:pStyle w:val="Tabletext0"/>
              <w:rPr>
                <w:szCs w:val="20"/>
              </w:rPr>
            </w:pPr>
            <w:r w:rsidRPr="00906ED7">
              <w:rPr>
                <w:szCs w:val="20"/>
              </w:rPr>
              <w:t>Assume no difference between zilucoplan and placebo (HR 1.00)</w:t>
            </w:r>
          </w:p>
        </w:tc>
        <w:tc>
          <w:tcPr>
            <w:tcW w:w="851" w:type="dxa"/>
            <w:tcMar>
              <w:top w:w="0" w:type="dxa"/>
              <w:left w:w="28" w:type="dxa"/>
              <w:bottom w:w="0" w:type="dxa"/>
              <w:right w:w="28" w:type="dxa"/>
            </w:tcMar>
            <w:vAlign w:val="center"/>
          </w:tcPr>
          <w:p w14:paraId="62634C3C" w14:textId="2FAAB9E2"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221"/>
                <w14:textFill>
                  <w14:solidFill>
                    <w14:srgbClr w14:val="000000">
                      <w14:alpha w14:val="100000"/>
                    </w14:srgbClr>
                  </w14:solidFill>
                </w14:textFill>
              </w:rPr>
              <w:t>|</w:t>
            </w:r>
            <w:r w:rsidR="0069051D" w:rsidRPr="0069051D">
              <w:rPr>
                <w:color w:val="000000"/>
                <w:spacing w:val="1"/>
                <w:szCs w:val="20"/>
                <w:shd w:val="solid" w:color="000000" w:fill="000000"/>
                <w:fitText w:val="200" w:id="-893204221"/>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16708985" w14:textId="77777777" w:rsidR="00A90559" w:rsidRPr="00906ED7" w:rsidRDefault="00A90559" w:rsidP="003663C0">
            <w:pPr>
              <w:pStyle w:val="Tabletext0"/>
              <w:jc w:val="center"/>
              <w:rPr>
                <w:szCs w:val="20"/>
              </w:rPr>
            </w:pPr>
            <w:r w:rsidRPr="00906ED7">
              <w:rPr>
                <w:szCs w:val="20"/>
              </w:rPr>
              <w:t>0.3845</w:t>
            </w:r>
          </w:p>
        </w:tc>
        <w:tc>
          <w:tcPr>
            <w:tcW w:w="850" w:type="dxa"/>
            <w:tcMar>
              <w:top w:w="0" w:type="dxa"/>
              <w:left w:w="28" w:type="dxa"/>
              <w:bottom w:w="0" w:type="dxa"/>
              <w:right w:w="28" w:type="dxa"/>
            </w:tcMar>
            <w:vAlign w:val="center"/>
          </w:tcPr>
          <w:p w14:paraId="7658601F" w14:textId="190B31CE"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220"/>
                <w14:textFill>
                  <w14:solidFill>
                    <w14:srgbClr w14:val="000000">
                      <w14:alpha w14:val="100000"/>
                    </w14:srgbClr>
                  </w14:solidFill>
                </w14:textFill>
              </w:rPr>
              <w:t>|</w:t>
            </w:r>
            <w:r w:rsidR="0069051D" w:rsidRPr="0069051D">
              <w:rPr>
                <w:color w:val="000000"/>
                <w:spacing w:val="1"/>
                <w:szCs w:val="20"/>
                <w:shd w:val="solid" w:color="000000" w:fill="000000"/>
                <w:fitText w:val="240" w:id="-893204220"/>
                <w14:textFill>
                  <w14:solidFill>
                    <w14:srgbClr w14:val="000000">
                      <w14:alpha w14:val="100000"/>
                    </w14:srgbClr>
                  </w14:solidFill>
                </w14:textFill>
              </w:rPr>
              <w:t>|</w:t>
            </w:r>
            <w:r w:rsidR="00E41377" w:rsidRPr="008B5889">
              <w:rPr>
                <w:b/>
                <w:bCs/>
                <w:szCs w:val="20"/>
                <w:vertAlign w:val="superscript"/>
              </w:rPr>
              <w:t xml:space="preserve"> </w:t>
            </w:r>
            <w:r w:rsidR="00E41377">
              <w:rPr>
                <w:b/>
                <w:bCs/>
                <w:szCs w:val="20"/>
                <w:vertAlign w:val="superscript"/>
              </w:rPr>
              <w:t>3</w:t>
            </w:r>
          </w:p>
        </w:tc>
        <w:tc>
          <w:tcPr>
            <w:tcW w:w="949" w:type="dxa"/>
            <w:tcMar>
              <w:left w:w="28" w:type="dxa"/>
              <w:right w:w="28" w:type="dxa"/>
            </w:tcMar>
            <w:vAlign w:val="center"/>
          </w:tcPr>
          <w:p w14:paraId="376C76EE" w14:textId="2862CFA0"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219"/>
                <w14:textFill>
                  <w14:solidFill>
                    <w14:srgbClr w14:val="000000">
                      <w14:alpha w14:val="100000"/>
                    </w14:srgbClr>
                  </w14:solidFill>
                </w14:textFill>
              </w:rPr>
              <w:t>||</w:t>
            </w:r>
            <w:r w:rsidR="0069051D" w:rsidRPr="0069051D">
              <w:rPr>
                <w:color w:val="000000"/>
                <w:spacing w:val="1"/>
                <w:szCs w:val="20"/>
                <w:shd w:val="solid" w:color="000000" w:fill="000000"/>
                <w:fitText w:val="220" w:id="-893204219"/>
                <w14:textFill>
                  <w14:solidFill>
                    <w14:srgbClr w14:val="000000">
                      <w14:alpha w14:val="100000"/>
                    </w14:srgbClr>
                  </w14:solidFill>
                </w14:textFill>
              </w:rPr>
              <w:t>|</w:t>
            </w:r>
            <w:r w:rsidRPr="00906ED7">
              <w:rPr>
                <w:szCs w:val="20"/>
              </w:rPr>
              <w:t>%</w:t>
            </w:r>
          </w:p>
        </w:tc>
      </w:tr>
      <w:tr w:rsidR="00506EB9" w:rsidRPr="00906ED7" w14:paraId="46BA8E3D" w14:textId="77777777" w:rsidTr="00080CC7">
        <w:trPr>
          <w:trHeight w:val="113"/>
        </w:trPr>
        <w:tc>
          <w:tcPr>
            <w:tcW w:w="5670" w:type="dxa"/>
            <w:tcMar>
              <w:top w:w="0" w:type="dxa"/>
              <w:left w:w="28" w:type="dxa"/>
              <w:bottom w:w="0" w:type="dxa"/>
              <w:right w:w="28" w:type="dxa"/>
            </w:tcMar>
            <w:vAlign w:val="center"/>
          </w:tcPr>
          <w:p w14:paraId="4E01D364" w14:textId="77777777" w:rsidR="00A90559" w:rsidRPr="00906ED7" w:rsidRDefault="00A90559" w:rsidP="003663C0">
            <w:pPr>
              <w:pStyle w:val="Tabletext0"/>
              <w:rPr>
                <w:szCs w:val="20"/>
              </w:rPr>
            </w:pPr>
            <w:r w:rsidRPr="00906ED7">
              <w:rPr>
                <w:szCs w:val="20"/>
              </w:rPr>
              <w:t>Include myasthenic crisis events as a proportion of exacerbation events (subtract myasthenic crises events for exacerbation event estimates)</w:t>
            </w:r>
          </w:p>
        </w:tc>
        <w:tc>
          <w:tcPr>
            <w:tcW w:w="851" w:type="dxa"/>
            <w:tcMar>
              <w:top w:w="0" w:type="dxa"/>
              <w:left w:w="28" w:type="dxa"/>
              <w:bottom w:w="0" w:type="dxa"/>
              <w:right w:w="28" w:type="dxa"/>
            </w:tcMar>
            <w:vAlign w:val="center"/>
          </w:tcPr>
          <w:p w14:paraId="3717717B" w14:textId="700D0372"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218"/>
                <w14:textFill>
                  <w14:solidFill>
                    <w14:srgbClr w14:val="000000">
                      <w14:alpha w14:val="100000"/>
                    </w14:srgbClr>
                  </w14:solidFill>
                </w14:textFill>
              </w:rPr>
              <w:t>|</w:t>
            </w:r>
            <w:r w:rsidR="0069051D" w:rsidRPr="0069051D">
              <w:rPr>
                <w:color w:val="000000"/>
                <w:spacing w:val="1"/>
                <w:szCs w:val="20"/>
                <w:shd w:val="solid" w:color="000000" w:fill="000000"/>
                <w:fitText w:val="200" w:id="-893204218"/>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19694078" w14:textId="77777777" w:rsidR="00A90559" w:rsidRPr="00906ED7" w:rsidRDefault="00A90559" w:rsidP="003663C0">
            <w:pPr>
              <w:pStyle w:val="Tabletext0"/>
              <w:jc w:val="center"/>
              <w:rPr>
                <w:szCs w:val="20"/>
              </w:rPr>
            </w:pPr>
            <w:r w:rsidRPr="00906ED7">
              <w:rPr>
                <w:szCs w:val="20"/>
              </w:rPr>
              <w:t>0.8279</w:t>
            </w:r>
          </w:p>
        </w:tc>
        <w:tc>
          <w:tcPr>
            <w:tcW w:w="850" w:type="dxa"/>
            <w:tcMar>
              <w:top w:w="0" w:type="dxa"/>
              <w:left w:w="28" w:type="dxa"/>
              <w:bottom w:w="0" w:type="dxa"/>
              <w:right w:w="28" w:type="dxa"/>
            </w:tcMar>
            <w:vAlign w:val="center"/>
          </w:tcPr>
          <w:p w14:paraId="75DB0BB0" w14:textId="3DD2BAF3"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217"/>
                <w14:textFill>
                  <w14:solidFill>
                    <w14:srgbClr w14:val="000000">
                      <w14:alpha w14:val="100000"/>
                    </w14:srgbClr>
                  </w14:solidFill>
                </w14:textFill>
              </w:rPr>
              <w:t>|</w:t>
            </w:r>
            <w:r w:rsidR="0069051D" w:rsidRPr="0069051D">
              <w:rPr>
                <w:color w:val="000000"/>
                <w:spacing w:val="1"/>
                <w:szCs w:val="20"/>
                <w:shd w:val="solid" w:color="000000" w:fill="000000"/>
                <w:fitText w:val="240" w:id="-893204217"/>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1</w:t>
            </w:r>
          </w:p>
        </w:tc>
        <w:tc>
          <w:tcPr>
            <w:tcW w:w="949" w:type="dxa"/>
            <w:tcMar>
              <w:left w:w="28" w:type="dxa"/>
              <w:right w:w="28" w:type="dxa"/>
            </w:tcMar>
            <w:vAlign w:val="center"/>
          </w:tcPr>
          <w:p w14:paraId="6F5C65CE" w14:textId="085E7D14"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216"/>
                <w14:textFill>
                  <w14:solidFill>
                    <w14:srgbClr w14:val="000000">
                      <w14:alpha w14:val="100000"/>
                    </w14:srgbClr>
                  </w14:solidFill>
                </w14:textFill>
              </w:rPr>
              <w:t>||</w:t>
            </w:r>
            <w:r w:rsidR="0069051D" w:rsidRPr="0069051D">
              <w:rPr>
                <w:color w:val="000000"/>
                <w:spacing w:val="1"/>
                <w:szCs w:val="20"/>
                <w:shd w:val="solid" w:color="000000" w:fill="000000"/>
                <w:fitText w:val="220" w:id="-893204216"/>
                <w14:textFill>
                  <w14:solidFill>
                    <w14:srgbClr w14:val="000000">
                      <w14:alpha w14:val="100000"/>
                    </w14:srgbClr>
                  </w14:solidFill>
                </w14:textFill>
              </w:rPr>
              <w:t>|</w:t>
            </w:r>
            <w:r w:rsidRPr="00906ED7">
              <w:rPr>
                <w:szCs w:val="20"/>
              </w:rPr>
              <w:t>%</w:t>
            </w:r>
          </w:p>
        </w:tc>
      </w:tr>
      <w:tr w:rsidR="00506EB9" w:rsidRPr="00906ED7" w14:paraId="299882B8" w14:textId="77777777" w:rsidTr="00080CC7">
        <w:trPr>
          <w:trHeight w:val="113"/>
        </w:trPr>
        <w:tc>
          <w:tcPr>
            <w:tcW w:w="5670" w:type="dxa"/>
            <w:tcMar>
              <w:top w:w="0" w:type="dxa"/>
              <w:left w:w="28" w:type="dxa"/>
              <w:bottom w:w="0" w:type="dxa"/>
              <w:right w:w="28" w:type="dxa"/>
            </w:tcMar>
            <w:vAlign w:val="center"/>
          </w:tcPr>
          <w:p w14:paraId="7DEFA47B" w14:textId="77777777" w:rsidR="00A90559" w:rsidRPr="00906ED7" w:rsidRDefault="00A90559" w:rsidP="003663C0">
            <w:pPr>
              <w:pStyle w:val="Tabletext0"/>
              <w:rPr>
                <w:szCs w:val="20"/>
              </w:rPr>
            </w:pPr>
            <w:r w:rsidRPr="00906ED7">
              <w:rPr>
                <w:szCs w:val="20"/>
              </w:rPr>
              <w:t>No conversion of exacerbations into myasthenic crisis (zero the transition between states)</w:t>
            </w:r>
          </w:p>
        </w:tc>
        <w:tc>
          <w:tcPr>
            <w:tcW w:w="851" w:type="dxa"/>
            <w:tcMar>
              <w:top w:w="0" w:type="dxa"/>
              <w:left w:w="28" w:type="dxa"/>
              <w:bottom w:w="0" w:type="dxa"/>
              <w:right w:w="28" w:type="dxa"/>
            </w:tcMar>
            <w:vAlign w:val="center"/>
          </w:tcPr>
          <w:p w14:paraId="6D85F938" w14:textId="2CD5180F"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215"/>
                <w14:textFill>
                  <w14:solidFill>
                    <w14:srgbClr w14:val="000000">
                      <w14:alpha w14:val="100000"/>
                    </w14:srgbClr>
                  </w14:solidFill>
                </w14:textFill>
              </w:rPr>
              <w:t>|</w:t>
            </w:r>
            <w:r w:rsidR="0069051D" w:rsidRPr="0069051D">
              <w:rPr>
                <w:color w:val="000000"/>
                <w:spacing w:val="1"/>
                <w:szCs w:val="20"/>
                <w:shd w:val="solid" w:color="000000" w:fill="000000"/>
                <w:fitText w:val="200" w:id="-893204215"/>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47B6C0F8" w14:textId="77777777" w:rsidR="00A90559" w:rsidRPr="00906ED7" w:rsidRDefault="00A90559" w:rsidP="003663C0">
            <w:pPr>
              <w:pStyle w:val="Tabletext0"/>
              <w:jc w:val="center"/>
              <w:rPr>
                <w:szCs w:val="20"/>
              </w:rPr>
            </w:pPr>
            <w:r w:rsidRPr="00906ED7">
              <w:rPr>
                <w:szCs w:val="20"/>
              </w:rPr>
              <w:t>0.7994</w:t>
            </w:r>
          </w:p>
        </w:tc>
        <w:tc>
          <w:tcPr>
            <w:tcW w:w="850" w:type="dxa"/>
            <w:tcMar>
              <w:top w:w="0" w:type="dxa"/>
              <w:left w:w="28" w:type="dxa"/>
              <w:bottom w:w="0" w:type="dxa"/>
              <w:right w:w="28" w:type="dxa"/>
            </w:tcMar>
            <w:vAlign w:val="center"/>
          </w:tcPr>
          <w:p w14:paraId="4915CC06" w14:textId="6BA3F207" w:rsidR="00A90559" w:rsidRPr="00906ED7" w:rsidRDefault="00A90559" w:rsidP="003663C0">
            <w:pPr>
              <w:pStyle w:val="Tabletext0"/>
              <w:jc w:val="center"/>
              <w:rPr>
                <w:szCs w:val="20"/>
              </w:rPr>
            </w:pPr>
            <w:r w:rsidRPr="00906ED7">
              <w:rPr>
                <w:szCs w:val="20"/>
              </w:rPr>
              <w:t>$</w:t>
            </w:r>
            <w:r w:rsidR="0069051D" w:rsidRPr="0069051D">
              <w:rPr>
                <w:color w:val="000000"/>
                <w:spacing w:val="51"/>
                <w:szCs w:val="20"/>
                <w:shd w:val="solid" w:color="000000" w:fill="000000"/>
                <w:fitText w:val="230" w:id="-893204214"/>
                <w14:textFill>
                  <w14:solidFill>
                    <w14:srgbClr w14:val="000000">
                      <w14:alpha w14:val="100000"/>
                    </w14:srgbClr>
                  </w14:solidFill>
                </w14:textFill>
              </w:rPr>
              <w:t>||</w:t>
            </w:r>
            <w:r w:rsidR="0069051D" w:rsidRPr="0069051D">
              <w:rPr>
                <w:color w:val="000000"/>
                <w:spacing w:val="1"/>
                <w:szCs w:val="20"/>
                <w:shd w:val="solid" w:color="000000" w:fill="000000"/>
                <w:fitText w:val="230" w:id="-893204214"/>
                <w14:textFill>
                  <w14:solidFill>
                    <w14:srgbClr w14:val="000000">
                      <w14:alpha w14:val="100000"/>
                    </w14:srgbClr>
                  </w14:solidFill>
                </w14:textFill>
              </w:rPr>
              <w:t>|</w:t>
            </w:r>
            <w:r w:rsidR="00221503">
              <w:rPr>
                <w:b/>
                <w:bCs/>
                <w:szCs w:val="20"/>
                <w:vertAlign w:val="superscript"/>
              </w:rPr>
              <w:t>1</w:t>
            </w:r>
          </w:p>
        </w:tc>
        <w:tc>
          <w:tcPr>
            <w:tcW w:w="949" w:type="dxa"/>
            <w:tcMar>
              <w:left w:w="28" w:type="dxa"/>
              <w:right w:w="28" w:type="dxa"/>
            </w:tcMar>
            <w:vAlign w:val="center"/>
          </w:tcPr>
          <w:p w14:paraId="6440EB87" w14:textId="123C1952"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213"/>
                <w14:textFill>
                  <w14:solidFill>
                    <w14:srgbClr w14:val="000000">
                      <w14:alpha w14:val="100000"/>
                    </w14:srgbClr>
                  </w14:solidFill>
                </w14:textFill>
              </w:rPr>
              <w:t>||</w:t>
            </w:r>
            <w:r w:rsidR="0069051D" w:rsidRPr="0069051D">
              <w:rPr>
                <w:color w:val="000000"/>
                <w:spacing w:val="1"/>
                <w:szCs w:val="20"/>
                <w:shd w:val="solid" w:color="000000" w:fill="000000"/>
                <w:fitText w:val="220" w:id="-893204213"/>
                <w14:textFill>
                  <w14:solidFill>
                    <w14:srgbClr w14:val="000000">
                      <w14:alpha w14:val="100000"/>
                    </w14:srgbClr>
                  </w14:solidFill>
                </w14:textFill>
              </w:rPr>
              <w:t>|</w:t>
            </w:r>
            <w:r w:rsidRPr="00A42936">
              <w:rPr>
                <w:szCs w:val="20"/>
              </w:rPr>
              <w:t>%</w:t>
            </w:r>
          </w:p>
        </w:tc>
      </w:tr>
      <w:tr w:rsidR="00506EB9" w:rsidRPr="00906ED7" w14:paraId="185497E7" w14:textId="77777777" w:rsidTr="00080CC7">
        <w:trPr>
          <w:trHeight w:val="113"/>
        </w:trPr>
        <w:tc>
          <w:tcPr>
            <w:tcW w:w="5670" w:type="dxa"/>
            <w:tcMar>
              <w:top w:w="0" w:type="dxa"/>
              <w:left w:w="28" w:type="dxa"/>
              <w:bottom w:w="0" w:type="dxa"/>
              <w:right w:w="28" w:type="dxa"/>
            </w:tcMar>
            <w:vAlign w:val="center"/>
          </w:tcPr>
          <w:p w14:paraId="5ADB9D2A" w14:textId="77777777" w:rsidR="00A90559" w:rsidRPr="00906ED7" w:rsidRDefault="00A90559" w:rsidP="003663C0">
            <w:pPr>
              <w:pStyle w:val="Tabletext0"/>
              <w:rPr>
                <w:szCs w:val="20"/>
              </w:rPr>
            </w:pPr>
            <w:r w:rsidRPr="00906ED7">
              <w:rPr>
                <w:szCs w:val="20"/>
              </w:rPr>
              <w:t>Based on moderate-severe exacerbations and myasthenic crises, no difference by response (based on responder value) and treatment arm (HR 1.00)</w:t>
            </w:r>
          </w:p>
        </w:tc>
        <w:tc>
          <w:tcPr>
            <w:tcW w:w="851" w:type="dxa"/>
            <w:tcMar>
              <w:top w:w="0" w:type="dxa"/>
              <w:left w:w="28" w:type="dxa"/>
              <w:bottom w:w="0" w:type="dxa"/>
              <w:right w:w="28" w:type="dxa"/>
            </w:tcMar>
            <w:vAlign w:val="center"/>
          </w:tcPr>
          <w:p w14:paraId="362949AC" w14:textId="001B3C6C"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212"/>
                <w14:textFill>
                  <w14:solidFill>
                    <w14:srgbClr w14:val="000000">
                      <w14:alpha w14:val="100000"/>
                    </w14:srgbClr>
                  </w14:solidFill>
                </w14:textFill>
              </w:rPr>
              <w:t>|</w:t>
            </w:r>
            <w:r w:rsidR="0069051D" w:rsidRPr="0069051D">
              <w:rPr>
                <w:color w:val="000000"/>
                <w:spacing w:val="1"/>
                <w:szCs w:val="20"/>
                <w:shd w:val="solid" w:color="000000" w:fill="000000"/>
                <w:fitText w:val="200" w:id="-893204212"/>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68FC1729" w14:textId="77777777" w:rsidR="00A90559" w:rsidRPr="00906ED7" w:rsidRDefault="00A90559" w:rsidP="003663C0">
            <w:pPr>
              <w:pStyle w:val="Tabletext0"/>
              <w:jc w:val="center"/>
              <w:rPr>
                <w:szCs w:val="20"/>
              </w:rPr>
            </w:pPr>
            <w:r w:rsidRPr="00906ED7">
              <w:rPr>
                <w:szCs w:val="20"/>
              </w:rPr>
              <w:t>0.5854</w:t>
            </w:r>
          </w:p>
        </w:tc>
        <w:tc>
          <w:tcPr>
            <w:tcW w:w="850" w:type="dxa"/>
            <w:tcMar>
              <w:top w:w="0" w:type="dxa"/>
              <w:left w:w="28" w:type="dxa"/>
              <w:bottom w:w="0" w:type="dxa"/>
              <w:right w:w="28" w:type="dxa"/>
            </w:tcMar>
            <w:vAlign w:val="center"/>
          </w:tcPr>
          <w:p w14:paraId="2A116B45" w14:textId="664570B6"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211"/>
                <w14:textFill>
                  <w14:solidFill>
                    <w14:srgbClr w14:val="000000">
                      <w14:alpha w14:val="100000"/>
                    </w14:srgbClr>
                  </w14:solidFill>
                </w14:textFill>
              </w:rPr>
              <w:t>|</w:t>
            </w:r>
            <w:r w:rsidR="0069051D" w:rsidRPr="0069051D">
              <w:rPr>
                <w:color w:val="000000"/>
                <w:spacing w:val="1"/>
                <w:szCs w:val="20"/>
                <w:shd w:val="solid" w:color="000000" w:fill="000000"/>
                <w:fitText w:val="240" w:id="-893204211"/>
                <w14:textFill>
                  <w14:solidFill>
                    <w14:srgbClr w14:val="000000">
                      <w14:alpha w14:val="100000"/>
                    </w14:srgbClr>
                  </w14:solidFill>
                </w14:textFill>
              </w:rPr>
              <w:t>|</w:t>
            </w:r>
            <w:r w:rsidR="00E41377" w:rsidRPr="008B5889">
              <w:rPr>
                <w:b/>
                <w:bCs/>
                <w:szCs w:val="20"/>
                <w:vertAlign w:val="superscript"/>
              </w:rPr>
              <w:t xml:space="preserve"> </w:t>
            </w:r>
            <w:r w:rsidR="00E41377">
              <w:rPr>
                <w:b/>
                <w:bCs/>
                <w:szCs w:val="20"/>
                <w:vertAlign w:val="superscript"/>
              </w:rPr>
              <w:t>3</w:t>
            </w:r>
          </w:p>
        </w:tc>
        <w:tc>
          <w:tcPr>
            <w:tcW w:w="949" w:type="dxa"/>
            <w:tcMar>
              <w:left w:w="28" w:type="dxa"/>
              <w:right w:w="28" w:type="dxa"/>
            </w:tcMar>
            <w:vAlign w:val="center"/>
          </w:tcPr>
          <w:p w14:paraId="794CF4B4" w14:textId="053B19FA"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210"/>
                <w14:textFill>
                  <w14:solidFill>
                    <w14:srgbClr w14:val="000000">
                      <w14:alpha w14:val="100000"/>
                    </w14:srgbClr>
                  </w14:solidFill>
                </w14:textFill>
              </w:rPr>
              <w:t>||</w:t>
            </w:r>
            <w:r w:rsidR="0069051D" w:rsidRPr="0069051D">
              <w:rPr>
                <w:color w:val="000000"/>
                <w:spacing w:val="1"/>
                <w:szCs w:val="20"/>
                <w:shd w:val="solid" w:color="000000" w:fill="000000"/>
                <w:fitText w:val="220" w:id="-893204210"/>
                <w14:textFill>
                  <w14:solidFill>
                    <w14:srgbClr w14:val="000000">
                      <w14:alpha w14:val="100000"/>
                    </w14:srgbClr>
                  </w14:solidFill>
                </w14:textFill>
              </w:rPr>
              <w:t>|</w:t>
            </w:r>
            <w:r w:rsidRPr="00906ED7">
              <w:rPr>
                <w:szCs w:val="20"/>
              </w:rPr>
              <w:t>%</w:t>
            </w:r>
          </w:p>
        </w:tc>
      </w:tr>
      <w:tr w:rsidR="00A90559" w:rsidRPr="00906ED7" w14:paraId="3820F166" w14:textId="77777777" w:rsidTr="003663C0">
        <w:trPr>
          <w:trHeight w:val="113"/>
        </w:trPr>
        <w:tc>
          <w:tcPr>
            <w:tcW w:w="9029" w:type="dxa"/>
            <w:gridSpan w:val="5"/>
            <w:tcMar>
              <w:top w:w="0" w:type="dxa"/>
              <w:left w:w="28" w:type="dxa"/>
              <w:bottom w:w="0" w:type="dxa"/>
              <w:right w:w="28" w:type="dxa"/>
            </w:tcMar>
          </w:tcPr>
          <w:p w14:paraId="00542BCC" w14:textId="77777777" w:rsidR="00A90559" w:rsidRPr="00906ED7" w:rsidRDefault="00A90559" w:rsidP="003663C0">
            <w:pPr>
              <w:pStyle w:val="Tabletext0"/>
              <w:keepNext/>
              <w:rPr>
                <w:b/>
                <w:bCs/>
                <w:szCs w:val="20"/>
              </w:rPr>
            </w:pPr>
            <w:r w:rsidRPr="00906ED7">
              <w:rPr>
                <w:b/>
                <w:bCs/>
                <w:szCs w:val="20"/>
              </w:rPr>
              <w:t>Utility values (base case: health state utility values based on a post hoc analysis of the RAISE trial and MG-ADL data from trial and extension; exacerbation, myasthenic crisis and high-dose corticosteroid disutility values from the published literature)</w:t>
            </w:r>
          </w:p>
        </w:tc>
      </w:tr>
      <w:tr w:rsidR="00506EB9" w:rsidRPr="00906ED7" w14:paraId="070AE165" w14:textId="77777777" w:rsidTr="00080CC7">
        <w:trPr>
          <w:trHeight w:val="113"/>
        </w:trPr>
        <w:tc>
          <w:tcPr>
            <w:tcW w:w="5670" w:type="dxa"/>
            <w:tcMar>
              <w:top w:w="0" w:type="dxa"/>
              <w:left w:w="28" w:type="dxa"/>
              <w:bottom w:w="0" w:type="dxa"/>
              <w:right w:w="28" w:type="dxa"/>
            </w:tcMar>
          </w:tcPr>
          <w:p w14:paraId="05AA834D" w14:textId="1C06FE6E" w:rsidR="00A90559" w:rsidRPr="00906ED7" w:rsidRDefault="00BB0E8D" w:rsidP="003663C0">
            <w:pPr>
              <w:pStyle w:val="Tabletext0"/>
              <w:rPr>
                <w:szCs w:val="20"/>
              </w:rPr>
            </w:pPr>
            <w:r>
              <w:rPr>
                <w:b/>
                <w:bCs/>
                <w:szCs w:val="20"/>
              </w:rPr>
              <w:t xml:space="preserve">#2 </w:t>
            </w:r>
            <w:r w:rsidR="00A90559" w:rsidRPr="00906ED7">
              <w:rPr>
                <w:szCs w:val="20"/>
              </w:rPr>
              <w:t>Use the marginal disutility for high-dose corticosteroid use (-0.032)</w:t>
            </w:r>
          </w:p>
        </w:tc>
        <w:tc>
          <w:tcPr>
            <w:tcW w:w="851" w:type="dxa"/>
            <w:tcMar>
              <w:top w:w="0" w:type="dxa"/>
              <w:left w:w="28" w:type="dxa"/>
              <w:bottom w:w="0" w:type="dxa"/>
              <w:right w:w="28" w:type="dxa"/>
            </w:tcMar>
            <w:vAlign w:val="center"/>
          </w:tcPr>
          <w:p w14:paraId="797BD711" w14:textId="54EDBC12"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209"/>
                <w14:textFill>
                  <w14:solidFill>
                    <w14:srgbClr w14:val="000000">
                      <w14:alpha w14:val="100000"/>
                    </w14:srgbClr>
                  </w14:solidFill>
                </w14:textFill>
              </w:rPr>
              <w:t>|</w:t>
            </w:r>
            <w:r w:rsidR="0069051D" w:rsidRPr="0069051D">
              <w:rPr>
                <w:color w:val="000000"/>
                <w:spacing w:val="1"/>
                <w:szCs w:val="20"/>
                <w:shd w:val="solid" w:color="000000" w:fill="000000"/>
                <w:fitText w:val="200" w:id="-893204209"/>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1EF6ACED" w14:textId="77777777" w:rsidR="00A90559" w:rsidRPr="00906ED7" w:rsidRDefault="00A90559" w:rsidP="003663C0">
            <w:pPr>
              <w:pStyle w:val="Tabletext0"/>
              <w:jc w:val="center"/>
              <w:rPr>
                <w:szCs w:val="20"/>
              </w:rPr>
            </w:pPr>
            <w:r w:rsidRPr="00906ED7">
              <w:rPr>
                <w:szCs w:val="20"/>
              </w:rPr>
              <w:t>0.5733</w:t>
            </w:r>
          </w:p>
        </w:tc>
        <w:tc>
          <w:tcPr>
            <w:tcW w:w="850" w:type="dxa"/>
            <w:tcMar>
              <w:top w:w="0" w:type="dxa"/>
              <w:left w:w="28" w:type="dxa"/>
              <w:bottom w:w="0" w:type="dxa"/>
              <w:right w:w="28" w:type="dxa"/>
            </w:tcMar>
            <w:vAlign w:val="center"/>
          </w:tcPr>
          <w:p w14:paraId="7854BC69" w14:textId="132E2BBB"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208"/>
                <w14:textFill>
                  <w14:solidFill>
                    <w14:srgbClr w14:val="000000">
                      <w14:alpha w14:val="100000"/>
                    </w14:srgbClr>
                  </w14:solidFill>
                </w14:textFill>
              </w:rPr>
              <w:t>|</w:t>
            </w:r>
            <w:r w:rsidR="0069051D" w:rsidRPr="0069051D">
              <w:rPr>
                <w:color w:val="000000"/>
                <w:spacing w:val="1"/>
                <w:szCs w:val="20"/>
                <w:shd w:val="solid" w:color="000000" w:fill="000000"/>
                <w:fitText w:val="240" w:id="-893204208"/>
                <w14:textFill>
                  <w14:solidFill>
                    <w14:srgbClr w14:val="000000">
                      <w14:alpha w14:val="100000"/>
                    </w14:srgbClr>
                  </w14:solidFill>
                </w14:textFill>
              </w:rPr>
              <w:t>|</w:t>
            </w:r>
            <w:r w:rsidR="00E41377" w:rsidRPr="008B5889">
              <w:rPr>
                <w:b/>
                <w:bCs/>
                <w:szCs w:val="20"/>
                <w:vertAlign w:val="superscript"/>
              </w:rPr>
              <w:t xml:space="preserve"> </w:t>
            </w:r>
            <w:r w:rsidR="00E41377">
              <w:rPr>
                <w:b/>
                <w:bCs/>
                <w:szCs w:val="20"/>
                <w:vertAlign w:val="superscript"/>
              </w:rPr>
              <w:t>3</w:t>
            </w:r>
          </w:p>
        </w:tc>
        <w:tc>
          <w:tcPr>
            <w:tcW w:w="949" w:type="dxa"/>
            <w:tcMar>
              <w:left w:w="28" w:type="dxa"/>
              <w:right w:w="28" w:type="dxa"/>
            </w:tcMar>
            <w:vAlign w:val="center"/>
          </w:tcPr>
          <w:p w14:paraId="65CD10D0" w14:textId="6D45DB4C"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224"/>
                <w14:textFill>
                  <w14:solidFill>
                    <w14:srgbClr w14:val="000000">
                      <w14:alpha w14:val="100000"/>
                    </w14:srgbClr>
                  </w14:solidFill>
                </w14:textFill>
              </w:rPr>
              <w:t>||</w:t>
            </w:r>
            <w:r w:rsidR="0069051D" w:rsidRPr="0069051D">
              <w:rPr>
                <w:color w:val="000000"/>
                <w:spacing w:val="1"/>
                <w:szCs w:val="20"/>
                <w:shd w:val="solid" w:color="000000" w:fill="000000"/>
                <w:fitText w:val="220" w:id="-893204224"/>
                <w14:textFill>
                  <w14:solidFill>
                    <w14:srgbClr w14:val="000000">
                      <w14:alpha w14:val="100000"/>
                    </w14:srgbClr>
                  </w14:solidFill>
                </w14:textFill>
              </w:rPr>
              <w:t>|</w:t>
            </w:r>
            <w:r w:rsidRPr="00906ED7">
              <w:rPr>
                <w:szCs w:val="20"/>
              </w:rPr>
              <w:t>%</w:t>
            </w:r>
          </w:p>
        </w:tc>
      </w:tr>
      <w:tr w:rsidR="00506EB9" w:rsidRPr="00906ED7" w14:paraId="08C0A805" w14:textId="77777777" w:rsidTr="00080CC7">
        <w:trPr>
          <w:trHeight w:val="113"/>
        </w:trPr>
        <w:tc>
          <w:tcPr>
            <w:tcW w:w="5670" w:type="dxa"/>
            <w:tcMar>
              <w:top w:w="0" w:type="dxa"/>
              <w:left w:w="28" w:type="dxa"/>
              <w:bottom w:w="0" w:type="dxa"/>
              <w:right w:w="28" w:type="dxa"/>
            </w:tcMar>
          </w:tcPr>
          <w:p w14:paraId="47758D66" w14:textId="77777777" w:rsidR="00A90559" w:rsidRPr="00906ED7" w:rsidRDefault="00A90559" w:rsidP="003663C0">
            <w:pPr>
              <w:pStyle w:val="Tabletext0"/>
              <w:rPr>
                <w:szCs w:val="20"/>
              </w:rPr>
            </w:pPr>
            <w:r w:rsidRPr="00906ED7">
              <w:rPr>
                <w:szCs w:val="20"/>
              </w:rPr>
              <w:t>Remove high-dose corticosteroid disutility</w:t>
            </w:r>
          </w:p>
        </w:tc>
        <w:tc>
          <w:tcPr>
            <w:tcW w:w="851" w:type="dxa"/>
            <w:tcMar>
              <w:top w:w="0" w:type="dxa"/>
              <w:left w:w="28" w:type="dxa"/>
              <w:bottom w:w="0" w:type="dxa"/>
              <w:right w:w="28" w:type="dxa"/>
            </w:tcMar>
            <w:vAlign w:val="center"/>
          </w:tcPr>
          <w:p w14:paraId="03BE5441" w14:textId="4735067D"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223"/>
                <w14:textFill>
                  <w14:solidFill>
                    <w14:srgbClr w14:val="000000">
                      <w14:alpha w14:val="100000"/>
                    </w14:srgbClr>
                  </w14:solidFill>
                </w14:textFill>
              </w:rPr>
              <w:t>|</w:t>
            </w:r>
            <w:r w:rsidR="0069051D" w:rsidRPr="0069051D">
              <w:rPr>
                <w:color w:val="000000"/>
                <w:spacing w:val="1"/>
                <w:szCs w:val="20"/>
                <w:shd w:val="solid" w:color="000000" w:fill="000000"/>
                <w:fitText w:val="200" w:id="-893204223"/>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37B2FF0E" w14:textId="77777777" w:rsidR="00A90559" w:rsidRPr="00906ED7" w:rsidRDefault="00A90559" w:rsidP="003663C0">
            <w:pPr>
              <w:pStyle w:val="Tabletext0"/>
              <w:jc w:val="center"/>
              <w:rPr>
                <w:szCs w:val="20"/>
              </w:rPr>
            </w:pPr>
            <w:r w:rsidRPr="00906ED7">
              <w:rPr>
                <w:szCs w:val="20"/>
              </w:rPr>
              <w:t>0.5233</w:t>
            </w:r>
          </w:p>
        </w:tc>
        <w:tc>
          <w:tcPr>
            <w:tcW w:w="850" w:type="dxa"/>
            <w:tcMar>
              <w:top w:w="0" w:type="dxa"/>
              <w:left w:w="28" w:type="dxa"/>
              <w:bottom w:w="0" w:type="dxa"/>
              <w:right w:w="28" w:type="dxa"/>
            </w:tcMar>
            <w:vAlign w:val="center"/>
          </w:tcPr>
          <w:p w14:paraId="68EF93D3" w14:textId="16EE42C4" w:rsidR="00A90559" w:rsidRPr="00906ED7" w:rsidRDefault="00A90559" w:rsidP="003663C0">
            <w:pPr>
              <w:pStyle w:val="Tabletext0"/>
              <w:jc w:val="center"/>
              <w:rPr>
                <w:szCs w:val="20"/>
              </w:rPr>
            </w:pPr>
            <w:r w:rsidRPr="00906ED7">
              <w:rPr>
                <w:szCs w:val="20"/>
              </w:rPr>
              <w:t>$</w:t>
            </w:r>
            <w:r w:rsidR="0069051D" w:rsidRPr="0069051D">
              <w:rPr>
                <w:color w:val="000000"/>
                <w:spacing w:val="49"/>
                <w:szCs w:val="20"/>
                <w:shd w:val="solid" w:color="000000" w:fill="000000"/>
                <w:fitText w:val="320" w:id="-893204222"/>
                <w14:textFill>
                  <w14:solidFill>
                    <w14:srgbClr w14:val="000000">
                      <w14:alpha w14:val="100000"/>
                    </w14:srgbClr>
                  </w14:solidFill>
                </w14:textFill>
              </w:rPr>
              <w:t>|||</w:t>
            </w:r>
            <w:r w:rsidR="0069051D" w:rsidRPr="0069051D">
              <w:rPr>
                <w:color w:val="000000"/>
                <w:spacing w:val="3"/>
                <w:szCs w:val="20"/>
                <w:shd w:val="solid" w:color="000000" w:fill="000000"/>
                <w:fitText w:val="320" w:id="-893204222"/>
                <w14:textFill>
                  <w14:solidFill>
                    <w14:srgbClr w14:val="000000">
                      <w14:alpha w14:val="100000"/>
                    </w14:srgbClr>
                  </w14:solidFill>
                </w14:textFill>
              </w:rPr>
              <w:t>|</w:t>
            </w:r>
            <w:r w:rsidRPr="00906ED7">
              <w:rPr>
                <w:szCs w:val="20"/>
              </w:rPr>
              <w:tab/>
            </w:r>
            <w:r w:rsidR="00E41377">
              <w:rPr>
                <w:b/>
                <w:bCs/>
                <w:szCs w:val="20"/>
                <w:vertAlign w:val="superscript"/>
              </w:rPr>
              <w:t>3</w:t>
            </w:r>
          </w:p>
        </w:tc>
        <w:tc>
          <w:tcPr>
            <w:tcW w:w="949" w:type="dxa"/>
            <w:tcMar>
              <w:left w:w="28" w:type="dxa"/>
              <w:right w:w="28" w:type="dxa"/>
            </w:tcMar>
            <w:vAlign w:val="center"/>
          </w:tcPr>
          <w:p w14:paraId="4A06FA64" w14:textId="52D690A4"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221"/>
                <w14:textFill>
                  <w14:solidFill>
                    <w14:srgbClr w14:val="000000">
                      <w14:alpha w14:val="100000"/>
                    </w14:srgbClr>
                  </w14:solidFill>
                </w14:textFill>
              </w:rPr>
              <w:t>||</w:t>
            </w:r>
            <w:r w:rsidR="0069051D" w:rsidRPr="0069051D">
              <w:rPr>
                <w:color w:val="000000"/>
                <w:spacing w:val="1"/>
                <w:szCs w:val="20"/>
                <w:shd w:val="solid" w:color="000000" w:fill="000000"/>
                <w:fitText w:val="220" w:id="-893204221"/>
                <w14:textFill>
                  <w14:solidFill>
                    <w14:srgbClr w14:val="000000">
                      <w14:alpha w14:val="100000"/>
                    </w14:srgbClr>
                  </w14:solidFill>
                </w14:textFill>
              </w:rPr>
              <w:t>|</w:t>
            </w:r>
            <w:r w:rsidRPr="00906ED7">
              <w:rPr>
                <w:szCs w:val="20"/>
              </w:rPr>
              <w:t>%</w:t>
            </w:r>
          </w:p>
        </w:tc>
      </w:tr>
      <w:tr w:rsidR="00A90559" w:rsidRPr="00906ED7" w14:paraId="63C881DA" w14:textId="77777777" w:rsidTr="003663C0">
        <w:trPr>
          <w:trHeight w:val="113"/>
        </w:trPr>
        <w:tc>
          <w:tcPr>
            <w:tcW w:w="9029" w:type="dxa"/>
            <w:gridSpan w:val="5"/>
            <w:tcMar>
              <w:top w:w="0" w:type="dxa"/>
              <w:left w:w="28" w:type="dxa"/>
              <w:bottom w:w="0" w:type="dxa"/>
              <w:right w:w="28" w:type="dxa"/>
            </w:tcMar>
          </w:tcPr>
          <w:p w14:paraId="61FA8B8D" w14:textId="77777777" w:rsidR="00A90559" w:rsidRPr="00906ED7" w:rsidRDefault="00A90559" w:rsidP="003663C0">
            <w:pPr>
              <w:pStyle w:val="Tabletext0"/>
              <w:rPr>
                <w:b/>
                <w:bCs/>
                <w:szCs w:val="20"/>
              </w:rPr>
            </w:pPr>
            <w:r w:rsidRPr="00906ED7">
              <w:rPr>
                <w:b/>
                <w:bCs/>
                <w:szCs w:val="20"/>
              </w:rPr>
              <w:t>Costs (base case: resource use and unit costs based on various sources)</w:t>
            </w:r>
          </w:p>
        </w:tc>
      </w:tr>
      <w:tr w:rsidR="00506EB9" w:rsidRPr="00906ED7" w14:paraId="785203DE" w14:textId="77777777" w:rsidTr="00080CC7">
        <w:trPr>
          <w:trHeight w:val="113"/>
        </w:trPr>
        <w:tc>
          <w:tcPr>
            <w:tcW w:w="5670" w:type="dxa"/>
            <w:tcMar>
              <w:top w:w="0" w:type="dxa"/>
              <w:left w:w="28" w:type="dxa"/>
              <w:bottom w:w="0" w:type="dxa"/>
              <w:right w:w="28" w:type="dxa"/>
            </w:tcMar>
          </w:tcPr>
          <w:p w14:paraId="1E2A7C09" w14:textId="04219E76" w:rsidR="00A90559" w:rsidRPr="00906ED7" w:rsidRDefault="00BB0E8D" w:rsidP="003663C0">
            <w:pPr>
              <w:pStyle w:val="Tabletext0"/>
              <w:rPr>
                <w:szCs w:val="20"/>
              </w:rPr>
            </w:pPr>
            <w:r>
              <w:rPr>
                <w:b/>
                <w:bCs/>
                <w:szCs w:val="20"/>
              </w:rPr>
              <w:t xml:space="preserve">#3 </w:t>
            </w:r>
            <w:r w:rsidR="00A90559" w:rsidRPr="00906ED7">
              <w:rPr>
                <w:szCs w:val="20"/>
              </w:rPr>
              <w:t>Estimate chronic IVIg costs based on Australian utilisation data (approximately 40% of base case estimate of IVIg units)</w:t>
            </w:r>
          </w:p>
        </w:tc>
        <w:tc>
          <w:tcPr>
            <w:tcW w:w="851" w:type="dxa"/>
            <w:tcMar>
              <w:top w:w="0" w:type="dxa"/>
              <w:left w:w="28" w:type="dxa"/>
              <w:bottom w:w="0" w:type="dxa"/>
              <w:right w:w="28" w:type="dxa"/>
            </w:tcMar>
            <w:vAlign w:val="center"/>
          </w:tcPr>
          <w:p w14:paraId="5EE53810" w14:textId="7E66628E"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220"/>
                <w14:textFill>
                  <w14:solidFill>
                    <w14:srgbClr w14:val="000000">
                      <w14:alpha w14:val="100000"/>
                    </w14:srgbClr>
                  </w14:solidFill>
                </w14:textFill>
              </w:rPr>
              <w:t>|</w:t>
            </w:r>
            <w:r w:rsidR="0069051D" w:rsidRPr="0069051D">
              <w:rPr>
                <w:color w:val="000000"/>
                <w:spacing w:val="1"/>
                <w:szCs w:val="20"/>
                <w:shd w:val="solid" w:color="000000" w:fill="000000"/>
                <w:fitText w:val="200" w:id="-893204220"/>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1AA4B301" w14:textId="77777777" w:rsidR="00A90559" w:rsidRPr="00906ED7" w:rsidRDefault="00A90559" w:rsidP="003663C0">
            <w:pPr>
              <w:pStyle w:val="Tabletext0"/>
              <w:jc w:val="center"/>
              <w:rPr>
                <w:szCs w:val="20"/>
              </w:rPr>
            </w:pPr>
            <w:r w:rsidRPr="00906ED7">
              <w:rPr>
                <w:szCs w:val="20"/>
              </w:rPr>
              <w:t>0.8045</w:t>
            </w:r>
          </w:p>
        </w:tc>
        <w:tc>
          <w:tcPr>
            <w:tcW w:w="850" w:type="dxa"/>
            <w:tcMar>
              <w:top w:w="0" w:type="dxa"/>
              <w:left w:w="28" w:type="dxa"/>
              <w:bottom w:w="0" w:type="dxa"/>
              <w:right w:w="28" w:type="dxa"/>
            </w:tcMar>
            <w:vAlign w:val="center"/>
          </w:tcPr>
          <w:p w14:paraId="3B73E423" w14:textId="4A71F891"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219"/>
                <w14:textFill>
                  <w14:solidFill>
                    <w14:srgbClr w14:val="000000">
                      <w14:alpha w14:val="100000"/>
                    </w14:srgbClr>
                  </w14:solidFill>
                </w14:textFill>
              </w:rPr>
              <w:t>|</w:t>
            </w:r>
            <w:r w:rsidR="0069051D" w:rsidRPr="0069051D">
              <w:rPr>
                <w:color w:val="000000"/>
                <w:spacing w:val="1"/>
                <w:szCs w:val="20"/>
                <w:shd w:val="solid" w:color="000000" w:fill="000000"/>
                <w:fitText w:val="240" w:id="-893204219"/>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1</w:t>
            </w:r>
          </w:p>
        </w:tc>
        <w:tc>
          <w:tcPr>
            <w:tcW w:w="949" w:type="dxa"/>
            <w:tcMar>
              <w:left w:w="28" w:type="dxa"/>
              <w:right w:w="28" w:type="dxa"/>
            </w:tcMar>
            <w:vAlign w:val="center"/>
          </w:tcPr>
          <w:p w14:paraId="6803E416" w14:textId="05798746"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218"/>
                <w14:textFill>
                  <w14:solidFill>
                    <w14:srgbClr w14:val="000000">
                      <w14:alpha w14:val="100000"/>
                    </w14:srgbClr>
                  </w14:solidFill>
                </w14:textFill>
              </w:rPr>
              <w:t>||</w:t>
            </w:r>
            <w:r w:rsidR="0069051D" w:rsidRPr="0069051D">
              <w:rPr>
                <w:color w:val="000000"/>
                <w:spacing w:val="1"/>
                <w:szCs w:val="20"/>
                <w:shd w:val="solid" w:color="000000" w:fill="000000"/>
                <w:fitText w:val="220" w:id="-893204218"/>
                <w14:textFill>
                  <w14:solidFill>
                    <w14:srgbClr w14:val="000000">
                      <w14:alpha w14:val="100000"/>
                    </w14:srgbClr>
                  </w14:solidFill>
                </w14:textFill>
              </w:rPr>
              <w:t>|</w:t>
            </w:r>
            <w:r w:rsidRPr="00906ED7">
              <w:rPr>
                <w:szCs w:val="20"/>
              </w:rPr>
              <w:t>%</w:t>
            </w:r>
          </w:p>
        </w:tc>
      </w:tr>
      <w:tr w:rsidR="00506EB9" w:rsidRPr="00906ED7" w14:paraId="7EA36305" w14:textId="77777777" w:rsidTr="00080CC7">
        <w:trPr>
          <w:trHeight w:val="113"/>
        </w:trPr>
        <w:tc>
          <w:tcPr>
            <w:tcW w:w="5670" w:type="dxa"/>
            <w:tcMar>
              <w:top w:w="0" w:type="dxa"/>
              <w:left w:w="28" w:type="dxa"/>
              <w:bottom w:w="0" w:type="dxa"/>
              <w:right w:w="28" w:type="dxa"/>
            </w:tcMar>
          </w:tcPr>
          <w:p w14:paraId="7D6B60B8" w14:textId="77777777" w:rsidR="00A90559" w:rsidRPr="00906ED7" w:rsidRDefault="00A90559" w:rsidP="003663C0">
            <w:pPr>
              <w:pStyle w:val="Tabletext0"/>
              <w:rPr>
                <w:szCs w:val="20"/>
              </w:rPr>
            </w:pPr>
            <w:r w:rsidRPr="00906ED7">
              <w:rPr>
                <w:szCs w:val="20"/>
              </w:rPr>
              <w:t>Limit chronic IVIg to 4 months of treatment (once-off cost applied at initiation)</w:t>
            </w:r>
          </w:p>
        </w:tc>
        <w:tc>
          <w:tcPr>
            <w:tcW w:w="851" w:type="dxa"/>
            <w:tcMar>
              <w:top w:w="0" w:type="dxa"/>
              <w:left w:w="28" w:type="dxa"/>
              <w:bottom w:w="0" w:type="dxa"/>
              <w:right w:w="28" w:type="dxa"/>
            </w:tcMar>
            <w:vAlign w:val="center"/>
          </w:tcPr>
          <w:p w14:paraId="1B6A6377" w14:textId="32E5EA5A"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217"/>
                <w14:textFill>
                  <w14:solidFill>
                    <w14:srgbClr w14:val="000000">
                      <w14:alpha w14:val="100000"/>
                    </w14:srgbClr>
                  </w14:solidFill>
                </w14:textFill>
              </w:rPr>
              <w:t>|</w:t>
            </w:r>
            <w:r w:rsidR="0069051D" w:rsidRPr="0069051D">
              <w:rPr>
                <w:color w:val="000000"/>
                <w:spacing w:val="1"/>
                <w:szCs w:val="20"/>
                <w:shd w:val="solid" w:color="000000" w:fill="000000"/>
                <w:fitText w:val="200" w:id="-893204217"/>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5B768001" w14:textId="77777777" w:rsidR="00A90559" w:rsidRPr="00906ED7" w:rsidRDefault="00A90559" w:rsidP="003663C0">
            <w:pPr>
              <w:pStyle w:val="Tabletext0"/>
              <w:jc w:val="center"/>
              <w:rPr>
                <w:szCs w:val="20"/>
              </w:rPr>
            </w:pPr>
            <w:r w:rsidRPr="00906ED7">
              <w:rPr>
                <w:szCs w:val="20"/>
              </w:rPr>
              <w:t>0.8045</w:t>
            </w:r>
          </w:p>
        </w:tc>
        <w:tc>
          <w:tcPr>
            <w:tcW w:w="850" w:type="dxa"/>
            <w:tcMar>
              <w:top w:w="0" w:type="dxa"/>
              <w:left w:w="28" w:type="dxa"/>
              <w:bottom w:w="0" w:type="dxa"/>
              <w:right w:w="28" w:type="dxa"/>
            </w:tcMar>
            <w:vAlign w:val="center"/>
          </w:tcPr>
          <w:p w14:paraId="6C1993E8" w14:textId="3B98DD62"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216"/>
                <w14:textFill>
                  <w14:solidFill>
                    <w14:srgbClr w14:val="000000">
                      <w14:alpha w14:val="100000"/>
                    </w14:srgbClr>
                  </w14:solidFill>
                </w14:textFill>
              </w:rPr>
              <w:t>|</w:t>
            </w:r>
            <w:r w:rsidR="0069051D" w:rsidRPr="0069051D">
              <w:rPr>
                <w:color w:val="000000"/>
                <w:spacing w:val="1"/>
                <w:szCs w:val="20"/>
                <w:shd w:val="solid" w:color="000000" w:fill="000000"/>
                <w:fitText w:val="240" w:id="-893204216"/>
                <w14:textFill>
                  <w14:solidFill>
                    <w14:srgbClr w14:val="000000">
                      <w14:alpha w14:val="100000"/>
                    </w14:srgbClr>
                  </w14:solidFill>
                </w14:textFill>
              </w:rPr>
              <w:t>|</w:t>
            </w:r>
            <w:r w:rsidR="00E41377" w:rsidRPr="008B5889">
              <w:rPr>
                <w:b/>
                <w:bCs/>
                <w:szCs w:val="20"/>
                <w:vertAlign w:val="superscript"/>
              </w:rPr>
              <w:t xml:space="preserve"> </w:t>
            </w:r>
            <w:r w:rsidR="00E41377">
              <w:rPr>
                <w:b/>
                <w:bCs/>
                <w:szCs w:val="20"/>
                <w:vertAlign w:val="superscript"/>
              </w:rPr>
              <w:t>3</w:t>
            </w:r>
          </w:p>
        </w:tc>
        <w:tc>
          <w:tcPr>
            <w:tcW w:w="949" w:type="dxa"/>
            <w:tcMar>
              <w:left w:w="28" w:type="dxa"/>
              <w:right w:w="28" w:type="dxa"/>
            </w:tcMar>
            <w:vAlign w:val="center"/>
          </w:tcPr>
          <w:p w14:paraId="2C4C1A8D" w14:textId="60E73A3E"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215"/>
                <w14:textFill>
                  <w14:solidFill>
                    <w14:srgbClr w14:val="000000">
                      <w14:alpha w14:val="100000"/>
                    </w14:srgbClr>
                  </w14:solidFill>
                </w14:textFill>
              </w:rPr>
              <w:t>||</w:t>
            </w:r>
            <w:r w:rsidR="0069051D" w:rsidRPr="0069051D">
              <w:rPr>
                <w:color w:val="000000"/>
                <w:spacing w:val="1"/>
                <w:szCs w:val="20"/>
                <w:shd w:val="solid" w:color="000000" w:fill="000000"/>
                <w:fitText w:val="220" w:id="-893204215"/>
                <w14:textFill>
                  <w14:solidFill>
                    <w14:srgbClr w14:val="000000">
                      <w14:alpha w14:val="100000"/>
                    </w14:srgbClr>
                  </w14:solidFill>
                </w14:textFill>
              </w:rPr>
              <w:t>|</w:t>
            </w:r>
            <w:r w:rsidRPr="00906ED7">
              <w:rPr>
                <w:szCs w:val="20"/>
              </w:rPr>
              <w:t>%</w:t>
            </w:r>
          </w:p>
        </w:tc>
      </w:tr>
      <w:tr w:rsidR="00506EB9" w:rsidRPr="00906ED7" w14:paraId="4ED91A1C" w14:textId="77777777" w:rsidTr="00080CC7">
        <w:trPr>
          <w:trHeight w:val="113"/>
        </w:trPr>
        <w:tc>
          <w:tcPr>
            <w:tcW w:w="5670" w:type="dxa"/>
            <w:tcMar>
              <w:top w:w="0" w:type="dxa"/>
              <w:left w:w="28" w:type="dxa"/>
              <w:bottom w:w="0" w:type="dxa"/>
              <w:right w:w="28" w:type="dxa"/>
            </w:tcMar>
          </w:tcPr>
          <w:p w14:paraId="5D1AA1D0" w14:textId="77777777" w:rsidR="00A90559" w:rsidRPr="00906ED7" w:rsidRDefault="00A90559" w:rsidP="003663C0">
            <w:pPr>
              <w:pStyle w:val="Tabletext0"/>
              <w:rPr>
                <w:szCs w:val="20"/>
              </w:rPr>
            </w:pPr>
            <w:r w:rsidRPr="00906ED7">
              <w:rPr>
                <w:szCs w:val="20"/>
              </w:rPr>
              <w:t>Estimate chronic PLEX costs based on low-intensity regimen</w:t>
            </w:r>
          </w:p>
        </w:tc>
        <w:tc>
          <w:tcPr>
            <w:tcW w:w="851" w:type="dxa"/>
            <w:tcMar>
              <w:top w:w="0" w:type="dxa"/>
              <w:left w:w="28" w:type="dxa"/>
              <w:bottom w:w="0" w:type="dxa"/>
              <w:right w:w="28" w:type="dxa"/>
            </w:tcMar>
            <w:vAlign w:val="center"/>
          </w:tcPr>
          <w:p w14:paraId="61BE9116" w14:textId="5A6CE564"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214"/>
                <w14:textFill>
                  <w14:solidFill>
                    <w14:srgbClr w14:val="000000">
                      <w14:alpha w14:val="100000"/>
                    </w14:srgbClr>
                  </w14:solidFill>
                </w14:textFill>
              </w:rPr>
              <w:t>|</w:t>
            </w:r>
            <w:r w:rsidR="0069051D" w:rsidRPr="0069051D">
              <w:rPr>
                <w:color w:val="000000"/>
                <w:spacing w:val="1"/>
                <w:szCs w:val="20"/>
                <w:shd w:val="solid" w:color="000000" w:fill="000000"/>
                <w:fitText w:val="200" w:id="-893204214"/>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66D0E1BD" w14:textId="77777777" w:rsidR="00A90559" w:rsidRPr="00906ED7" w:rsidRDefault="00A90559" w:rsidP="003663C0">
            <w:pPr>
              <w:pStyle w:val="Tabletext0"/>
              <w:jc w:val="center"/>
              <w:rPr>
                <w:szCs w:val="20"/>
              </w:rPr>
            </w:pPr>
            <w:r w:rsidRPr="00906ED7">
              <w:rPr>
                <w:szCs w:val="20"/>
              </w:rPr>
              <w:t>0.8045</w:t>
            </w:r>
          </w:p>
        </w:tc>
        <w:tc>
          <w:tcPr>
            <w:tcW w:w="850" w:type="dxa"/>
            <w:tcMar>
              <w:top w:w="0" w:type="dxa"/>
              <w:left w:w="28" w:type="dxa"/>
              <w:bottom w:w="0" w:type="dxa"/>
              <w:right w:w="28" w:type="dxa"/>
            </w:tcMar>
            <w:vAlign w:val="center"/>
          </w:tcPr>
          <w:p w14:paraId="76710D50" w14:textId="0FAC2E6E"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213"/>
                <w14:textFill>
                  <w14:solidFill>
                    <w14:srgbClr w14:val="000000">
                      <w14:alpha w14:val="100000"/>
                    </w14:srgbClr>
                  </w14:solidFill>
                </w14:textFill>
              </w:rPr>
              <w:t>|</w:t>
            </w:r>
            <w:r w:rsidR="0069051D" w:rsidRPr="0069051D">
              <w:rPr>
                <w:color w:val="000000"/>
                <w:spacing w:val="1"/>
                <w:szCs w:val="20"/>
                <w:shd w:val="solid" w:color="000000" w:fill="000000"/>
                <w:fitText w:val="240" w:id="-893204213"/>
                <w14:textFill>
                  <w14:solidFill>
                    <w14:srgbClr w14:val="000000">
                      <w14:alpha w14:val="100000"/>
                    </w14:srgbClr>
                  </w14:solidFill>
                </w14:textFill>
              </w:rPr>
              <w:t>|</w:t>
            </w:r>
            <w:r w:rsidR="00221503" w:rsidRPr="008B5889">
              <w:rPr>
                <w:b/>
                <w:bCs/>
                <w:szCs w:val="20"/>
                <w:vertAlign w:val="superscript"/>
              </w:rPr>
              <w:t xml:space="preserve"> </w:t>
            </w:r>
            <w:r w:rsidR="00221503">
              <w:rPr>
                <w:b/>
                <w:bCs/>
                <w:szCs w:val="20"/>
                <w:vertAlign w:val="superscript"/>
              </w:rPr>
              <w:t>1</w:t>
            </w:r>
          </w:p>
        </w:tc>
        <w:tc>
          <w:tcPr>
            <w:tcW w:w="949" w:type="dxa"/>
            <w:tcMar>
              <w:left w:w="28" w:type="dxa"/>
              <w:right w:w="28" w:type="dxa"/>
            </w:tcMar>
            <w:vAlign w:val="center"/>
          </w:tcPr>
          <w:p w14:paraId="6A18A75A" w14:textId="4AF65FC8"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212"/>
                <w14:textFill>
                  <w14:solidFill>
                    <w14:srgbClr w14:val="000000">
                      <w14:alpha w14:val="100000"/>
                    </w14:srgbClr>
                  </w14:solidFill>
                </w14:textFill>
              </w:rPr>
              <w:t>||</w:t>
            </w:r>
            <w:r w:rsidR="0069051D" w:rsidRPr="0069051D">
              <w:rPr>
                <w:color w:val="000000"/>
                <w:spacing w:val="1"/>
                <w:szCs w:val="20"/>
                <w:shd w:val="solid" w:color="000000" w:fill="000000"/>
                <w:fitText w:val="220" w:id="-893204212"/>
                <w14:textFill>
                  <w14:solidFill>
                    <w14:srgbClr w14:val="000000">
                      <w14:alpha w14:val="100000"/>
                    </w14:srgbClr>
                  </w14:solidFill>
                </w14:textFill>
              </w:rPr>
              <w:t>|</w:t>
            </w:r>
            <w:r w:rsidRPr="00A42936">
              <w:rPr>
                <w:szCs w:val="20"/>
              </w:rPr>
              <w:t>%</w:t>
            </w:r>
          </w:p>
        </w:tc>
      </w:tr>
      <w:tr w:rsidR="00506EB9" w:rsidRPr="00906ED7" w14:paraId="5E53017D" w14:textId="77777777" w:rsidTr="00080CC7">
        <w:trPr>
          <w:trHeight w:val="113"/>
        </w:trPr>
        <w:tc>
          <w:tcPr>
            <w:tcW w:w="5670" w:type="dxa"/>
            <w:tcMar>
              <w:top w:w="0" w:type="dxa"/>
              <w:left w:w="28" w:type="dxa"/>
              <w:bottom w:w="0" w:type="dxa"/>
              <w:right w:w="28" w:type="dxa"/>
            </w:tcMar>
          </w:tcPr>
          <w:p w14:paraId="79CB8C05" w14:textId="77777777" w:rsidR="00A90559" w:rsidRPr="00906ED7" w:rsidRDefault="00A90559" w:rsidP="003663C0">
            <w:pPr>
              <w:pStyle w:val="Tabletext0"/>
              <w:rPr>
                <w:szCs w:val="20"/>
              </w:rPr>
            </w:pPr>
            <w:r w:rsidRPr="00906ED7">
              <w:rPr>
                <w:szCs w:val="20"/>
              </w:rPr>
              <w:t>Remove chronic IVIg/PLEX costs</w:t>
            </w:r>
          </w:p>
        </w:tc>
        <w:tc>
          <w:tcPr>
            <w:tcW w:w="851" w:type="dxa"/>
            <w:tcMar>
              <w:top w:w="0" w:type="dxa"/>
              <w:left w:w="28" w:type="dxa"/>
              <w:bottom w:w="0" w:type="dxa"/>
              <w:right w:w="28" w:type="dxa"/>
            </w:tcMar>
            <w:vAlign w:val="center"/>
          </w:tcPr>
          <w:p w14:paraId="10C79295" w14:textId="71B09371" w:rsidR="00A90559" w:rsidRPr="00906ED7" w:rsidRDefault="00A90559" w:rsidP="003663C0">
            <w:pPr>
              <w:pStyle w:val="Tabletext0"/>
              <w:jc w:val="center"/>
              <w:rPr>
                <w:szCs w:val="20"/>
              </w:rPr>
            </w:pPr>
            <w:r w:rsidRPr="00906ED7">
              <w:rPr>
                <w:szCs w:val="20"/>
              </w:rPr>
              <w:t>$</w:t>
            </w:r>
            <w:r w:rsidR="0069051D" w:rsidRPr="0069051D">
              <w:rPr>
                <w:color w:val="000000"/>
                <w:spacing w:val="114"/>
                <w:szCs w:val="20"/>
                <w:shd w:val="solid" w:color="000000" w:fill="000000"/>
                <w:fitText w:val="200" w:id="-893204211"/>
                <w14:textFill>
                  <w14:solidFill>
                    <w14:srgbClr w14:val="000000">
                      <w14:alpha w14:val="100000"/>
                    </w14:srgbClr>
                  </w14:solidFill>
                </w14:textFill>
              </w:rPr>
              <w:t>|</w:t>
            </w:r>
            <w:r w:rsidR="0069051D" w:rsidRPr="0069051D">
              <w:rPr>
                <w:color w:val="000000"/>
                <w:spacing w:val="1"/>
                <w:szCs w:val="20"/>
                <w:shd w:val="solid" w:color="000000" w:fill="000000"/>
                <w:fitText w:val="200" w:id="-893204211"/>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534F0DDB" w14:textId="77777777" w:rsidR="00A90559" w:rsidRPr="00906ED7" w:rsidRDefault="00A90559" w:rsidP="003663C0">
            <w:pPr>
              <w:pStyle w:val="Tabletext0"/>
              <w:jc w:val="center"/>
              <w:rPr>
                <w:szCs w:val="20"/>
              </w:rPr>
            </w:pPr>
            <w:r w:rsidRPr="00906ED7">
              <w:rPr>
                <w:szCs w:val="20"/>
              </w:rPr>
              <w:t>0.8045</w:t>
            </w:r>
          </w:p>
        </w:tc>
        <w:tc>
          <w:tcPr>
            <w:tcW w:w="850" w:type="dxa"/>
            <w:tcMar>
              <w:top w:w="0" w:type="dxa"/>
              <w:left w:w="28" w:type="dxa"/>
              <w:bottom w:w="0" w:type="dxa"/>
              <w:right w:w="28" w:type="dxa"/>
            </w:tcMar>
            <w:vAlign w:val="center"/>
          </w:tcPr>
          <w:p w14:paraId="1AD37F73" w14:textId="4F199CE9" w:rsidR="00A90559" w:rsidRPr="00906ED7" w:rsidRDefault="00A90559" w:rsidP="003663C0">
            <w:pPr>
              <w:pStyle w:val="Tabletext0"/>
              <w:jc w:val="center"/>
              <w:rPr>
                <w:szCs w:val="20"/>
              </w:rPr>
            </w:pPr>
            <w:r w:rsidRPr="00906ED7">
              <w:rPr>
                <w:szCs w:val="20"/>
              </w:rPr>
              <w:t>$</w:t>
            </w:r>
            <w:r w:rsidR="0069051D" w:rsidRPr="0069051D">
              <w:rPr>
                <w:color w:val="000000"/>
                <w:spacing w:val="154"/>
                <w:szCs w:val="20"/>
                <w:shd w:val="solid" w:color="000000" w:fill="000000"/>
                <w:fitText w:val="240" w:id="-893204210"/>
                <w14:textFill>
                  <w14:solidFill>
                    <w14:srgbClr w14:val="000000">
                      <w14:alpha w14:val="100000"/>
                    </w14:srgbClr>
                  </w14:solidFill>
                </w14:textFill>
              </w:rPr>
              <w:t>|</w:t>
            </w:r>
            <w:r w:rsidR="0069051D" w:rsidRPr="0069051D">
              <w:rPr>
                <w:color w:val="000000"/>
                <w:spacing w:val="1"/>
                <w:szCs w:val="20"/>
                <w:shd w:val="solid" w:color="000000" w:fill="000000"/>
                <w:fitText w:val="240" w:id="-893204210"/>
                <w14:textFill>
                  <w14:solidFill>
                    <w14:srgbClr w14:val="000000">
                      <w14:alpha w14:val="100000"/>
                    </w14:srgbClr>
                  </w14:solidFill>
                </w14:textFill>
              </w:rPr>
              <w:t>|</w:t>
            </w:r>
            <w:r w:rsidR="00E41377" w:rsidRPr="008B5889">
              <w:rPr>
                <w:b/>
                <w:bCs/>
                <w:szCs w:val="20"/>
                <w:vertAlign w:val="superscript"/>
              </w:rPr>
              <w:t xml:space="preserve"> </w:t>
            </w:r>
            <w:r w:rsidR="00E41377">
              <w:rPr>
                <w:b/>
                <w:bCs/>
                <w:szCs w:val="20"/>
                <w:vertAlign w:val="superscript"/>
              </w:rPr>
              <w:t>3</w:t>
            </w:r>
          </w:p>
        </w:tc>
        <w:tc>
          <w:tcPr>
            <w:tcW w:w="949" w:type="dxa"/>
            <w:tcMar>
              <w:left w:w="28" w:type="dxa"/>
              <w:right w:w="28" w:type="dxa"/>
            </w:tcMar>
            <w:vAlign w:val="center"/>
          </w:tcPr>
          <w:p w14:paraId="3ECD200A" w14:textId="741DCD53" w:rsidR="00A90559" w:rsidRPr="00906ED7" w:rsidRDefault="00A90559" w:rsidP="003663C0">
            <w:pPr>
              <w:pStyle w:val="Tabletext0"/>
              <w:jc w:val="center"/>
              <w:rPr>
                <w:szCs w:val="20"/>
              </w:rPr>
            </w:pPr>
            <w:r w:rsidRPr="00906ED7">
              <w:rPr>
                <w:szCs w:val="20"/>
              </w:rPr>
              <w:t>+</w:t>
            </w:r>
            <w:r w:rsidR="0069051D" w:rsidRPr="0069051D">
              <w:rPr>
                <w:color w:val="000000"/>
                <w:spacing w:val="46"/>
                <w:szCs w:val="20"/>
                <w:shd w:val="solid" w:color="000000" w:fill="000000"/>
                <w:fitText w:val="220" w:id="-893204209"/>
                <w14:textFill>
                  <w14:solidFill>
                    <w14:srgbClr w14:val="000000">
                      <w14:alpha w14:val="100000"/>
                    </w14:srgbClr>
                  </w14:solidFill>
                </w14:textFill>
              </w:rPr>
              <w:t>||</w:t>
            </w:r>
            <w:r w:rsidR="0069051D" w:rsidRPr="0069051D">
              <w:rPr>
                <w:color w:val="000000"/>
                <w:spacing w:val="1"/>
                <w:szCs w:val="20"/>
                <w:shd w:val="solid" w:color="000000" w:fill="000000"/>
                <w:fitText w:val="220" w:id="-893204209"/>
                <w14:textFill>
                  <w14:solidFill>
                    <w14:srgbClr w14:val="000000">
                      <w14:alpha w14:val="100000"/>
                    </w14:srgbClr>
                  </w14:solidFill>
                </w14:textFill>
              </w:rPr>
              <w:t>|</w:t>
            </w:r>
            <w:r w:rsidRPr="00906ED7">
              <w:rPr>
                <w:szCs w:val="20"/>
              </w:rPr>
              <w:t>%</w:t>
            </w:r>
          </w:p>
        </w:tc>
      </w:tr>
      <w:tr w:rsidR="0097060F" w:rsidRPr="00906ED7" w14:paraId="7F252A54" w14:textId="77777777" w:rsidTr="003663C0">
        <w:trPr>
          <w:trHeight w:val="113"/>
        </w:trPr>
        <w:tc>
          <w:tcPr>
            <w:tcW w:w="9029" w:type="dxa"/>
            <w:gridSpan w:val="5"/>
            <w:tcMar>
              <w:top w:w="0" w:type="dxa"/>
              <w:left w:w="28" w:type="dxa"/>
              <w:bottom w:w="0" w:type="dxa"/>
              <w:right w:w="28" w:type="dxa"/>
            </w:tcMar>
          </w:tcPr>
          <w:p w14:paraId="6B5A380D" w14:textId="61300E4F" w:rsidR="0097060F" w:rsidRPr="0097060F" w:rsidRDefault="0097060F" w:rsidP="003663C0">
            <w:pPr>
              <w:pStyle w:val="Tabletext0"/>
              <w:rPr>
                <w:b/>
                <w:bCs/>
                <w:szCs w:val="20"/>
              </w:rPr>
            </w:pPr>
            <w:r>
              <w:rPr>
                <w:b/>
                <w:bCs/>
                <w:szCs w:val="20"/>
              </w:rPr>
              <w:t>Multivariate sensitivity analyses</w:t>
            </w:r>
          </w:p>
        </w:tc>
      </w:tr>
      <w:tr w:rsidR="00506EB9" w:rsidRPr="00906ED7" w14:paraId="184F94F8" w14:textId="77777777" w:rsidTr="00080CC7">
        <w:trPr>
          <w:trHeight w:val="113"/>
        </w:trPr>
        <w:tc>
          <w:tcPr>
            <w:tcW w:w="5670" w:type="dxa"/>
            <w:tcMar>
              <w:top w:w="0" w:type="dxa"/>
              <w:left w:w="28" w:type="dxa"/>
              <w:bottom w:w="0" w:type="dxa"/>
              <w:right w:w="28" w:type="dxa"/>
            </w:tcMar>
          </w:tcPr>
          <w:p w14:paraId="2560EE7C" w14:textId="7D75424E" w:rsidR="00BB0E8D" w:rsidRPr="00906ED7" w:rsidRDefault="00BB0E8D" w:rsidP="003663C0">
            <w:pPr>
              <w:pStyle w:val="Tabletext0"/>
              <w:rPr>
                <w:szCs w:val="20"/>
              </w:rPr>
            </w:pPr>
            <w:r>
              <w:rPr>
                <w:szCs w:val="20"/>
              </w:rPr>
              <w:t xml:space="preserve">#1 + #2 + #3 </w:t>
            </w:r>
          </w:p>
        </w:tc>
        <w:tc>
          <w:tcPr>
            <w:tcW w:w="851" w:type="dxa"/>
            <w:tcMar>
              <w:top w:w="0" w:type="dxa"/>
              <w:left w:w="28" w:type="dxa"/>
              <w:bottom w:w="0" w:type="dxa"/>
              <w:right w:w="28" w:type="dxa"/>
            </w:tcMar>
            <w:vAlign w:val="center"/>
          </w:tcPr>
          <w:p w14:paraId="12A9DDC5" w14:textId="71E2844D" w:rsidR="00BB0E8D" w:rsidRPr="00906ED7" w:rsidRDefault="00BB0E8D" w:rsidP="003663C0">
            <w:pPr>
              <w:pStyle w:val="Tabletext0"/>
              <w:jc w:val="center"/>
              <w:rPr>
                <w:szCs w:val="20"/>
              </w:rPr>
            </w:pPr>
            <w:r>
              <w:rPr>
                <w:szCs w:val="20"/>
              </w:rPr>
              <w:t>$</w:t>
            </w:r>
            <w:r w:rsidR="0069051D" w:rsidRPr="0069051D">
              <w:rPr>
                <w:color w:val="000000"/>
                <w:spacing w:val="114"/>
                <w:szCs w:val="20"/>
                <w:shd w:val="solid" w:color="000000" w:fill="000000"/>
                <w:fitText w:val="200" w:id="-893204208"/>
                <w14:textFill>
                  <w14:solidFill>
                    <w14:srgbClr w14:val="000000">
                      <w14:alpha w14:val="100000"/>
                    </w14:srgbClr>
                  </w14:solidFill>
                </w14:textFill>
              </w:rPr>
              <w:t>|</w:t>
            </w:r>
            <w:r w:rsidR="0069051D" w:rsidRPr="0069051D">
              <w:rPr>
                <w:color w:val="000000"/>
                <w:spacing w:val="1"/>
                <w:szCs w:val="20"/>
                <w:shd w:val="solid" w:color="000000" w:fill="000000"/>
                <w:fitText w:val="200" w:id="-893204208"/>
                <w14:textFill>
                  <w14:solidFill>
                    <w14:srgbClr w14:val="000000">
                      <w14:alpha w14:val="100000"/>
                    </w14:srgbClr>
                  </w14:solidFill>
                </w14:textFill>
              </w:rPr>
              <w:t>|</w:t>
            </w:r>
          </w:p>
        </w:tc>
        <w:tc>
          <w:tcPr>
            <w:tcW w:w="709" w:type="dxa"/>
            <w:tcMar>
              <w:top w:w="0" w:type="dxa"/>
              <w:left w:w="28" w:type="dxa"/>
              <w:bottom w:w="0" w:type="dxa"/>
              <w:right w:w="28" w:type="dxa"/>
            </w:tcMar>
            <w:vAlign w:val="center"/>
          </w:tcPr>
          <w:p w14:paraId="19AD966D" w14:textId="1D3436FF" w:rsidR="00BB0E8D" w:rsidRPr="00906ED7" w:rsidRDefault="00BB0E8D" w:rsidP="003663C0">
            <w:pPr>
              <w:pStyle w:val="Tabletext0"/>
              <w:jc w:val="center"/>
              <w:rPr>
                <w:szCs w:val="20"/>
              </w:rPr>
            </w:pPr>
            <w:r>
              <w:rPr>
                <w:szCs w:val="20"/>
              </w:rPr>
              <w:t>0.46</w:t>
            </w:r>
          </w:p>
        </w:tc>
        <w:tc>
          <w:tcPr>
            <w:tcW w:w="850" w:type="dxa"/>
            <w:tcMar>
              <w:top w:w="0" w:type="dxa"/>
              <w:left w:w="28" w:type="dxa"/>
              <w:bottom w:w="0" w:type="dxa"/>
              <w:right w:w="28" w:type="dxa"/>
            </w:tcMar>
            <w:vAlign w:val="center"/>
          </w:tcPr>
          <w:p w14:paraId="33708E7E" w14:textId="49E00595" w:rsidR="00BB0E8D" w:rsidRPr="00906ED7" w:rsidRDefault="00BB0E8D" w:rsidP="003663C0">
            <w:pPr>
              <w:pStyle w:val="Tabletext0"/>
              <w:jc w:val="center"/>
              <w:rPr>
                <w:szCs w:val="20"/>
              </w:rPr>
            </w:pPr>
            <w:r>
              <w:rPr>
                <w:szCs w:val="20"/>
              </w:rPr>
              <w:t>$</w:t>
            </w:r>
            <w:r w:rsidR="0069051D" w:rsidRPr="0069051D">
              <w:rPr>
                <w:color w:val="000000"/>
                <w:spacing w:val="154"/>
                <w:szCs w:val="20"/>
                <w:shd w:val="solid" w:color="000000" w:fill="000000"/>
                <w:fitText w:val="240" w:id="-893204224"/>
                <w14:textFill>
                  <w14:solidFill>
                    <w14:srgbClr w14:val="000000">
                      <w14:alpha w14:val="100000"/>
                    </w14:srgbClr>
                  </w14:solidFill>
                </w14:textFill>
              </w:rPr>
              <w:t>|</w:t>
            </w:r>
            <w:r w:rsidR="0069051D" w:rsidRPr="0069051D">
              <w:rPr>
                <w:color w:val="000000"/>
                <w:spacing w:val="1"/>
                <w:szCs w:val="20"/>
                <w:shd w:val="solid" w:color="000000" w:fill="000000"/>
                <w:fitText w:val="240" w:id="-893204224"/>
                <w14:textFill>
                  <w14:solidFill>
                    <w14:srgbClr w14:val="000000">
                      <w14:alpha w14:val="100000"/>
                    </w14:srgbClr>
                  </w14:solidFill>
                </w14:textFill>
              </w:rPr>
              <w:t>|</w:t>
            </w:r>
            <w:r w:rsidR="00AF3E0F" w:rsidRPr="008B5889">
              <w:rPr>
                <w:b/>
                <w:bCs/>
                <w:szCs w:val="20"/>
                <w:vertAlign w:val="superscript"/>
              </w:rPr>
              <w:t xml:space="preserve"> </w:t>
            </w:r>
            <w:r w:rsidR="00AF3E0F">
              <w:rPr>
                <w:b/>
                <w:bCs/>
                <w:szCs w:val="20"/>
                <w:vertAlign w:val="superscript"/>
              </w:rPr>
              <w:t>5</w:t>
            </w:r>
          </w:p>
        </w:tc>
        <w:tc>
          <w:tcPr>
            <w:tcW w:w="949" w:type="dxa"/>
            <w:tcMar>
              <w:left w:w="28" w:type="dxa"/>
              <w:right w:w="28" w:type="dxa"/>
            </w:tcMar>
            <w:vAlign w:val="center"/>
          </w:tcPr>
          <w:p w14:paraId="001748C6" w14:textId="56CBF218" w:rsidR="00BB0E8D" w:rsidRPr="00906ED7" w:rsidRDefault="00BB0E8D" w:rsidP="003663C0">
            <w:pPr>
              <w:pStyle w:val="Tabletext0"/>
              <w:jc w:val="center"/>
              <w:rPr>
                <w:szCs w:val="20"/>
              </w:rPr>
            </w:pPr>
            <w:r>
              <w:t>+</w:t>
            </w:r>
            <w:r w:rsidR="0069051D" w:rsidRPr="0069051D">
              <w:rPr>
                <w:color w:val="000000"/>
                <w:spacing w:val="46"/>
                <w:shd w:val="solid" w:color="000000" w:fill="000000"/>
                <w:fitText w:val="220" w:id="-893204223"/>
                <w14:textFill>
                  <w14:solidFill>
                    <w14:srgbClr w14:val="000000">
                      <w14:alpha w14:val="100000"/>
                    </w14:srgbClr>
                  </w14:solidFill>
                </w14:textFill>
              </w:rPr>
              <w:t>||</w:t>
            </w:r>
            <w:r w:rsidR="0069051D" w:rsidRPr="0069051D">
              <w:rPr>
                <w:color w:val="000000"/>
                <w:spacing w:val="1"/>
                <w:shd w:val="solid" w:color="000000" w:fill="000000"/>
                <w:fitText w:val="220" w:id="-893204223"/>
                <w14:textFill>
                  <w14:solidFill>
                    <w14:srgbClr w14:val="000000">
                      <w14:alpha w14:val="100000"/>
                    </w14:srgbClr>
                  </w14:solidFill>
                </w14:textFill>
              </w:rPr>
              <w:t>|</w:t>
            </w:r>
            <w:r>
              <w:t>%</w:t>
            </w:r>
          </w:p>
        </w:tc>
      </w:tr>
    </w:tbl>
    <w:p w14:paraId="3182EF66" w14:textId="77777777" w:rsidR="00A90559" w:rsidRPr="00B162C2" w:rsidRDefault="00A90559" w:rsidP="00A42936">
      <w:pPr>
        <w:pStyle w:val="TableFigureFooter"/>
        <w:keepNext/>
        <w:keepLines/>
      </w:pPr>
      <w:r w:rsidRPr="00B162C2">
        <w:t>Source: Table 3.9-1, pp169-170 of the submission</w:t>
      </w:r>
    </w:p>
    <w:p w14:paraId="0726F05A" w14:textId="77777777" w:rsidR="00A90559" w:rsidRPr="00B162C2" w:rsidRDefault="00A90559" w:rsidP="00A42936">
      <w:pPr>
        <w:pStyle w:val="TableFigureFooter"/>
        <w:keepNext/>
        <w:keepLines/>
      </w:pPr>
      <w:r w:rsidRPr="00B162C2">
        <w:t>Abbreviations: HR, hazard ration; ICER, incremental cost effectiveness ratio; IVIg, intravenous immunoglobulin; MG-ADL, Myasthenia Gravis Activities of Daily Living; PLEX, plasma exchange; QALY, quality adjusted life year; RCT, randomised controlled trial</w:t>
      </w:r>
    </w:p>
    <w:p w14:paraId="3D145F4E" w14:textId="4E570203" w:rsidR="00A90559" w:rsidRDefault="00A90559" w:rsidP="00A42936">
      <w:pPr>
        <w:pStyle w:val="TableFigureFooter"/>
        <w:keepNext/>
        <w:keepLines/>
        <w:spacing w:after="0"/>
      </w:pPr>
      <w:r w:rsidRPr="00B162C2">
        <w:rPr>
          <w:vertAlign w:val="superscript"/>
        </w:rPr>
        <w:t>a</w:t>
      </w:r>
      <w:r w:rsidRPr="00B162C2">
        <w:t xml:space="preserve"> Instead of discontinuing, patients in the exacerbation on-treatment health state were allowed to return to the responder on-treatment state after an exacerbation.</w:t>
      </w:r>
    </w:p>
    <w:p w14:paraId="748D667A" w14:textId="77777777" w:rsidR="0098350F" w:rsidRPr="009A6D58" w:rsidRDefault="0098350F" w:rsidP="00A42936">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FA159F7" w14:textId="75E481C0" w:rsidR="0098350F" w:rsidRPr="009A6D58" w:rsidRDefault="0098350F" w:rsidP="00A42936">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4360BD" w:rsidRPr="004360BD">
        <w:rPr>
          <w:rFonts w:ascii="Arial Narrow" w:hAnsi="Arial Narrow"/>
          <w:i/>
          <w:sz w:val="18"/>
          <w:szCs w:val="18"/>
        </w:rPr>
        <w:t>$255,000 to &lt; $355,000</w:t>
      </w:r>
    </w:p>
    <w:p w14:paraId="1C055E7B" w14:textId="7B34F86D" w:rsidR="0098350F" w:rsidRPr="009A6D58" w:rsidRDefault="0098350F" w:rsidP="00A42936">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307489" w:rsidRPr="00307489">
        <w:rPr>
          <w:rFonts w:ascii="Arial Narrow" w:hAnsi="Arial Narrow"/>
          <w:i/>
          <w:sz w:val="18"/>
          <w:szCs w:val="18"/>
        </w:rPr>
        <w:t>$155,000 to &lt; $255,000</w:t>
      </w:r>
    </w:p>
    <w:p w14:paraId="15065101" w14:textId="11DA0382" w:rsidR="0098350F" w:rsidRDefault="0098350F" w:rsidP="00A42936">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BA3C0F" w:rsidRPr="00BA3C0F">
        <w:rPr>
          <w:rFonts w:ascii="Arial Narrow" w:hAnsi="Arial Narrow"/>
          <w:i/>
          <w:sz w:val="18"/>
          <w:szCs w:val="18"/>
        </w:rPr>
        <w:t>$355,000 to &lt; $455,000</w:t>
      </w:r>
    </w:p>
    <w:p w14:paraId="2E5E4F4F" w14:textId="5F3F524A" w:rsidR="0098350F" w:rsidRDefault="0098350F" w:rsidP="00A42936">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BA3C0F" w:rsidRPr="00BA3C0F">
        <w:rPr>
          <w:rFonts w:ascii="Arial Narrow" w:hAnsi="Arial Narrow"/>
          <w:i/>
          <w:sz w:val="18"/>
          <w:szCs w:val="18"/>
        </w:rPr>
        <w:t>$455,000 to &lt; $555,000</w:t>
      </w:r>
    </w:p>
    <w:p w14:paraId="575E61A3" w14:textId="27B4BC3F" w:rsidR="0098350F" w:rsidRPr="00B162C2" w:rsidRDefault="0098350F" w:rsidP="00410EEF">
      <w:pPr>
        <w:spacing w:after="120"/>
      </w:pPr>
      <w:r>
        <w:rPr>
          <w:rFonts w:ascii="Arial Narrow" w:hAnsi="Arial Narrow"/>
          <w:i/>
          <w:sz w:val="18"/>
          <w:szCs w:val="18"/>
          <w:vertAlign w:val="superscript"/>
        </w:rPr>
        <w:t>5</w:t>
      </w:r>
      <w:r>
        <w:rPr>
          <w:rFonts w:ascii="Arial Narrow" w:hAnsi="Arial Narrow"/>
          <w:i/>
          <w:sz w:val="18"/>
          <w:szCs w:val="18"/>
        </w:rPr>
        <w:t xml:space="preserve"> </w:t>
      </w:r>
      <w:r w:rsidR="00410EEF" w:rsidRPr="00410EEF">
        <w:rPr>
          <w:rFonts w:ascii="Arial Narrow" w:hAnsi="Arial Narrow"/>
          <w:i/>
          <w:sz w:val="18"/>
          <w:szCs w:val="18"/>
        </w:rPr>
        <w:t>$555,000 to &lt; $655,000</w:t>
      </w:r>
    </w:p>
    <w:p w14:paraId="53514E19" w14:textId="4FD9886F" w:rsidR="00A90559" w:rsidRPr="00906ED7" w:rsidRDefault="00A90559" w:rsidP="00624E9F">
      <w:pPr>
        <w:pStyle w:val="3-BodyText"/>
      </w:pPr>
      <w:r w:rsidRPr="00906ED7">
        <w:t>The results of the sensitivity analyses indicate that the model is most sensitive to time horizon, treatment setting, exacerbation rate (primarily due to event costs and the link with treatment discontinuations), change in MG-ADL scores over time, high-dose corticosteroid disutility and the cost of chronic IVIg.</w:t>
      </w:r>
    </w:p>
    <w:p w14:paraId="3D2210FA" w14:textId="27CE3FF8" w:rsidR="00A90559" w:rsidRPr="00906ED7" w:rsidRDefault="00A90559" w:rsidP="00624E9F">
      <w:pPr>
        <w:pStyle w:val="3-BodyText"/>
      </w:pPr>
      <w:r w:rsidRPr="00906ED7">
        <w:t xml:space="preserve">However, due to the limitations of the model structure and data inputs it was not possible to assess the impact of different modelled patient populations (with different functional impairment criteria) or different response definitions (MGC </w:t>
      </w:r>
      <w:r w:rsidR="00F743E7" w:rsidRPr="00906ED7">
        <w:t>≥</w:t>
      </w:r>
      <w:r w:rsidRPr="00906ED7">
        <w:t xml:space="preserve"> 3, QMG </w:t>
      </w:r>
      <w:r w:rsidR="008B33E2" w:rsidRPr="00906ED7">
        <w:t>≥</w:t>
      </w:r>
      <w:r w:rsidR="008B33E2">
        <w:t> </w:t>
      </w:r>
      <w:r w:rsidRPr="00906ED7">
        <w:t>5 reduction from baseline; the proportion of patients achieving minimal manifestations of disease).</w:t>
      </w:r>
    </w:p>
    <w:p w14:paraId="472842D7" w14:textId="74DCE9EE" w:rsidR="00C25D9C" w:rsidRPr="00252E77" w:rsidRDefault="00A90559" w:rsidP="00624E9F">
      <w:pPr>
        <w:pStyle w:val="4-SubsectionHeading"/>
      </w:pPr>
      <w:bookmarkStart w:id="90" w:name="_Toc22897646"/>
      <w:bookmarkStart w:id="91" w:name="_Toc167199653"/>
      <w:r w:rsidRPr="00B162C2">
        <w:t>Drug cost/patient</w:t>
      </w:r>
      <w:r w:rsidR="00C25D9C" w:rsidRPr="00B162C2">
        <w:t>/yea</w:t>
      </w:r>
      <w:r w:rsidR="00C25D9C" w:rsidRPr="00252E77">
        <w:t>r</w:t>
      </w:r>
      <w:bookmarkEnd w:id="90"/>
      <w:bookmarkEnd w:id="91"/>
    </w:p>
    <w:p w14:paraId="0DDB6FCD" w14:textId="77777777" w:rsidR="00252E77" w:rsidRPr="00624E9F" w:rsidRDefault="00252E77" w:rsidP="00624E9F">
      <w:pPr>
        <w:pStyle w:val="3-BodyText"/>
      </w:pPr>
      <w:bookmarkStart w:id="92" w:name="_Ref104805102"/>
      <w:r w:rsidRPr="00624E9F">
        <w:t>The calculation of zilucoplan drug costs was consistent between the economic and budget impact models.</w:t>
      </w:r>
    </w:p>
    <w:p w14:paraId="48824041" w14:textId="550C783F" w:rsidR="00252E77" w:rsidRPr="00624E9F" w:rsidRDefault="00252E77" w:rsidP="00624E9F">
      <w:pPr>
        <w:pStyle w:val="3-BodyText"/>
      </w:pPr>
      <w:r w:rsidRPr="00624E9F">
        <w:t>The estimated drug cost for zilucoplan in the first year of treatment was $</w:t>
      </w:r>
      <w:r w:rsidR="0069051D" w:rsidRPr="0069051D">
        <w:rPr>
          <w:color w:val="000000"/>
          <w:w w:val="60"/>
          <w:shd w:val="solid" w:color="000000" w:fill="000000"/>
          <w:fitText w:val="470" w:id="-893204222"/>
          <w14:textFill>
            <w14:solidFill>
              <w14:srgbClr w14:val="000000">
                <w14:alpha w14:val="100000"/>
              </w14:srgbClr>
            </w14:solidFill>
          </w14:textFill>
        </w:rPr>
        <w:t>|||  ||</w:t>
      </w:r>
      <w:r w:rsidR="0069051D" w:rsidRPr="0069051D">
        <w:rPr>
          <w:color w:val="000000"/>
          <w:spacing w:val="6"/>
          <w:w w:val="60"/>
          <w:shd w:val="solid" w:color="000000" w:fill="000000"/>
          <w:fitText w:val="470" w:id="-893204222"/>
          <w14:textFill>
            <w14:solidFill>
              <w14:srgbClr w14:val="000000">
                <w14:alpha w14:val="100000"/>
              </w14:srgbClr>
            </w14:solidFill>
          </w14:textFill>
        </w:rPr>
        <w:t>|</w:t>
      </w:r>
      <w:r w:rsidRPr="00624E9F">
        <w:t xml:space="preserve"> (based on patients receiving 1 × Section 100 initial script and 12 × Section 85 continuation scripts, assuming the same distribution of patients across weight categories as the RAISE trial and using the effective AEMP of $</w:t>
      </w:r>
      <w:r w:rsidR="0069051D" w:rsidRPr="00BD6FFA">
        <w:rPr>
          <w:color w:val="000000"/>
          <w:w w:val="15"/>
          <w:shd w:val="solid" w:color="000000" w:fill="000000"/>
          <w:fitText w:val="-20" w:id="-893204221"/>
          <w14:textFill>
            <w14:solidFill>
              <w14:srgbClr w14:val="000000">
                <w14:alpha w14:val="100000"/>
              </w14:srgbClr>
            </w14:solidFill>
          </w14:textFill>
        </w:rPr>
        <w:t xml:space="preserve">|  </w:t>
      </w:r>
      <w:r w:rsidR="0069051D" w:rsidRPr="00BD6FFA">
        <w:rPr>
          <w:color w:val="000000"/>
          <w:spacing w:val="-69"/>
          <w:w w:val="15"/>
          <w:shd w:val="solid" w:color="000000" w:fill="000000"/>
          <w:fitText w:val="-20" w:id="-893204221"/>
          <w14:textFill>
            <w14:solidFill>
              <w14:srgbClr w14:val="000000">
                <w14:alpha w14:val="100000"/>
              </w14:srgbClr>
            </w14:solidFill>
          </w14:textFill>
        </w:rPr>
        <w:t>|</w:t>
      </w:r>
      <w:r w:rsidRPr="00624E9F">
        <w:t xml:space="preserve"> per mg with appropriate fees and markups). The estimated drug costs for zilucoplan in subsequent years was $</w:t>
      </w:r>
      <w:r w:rsidR="0069051D" w:rsidRPr="00BD6FFA">
        <w:rPr>
          <w:color w:val="000000"/>
          <w:w w:val="15"/>
          <w:shd w:val="solid" w:color="000000" w:fill="000000"/>
          <w:fitText w:val="-20" w:id="-893204220"/>
          <w14:textFill>
            <w14:solidFill>
              <w14:srgbClr w14:val="000000">
                <w14:alpha w14:val="100000"/>
              </w14:srgbClr>
            </w14:solidFill>
          </w14:textFill>
        </w:rPr>
        <w:t xml:space="preserve">|  </w:t>
      </w:r>
      <w:r w:rsidR="0069051D" w:rsidRPr="00BD6FFA">
        <w:rPr>
          <w:color w:val="000000"/>
          <w:spacing w:val="-69"/>
          <w:w w:val="15"/>
          <w:shd w:val="solid" w:color="000000" w:fill="000000"/>
          <w:fitText w:val="-20" w:id="-893204220"/>
          <w14:textFill>
            <w14:solidFill>
              <w14:srgbClr w14:val="000000">
                <w14:alpha w14:val="100000"/>
              </w14:srgbClr>
            </w14:solidFill>
          </w14:textFill>
        </w:rPr>
        <w:t>|</w:t>
      </w:r>
      <w:r w:rsidRPr="00624E9F">
        <w:t xml:space="preserve"> (based on patients receiving 13 × Section 85 continuation scripts with the same assumptions as the first</w:t>
      </w:r>
      <w:r w:rsidR="00803057" w:rsidRPr="00624E9F">
        <w:t>-</w:t>
      </w:r>
      <w:r w:rsidRPr="00624E9F">
        <w:t>year calculations).</w:t>
      </w:r>
      <w:r w:rsidR="00DF1778" w:rsidRPr="00624E9F">
        <w:t xml:space="preserve"> </w:t>
      </w:r>
      <w:r w:rsidR="00E15BFB" w:rsidRPr="00624E9F">
        <w:t xml:space="preserve">The ESC noted that the average time </w:t>
      </w:r>
      <w:r w:rsidR="00DF1778" w:rsidRPr="00624E9F">
        <w:t xml:space="preserve">on </w:t>
      </w:r>
      <w:r w:rsidR="00E15BFB" w:rsidRPr="00624E9F">
        <w:t xml:space="preserve">zilucoplan treatment </w:t>
      </w:r>
      <w:r w:rsidR="00DF1778" w:rsidRPr="00624E9F">
        <w:t xml:space="preserve">estimated in </w:t>
      </w:r>
      <w:r w:rsidR="00E15BFB" w:rsidRPr="00624E9F">
        <w:t xml:space="preserve">the economic </w:t>
      </w:r>
      <w:r w:rsidR="00DF1778" w:rsidRPr="00624E9F">
        <w:t xml:space="preserve">model was </w:t>
      </w:r>
      <w:r w:rsidR="00DF1778" w:rsidRPr="00FA5AC5">
        <w:t xml:space="preserve">4.9 </w:t>
      </w:r>
      <w:r w:rsidR="00DF1778" w:rsidRPr="00624E9F">
        <w:t>years.</w:t>
      </w:r>
    </w:p>
    <w:p w14:paraId="3DBFE151" w14:textId="35485DFA" w:rsidR="00494207" w:rsidRPr="00624E9F" w:rsidRDefault="00252E77" w:rsidP="00624E9F">
      <w:pPr>
        <w:pStyle w:val="3-BodyText"/>
      </w:pPr>
      <w:r w:rsidRPr="00624E9F">
        <w:t>The estimated annual drug cost for standard therapy (anticholinesterases, corticosteroids and other immunosuppressive agents) was $1,472 per year and for escalated standard therapy (including rituximab) was $3,328 per year</w:t>
      </w:r>
      <w:bookmarkStart w:id="93" w:name="_Hlk171423478"/>
      <w:r w:rsidRPr="00624E9F">
        <w:t xml:space="preserve">. </w:t>
      </w:r>
      <w:bookmarkStart w:id="94" w:name="_Hlk171421596"/>
      <w:r w:rsidRPr="00624E9F">
        <w:t xml:space="preserve">The estimated annual cost </w:t>
      </w:r>
      <w:r w:rsidR="00006275" w:rsidRPr="00624E9F">
        <w:t xml:space="preserve">(as estimated in the submission’s economic model) </w:t>
      </w:r>
      <w:r w:rsidRPr="00624E9F">
        <w:t>for chronic IVIg therapy (including procedure costs) was $</w:t>
      </w:r>
      <w:r w:rsidR="00BD6FFA" w:rsidRPr="00BD6FFA">
        <w:rPr>
          <w:highlight w:val="black"/>
        </w:rPr>
        <w:t>&amp;&amp;&amp;&amp;</w:t>
      </w:r>
      <w:r w:rsidRPr="00624E9F">
        <w:t xml:space="preserve"> in the first year and $</w:t>
      </w:r>
      <w:r w:rsidR="00BD6FFA" w:rsidRPr="00BD6FFA">
        <w:rPr>
          <w:highlight w:val="black"/>
        </w:rPr>
        <w:t>&amp;&amp;&amp;&amp;</w:t>
      </w:r>
      <w:r w:rsidRPr="00624E9F">
        <w:t xml:space="preserve"> in subsequent years</w:t>
      </w:r>
      <w:r w:rsidR="00947EA0" w:rsidRPr="00624E9F">
        <w:t xml:space="preserve"> (based on a full 12 months of treatment)</w:t>
      </w:r>
      <w:r w:rsidRPr="00624E9F">
        <w:t xml:space="preserve">. </w:t>
      </w:r>
      <w:bookmarkEnd w:id="93"/>
      <w:r w:rsidR="00006275" w:rsidRPr="00624E9F">
        <w:t>However, the ESC noted the average modelled IVIg dose per year (</w:t>
      </w:r>
      <w:r w:rsidR="00006275" w:rsidRPr="00FA5AC5">
        <w:t xml:space="preserve">1,247 g </w:t>
      </w:r>
      <w:r w:rsidR="00006275" w:rsidRPr="00624E9F">
        <w:t xml:space="preserve">per patient in the initiating year and </w:t>
      </w:r>
      <w:r w:rsidR="00006275" w:rsidRPr="00FA5AC5">
        <w:t xml:space="preserve">1,114 g </w:t>
      </w:r>
      <w:r w:rsidR="00006275" w:rsidRPr="00624E9F">
        <w:t xml:space="preserve">per patient in subsequent years) was substantially higher than estimated using Australian utilisation data (492 g per patient; MSAC Assessment Report 1566 </w:t>
      </w:r>
      <w:r w:rsidR="008B33E2" w:rsidRPr="00624E9F">
        <w:t>April</w:t>
      </w:r>
      <w:r w:rsidR="008B33E2">
        <w:t> </w:t>
      </w:r>
      <w:r w:rsidR="00006275" w:rsidRPr="00624E9F">
        <w:t xml:space="preserve">2020 MSAC meeting). </w:t>
      </w:r>
      <w:bookmarkEnd w:id="94"/>
      <w:r w:rsidRPr="00624E9F">
        <w:t xml:space="preserve">The estimated annual cost for chronic PLEX (including procedure costs) was </w:t>
      </w:r>
      <w:r w:rsidRPr="009F6E79">
        <w:t>$</w:t>
      </w:r>
      <w:r w:rsidR="0069051D" w:rsidRPr="00BD6FFA">
        <w:rPr>
          <w:color w:val="000000"/>
          <w:w w:val="15"/>
          <w:shd w:val="solid" w:color="000000" w:fill="000000"/>
          <w:fitText w:val="-20" w:id="-893204219"/>
          <w14:textFill>
            <w14:solidFill>
              <w14:srgbClr w14:val="000000">
                <w14:alpha w14:val="100000"/>
              </w14:srgbClr>
            </w14:solidFill>
          </w14:textFill>
        </w:rPr>
        <w:t xml:space="preserve">|  </w:t>
      </w:r>
      <w:r w:rsidR="0069051D" w:rsidRPr="00BD6FFA">
        <w:rPr>
          <w:color w:val="000000"/>
          <w:spacing w:val="-69"/>
          <w:w w:val="15"/>
          <w:shd w:val="solid" w:color="000000" w:fill="000000"/>
          <w:fitText w:val="-20" w:id="-893204219"/>
          <w14:textFill>
            <w14:solidFill>
              <w14:srgbClr w14:val="000000">
                <w14:alpha w14:val="100000"/>
              </w14:srgbClr>
            </w14:solidFill>
          </w14:textFill>
        </w:rPr>
        <w:t>|</w:t>
      </w:r>
      <w:r w:rsidRPr="00624E9F">
        <w:t xml:space="preserve">in the first year and </w:t>
      </w:r>
      <w:r w:rsidRPr="009F6E79">
        <w:t>$</w:t>
      </w:r>
      <w:r w:rsidR="0069051D" w:rsidRPr="00BD6FFA">
        <w:rPr>
          <w:color w:val="000000"/>
          <w:w w:val="15"/>
          <w:shd w:val="solid" w:color="000000" w:fill="000000"/>
          <w:fitText w:val="-20" w:id="-893204218"/>
          <w14:textFill>
            <w14:solidFill>
              <w14:srgbClr w14:val="000000">
                <w14:alpha w14:val="100000"/>
              </w14:srgbClr>
            </w14:solidFill>
          </w14:textFill>
        </w:rPr>
        <w:t xml:space="preserve">|  </w:t>
      </w:r>
      <w:r w:rsidR="0069051D" w:rsidRPr="00BD6FFA">
        <w:rPr>
          <w:color w:val="000000"/>
          <w:spacing w:val="-69"/>
          <w:w w:val="15"/>
          <w:shd w:val="solid" w:color="000000" w:fill="000000"/>
          <w:fitText w:val="-20" w:id="-893204218"/>
          <w14:textFill>
            <w14:solidFill>
              <w14:srgbClr w14:val="000000">
                <w14:alpha w14:val="100000"/>
              </w14:srgbClr>
            </w14:solidFill>
          </w14:textFill>
        </w:rPr>
        <w:t>|</w:t>
      </w:r>
      <w:r w:rsidRPr="00624E9F">
        <w:t>in subsequent years (annual estimates corrected to include procedure costs associated with administering maintenance sessions)</w:t>
      </w:r>
      <w:bookmarkStart w:id="95" w:name="_Hlk107307804"/>
      <w:bookmarkEnd w:id="92"/>
      <w:r w:rsidRPr="00624E9F">
        <w:t>.</w:t>
      </w:r>
    </w:p>
    <w:p w14:paraId="2F2C04D2" w14:textId="3378E91D" w:rsidR="00882295" w:rsidRPr="00B162C2" w:rsidRDefault="00B60939" w:rsidP="00624E9F">
      <w:pPr>
        <w:pStyle w:val="4-SubsectionHeading"/>
      </w:pPr>
      <w:bookmarkStart w:id="96" w:name="_Toc22897647"/>
      <w:bookmarkStart w:id="97" w:name="_Toc167199654"/>
      <w:bookmarkEnd w:id="95"/>
      <w:r w:rsidRPr="00B162C2">
        <w:t>Estimated PBS usage &amp; financial implications</w:t>
      </w:r>
      <w:bookmarkEnd w:id="96"/>
      <w:bookmarkEnd w:id="97"/>
    </w:p>
    <w:p w14:paraId="56274FA3" w14:textId="74955535" w:rsidR="007F52A5" w:rsidRPr="00624E9F" w:rsidRDefault="007F52A5" w:rsidP="00624E9F">
      <w:pPr>
        <w:pStyle w:val="3-BodyText"/>
      </w:pPr>
      <w:r w:rsidRPr="00624E9F">
        <w:t>This submission was considered by DUSC.</w:t>
      </w:r>
    </w:p>
    <w:p w14:paraId="3D270B23" w14:textId="484B3458" w:rsidR="007F52A5" w:rsidRPr="00624E9F" w:rsidRDefault="007F52A5" w:rsidP="00624E9F">
      <w:pPr>
        <w:pStyle w:val="3-BodyText"/>
      </w:pPr>
      <w:r w:rsidRPr="00624E9F">
        <w:t xml:space="preserve">The submission used an epidemiological approach to estimate the utilisation and financial impacts of listing zilucoplan for the treatment of adult patients with AChR positive generalised myasthenia gravis who were using at least one immunosuppressive therapy. Key inputs relied on in the financial estimates are summarised in </w:t>
      </w:r>
      <w:r w:rsidRPr="00624E9F">
        <w:fldChar w:fldCharType="begin" w:fldLock="1"/>
      </w:r>
      <w:r w:rsidRPr="00624E9F">
        <w:instrText xml:space="preserve"> REF _Ref164685047 \h  \* MERGEFORMAT </w:instrText>
      </w:r>
      <w:r w:rsidRPr="00624E9F">
        <w:fldChar w:fldCharType="separate"/>
      </w:r>
      <w:r w:rsidR="00FC355E" w:rsidRPr="00B162C2">
        <w:t xml:space="preserve">Table </w:t>
      </w:r>
      <w:r w:rsidR="00FC355E">
        <w:t>17</w:t>
      </w:r>
      <w:r w:rsidRPr="00624E9F">
        <w:fldChar w:fldCharType="end"/>
      </w:r>
      <w:r w:rsidRPr="00624E9F">
        <w:t>.</w:t>
      </w:r>
    </w:p>
    <w:p w14:paraId="1DE31F46" w14:textId="2F8910E3" w:rsidR="007F52A5" w:rsidRDefault="007F52A5" w:rsidP="007F52A5">
      <w:pPr>
        <w:pStyle w:val="COMtablefigcaption"/>
      </w:pPr>
      <w:bookmarkStart w:id="98" w:name="_Ref164685047"/>
      <w:r w:rsidRPr="00B162C2">
        <w:t xml:space="preserve">Table </w:t>
      </w:r>
      <w:r w:rsidR="002F23E8">
        <w:fldChar w:fldCharType="begin" w:fldLock="1"/>
      </w:r>
      <w:r w:rsidR="002F23E8">
        <w:instrText xml:space="preserve"> SEQ Table \* ARABIC </w:instrText>
      </w:r>
      <w:r w:rsidR="002F23E8">
        <w:fldChar w:fldCharType="separate"/>
      </w:r>
      <w:r w:rsidR="00FC355E">
        <w:rPr>
          <w:noProof/>
        </w:rPr>
        <w:t>17</w:t>
      </w:r>
      <w:r w:rsidR="002F23E8">
        <w:rPr>
          <w:noProof/>
        </w:rPr>
        <w:fldChar w:fldCharType="end"/>
      </w:r>
      <w:bookmarkEnd w:id="98"/>
      <w:r w:rsidRPr="00B162C2">
        <w:t>: Key inputs for financial estimates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Key inputs for financial estimates"/>
      </w:tblPr>
      <w:tblGrid>
        <w:gridCol w:w="1160"/>
        <w:gridCol w:w="1350"/>
        <w:gridCol w:w="2305"/>
        <w:gridCol w:w="4201"/>
      </w:tblGrid>
      <w:tr w:rsidR="00A05A71" w:rsidRPr="007F52A5" w14:paraId="51A3245D" w14:textId="77777777" w:rsidTr="00BE10F4">
        <w:trPr>
          <w:cantSplit/>
          <w:tblHeader/>
        </w:trPr>
        <w:tc>
          <w:tcPr>
            <w:tcW w:w="1160" w:type="dxa"/>
            <w:vAlign w:val="center"/>
          </w:tcPr>
          <w:p w14:paraId="1F9E71B5" w14:textId="77777777" w:rsidR="00A05A71" w:rsidRPr="00A05A71" w:rsidRDefault="00A05A71" w:rsidP="00BE10F4">
            <w:pPr>
              <w:pStyle w:val="COMTableheadingrow"/>
              <w:keepNext w:val="0"/>
              <w:rPr>
                <w:lang w:val="en-AU"/>
              </w:rPr>
            </w:pPr>
            <w:r w:rsidRPr="00A05A71">
              <w:rPr>
                <w:lang w:val="en-AU"/>
              </w:rPr>
              <w:t>Data</w:t>
            </w:r>
          </w:p>
        </w:tc>
        <w:tc>
          <w:tcPr>
            <w:tcW w:w="1350" w:type="dxa"/>
            <w:vAlign w:val="center"/>
          </w:tcPr>
          <w:p w14:paraId="1C7CF48A" w14:textId="77777777" w:rsidR="00A05A71" w:rsidRPr="00A05A71" w:rsidRDefault="00A05A71" w:rsidP="00BE10F4">
            <w:pPr>
              <w:pStyle w:val="COMTableheadingrow"/>
              <w:keepNext w:val="0"/>
              <w:jc w:val="center"/>
              <w:rPr>
                <w:lang w:val="en-AU"/>
              </w:rPr>
            </w:pPr>
            <w:r w:rsidRPr="00A05A71">
              <w:rPr>
                <w:lang w:val="en-AU"/>
              </w:rPr>
              <w:t>Value</w:t>
            </w:r>
          </w:p>
        </w:tc>
        <w:tc>
          <w:tcPr>
            <w:tcW w:w="2305" w:type="dxa"/>
            <w:vAlign w:val="center"/>
          </w:tcPr>
          <w:p w14:paraId="00BE0610" w14:textId="77777777" w:rsidR="00A05A71" w:rsidRPr="00A05A71" w:rsidRDefault="00A05A71" w:rsidP="00BE10F4">
            <w:pPr>
              <w:pStyle w:val="COMTableheadingrow"/>
              <w:keepNext w:val="0"/>
              <w:jc w:val="center"/>
              <w:rPr>
                <w:lang w:val="en-AU"/>
              </w:rPr>
            </w:pPr>
            <w:r w:rsidRPr="00A05A71">
              <w:rPr>
                <w:lang w:val="en-AU"/>
              </w:rPr>
              <w:t>Source</w:t>
            </w:r>
          </w:p>
        </w:tc>
        <w:tc>
          <w:tcPr>
            <w:tcW w:w="4201" w:type="dxa"/>
            <w:vAlign w:val="center"/>
          </w:tcPr>
          <w:p w14:paraId="1009003C" w14:textId="77777777" w:rsidR="00A05A71" w:rsidRPr="00A05A71" w:rsidRDefault="00A05A71" w:rsidP="00BE10F4">
            <w:pPr>
              <w:pStyle w:val="COMTableheadingrow"/>
              <w:keepNext w:val="0"/>
              <w:jc w:val="center"/>
              <w:rPr>
                <w:lang w:val="en-AU"/>
              </w:rPr>
            </w:pPr>
            <w:r w:rsidRPr="00A05A71">
              <w:rPr>
                <w:lang w:val="en-AU"/>
              </w:rPr>
              <w:t>Comments</w:t>
            </w:r>
          </w:p>
          <w:p w14:paraId="06359BB5" w14:textId="3F8218B9" w:rsidR="00A05A71" w:rsidRPr="00A05A71" w:rsidRDefault="00A05A71" w:rsidP="00BE10F4">
            <w:pPr>
              <w:pStyle w:val="COMTableheadingrow"/>
              <w:keepNext w:val="0"/>
              <w:jc w:val="center"/>
              <w:rPr>
                <w:lang w:val="en-AU"/>
              </w:rPr>
            </w:pPr>
          </w:p>
        </w:tc>
      </w:tr>
      <w:tr w:rsidR="007F52A5" w:rsidRPr="007F52A5" w14:paraId="570BC61E" w14:textId="77777777" w:rsidTr="00BE10F4">
        <w:trPr>
          <w:cantSplit/>
        </w:trPr>
        <w:tc>
          <w:tcPr>
            <w:tcW w:w="9016" w:type="dxa"/>
            <w:gridSpan w:val="4"/>
            <w:vAlign w:val="center"/>
          </w:tcPr>
          <w:p w14:paraId="7AB6EF6B" w14:textId="77777777" w:rsidR="007F52A5" w:rsidRPr="00A05A71" w:rsidRDefault="007F52A5" w:rsidP="00BE10F4">
            <w:pPr>
              <w:pStyle w:val="COMTableheadingrow"/>
              <w:keepNext w:val="0"/>
              <w:rPr>
                <w:lang w:val="en-AU"/>
              </w:rPr>
            </w:pPr>
            <w:r w:rsidRPr="00A05A71">
              <w:rPr>
                <w:lang w:val="en-AU"/>
              </w:rPr>
              <w:t>Eligible population</w:t>
            </w:r>
          </w:p>
        </w:tc>
      </w:tr>
      <w:tr w:rsidR="00A05A71" w:rsidRPr="007F52A5" w14:paraId="7C362962" w14:textId="77777777" w:rsidTr="00BE10F4">
        <w:tc>
          <w:tcPr>
            <w:tcW w:w="1160" w:type="dxa"/>
          </w:tcPr>
          <w:p w14:paraId="519E9679" w14:textId="77777777" w:rsidR="00A05A71" w:rsidRPr="00A05A71" w:rsidRDefault="00A05A71" w:rsidP="00BE10F4">
            <w:pPr>
              <w:pStyle w:val="COMTabletext"/>
              <w:keepNext w:val="0"/>
            </w:pPr>
            <w:r w:rsidRPr="00A05A71">
              <w:t>Prevalence of myasthenia gravis</w:t>
            </w:r>
          </w:p>
        </w:tc>
        <w:tc>
          <w:tcPr>
            <w:tcW w:w="1350" w:type="dxa"/>
          </w:tcPr>
          <w:p w14:paraId="4BFF8496" w14:textId="72339F09" w:rsidR="00A05A71" w:rsidRPr="00A05A71" w:rsidRDefault="00A05A71" w:rsidP="00BE10F4">
            <w:pPr>
              <w:pStyle w:val="COMTabletext"/>
              <w:keepNext w:val="0"/>
              <w:jc w:val="center"/>
            </w:pPr>
            <w:r w:rsidRPr="00A05A71">
              <w:t>11.77 per 100,000 persons</w:t>
            </w:r>
          </w:p>
        </w:tc>
        <w:tc>
          <w:tcPr>
            <w:tcW w:w="2305" w:type="dxa"/>
          </w:tcPr>
          <w:p w14:paraId="248E4629" w14:textId="77777777" w:rsidR="00A05A71" w:rsidRPr="00A05A71" w:rsidRDefault="00A05A71" w:rsidP="00BE10F4">
            <w:pPr>
              <w:pStyle w:val="COMTabletext"/>
              <w:keepNext w:val="0"/>
            </w:pPr>
            <w:r w:rsidRPr="00A05A71">
              <w:t>Gattellari (2012). PBS dispensing data for pyridostigmine in 2009 were used to estimate the prevalence of treated myasthenia gravis in Australia. Patients with a history of fludrocortisone, midodrine and erythropoietin dispensing were excluded to prevent inadvertent inclusion of patients with orthostatic hypertension.</w:t>
            </w:r>
            <w:r w:rsidRPr="00A05A71">
              <w:rPr>
                <w:i/>
                <w:iCs/>
              </w:rPr>
              <w:t xml:space="preserve"> </w:t>
            </w:r>
            <w:r w:rsidRPr="00A05A71">
              <w:t>The submission noted that 99% of patients identified in the study were aged &gt; 15 years.</w:t>
            </w:r>
          </w:p>
        </w:tc>
        <w:tc>
          <w:tcPr>
            <w:tcW w:w="4201" w:type="dxa"/>
          </w:tcPr>
          <w:p w14:paraId="06D23866" w14:textId="7CFB4F04" w:rsidR="00A05A71" w:rsidRPr="00C213F5" w:rsidRDefault="00A05A71" w:rsidP="00BE10F4">
            <w:pPr>
              <w:pStyle w:val="COMTabletext"/>
              <w:keepNext w:val="0"/>
            </w:pPr>
            <w:r w:rsidRPr="00C213F5">
              <w:t xml:space="preserve">The </w:t>
            </w:r>
            <w:r w:rsidR="00C213F5" w:rsidRPr="00C213F5">
              <w:t xml:space="preserve">evaluation considered that </w:t>
            </w:r>
            <w:r w:rsidRPr="00C213F5">
              <w:t xml:space="preserve">Gattellari (2012) </w:t>
            </w:r>
            <w:r w:rsidR="00C213F5" w:rsidRPr="00C213F5">
              <w:t>was</w:t>
            </w:r>
            <w:r w:rsidRPr="00C213F5">
              <w:t xml:space="preserve"> likely to have underestimated the prevalence of myasthenia gravis in Australia, as not all diagnosed patients would have been receiving treatment with pyridostigmine. A national survey of Australian patients with myasthenia gravis conducted in 2021/2022 suggested that only 66.3% of patients (185/279) were receiving treatment with an anticholinesterase (Sansoni 2023).</w:t>
            </w:r>
          </w:p>
          <w:p w14:paraId="49CA6311" w14:textId="77777777" w:rsidR="00A05A71" w:rsidRPr="00C213F5" w:rsidRDefault="00A05A71" w:rsidP="00BE10F4">
            <w:pPr>
              <w:pStyle w:val="COMTabletext"/>
              <w:keepNext w:val="0"/>
            </w:pPr>
          </w:p>
          <w:p w14:paraId="74475DFC" w14:textId="77777777" w:rsidR="00A05A71" w:rsidRPr="00C213F5" w:rsidRDefault="00A05A71" w:rsidP="00BE10F4">
            <w:pPr>
              <w:pStyle w:val="COMTabletext"/>
              <w:keepNext w:val="0"/>
            </w:pPr>
            <w:r w:rsidRPr="00C213F5">
              <w:t>The Gattellari study was based on relatively old utilisation data and may not be representative of current practice. A systematic review of published epidemiology studies (Salari 2021) suggested that prevalence rates are increasing with more recent estimates ranging from 20 to 47 per 100,000 persons, due to greater awareness of the disease and improvements in diagnostic testing.</w:t>
            </w:r>
          </w:p>
          <w:p w14:paraId="70ED9271" w14:textId="77777777" w:rsidR="00A05A71" w:rsidRPr="00C213F5" w:rsidRDefault="00A05A71" w:rsidP="00BE10F4">
            <w:pPr>
              <w:pStyle w:val="COMTabletext"/>
              <w:keepNext w:val="0"/>
            </w:pPr>
          </w:p>
          <w:p w14:paraId="6517E9AB" w14:textId="77777777" w:rsidR="00A05A71" w:rsidRPr="00C213F5" w:rsidRDefault="00A05A71" w:rsidP="00BE10F4">
            <w:pPr>
              <w:pStyle w:val="COMTabletext"/>
              <w:keepNext w:val="0"/>
            </w:pPr>
            <w:r w:rsidRPr="00C213F5">
              <w:t>The assumption of a constant prevalence rate over time was not adequately justified.</w:t>
            </w:r>
          </w:p>
          <w:p w14:paraId="616C1F42" w14:textId="77777777" w:rsidR="00A05A71" w:rsidRPr="00C213F5" w:rsidRDefault="00A05A71" w:rsidP="00BE10F4">
            <w:pPr>
              <w:pStyle w:val="COMTabletext"/>
              <w:keepNext w:val="0"/>
            </w:pPr>
          </w:p>
          <w:p w14:paraId="0BF81486" w14:textId="3B173CC8" w:rsidR="00A05A71" w:rsidRPr="00C213F5" w:rsidRDefault="00A05A71" w:rsidP="00A05A71">
            <w:pPr>
              <w:pStyle w:val="COMTabletext"/>
              <w:keepNext w:val="0"/>
            </w:pPr>
            <w:r w:rsidRPr="00C213F5">
              <w:t xml:space="preserve">DUSC agreed with the </w:t>
            </w:r>
            <w:r w:rsidR="00C213F5" w:rsidRPr="00C213F5">
              <w:t xml:space="preserve">evaluation </w:t>
            </w:r>
            <w:r w:rsidRPr="00C213F5">
              <w:t>that the prevalence of myasthenia gravis was underestimated noting:</w:t>
            </w:r>
          </w:p>
          <w:p w14:paraId="47382196" w14:textId="77777777" w:rsidR="00A05A71" w:rsidRPr="00C213F5" w:rsidRDefault="00A05A71" w:rsidP="00495F0E">
            <w:pPr>
              <w:pStyle w:val="Intablebulletpoint"/>
            </w:pPr>
            <w:r w:rsidRPr="00C213F5">
              <w:t>Cross-sectional usage of pyridostigmine (2009) will clearly underestimate MG</w:t>
            </w:r>
          </w:p>
          <w:p w14:paraId="4F6D4737" w14:textId="77777777" w:rsidR="00A05A71" w:rsidRPr="00C213F5" w:rsidRDefault="00A05A71" w:rsidP="00495F0E">
            <w:pPr>
              <w:pStyle w:val="Intablebulletpoint"/>
            </w:pPr>
            <w:r w:rsidRPr="00C213F5">
              <w:t>Contemporary practice probably has had progressively better detection over last 20-30 years (Breiner 2015)</w:t>
            </w:r>
          </w:p>
          <w:p w14:paraId="2E51ED03" w14:textId="77777777" w:rsidR="00A05A71" w:rsidRPr="00C213F5" w:rsidRDefault="00A05A71" w:rsidP="00495F0E">
            <w:pPr>
              <w:pStyle w:val="Intablebulletpoint"/>
            </w:pPr>
            <w:r w:rsidRPr="00C213F5">
              <w:t>Salari 2021 from a variety of different settings/ages contemporaneous comparable health systems (Canada, Spain, Sweden) suggest approx. 20-35 per 100,000</w:t>
            </w:r>
          </w:p>
          <w:p w14:paraId="17FE5260" w14:textId="77777777" w:rsidR="00A05A71" w:rsidRPr="00C213F5" w:rsidRDefault="00A05A71" w:rsidP="00A05A71">
            <w:pPr>
              <w:pStyle w:val="COMTabletext"/>
            </w:pPr>
          </w:p>
          <w:p w14:paraId="12AAEEE4" w14:textId="22E8FC64" w:rsidR="00A05A71" w:rsidRPr="00C213F5" w:rsidRDefault="00A05A71" w:rsidP="00A05A71">
            <w:pPr>
              <w:pStyle w:val="COMTabletext"/>
            </w:pPr>
            <w:r w:rsidRPr="00C213F5">
              <w:t>The PSCR (p4) commented that “g</w:t>
            </w:r>
            <w:r w:rsidRPr="00C213F5">
              <w:rPr>
                <w:rFonts w:eastAsia="Aptos" w:cs="Calibri"/>
              </w:rPr>
              <w:t xml:space="preserve">iven the uncertainty around the prevalence of MG and specifically gMG, the submission presented sensitivity analyses using estimates from international epidemiological studies prevalence ranged from 11.4 to 46.5 per 100,000). </w:t>
            </w:r>
          </w:p>
          <w:p w14:paraId="429B5547" w14:textId="77777777" w:rsidR="00A05A71" w:rsidRPr="00C213F5" w:rsidRDefault="00A05A71" w:rsidP="00A05A71">
            <w:pPr>
              <w:pStyle w:val="COMTabletext"/>
            </w:pPr>
          </w:p>
          <w:p w14:paraId="54CCB4B2" w14:textId="23304CD7" w:rsidR="00A05A71" w:rsidRPr="00C213F5" w:rsidRDefault="00A05A71" w:rsidP="00A05A71">
            <w:pPr>
              <w:pStyle w:val="COMTabletext"/>
            </w:pPr>
            <w:r w:rsidRPr="00C213F5">
              <w:t>DUSC noted recent prevalence estimates per 100,000 (published in 2024), which were not reflected in the sensitivity analyses:</w:t>
            </w:r>
          </w:p>
          <w:p w14:paraId="4C3CE3C2" w14:textId="77777777" w:rsidR="00A05A71" w:rsidRPr="00C213F5" w:rsidRDefault="00A05A71" w:rsidP="00A05A71">
            <w:pPr>
              <w:pStyle w:val="COMTabletext"/>
            </w:pPr>
            <w:r w:rsidRPr="00C213F5">
              <w:t>31.6 (US – Ye)</w:t>
            </w:r>
          </w:p>
          <w:p w14:paraId="56FA742C" w14:textId="77777777" w:rsidR="00A05A71" w:rsidRPr="00C213F5" w:rsidRDefault="00A05A71" w:rsidP="00A05A71">
            <w:pPr>
              <w:pStyle w:val="COMTabletext"/>
            </w:pPr>
            <w:r w:rsidRPr="00C213F5">
              <w:t>18.3 (Denmark – Vissing)</w:t>
            </w:r>
          </w:p>
          <w:p w14:paraId="6147AEFF" w14:textId="77777777" w:rsidR="00A05A71" w:rsidRPr="00C213F5" w:rsidRDefault="00A05A71" w:rsidP="00A05A71">
            <w:pPr>
              <w:pStyle w:val="COMTabletext"/>
            </w:pPr>
            <w:r w:rsidRPr="00C213F5">
              <w:t>20.8 (Finland – Vissing)</w:t>
            </w:r>
          </w:p>
          <w:p w14:paraId="161165E0" w14:textId="77777777" w:rsidR="00A05A71" w:rsidRPr="00C213F5" w:rsidRDefault="00A05A71" w:rsidP="00A05A71">
            <w:pPr>
              <w:pStyle w:val="COMTabletext"/>
            </w:pPr>
            <w:r w:rsidRPr="00C213F5">
              <w:t>23.4 (Sweden – Vissing)</w:t>
            </w:r>
          </w:p>
          <w:p w14:paraId="347DF1CE" w14:textId="77777777" w:rsidR="00A05A71" w:rsidRPr="00C213F5" w:rsidRDefault="00A05A71" w:rsidP="00A05A71">
            <w:pPr>
              <w:pStyle w:val="COMTabletext"/>
            </w:pPr>
            <w:r w:rsidRPr="00C213F5">
              <w:t>46.5 (France – Keovilayhong)</w:t>
            </w:r>
          </w:p>
          <w:p w14:paraId="5EB244D9" w14:textId="77777777" w:rsidR="00A05A71" w:rsidRPr="00C213F5" w:rsidRDefault="00A05A71" w:rsidP="00A05A71">
            <w:pPr>
              <w:pStyle w:val="COMTabletext"/>
            </w:pPr>
            <w:r w:rsidRPr="00C213F5">
              <w:t>24 (Taiwan – Tsai)</w:t>
            </w:r>
          </w:p>
          <w:p w14:paraId="21740D7D" w14:textId="5F38A304" w:rsidR="00A05A71" w:rsidRPr="00C213F5" w:rsidRDefault="00A05A71" w:rsidP="00BE10F4">
            <w:pPr>
              <w:pStyle w:val="COMTabletext"/>
            </w:pPr>
            <w:r w:rsidRPr="00C213F5">
              <w:t>39 (Germany – Mevius 2023)</w:t>
            </w:r>
          </w:p>
        </w:tc>
      </w:tr>
      <w:tr w:rsidR="00A05A71" w:rsidRPr="007F52A5" w14:paraId="0B8AE9F3" w14:textId="77777777" w:rsidTr="00BE10F4">
        <w:tc>
          <w:tcPr>
            <w:tcW w:w="1160" w:type="dxa"/>
          </w:tcPr>
          <w:p w14:paraId="44DE7E8D" w14:textId="77777777" w:rsidR="00A05A71" w:rsidRPr="00A05A71" w:rsidRDefault="00A05A71" w:rsidP="00BE10F4">
            <w:pPr>
              <w:pStyle w:val="COMTabletext"/>
              <w:keepNext w:val="0"/>
            </w:pPr>
            <w:r w:rsidRPr="00A05A71">
              <w:t>Proportion of myasthenia gravis that is generalised myasthenia gravis</w:t>
            </w:r>
          </w:p>
        </w:tc>
        <w:tc>
          <w:tcPr>
            <w:tcW w:w="1350" w:type="dxa"/>
          </w:tcPr>
          <w:p w14:paraId="26A9BB12" w14:textId="77777777" w:rsidR="00A05A71" w:rsidRPr="00A05A71" w:rsidRDefault="00A05A71" w:rsidP="00BE10F4">
            <w:pPr>
              <w:pStyle w:val="COMTabletext"/>
              <w:keepNext w:val="0"/>
              <w:jc w:val="center"/>
            </w:pPr>
            <w:r w:rsidRPr="00A05A71">
              <w:t>80.3%</w:t>
            </w:r>
          </w:p>
        </w:tc>
        <w:tc>
          <w:tcPr>
            <w:tcW w:w="2305" w:type="dxa"/>
          </w:tcPr>
          <w:p w14:paraId="587A5ED4" w14:textId="41691E58" w:rsidR="00A05A71" w:rsidRPr="00A05A71" w:rsidRDefault="00A05A71" w:rsidP="00BE10F4">
            <w:pPr>
              <w:pStyle w:val="COMTabletext"/>
              <w:keepNext w:val="0"/>
            </w:pPr>
            <w:r w:rsidRPr="00A05A71">
              <w:t>Li (2019). Retrospective review of medical records for 66 adults (45% female) with a diagnosis of myasthenia gravis confirmed by a neurologist between June 2007 and 2017 in a Melbourne hospital network. Thirteen patients (19.7%) were reported to have purely ocular disease. The submission assumed that the complement (80.3%) represented patients with generalised disease.</w:t>
            </w:r>
          </w:p>
        </w:tc>
        <w:tc>
          <w:tcPr>
            <w:tcW w:w="4201" w:type="dxa"/>
          </w:tcPr>
          <w:p w14:paraId="5D16B932" w14:textId="77777777" w:rsidR="00A05A71" w:rsidRPr="00C213F5" w:rsidRDefault="00A05A71" w:rsidP="00BE10F4">
            <w:pPr>
              <w:pStyle w:val="COMTabletext"/>
              <w:keepNext w:val="0"/>
            </w:pPr>
            <w:r w:rsidRPr="00A05A71">
              <w:t xml:space="preserve">The study sample size was relatively small, and it is unclear whether the Melbourne-based sample included a representative proportion of patients with generalised myasthenia gravis. Patients with purely ocular myasthenia gravis may subsequently progress to generalised </w:t>
            </w:r>
            <w:r w:rsidRPr="00C213F5">
              <w:t>myasthenia gravis.</w:t>
            </w:r>
          </w:p>
          <w:p w14:paraId="4BCBAB20" w14:textId="77777777" w:rsidR="00A05A71" w:rsidRPr="00C213F5" w:rsidRDefault="00A05A71" w:rsidP="00BE10F4">
            <w:pPr>
              <w:pStyle w:val="COMTabletext"/>
              <w:keepNext w:val="0"/>
            </w:pPr>
          </w:p>
          <w:p w14:paraId="48F8B622" w14:textId="4B7AAED4" w:rsidR="00A05A71" w:rsidRPr="00C213F5" w:rsidRDefault="00A05A71" w:rsidP="00A05A71">
            <w:pPr>
              <w:pStyle w:val="COMTabletext"/>
            </w:pPr>
            <w:r w:rsidRPr="00C213F5">
              <w:t>DUSC considered that the estimate was reasonable, noting a USA estimate of overall incidence at 6.8/year per 100,000 (Ye 2024) and historic ocular MG 1.13/year per 100,000 (Hendricks 2019).</w:t>
            </w:r>
          </w:p>
          <w:p w14:paraId="7617D673" w14:textId="77777777" w:rsidR="00A05A71" w:rsidRPr="007F52A5" w:rsidRDefault="00A05A71" w:rsidP="00A05A71">
            <w:pPr>
              <w:pStyle w:val="COMTabletext"/>
              <w:rPr>
                <w:i/>
                <w:iCs/>
                <w:highlight w:val="yellow"/>
              </w:rPr>
            </w:pPr>
          </w:p>
        </w:tc>
      </w:tr>
      <w:tr w:rsidR="00A05A71" w:rsidRPr="007F52A5" w14:paraId="6FFABB72" w14:textId="77777777" w:rsidTr="00BE10F4">
        <w:tc>
          <w:tcPr>
            <w:tcW w:w="1160" w:type="dxa"/>
          </w:tcPr>
          <w:p w14:paraId="6B3DBF9B" w14:textId="77777777" w:rsidR="00A05A71" w:rsidRPr="00A05A71" w:rsidRDefault="00A05A71" w:rsidP="00BE10F4">
            <w:pPr>
              <w:pStyle w:val="COMTabletext"/>
              <w:keepNext w:val="0"/>
            </w:pPr>
            <w:r w:rsidRPr="00A05A71">
              <w:t>Proportion of patients with generalised myasthenia gravis who are AChR+</w:t>
            </w:r>
          </w:p>
        </w:tc>
        <w:tc>
          <w:tcPr>
            <w:tcW w:w="1350" w:type="dxa"/>
          </w:tcPr>
          <w:p w14:paraId="3AEC7D38" w14:textId="77777777" w:rsidR="00A05A71" w:rsidRPr="00A05A71" w:rsidRDefault="00A05A71" w:rsidP="00BE10F4">
            <w:pPr>
              <w:pStyle w:val="COMTabletext"/>
              <w:keepNext w:val="0"/>
              <w:jc w:val="center"/>
            </w:pPr>
            <w:r w:rsidRPr="00A05A71">
              <w:t>85.57%</w:t>
            </w:r>
          </w:p>
        </w:tc>
        <w:tc>
          <w:tcPr>
            <w:tcW w:w="2305" w:type="dxa"/>
          </w:tcPr>
          <w:p w14:paraId="1D8C9401" w14:textId="77777777" w:rsidR="00A05A71" w:rsidRPr="00A05A71" w:rsidRDefault="00A05A71" w:rsidP="00BE10F4">
            <w:pPr>
              <w:pStyle w:val="COMTabletext"/>
              <w:keepNext w:val="0"/>
            </w:pPr>
            <w:r w:rsidRPr="00A05A71">
              <w:t>Pooled estimate derived from 12 studies identified in a literature search conducted for the submission. Estimates ranged from 42.1% to 98.2% across the studies.</w:t>
            </w:r>
          </w:p>
        </w:tc>
        <w:tc>
          <w:tcPr>
            <w:tcW w:w="4201" w:type="dxa"/>
          </w:tcPr>
          <w:p w14:paraId="4D39E65A" w14:textId="5929799A" w:rsidR="00A05A71" w:rsidRPr="00C213F5" w:rsidRDefault="00A05A71" w:rsidP="00A05A71">
            <w:pPr>
              <w:pStyle w:val="COMTabletext"/>
              <w:rPr>
                <w:iCs/>
              </w:rPr>
            </w:pPr>
            <w:r w:rsidRPr="00C213F5">
              <w:t>DUSC considered that the estimate was reasonable</w:t>
            </w:r>
            <w:r w:rsidRPr="00C213F5">
              <w:rPr>
                <w:iCs/>
              </w:rPr>
              <w:t>, noting that, of the pooled estimates, only two small studies estimated 42% and 53%. The others estimated 80-90%.</w:t>
            </w:r>
          </w:p>
          <w:p w14:paraId="4146EBBA" w14:textId="77777777" w:rsidR="00A05A71" w:rsidRPr="00C213F5" w:rsidRDefault="00A05A71" w:rsidP="00A05A71">
            <w:pPr>
              <w:pStyle w:val="COMTabletext"/>
              <w:rPr>
                <w:iCs/>
              </w:rPr>
            </w:pPr>
          </w:p>
          <w:p w14:paraId="58CE2106" w14:textId="469B2ED8" w:rsidR="00A05A71" w:rsidRPr="00C213F5" w:rsidRDefault="00A05A71" w:rsidP="00A05A71">
            <w:pPr>
              <w:pStyle w:val="COMTabletext"/>
              <w:rPr>
                <w:iCs/>
              </w:rPr>
            </w:pPr>
            <w:r w:rsidRPr="00C213F5">
              <w:rPr>
                <w:iCs/>
              </w:rPr>
              <w:t>DUSC stated that this estimate and the preceding estimates could be reasonably validated by</w:t>
            </w:r>
            <w:r w:rsidRPr="00C213F5">
              <w:rPr>
                <w:i/>
              </w:rPr>
              <w:t xml:space="preserve"> </w:t>
            </w:r>
            <w:r w:rsidRPr="00C213F5">
              <w:rPr>
                <w:iCs/>
              </w:rPr>
              <w:t>examining AChR+ results, knowing that:</w:t>
            </w:r>
          </w:p>
          <w:p w14:paraId="76D5D6F1" w14:textId="2A2CC047" w:rsidR="00A05A71" w:rsidRPr="00495F0E" w:rsidRDefault="00A05A71" w:rsidP="00495F0E">
            <w:pPr>
              <w:pStyle w:val="Intablebulletpoint"/>
            </w:pPr>
            <w:r w:rsidRPr="00495F0E">
              <w:t>the testing is centralised.</w:t>
            </w:r>
          </w:p>
          <w:p w14:paraId="07AE77F0" w14:textId="77777777" w:rsidR="003E10BA" w:rsidRPr="003E10BA" w:rsidRDefault="00A05A71" w:rsidP="00B80FE1">
            <w:pPr>
              <w:pStyle w:val="COMTabletext"/>
              <w:numPr>
                <w:ilvl w:val="0"/>
                <w:numId w:val="6"/>
              </w:numPr>
              <w:ind w:left="158" w:hanging="158"/>
              <w:rPr>
                <w:i/>
                <w:iCs/>
              </w:rPr>
            </w:pPr>
            <w:r w:rsidRPr="00C213F5">
              <w:rPr>
                <w:iCs/>
              </w:rPr>
              <w:t>there are few false positives (Maddison 2019).</w:t>
            </w:r>
          </w:p>
          <w:p w14:paraId="53293C4A" w14:textId="05B4E47E" w:rsidR="00A05A71" w:rsidRPr="00C213F5" w:rsidRDefault="00A05A71" w:rsidP="00B80FE1">
            <w:pPr>
              <w:pStyle w:val="COMTabletext"/>
              <w:numPr>
                <w:ilvl w:val="0"/>
                <w:numId w:val="6"/>
              </w:numPr>
              <w:ind w:left="158" w:hanging="158"/>
              <w:rPr>
                <w:i/>
                <w:iCs/>
              </w:rPr>
            </w:pPr>
            <w:r w:rsidRPr="00C213F5">
              <w:rPr>
                <w:iCs/>
              </w:rPr>
              <w:t>there is unlikely to be widespread duplicate testing.</w:t>
            </w:r>
          </w:p>
        </w:tc>
      </w:tr>
      <w:tr w:rsidR="00A05A71" w:rsidRPr="007F52A5" w14:paraId="46F39957" w14:textId="77777777" w:rsidTr="00BE10F4">
        <w:tc>
          <w:tcPr>
            <w:tcW w:w="1160" w:type="dxa"/>
          </w:tcPr>
          <w:p w14:paraId="00F5F915" w14:textId="77777777" w:rsidR="00A05A71" w:rsidRPr="00A05A71" w:rsidRDefault="00A05A71" w:rsidP="00BE10F4">
            <w:pPr>
              <w:pStyle w:val="COMTabletext"/>
              <w:keepNext w:val="0"/>
            </w:pPr>
            <w:r w:rsidRPr="00A05A71">
              <w:t>Proportion of patients who are MGFA Class II-IV</w:t>
            </w:r>
          </w:p>
        </w:tc>
        <w:tc>
          <w:tcPr>
            <w:tcW w:w="1350" w:type="dxa"/>
          </w:tcPr>
          <w:p w14:paraId="7761470F" w14:textId="77777777" w:rsidR="00A05A71" w:rsidRPr="00A05A71" w:rsidRDefault="00A05A71" w:rsidP="00BE10F4">
            <w:pPr>
              <w:pStyle w:val="COMTabletext"/>
              <w:keepNext w:val="0"/>
              <w:jc w:val="center"/>
            </w:pPr>
            <w:r w:rsidRPr="00A05A71">
              <w:t>96.06%</w:t>
            </w:r>
          </w:p>
        </w:tc>
        <w:tc>
          <w:tcPr>
            <w:tcW w:w="2305" w:type="dxa"/>
          </w:tcPr>
          <w:p w14:paraId="69EFFFA3" w14:textId="77777777" w:rsidR="00A05A71" w:rsidRPr="00A05A71" w:rsidRDefault="00A05A71" w:rsidP="00BE10F4">
            <w:pPr>
              <w:pStyle w:val="COMTabletext"/>
              <w:keepNext w:val="0"/>
            </w:pPr>
            <w:r w:rsidRPr="00A05A71">
              <w:t>Pooled estimate derived from 8 studies identified in a literature search conducted for the submission. The number of patients in each study with Class II-IV disease was divided by the number of patients with Class II-V disease. Estimates ranged from 92.5% to 100%.</w:t>
            </w:r>
          </w:p>
        </w:tc>
        <w:tc>
          <w:tcPr>
            <w:tcW w:w="4201" w:type="dxa"/>
          </w:tcPr>
          <w:p w14:paraId="4BAC0EC9" w14:textId="53E424AD" w:rsidR="00A05A71" w:rsidRPr="00C213F5" w:rsidRDefault="00A05A71" w:rsidP="00BE10F4">
            <w:pPr>
              <w:pStyle w:val="COMTabletext"/>
              <w:keepNext w:val="0"/>
            </w:pPr>
            <w:r w:rsidRPr="00C213F5">
              <w:t>The</w:t>
            </w:r>
            <w:r w:rsidR="0024399A">
              <w:t xml:space="preserve"> pre-PBAC response agreed that</w:t>
            </w:r>
            <w:r w:rsidRPr="00C213F5">
              <w:t xml:space="preserve"> inclusion of this step may not be appropriate </w:t>
            </w:r>
            <w:bookmarkStart w:id="99" w:name="_Hlk164421076"/>
            <w:r w:rsidRPr="00C213F5">
              <w:t>given that MGFA Class V (myasthenic crisis) generally reflects a temporary/time-limited state.</w:t>
            </w:r>
            <w:bookmarkEnd w:id="99"/>
          </w:p>
          <w:p w14:paraId="22C02244" w14:textId="77777777" w:rsidR="00A05A71" w:rsidRPr="00C213F5" w:rsidRDefault="00A05A71" w:rsidP="00BE10F4">
            <w:pPr>
              <w:pStyle w:val="COMTabletext"/>
              <w:keepNext w:val="0"/>
            </w:pPr>
          </w:p>
          <w:p w14:paraId="2F82C606" w14:textId="42F34259" w:rsidR="00A05A71" w:rsidRPr="00C213F5" w:rsidRDefault="00A05A71" w:rsidP="00BE10F4">
            <w:pPr>
              <w:pStyle w:val="COMTabletext"/>
              <w:keepNext w:val="0"/>
            </w:pPr>
            <w:r w:rsidRPr="00C213F5">
              <w:t>The DUSC considered that this was likely underestimated. DUSC noted that given the intent of the proposed treatment algorithm, Class V patients who survive were likely to receive treatment.</w:t>
            </w:r>
          </w:p>
        </w:tc>
      </w:tr>
      <w:tr w:rsidR="00A05A71" w:rsidRPr="007F52A5" w14:paraId="14FAC579" w14:textId="77777777" w:rsidTr="00495F0E">
        <w:trPr>
          <w:cantSplit/>
        </w:trPr>
        <w:tc>
          <w:tcPr>
            <w:tcW w:w="1160" w:type="dxa"/>
          </w:tcPr>
          <w:p w14:paraId="0A4E6B30" w14:textId="77777777" w:rsidR="00A05A71" w:rsidRPr="00A05A71" w:rsidRDefault="00A05A71" w:rsidP="00BE10F4">
            <w:pPr>
              <w:pStyle w:val="COMTabletext"/>
              <w:keepNext w:val="0"/>
            </w:pPr>
            <w:r w:rsidRPr="00A05A71">
              <w:t>Proportion of patients treated with a corticosteroid and/or immuno-suppressive therapy</w:t>
            </w:r>
          </w:p>
        </w:tc>
        <w:tc>
          <w:tcPr>
            <w:tcW w:w="1350" w:type="dxa"/>
          </w:tcPr>
          <w:p w14:paraId="7D72B5F9" w14:textId="77777777" w:rsidR="00A05A71" w:rsidRPr="00A05A71" w:rsidRDefault="00A05A71" w:rsidP="00BE10F4">
            <w:pPr>
              <w:pStyle w:val="COMTabletext"/>
              <w:keepNext w:val="0"/>
              <w:jc w:val="center"/>
            </w:pPr>
            <w:r w:rsidRPr="00A05A71">
              <w:t>70.13%</w:t>
            </w:r>
          </w:p>
        </w:tc>
        <w:tc>
          <w:tcPr>
            <w:tcW w:w="2305" w:type="dxa"/>
          </w:tcPr>
          <w:p w14:paraId="34BC11BC" w14:textId="77777777" w:rsidR="00A05A71" w:rsidRPr="00A05A71" w:rsidRDefault="00A05A71" w:rsidP="00BE10F4">
            <w:pPr>
              <w:pStyle w:val="COMTabletext"/>
            </w:pPr>
            <w:r w:rsidRPr="00A05A71">
              <w:t>Wartmann (2023). Retrospective review of claims data in Germany, which included approximately 6.1 million insured persons for the 2010 to 2020 period. The myasthenia gravis population was defined as adult patients with at least one confirmed primary or secondary inpatient diagnosis of myasthenia gravis or two confirmed outpatient diagnoses in two different quarters. The dataset included 2,741 myasthenia gravis patients ≥ 18 years with at least 1 year of follow-up data. In 2020, 52.2% of patients were treated with an anticholinesterase inhibitor plus a corticosteroid and/or an immunosuppressant and 17.9% received corticosteroids and/or immunosuppressive therapies alone.</w:t>
            </w:r>
          </w:p>
        </w:tc>
        <w:tc>
          <w:tcPr>
            <w:tcW w:w="4201" w:type="dxa"/>
          </w:tcPr>
          <w:p w14:paraId="7FF26FD3" w14:textId="3491CA70" w:rsidR="00A05A71" w:rsidRPr="00C213F5" w:rsidRDefault="00A05A71" w:rsidP="00BE10F4">
            <w:pPr>
              <w:pStyle w:val="COMTabletext"/>
              <w:keepNext w:val="0"/>
            </w:pPr>
            <w:r w:rsidRPr="00C213F5">
              <w:t xml:space="preserve">The proposed restriction specifies that patients must be receiving treatment with an anticholinesterase inhibitor (or discontinued due to intolerance) as well as a corticosteroid and/or an immunosuppressant. The </w:t>
            </w:r>
            <w:r w:rsidR="002F28F1">
              <w:t xml:space="preserve">evaluation considered the </w:t>
            </w:r>
            <w:r w:rsidRPr="00C213F5">
              <w:t xml:space="preserve">proportion may be underestimated given that patients receiving treatment with an anticholinesterase inhibitor would only require a short period of corticosteroid treatment </w:t>
            </w:r>
            <w:proofErr w:type="gramStart"/>
            <w:r w:rsidRPr="00C213F5">
              <w:t>in order to</w:t>
            </w:r>
            <w:proofErr w:type="gramEnd"/>
            <w:r w:rsidRPr="00C213F5">
              <w:t xml:space="preserve"> fulfil the criterion relating to prior therapies.</w:t>
            </w:r>
          </w:p>
          <w:p w14:paraId="12B8EE69" w14:textId="77777777" w:rsidR="00A05A71" w:rsidRPr="00C213F5" w:rsidRDefault="00A05A71" w:rsidP="00BE10F4">
            <w:pPr>
              <w:pStyle w:val="COMTabletext"/>
              <w:keepNext w:val="0"/>
            </w:pPr>
          </w:p>
          <w:p w14:paraId="064E624C" w14:textId="562282B1" w:rsidR="00A05A71" w:rsidRPr="00C213F5" w:rsidRDefault="00A05A71" w:rsidP="00A05A71">
            <w:pPr>
              <w:pStyle w:val="COMTabletext"/>
            </w:pPr>
            <w:r w:rsidRPr="00C213F5">
              <w:t xml:space="preserve">DUSC considered that the source of submission estimate was reasonable. However, DUSC noted that patients who were not considered appropriate for </w:t>
            </w:r>
            <w:r w:rsidR="003E10BA">
              <w:t>c</w:t>
            </w:r>
            <w:r w:rsidRPr="00C213F5">
              <w:t>orticosteroid or immunosuppressants were unlikely to be considered for an immunosuppressive daily injection.</w:t>
            </w:r>
          </w:p>
          <w:p w14:paraId="081DBC54" w14:textId="77777777" w:rsidR="00A05A71" w:rsidRPr="00C213F5" w:rsidRDefault="00A05A71" w:rsidP="00A05A71">
            <w:pPr>
              <w:pStyle w:val="COMTabletext"/>
            </w:pPr>
          </w:p>
          <w:p w14:paraId="00FA14C0" w14:textId="0B2644B7" w:rsidR="00A05A71" w:rsidRPr="00C213F5" w:rsidRDefault="00A05A71" w:rsidP="00BE10F4">
            <w:pPr>
              <w:pStyle w:val="COMTabletext"/>
              <w:rPr>
                <w:i/>
                <w:iCs/>
              </w:rPr>
            </w:pPr>
            <w:r w:rsidRPr="00C213F5">
              <w:t>DUSC also considered that there is likely a small proportion of patients who might not otherwise have received therapy (steroids, NS-IST) who might consider zilucoplan and will be treated with a short course of corticosteroid to meet this criteria.</w:t>
            </w:r>
          </w:p>
        </w:tc>
      </w:tr>
      <w:tr w:rsidR="00A05A71" w:rsidRPr="007F52A5" w14:paraId="1D5B4DC5" w14:textId="77777777" w:rsidTr="00BE10F4">
        <w:tc>
          <w:tcPr>
            <w:tcW w:w="1160" w:type="dxa"/>
          </w:tcPr>
          <w:p w14:paraId="73765D84" w14:textId="77777777" w:rsidR="00A05A71" w:rsidRPr="00A05A71" w:rsidRDefault="00A05A71" w:rsidP="00BE10F4">
            <w:pPr>
              <w:pStyle w:val="COMTabletext"/>
              <w:keepNext w:val="0"/>
            </w:pPr>
            <w:r w:rsidRPr="00A05A71">
              <w:t>Patients who are refractory to standard care who would otherwise be treated with IVIg/PLEX</w:t>
            </w:r>
          </w:p>
        </w:tc>
        <w:tc>
          <w:tcPr>
            <w:tcW w:w="1350" w:type="dxa"/>
          </w:tcPr>
          <w:p w14:paraId="1EEE7CE4" w14:textId="77777777" w:rsidR="00A05A71" w:rsidRPr="00A05A71" w:rsidRDefault="00A05A71" w:rsidP="00BE10F4">
            <w:pPr>
              <w:pStyle w:val="COMTabletext"/>
              <w:keepNext w:val="0"/>
              <w:jc w:val="center"/>
            </w:pPr>
            <w:r w:rsidRPr="00A05A71">
              <w:t>50.6%</w:t>
            </w:r>
          </w:p>
        </w:tc>
        <w:tc>
          <w:tcPr>
            <w:tcW w:w="2305" w:type="dxa"/>
          </w:tcPr>
          <w:p w14:paraId="3E39F04C" w14:textId="77777777" w:rsidR="00A05A71" w:rsidRPr="002F28F1" w:rsidRDefault="00A05A71" w:rsidP="00BE10F4">
            <w:pPr>
              <w:pStyle w:val="COMTabletext"/>
              <w:keepNext w:val="0"/>
            </w:pPr>
            <w:r w:rsidRPr="002F28F1">
              <w:t>Based on the proportion of patients reported to be treatment refractory at baseline in the RAISE trial. A study participant was considered to be refractory if they met the following criteria: Treatment for at least 1 year with 2 or more of prednisone, azathioprine, mycophenolate, cyclosporine, cyclophosphamide, methotrexate, tacrolimus, rituximab, eculizumab, other corticosteroids for generalised myasthenia gravis, other immunosuppressants, or history of treatment with at least 1 of these therapies for 1 year or more and required chronic PLEX, IVIg, or SCIg at least every 3 months for the 12 months prior to enrolment.</w:t>
            </w:r>
          </w:p>
        </w:tc>
        <w:tc>
          <w:tcPr>
            <w:tcW w:w="4201" w:type="dxa"/>
          </w:tcPr>
          <w:p w14:paraId="722A9630" w14:textId="1EA80E1C" w:rsidR="00A05A71" w:rsidRPr="002F28F1" w:rsidRDefault="00C213F5" w:rsidP="00BE10F4">
            <w:pPr>
              <w:pStyle w:val="COMTabletext"/>
              <w:keepNext w:val="0"/>
            </w:pPr>
            <w:r w:rsidRPr="002F28F1">
              <w:t>The evaluation considered that, i</w:t>
            </w:r>
            <w:r w:rsidR="00A05A71" w:rsidRPr="002F28F1">
              <w:t>n the absence of functional impairment criteria, it is unlikely that 50.6% of the proposed PBS population would have treatment refractory disease requiring treatment with IVIg/PLEX. The submission noted that in a study by Mevius (2023), 20.2% of patients were classified as treatment refractory.</w:t>
            </w:r>
          </w:p>
          <w:p w14:paraId="66D0921E" w14:textId="77777777" w:rsidR="00A05A71" w:rsidRPr="002F28F1" w:rsidRDefault="00A05A71" w:rsidP="00BE10F4">
            <w:pPr>
              <w:pStyle w:val="COMTabletext"/>
              <w:keepNext w:val="0"/>
            </w:pPr>
          </w:p>
          <w:p w14:paraId="3077C3CE" w14:textId="4599E584" w:rsidR="00A05A71" w:rsidRPr="002F28F1" w:rsidRDefault="00A05A71" w:rsidP="00A05A71">
            <w:pPr>
              <w:pStyle w:val="COMTabletext"/>
            </w:pPr>
            <w:r w:rsidRPr="002F28F1">
              <w:rPr>
                <w:bCs w:val="0"/>
              </w:rPr>
              <w:t xml:space="preserve">The DUSC considered that this was uncertain, noting that it was </w:t>
            </w:r>
            <w:r w:rsidRPr="002F28F1">
              <w:t>highly dependent on the proposed restriction.</w:t>
            </w:r>
          </w:p>
          <w:p w14:paraId="7D9F8867" w14:textId="77777777" w:rsidR="00A05A71" w:rsidRPr="002F28F1" w:rsidRDefault="00A05A71" w:rsidP="00A05A71">
            <w:pPr>
              <w:pStyle w:val="COMTabletext"/>
            </w:pPr>
          </w:p>
          <w:p w14:paraId="3A39AE42" w14:textId="3955962E" w:rsidR="00A05A71" w:rsidRPr="002F28F1" w:rsidRDefault="00A05A71" w:rsidP="00A05A71">
            <w:pPr>
              <w:pStyle w:val="COMTabletext"/>
            </w:pPr>
            <w:r w:rsidRPr="002F28F1">
              <w:t>DUSC noted that this step intends to examine patients who are refractory to NS-IST without IVIG/PLEX. DUSC considered that, in absence of functional impairment criteria, this rate could be high if truly observed. However, it is more likely that patients may not be truly trialled on NS-IST (and may not be truly refractory).</w:t>
            </w:r>
          </w:p>
          <w:p w14:paraId="51DEE4E7" w14:textId="77777777" w:rsidR="00A05A71" w:rsidRPr="002F28F1" w:rsidRDefault="00A05A71" w:rsidP="00A05A71">
            <w:pPr>
              <w:pStyle w:val="COMTabletext"/>
            </w:pPr>
          </w:p>
          <w:p w14:paraId="7C2B1F43" w14:textId="72ED112F" w:rsidR="00A05A71" w:rsidRPr="002F28F1" w:rsidRDefault="00A05A71" w:rsidP="00A05A71">
            <w:pPr>
              <w:pStyle w:val="COMTabletext"/>
              <w:rPr>
                <w:i/>
                <w:iCs/>
              </w:rPr>
            </w:pPr>
            <w:r w:rsidRPr="002F28F1">
              <w:t>DUSC stated that it was plausible that zilucoplan will displace NS-IST if it is considered to lead to more rapid relief.</w:t>
            </w:r>
          </w:p>
        </w:tc>
      </w:tr>
      <w:tr w:rsidR="007F52A5" w:rsidRPr="007F52A5" w14:paraId="27520B6D" w14:textId="77777777" w:rsidTr="00BE10F4">
        <w:tc>
          <w:tcPr>
            <w:tcW w:w="9016" w:type="dxa"/>
            <w:gridSpan w:val="4"/>
          </w:tcPr>
          <w:p w14:paraId="52C33EEE" w14:textId="77777777" w:rsidR="007F52A5" w:rsidRPr="002F28F1" w:rsidRDefault="007F52A5" w:rsidP="00495F0E">
            <w:pPr>
              <w:pStyle w:val="COMTabletext"/>
              <w:rPr>
                <w:b/>
              </w:rPr>
            </w:pPr>
            <w:r w:rsidRPr="002F28F1">
              <w:rPr>
                <w:b/>
              </w:rPr>
              <w:t>Treatment utilisation</w:t>
            </w:r>
          </w:p>
        </w:tc>
      </w:tr>
      <w:tr w:rsidR="00A05A71" w:rsidRPr="007F52A5" w14:paraId="0FDF62C7" w14:textId="77777777" w:rsidTr="00BE10F4">
        <w:trPr>
          <w:trHeight w:val="60"/>
        </w:trPr>
        <w:tc>
          <w:tcPr>
            <w:tcW w:w="1160" w:type="dxa"/>
          </w:tcPr>
          <w:p w14:paraId="118D1BB5" w14:textId="77777777" w:rsidR="00A05A71" w:rsidRPr="00A05A71" w:rsidRDefault="00A05A71" w:rsidP="00BE10F4">
            <w:pPr>
              <w:pStyle w:val="COMTabletext"/>
              <w:keepNext w:val="0"/>
            </w:pPr>
            <w:r w:rsidRPr="00A05A71">
              <w:t>Zilucoplan uptake rate</w:t>
            </w:r>
          </w:p>
        </w:tc>
        <w:tc>
          <w:tcPr>
            <w:tcW w:w="1350" w:type="dxa"/>
          </w:tcPr>
          <w:p w14:paraId="6D6CB0B0" w14:textId="3489A44E" w:rsidR="00A05A71" w:rsidRPr="00046467" w:rsidRDefault="00A05A71" w:rsidP="00495F0E">
            <w:pPr>
              <w:pStyle w:val="COMTabletext"/>
              <w:jc w:val="center"/>
            </w:pPr>
            <w:r w:rsidRPr="00046467">
              <w:t>Yr 1</w:t>
            </w:r>
            <w:r w:rsidR="0069051D" w:rsidRPr="0069051D">
              <w:rPr>
                <w:rFonts w:hint="eastAsia"/>
                <w:color w:val="000000"/>
                <w:w w:val="27"/>
                <w:shd w:val="solid" w:color="000000" w:fill="000000"/>
                <w:fitText w:val="120" w:id="-893204217"/>
                <w14:textFill>
                  <w14:solidFill>
                    <w14:srgbClr w14:val="000000">
                      <w14:alpha w14:val="100000"/>
                    </w14:srgbClr>
                  </w14:solidFill>
                </w14:textFill>
              </w:rPr>
              <w:t xml:space="preserve">　</w:t>
            </w:r>
            <w:r w:rsidR="0069051D" w:rsidRPr="0069051D">
              <w:rPr>
                <w:color w:val="000000"/>
                <w:w w:val="27"/>
                <w:shd w:val="solid" w:color="000000" w:fill="000000"/>
                <w:fitText w:val="120" w:id="-893204217"/>
                <w14:textFill>
                  <w14:solidFill>
                    <w14:srgbClr w14:val="000000">
                      <w14:alpha w14:val="100000"/>
                    </w14:srgbClr>
                  </w14:solidFill>
                </w14:textFill>
              </w:rPr>
              <w:t>|</w:t>
            </w:r>
            <w:r w:rsidR="0069051D" w:rsidRPr="0069051D">
              <w:rPr>
                <w:rFonts w:hint="eastAsia"/>
                <w:color w:val="000000"/>
                <w:spacing w:val="2"/>
                <w:w w:val="27"/>
                <w:shd w:val="solid" w:color="000000" w:fill="000000"/>
                <w:fitText w:val="120" w:id="-893204217"/>
                <w14:textFill>
                  <w14:solidFill>
                    <w14:srgbClr w14:val="000000">
                      <w14:alpha w14:val="100000"/>
                    </w14:srgbClr>
                  </w14:solidFill>
                </w14:textFill>
              </w:rPr>
              <w:t xml:space="preserve">　</w:t>
            </w:r>
            <w:r w:rsidRPr="00046467">
              <w:t>%</w:t>
            </w:r>
          </w:p>
          <w:p w14:paraId="7DC34A24" w14:textId="61B756EA" w:rsidR="00A05A71" w:rsidRPr="00046467" w:rsidRDefault="00A05A71" w:rsidP="00495F0E">
            <w:pPr>
              <w:pStyle w:val="COMTabletext"/>
              <w:jc w:val="center"/>
            </w:pPr>
            <w:r w:rsidRPr="00046467">
              <w:t xml:space="preserve">Yr 2: </w:t>
            </w:r>
            <w:r w:rsidR="0069051D" w:rsidRPr="0069051D">
              <w:rPr>
                <w:color w:val="000000"/>
                <w:spacing w:val="84"/>
                <w:shd w:val="solid" w:color="000000" w:fill="000000"/>
                <w:fitText w:val="170" w:id="-893204216"/>
                <w14:textFill>
                  <w14:solidFill>
                    <w14:srgbClr w14:val="000000">
                      <w14:alpha w14:val="100000"/>
                    </w14:srgbClr>
                  </w14:solidFill>
                </w14:textFill>
              </w:rPr>
              <w:t>|</w:t>
            </w:r>
            <w:r w:rsidR="0069051D" w:rsidRPr="0069051D">
              <w:rPr>
                <w:color w:val="000000"/>
                <w:spacing w:val="1"/>
                <w:shd w:val="solid" w:color="000000" w:fill="000000"/>
                <w:fitText w:val="170" w:id="-893204216"/>
                <w14:textFill>
                  <w14:solidFill>
                    <w14:srgbClr w14:val="000000">
                      <w14:alpha w14:val="100000"/>
                    </w14:srgbClr>
                  </w14:solidFill>
                </w14:textFill>
              </w:rPr>
              <w:t>|</w:t>
            </w:r>
            <w:r w:rsidRPr="00046467">
              <w:t>%</w:t>
            </w:r>
          </w:p>
          <w:p w14:paraId="4800512C" w14:textId="26653024" w:rsidR="00A05A71" w:rsidRPr="00046467" w:rsidRDefault="00A05A71" w:rsidP="00495F0E">
            <w:pPr>
              <w:pStyle w:val="COMTabletext"/>
              <w:jc w:val="center"/>
            </w:pPr>
            <w:r w:rsidRPr="00046467">
              <w:t xml:space="preserve">Yr 3: </w:t>
            </w:r>
            <w:r w:rsidR="0069051D" w:rsidRPr="0069051D">
              <w:rPr>
                <w:color w:val="000000"/>
                <w:spacing w:val="84"/>
                <w:shd w:val="solid" w:color="000000" w:fill="000000"/>
                <w:fitText w:val="170" w:id="-893204215"/>
                <w14:textFill>
                  <w14:solidFill>
                    <w14:srgbClr w14:val="000000">
                      <w14:alpha w14:val="100000"/>
                    </w14:srgbClr>
                  </w14:solidFill>
                </w14:textFill>
              </w:rPr>
              <w:t>|</w:t>
            </w:r>
            <w:r w:rsidR="0069051D" w:rsidRPr="0069051D">
              <w:rPr>
                <w:color w:val="000000"/>
                <w:spacing w:val="1"/>
                <w:shd w:val="solid" w:color="000000" w:fill="000000"/>
                <w:fitText w:val="170" w:id="-893204215"/>
                <w14:textFill>
                  <w14:solidFill>
                    <w14:srgbClr w14:val="000000">
                      <w14:alpha w14:val="100000"/>
                    </w14:srgbClr>
                  </w14:solidFill>
                </w14:textFill>
              </w:rPr>
              <w:t>|</w:t>
            </w:r>
            <w:r w:rsidRPr="00046467">
              <w:t>%</w:t>
            </w:r>
          </w:p>
          <w:p w14:paraId="4F36D5D5" w14:textId="07EB8D34" w:rsidR="00A05A71" w:rsidRPr="00046467" w:rsidRDefault="00A05A71" w:rsidP="00495F0E">
            <w:pPr>
              <w:pStyle w:val="COMTabletext"/>
              <w:jc w:val="center"/>
            </w:pPr>
            <w:r w:rsidRPr="00046467">
              <w:t xml:space="preserve">Yr 4: </w:t>
            </w:r>
            <w:r w:rsidR="0069051D" w:rsidRPr="0069051D">
              <w:rPr>
                <w:color w:val="000000"/>
                <w:spacing w:val="84"/>
                <w:shd w:val="solid" w:color="000000" w:fill="000000"/>
                <w:fitText w:val="170" w:id="-893204214"/>
                <w14:textFill>
                  <w14:solidFill>
                    <w14:srgbClr w14:val="000000">
                      <w14:alpha w14:val="100000"/>
                    </w14:srgbClr>
                  </w14:solidFill>
                </w14:textFill>
              </w:rPr>
              <w:t>|</w:t>
            </w:r>
            <w:r w:rsidR="0069051D" w:rsidRPr="0069051D">
              <w:rPr>
                <w:color w:val="000000"/>
                <w:spacing w:val="1"/>
                <w:shd w:val="solid" w:color="000000" w:fill="000000"/>
                <w:fitText w:val="170" w:id="-893204214"/>
                <w14:textFill>
                  <w14:solidFill>
                    <w14:srgbClr w14:val="000000">
                      <w14:alpha w14:val="100000"/>
                    </w14:srgbClr>
                  </w14:solidFill>
                </w14:textFill>
              </w:rPr>
              <w:t>|</w:t>
            </w:r>
            <w:r w:rsidRPr="00046467">
              <w:t>%</w:t>
            </w:r>
          </w:p>
          <w:p w14:paraId="05B625D9" w14:textId="0271B4D8" w:rsidR="00A05A71" w:rsidRPr="00046467" w:rsidRDefault="00A05A71" w:rsidP="00495F0E">
            <w:pPr>
              <w:pStyle w:val="COMTabletext"/>
              <w:jc w:val="center"/>
            </w:pPr>
            <w:r w:rsidRPr="00046467">
              <w:t xml:space="preserve">Yr 5: </w:t>
            </w:r>
            <w:r w:rsidR="0069051D" w:rsidRPr="0069051D">
              <w:rPr>
                <w:color w:val="000000"/>
                <w:spacing w:val="84"/>
                <w:shd w:val="solid" w:color="000000" w:fill="000000"/>
                <w:fitText w:val="170" w:id="-893204213"/>
                <w14:textFill>
                  <w14:solidFill>
                    <w14:srgbClr w14:val="000000">
                      <w14:alpha w14:val="100000"/>
                    </w14:srgbClr>
                  </w14:solidFill>
                </w14:textFill>
              </w:rPr>
              <w:t>|</w:t>
            </w:r>
            <w:r w:rsidR="0069051D" w:rsidRPr="0069051D">
              <w:rPr>
                <w:color w:val="000000"/>
                <w:spacing w:val="1"/>
                <w:shd w:val="solid" w:color="000000" w:fill="000000"/>
                <w:fitText w:val="170" w:id="-893204213"/>
                <w14:textFill>
                  <w14:solidFill>
                    <w14:srgbClr w14:val="000000">
                      <w14:alpha w14:val="100000"/>
                    </w14:srgbClr>
                  </w14:solidFill>
                </w14:textFill>
              </w:rPr>
              <w:t>|</w:t>
            </w:r>
            <w:r w:rsidRPr="00046467">
              <w:t>%</w:t>
            </w:r>
          </w:p>
          <w:p w14:paraId="37D6A4AA" w14:textId="013B40BB" w:rsidR="00A05A71" w:rsidRPr="00A05A71" w:rsidRDefault="00A05A71" w:rsidP="00495F0E">
            <w:pPr>
              <w:pStyle w:val="COMTabletext"/>
              <w:jc w:val="center"/>
            </w:pPr>
            <w:r w:rsidRPr="00046467">
              <w:t xml:space="preserve">Yr 6: </w:t>
            </w:r>
            <w:r w:rsidR="0069051D" w:rsidRPr="0069051D">
              <w:rPr>
                <w:color w:val="000000"/>
                <w:spacing w:val="84"/>
                <w:shd w:val="solid" w:color="000000" w:fill="000000"/>
                <w:fitText w:val="170" w:id="-893204212"/>
                <w14:textFill>
                  <w14:solidFill>
                    <w14:srgbClr w14:val="000000">
                      <w14:alpha w14:val="100000"/>
                    </w14:srgbClr>
                  </w14:solidFill>
                </w14:textFill>
              </w:rPr>
              <w:t>|</w:t>
            </w:r>
            <w:r w:rsidR="0069051D" w:rsidRPr="0069051D">
              <w:rPr>
                <w:color w:val="000000"/>
                <w:spacing w:val="1"/>
                <w:shd w:val="solid" w:color="000000" w:fill="000000"/>
                <w:fitText w:val="170" w:id="-893204212"/>
                <w14:textFill>
                  <w14:solidFill>
                    <w14:srgbClr w14:val="000000">
                      <w14:alpha w14:val="100000"/>
                    </w14:srgbClr>
                  </w14:solidFill>
                </w14:textFill>
              </w:rPr>
              <w:t>|</w:t>
            </w:r>
            <w:r w:rsidRPr="00046467">
              <w:t>%</w:t>
            </w:r>
          </w:p>
        </w:tc>
        <w:tc>
          <w:tcPr>
            <w:tcW w:w="2305" w:type="dxa"/>
          </w:tcPr>
          <w:p w14:paraId="4077D564" w14:textId="22FBC472" w:rsidR="00A05A71" w:rsidRPr="002F28F1" w:rsidRDefault="00A05A71" w:rsidP="00495F0E">
            <w:pPr>
              <w:pStyle w:val="COMTabletext"/>
            </w:pPr>
            <w:r w:rsidRPr="002F28F1">
              <w:t xml:space="preserve">Derived based on assumed uptake rates of </w:t>
            </w:r>
            <w:r w:rsidR="0069051D" w:rsidRPr="0069051D">
              <w:rPr>
                <w:color w:val="000000"/>
                <w:spacing w:val="53"/>
                <w:shd w:val="solid" w:color="000000" w:fill="000000"/>
                <w:fitText w:val="330" w:id="-893204211"/>
                <w14:textFill>
                  <w14:solidFill>
                    <w14:srgbClr w14:val="000000">
                      <w14:alpha w14:val="100000"/>
                    </w14:srgbClr>
                  </w14:solidFill>
                </w14:textFill>
              </w:rPr>
              <w:t>|||</w:t>
            </w:r>
            <w:r w:rsidR="0069051D" w:rsidRPr="0069051D">
              <w:rPr>
                <w:color w:val="000000"/>
                <w:spacing w:val="1"/>
                <w:shd w:val="solid" w:color="000000" w:fill="000000"/>
                <w:fitText w:val="330" w:id="-893204211"/>
                <w14:textFill>
                  <w14:solidFill>
                    <w14:srgbClr w14:val="000000">
                      <w14:alpha w14:val="100000"/>
                    </w14:srgbClr>
                  </w14:solidFill>
                </w14:textFill>
              </w:rPr>
              <w:t>|</w:t>
            </w:r>
            <w:r w:rsidRPr="00046467">
              <w:t xml:space="preserve">%, </w:t>
            </w:r>
            <w:r w:rsidR="0069051D" w:rsidRPr="0069051D">
              <w:rPr>
                <w:color w:val="000000"/>
                <w:spacing w:val="53"/>
                <w:shd w:val="solid" w:color="000000" w:fill="000000"/>
                <w:fitText w:val="330" w:id="-893204210"/>
                <w14:textFill>
                  <w14:solidFill>
                    <w14:srgbClr w14:val="000000">
                      <w14:alpha w14:val="100000"/>
                    </w14:srgbClr>
                  </w14:solidFill>
                </w14:textFill>
              </w:rPr>
              <w:t>|||</w:t>
            </w:r>
            <w:r w:rsidR="0069051D" w:rsidRPr="0069051D">
              <w:rPr>
                <w:color w:val="000000"/>
                <w:spacing w:val="1"/>
                <w:shd w:val="solid" w:color="000000" w:fill="000000"/>
                <w:fitText w:val="330" w:id="-893204210"/>
                <w14:textFill>
                  <w14:solidFill>
                    <w14:srgbClr w14:val="000000">
                      <w14:alpha w14:val="100000"/>
                    </w14:srgbClr>
                  </w14:solidFill>
                </w14:textFill>
              </w:rPr>
              <w:t>|</w:t>
            </w:r>
            <w:r w:rsidRPr="00046467">
              <w:t xml:space="preserve">%, </w:t>
            </w:r>
            <w:r w:rsidR="0069051D" w:rsidRPr="0069051D">
              <w:rPr>
                <w:color w:val="000000"/>
                <w:spacing w:val="53"/>
                <w:shd w:val="solid" w:color="000000" w:fill="000000"/>
                <w:fitText w:val="330" w:id="-893204209"/>
                <w14:textFill>
                  <w14:solidFill>
                    <w14:srgbClr w14:val="000000">
                      <w14:alpha w14:val="100000"/>
                    </w14:srgbClr>
                  </w14:solidFill>
                </w14:textFill>
              </w:rPr>
              <w:t>|||</w:t>
            </w:r>
            <w:r w:rsidR="0069051D" w:rsidRPr="0069051D">
              <w:rPr>
                <w:color w:val="000000"/>
                <w:spacing w:val="1"/>
                <w:shd w:val="solid" w:color="000000" w:fill="000000"/>
                <w:fitText w:val="330" w:id="-893204209"/>
                <w14:textFill>
                  <w14:solidFill>
                    <w14:srgbClr w14:val="000000">
                      <w14:alpha w14:val="100000"/>
                    </w14:srgbClr>
                  </w14:solidFill>
                </w14:textFill>
              </w:rPr>
              <w:t>|</w:t>
            </w:r>
            <w:r w:rsidRPr="00046467">
              <w:t xml:space="preserve">%, </w:t>
            </w:r>
            <w:r w:rsidR="0069051D" w:rsidRPr="0069051D">
              <w:rPr>
                <w:color w:val="000000"/>
                <w:spacing w:val="49"/>
                <w:shd w:val="solid" w:color="000000" w:fill="000000"/>
                <w:fitText w:val="320" w:id="-893204208"/>
                <w14:textFill>
                  <w14:solidFill>
                    <w14:srgbClr w14:val="000000">
                      <w14:alpha w14:val="100000"/>
                    </w14:srgbClr>
                  </w14:solidFill>
                </w14:textFill>
              </w:rPr>
              <w:t>|||</w:t>
            </w:r>
            <w:r w:rsidR="0069051D" w:rsidRPr="0069051D">
              <w:rPr>
                <w:color w:val="000000"/>
                <w:spacing w:val="3"/>
                <w:shd w:val="solid" w:color="000000" w:fill="000000"/>
                <w:fitText w:val="320" w:id="-893204208"/>
                <w14:textFill>
                  <w14:solidFill>
                    <w14:srgbClr w14:val="000000">
                      <w14:alpha w14:val="100000"/>
                    </w14:srgbClr>
                  </w14:solidFill>
                </w14:textFill>
              </w:rPr>
              <w:t>|</w:t>
            </w:r>
            <w:r w:rsidRPr="00046467">
              <w:t xml:space="preserve">%, </w:t>
            </w:r>
            <w:r w:rsidR="0069051D" w:rsidRPr="0069051D">
              <w:rPr>
                <w:color w:val="000000"/>
                <w:spacing w:val="53"/>
                <w:shd w:val="solid" w:color="000000" w:fill="000000"/>
                <w:fitText w:val="330" w:id="-893204224"/>
                <w14:textFill>
                  <w14:solidFill>
                    <w14:srgbClr w14:val="000000">
                      <w14:alpha w14:val="100000"/>
                    </w14:srgbClr>
                  </w14:solidFill>
                </w14:textFill>
              </w:rPr>
              <w:t>|||</w:t>
            </w:r>
            <w:r w:rsidR="0069051D" w:rsidRPr="0069051D">
              <w:rPr>
                <w:color w:val="000000"/>
                <w:spacing w:val="1"/>
                <w:shd w:val="solid" w:color="000000" w:fill="000000"/>
                <w:fitText w:val="330" w:id="-893204224"/>
                <w14:textFill>
                  <w14:solidFill>
                    <w14:srgbClr w14:val="000000">
                      <w14:alpha w14:val="100000"/>
                    </w14:srgbClr>
                  </w14:solidFill>
                </w14:textFill>
              </w:rPr>
              <w:t>|</w:t>
            </w:r>
            <w:r w:rsidRPr="00046467">
              <w:t xml:space="preserve">% and </w:t>
            </w:r>
            <w:r w:rsidR="0069051D" w:rsidRPr="0069051D">
              <w:rPr>
                <w:color w:val="000000"/>
                <w:spacing w:val="53"/>
                <w:shd w:val="solid" w:color="000000" w:fill="000000"/>
                <w:fitText w:val="330" w:id="-893204223"/>
                <w14:textFill>
                  <w14:solidFill>
                    <w14:srgbClr w14:val="000000">
                      <w14:alpha w14:val="100000"/>
                    </w14:srgbClr>
                  </w14:solidFill>
                </w14:textFill>
              </w:rPr>
              <w:t>|||</w:t>
            </w:r>
            <w:r w:rsidR="0069051D" w:rsidRPr="0069051D">
              <w:rPr>
                <w:color w:val="000000"/>
                <w:spacing w:val="1"/>
                <w:shd w:val="solid" w:color="000000" w:fill="000000"/>
                <w:fitText w:val="330" w:id="-893204223"/>
                <w14:textFill>
                  <w14:solidFill>
                    <w14:srgbClr w14:val="000000">
                      <w14:alpha w14:val="100000"/>
                    </w14:srgbClr>
                  </w14:solidFill>
                </w14:textFill>
              </w:rPr>
              <w:t>|</w:t>
            </w:r>
            <w:r w:rsidRPr="00046467">
              <w:t xml:space="preserve">% </w:t>
            </w:r>
            <w:r w:rsidRPr="002F28F1">
              <w:t>in eligible patients who had not previously been treated with zilucoplan.</w:t>
            </w:r>
          </w:p>
        </w:tc>
        <w:tc>
          <w:tcPr>
            <w:tcW w:w="4201" w:type="dxa"/>
          </w:tcPr>
          <w:p w14:paraId="5F0DA000" w14:textId="489BD6A5" w:rsidR="00A05A71" w:rsidRPr="002F28F1" w:rsidRDefault="002F28F1" w:rsidP="00495F0E">
            <w:pPr>
              <w:pStyle w:val="COMTabletext"/>
            </w:pPr>
            <w:r>
              <w:t>The evaluation considered the u</w:t>
            </w:r>
            <w:r w:rsidR="00A05A71" w:rsidRPr="002F28F1">
              <w:t xml:space="preserve">ptake was uncertain and may </w:t>
            </w:r>
            <w:r>
              <w:t xml:space="preserve">have </w:t>
            </w:r>
            <w:r w:rsidR="00A05A71" w:rsidRPr="002F28F1">
              <w:t>be</w:t>
            </w:r>
            <w:r>
              <w:t>en</w:t>
            </w:r>
            <w:r w:rsidR="00A05A71" w:rsidRPr="002F28F1">
              <w:t xml:space="preserve"> overestimated. </w:t>
            </w:r>
            <w:proofErr w:type="gramStart"/>
            <w:r w:rsidR="00A05A71" w:rsidRPr="002F28F1">
              <w:t>In particular, uptake</w:t>
            </w:r>
            <w:proofErr w:type="gramEnd"/>
            <w:r w:rsidR="00A05A71" w:rsidRPr="002F28F1">
              <w:t xml:space="preserve"> in the first year of listing, and the overall uptake by Year 6 (which assumed that the entire eligible population would have trialled treatment with zilucoplan), appeared overly optimistic.</w:t>
            </w:r>
          </w:p>
          <w:p w14:paraId="28BFF75E" w14:textId="77777777" w:rsidR="00A05A71" w:rsidRPr="002F28F1" w:rsidRDefault="00A05A71" w:rsidP="00495F0E">
            <w:pPr>
              <w:pStyle w:val="COMTabletext"/>
            </w:pPr>
          </w:p>
          <w:p w14:paraId="31DD3FA5" w14:textId="786436E4" w:rsidR="00A05A71" w:rsidRPr="002F28F1" w:rsidRDefault="00A05A71" w:rsidP="00495F0E">
            <w:pPr>
              <w:pStyle w:val="COMTabletext"/>
              <w:rPr>
                <w:i/>
                <w:iCs/>
              </w:rPr>
            </w:pPr>
            <w:r w:rsidRPr="002F28F1">
              <w:rPr>
                <w:bCs w:val="0"/>
              </w:rPr>
              <w:t xml:space="preserve">DUSC considered that the uptake rates were overestimated. </w:t>
            </w:r>
            <w:r w:rsidRPr="002F28F1">
              <w:t>DUSC stated that the calculations should be based on the prevalent population (i.e. existing cases, not including patients who may become eligible).</w:t>
            </w:r>
          </w:p>
        </w:tc>
      </w:tr>
      <w:tr w:rsidR="00A05A71" w:rsidRPr="007F52A5" w14:paraId="006BB88A" w14:textId="77777777" w:rsidTr="00BE10F4">
        <w:trPr>
          <w:trHeight w:val="60"/>
        </w:trPr>
        <w:tc>
          <w:tcPr>
            <w:tcW w:w="1160" w:type="dxa"/>
          </w:tcPr>
          <w:p w14:paraId="07DD2ADD" w14:textId="77777777" w:rsidR="00A05A71" w:rsidRPr="00A05A71" w:rsidRDefault="00A05A71" w:rsidP="00BE10F4">
            <w:pPr>
              <w:pStyle w:val="COMTabletext"/>
              <w:keepNext w:val="0"/>
            </w:pPr>
            <w:r w:rsidRPr="00A05A71">
              <w:t>Grandfathered patients</w:t>
            </w:r>
          </w:p>
        </w:tc>
        <w:tc>
          <w:tcPr>
            <w:tcW w:w="1350" w:type="dxa"/>
          </w:tcPr>
          <w:p w14:paraId="4AC20719" w14:textId="380C67D8" w:rsidR="00A05A71" w:rsidRPr="00A05A71" w:rsidRDefault="0069051D" w:rsidP="00BE10F4">
            <w:pPr>
              <w:pStyle w:val="COMTabletext"/>
              <w:jc w:val="center"/>
            </w:pPr>
            <w:r w:rsidRPr="0069051D">
              <w:rPr>
                <w:color w:val="000000"/>
                <w:spacing w:val="174"/>
                <w:shd w:val="solid" w:color="000000" w:fill="000000"/>
                <w:fitText w:val="260" w:id="-893204222"/>
                <w14:textFill>
                  <w14:solidFill>
                    <w14:srgbClr w14:val="000000">
                      <w14:alpha w14:val="100000"/>
                    </w14:srgbClr>
                  </w14:solidFill>
                </w14:textFill>
              </w:rPr>
              <w:t>|</w:t>
            </w:r>
            <w:r w:rsidRPr="0069051D">
              <w:rPr>
                <w:color w:val="000000"/>
                <w:spacing w:val="1"/>
                <w:shd w:val="solid" w:color="000000" w:fill="000000"/>
                <w:fitText w:val="260" w:id="-893204222"/>
                <w14:textFill>
                  <w14:solidFill>
                    <w14:srgbClr w14:val="000000">
                      <w14:alpha w14:val="100000"/>
                    </w14:srgbClr>
                  </w14:solidFill>
                </w14:textFill>
              </w:rPr>
              <w:t>|</w:t>
            </w:r>
            <w:r w:rsidR="00960949">
              <w:rPr>
                <w:vertAlign w:val="superscript"/>
              </w:rPr>
              <w:t xml:space="preserve"> 1</w:t>
            </w:r>
            <w:r w:rsidR="00A05A71" w:rsidRPr="00A05A71">
              <w:t xml:space="preserve"> patients</w:t>
            </w:r>
          </w:p>
        </w:tc>
        <w:tc>
          <w:tcPr>
            <w:tcW w:w="2305" w:type="dxa"/>
          </w:tcPr>
          <w:p w14:paraId="1097275F" w14:textId="42F7177C" w:rsidR="00A05A71" w:rsidRPr="002F28F1" w:rsidRDefault="00A05A71" w:rsidP="00BE10F4">
            <w:pPr>
              <w:pStyle w:val="COMTabletext"/>
            </w:pPr>
            <w:bookmarkStart w:id="100" w:name="_Hlk164428398"/>
            <w:r w:rsidRPr="002F28F1">
              <w:t xml:space="preserve">The submission stated that </w:t>
            </w:r>
            <w:r w:rsidR="0069051D" w:rsidRPr="0069051D">
              <w:rPr>
                <w:color w:val="000000"/>
                <w:spacing w:val="53"/>
                <w:shd w:val="solid" w:color="000000" w:fill="000000"/>
                <w:fitText w:val="330" w:id="-893204221"/>
                <w14:textFill>
                  <w14:solidFill>
                    <w14:srgbClr w14:val="000000">
                      <w14:alpha w14:val="100000"/>
                    </w14:srgbClr>
                  </w14:solidFill>
                </w14:textFill>
              </w:rPr>
              <w:t>|||</w:t>
            </w:r>
            <w:r w:rsidR="0069051D" w:rsidRPr="0069051D">
              <w:rPr>
                <w:color w:val="000000"/>
                <w:spacing w:val="1"/>
                <w:shd w:val="solid" w:color="000000" w:fill="000000"/>
                <w:fitText w:val="330" w:id="-893204221"/>
                <w14:textFill>
                  <w14:solidFill>
                    <w14:srgbClr w14:val="000000">
                      <w14:alpha w14:val="100000"/>
                    </w14:srgbClr>
                  </w14:solidFill>
                </w14:textFill>
              </w:rPr>
              <w:t>|</w:t>
            </w:r>
            <w:r w:rsidR="00960949">
              <w:rPr>
                <w:vertAlign w:val="superscript"/>
              </w:rPr>
              <w:t xml:space="preserve"> 1</w:t>
            </w:r>
            <w:r w:rsidR="00960949" w:rsidRPr="00A05A71">
              <w:t xml:space="preserve"> </w:t>
            </w:r>
            <w:r w:rsidRPr="002F28F1">
              <w:t xml:space="preserve"> patients receiving zilucoplan under a managed access program would require grandfathered treatment.</w:t>
            </w:r>
            <w:bookmarkEnd w:id="100"/>
          </w:p>
        </w:tc>
        <w:tc>
          <w:tcPr>
            <w:tcW w:w="4201" w:type="dxa"/>
          </w:tcPr>
          <w:p w14:paraId="4F1E9183" w14:textId="77777777" w:rsidR="00A05A71" w:rsidRPr="002F28F1" w:rsidRDefault="00A05A71" w:rsidP="00BE10F4">
            <w:pPr>
              <w:pStyle w:val="COMTabletext"/>
              <w:keepNext w:val="0"/>
            </w:pPr>
            <w:r w:rsidRPr="002F28F1">
              <w:t>The submission assumed that the grandfathered patients would already be accounted for in the prevalence estimates.</w:t>
            </w:r>
          </w:p>
          <w:p w14:paraId="62C127D4" w14:textId="77777777" w:rsidR="00A05A71" w:rsidRPr="002F28F1" w:rsidRDefault="00A05A71" w:rsidP="00BE10F4">
            <w:pPr>
              <w:pStyle w:val="COMTabletext"/>
              <w:keepNext w:val="0"/>
            </w:pPr>
          </w:p>
          <w:p w14:paraId="2BC00425" w14:textId="20938C35" w:rsidR="00A05A71" w:rsidRPr="002F28F1" w:rsidRDefault="00A05A71" w:rsidP="00BE10F4">
            <w:pPr>
              <w:pStyle w:val="COMTabletext"/>
              <w:keepNext w:val="0"/>
              <w:rPr>
                <w:i/>
                <w:iCs/>
              </w:rPr>
            </w:pPr>
            <w:r w:rsidRPr="002F28F1">
              <w:t>DUSC considered that this was reasonable.</w:t>
            </w:r>
          </w:p>
        </w:tc>
      </w:tr>
      <w:tr w:rsidR="00A05A71" w:rsidRPr="007F52A5" w14:paraId="0DB5E88F" w14:textId="77777777" w:rsidTr="00BE10F4">
        <w:tc>
          <w:tcPr>
            <w:tcW w:w="1160" w:type="dxa"/>
          </w:tcPr>
          <w:p w14:paraId="3F934958" w14:textId="77777777" w:rsidR="00A05A71" w:rsidRPr="00A05A71" w:rsidRDefault="00A05A71" w:rsidP="00BE10F4">
            <w:pPr>
              <w:pStyle w:val="COMTabletext"/>
              <w:keepNext w:val="0"/>
            </w:pPr>
            <w:r w:rsidRPr="00A05A71">
              <w:t>Proportion treated with zilucoplan achieving a ≥ 3-point reduction in MGC at 12 to 16 weeks</w:t>
            </w:r>
          </w:p>
        </w:tc>
        <w:tc>
          <w:tcPr>
            <w:tcW w:w="1350" w:type="dxa"/>
          </w:tcPr>
          <w:p w14:paraId="10718C31" w14:textId="77777777" w:rsidR="00A05A71" w:rsidRPr="00A05A71" w:rsidRDefault="00A05A71" w:rsidP="00BE10F4">
            <w:pPr>
              <w:pStyle w:val="COMTabletext"/>
              <w:keepNext w:val="0"/>
              <w:jc w:val="center"/>
            </w:pPr>
            <w:r w:rsidRPr="00A05A71">
              <w:t>84.9%</w:t>
            </w:r>
          </w:p>
        </w:tc>
        <w:tc>
          <w:tcPr>
            <w:tcW w:w="2305" w:type="dxa"/>
          </w:tcPr>
          <w:p w14:paraId="6F1BDCDC" w14:textId="32CA1D3C" w:rsidR="00A05A71" w:rsidRPr="002F28F1" w:rsidRDefault="00A05A71" w:rsidP="00BE10F4">
            <w:pPr>
              <w:pStyle w:val="COMTabletext"/>
              <w:keepNext w:val="0"/>
              <w:rPr>
                <w:i/>
                <w:iCs/>
              </w:rPr>
            </w:pPr>
            <w:r w:rsidRPr="002F28F1">
              <w:t>Based on the proportion achieving a ≥ 3-point reduction in MG-ADL at 16</w:t>
            </w:r>
            <w:r w:rsidR="00960949">
              <w:t> </w:t>
            </w:r>
            <w:r w:rsidRPr="002F28F1">
              <w:t>weeks in the RAISE extension study. The submission noted that response based on MGC was not assessed in the RAISE trial but argued that a 3-point reduction in MG-ADL is positively correlated with a 3</w:t>
            </w:r>
            <w:r w:rsidR="00960949">
              <w:noBreakHyphen/>
            </w:r>
            <w:r w:rsidRPr="002F28F1">
              <w:t>point reduction in MGC, and a 3-point reduction in MGC is aligned with the restrictions for IVIg on the NBA.</w:t>
            </w:r>
          </w:p>
        </w:tc>
        <w:tc>
          <w:tcPr>
            <w:tcW w:w="4201" w:type="dxa"/>
          </w:tcPr>
          <w:p w14:paraId="10656349" w14:textId="6B519C4C" w:rsidR="002F28F1" w:rsidRDefault="00A05A71" w:rsidP="004D3A38">
            <w:pPr>
              <w:pStyle w:val="COMTabletext"/>
              <w:keepNext w:val="0"/>
              <w:rPr>
                <w:szCs w:val="20"/>
              </w:rPr>
            </w:pPr>
            <w:r w:rsidRPr="002F28F1">
              <w:t>The</w:t>
            </w:r>
            <w:r w:rsidR="002F28F1">
              <w:t xml:space="preserve"> evaluation considered that (a) the</w:t>
            </w:r>
            <w:r w:rsidRPr="002F28F1">
              <w:t xml:space="preserve"> submission did not adequately justify the assumption that a 3-point reduction in MG-ADL score would be equivalent to a 3</w:t>
            </w:r>
            <w:r w:rsidR="00960949">
              <w:noBreakHyphen/>
            </w:r>
            <w:r w:rsidRPr="002F28F1">
              <w:t>point reduction in MGC score</w:t>
            </w:r>
            <w:r w:rsidR="002F28F1">
              <w:t xml:space="preserve">; (b) </w:t>
            </w:r>
            <w:r w:rsidR="004D3A38">
              <w:t>t</w:t>
            </w:r>
            <w:r w:rsidRPr="002F28F1">
              <w:t xml:space="preserve">he trial-based estimate of response may not be applicable given that the RAISE trial recruited patients with an MG-ADL score ≥ 6, and QMG score of ≥ 12 and 4 or more QMG items scored ≥ 2, whereas the proposed initial treatment restriction criteria do not specify a level of disability/disease burden. </w:t>
            </w:r>
            <w:r w:rsidR="004D3A38">
              <w:rPr>
                <w:bCs w:val="0"/>
                <w:szCs w:val="20"/>
              </w:rPr>
              <w:t>However, t</w:t>
            </w:r>
            <w:r w:rsidR="002F28F1" w:rsidRPr="002F28F1">
              <w:rPr>
                <w:szCs w:val="20"/>
              </w:rPr>
              <w:t xml:space="preserve">he pre-PBAC response proposed </w:t>
            </w:r>
            <w:r w:rsidR="002F28F1">
              <w:rPr>
                <w:szCs w:val="20"/>
              </w:rPr>
              <w:t>two changes to the restrictions: (a)</w:t>
            </w:r>
            <w:r w:rsidR="004D3A38">
              <w:rPr>
                <w:szCs w:val="20"/>
              </w:rPr>
              <w:t xml:space="preserve"> the</w:t>
            </w:r>
            <w:r w:rsidR="002F28F1">
              <w:rPr>
                <w:szCs w:val="20"/>
              </w:rPr>
              <w:t xml:space="preserve"> </w:t>
            </w:r>
            <w:r w:rsidR="002F28F1" w:rsidRPr="002F28F1">
              <w:rPr>
                <w:szCs w:val="20"/>
              </w:rPr>
              <w:t xml:space="preserve">initial </w:t>
            </w:r>
            <w:r w:rsidR="004D3A38">
              <w:rPr>
                <w:szCs w:val="20"/>
              </w:rPr>
              <w:t>treatment restriction</w:t>
            </w:r>
            <w:r w:rsidR="002F28F1" w:rsidRPr="002F28F1">
              <w:rPr>
                <w:szCs w:val="20"/>
              </w:rPr>
              <w:t xml:space="preserve"> be amended to include the criterion ‘The patients must have an MG-ADL score </w:t>
            </w:r>
            <w:r w:rsidR="00960949" w:rsidRPr="002F28F1">
              <w:rPr>
                <w:szCs w:val="20"/>
              </w:rPr>
              <w:t>≥</w:t>
            </w:r>
            <w:r w:rsidR="00960949">
              <w:rPr>
                <w:szCs w:val="20"/>
              </w:rPr>
              <w:t> </w:t>
            </w:r>
            <w:r w:rsidR="002F28F1" w:rsidRPr="002F28F1">
              <w:rPr>
                <w:szCs w:val="20"/>
              </w:rPr>
              <w:t>6</w:t>
            </w:r>
            <w:r w:rsidR="002F28F1">
              <w:rPr>
                <w:szCs w:val="20"/>
              </w:rPr>
              <w:t xml:space="preserve">; </w:t>
            </w:r>
            <w:r w:rsidR="002F28F1" w:rsidRPr="002F28F1">
              <w:rPr>
                <w:szCs w:val="20"/>
              </w:rPr>
              <w:t xml:space="preserve">and </w:t>
            </w:r>
            <w:r w:rsidR="002F28F1">
              <w:rPr>
                <w:szCs w:val="20"/>
              </w:rPr>
              <w:t xml:space="preserve">(b) </w:t>
            </w:r>
            <w:r w:rsidR="002F28F1" w:rsidRPr="002F28F1">
              <w:rPr>
                <w:szCs w:val="20"/>
              </w:rPr>
              <w:t xml:space="preserve">for continuing treatment an adequate response to treatment be ‘defined as at least a 3-point reduction in MG-ADL score from baseline’. </w:t>
            </w:r>
          </w:p>
          <w:p w14:paraId="3A661530" w14:textId="77777777" w:rsidR="002F28F1" w:rsidRDefault="002F28F1" w:rsidP="00A05A71">
            <w:pPr>
              <w:pStyle w:val="COMTabletext"/>
              <w:rPr>
                <w:szCs w:val="20"/>
              </w:rPr>
            </w:pPr>
          </w:p>
          <w:p w14:paraId="1E5A6A8A" w14:textId="34D278BE" w:rsidR="00A05A71" w:rsidRPr="002F28F1" w:rsidRDefault="00A05A71" w:rsidP="00BE10F4">
            <w:pPr>
              <w:pStyle w:val="COMTabletext"/>
              <w:keepNext w:val="0"/>
              <w:rPr>
                <w:i/>
                <w:iCs/>
                <w:szCs w:val="20"/>
              </w:rPr>
            </w:pPr>
            <w:r w:rsidRPr="002F28F1">
              <w:rPr>
                <w:szCs w:val="20"/>
              </w:rPr>
              <w:t>DUSC noted that the current demonstration of response proposed for the restriction was a very low disease burden which would have been surpassed by placebo participants in the RAISE trial in cases of low disease burden.</w:t>
            </w:r>
            <w:r w:rsidR="002F28F1">
              <w:rPr>
                <w:szCs w:val="20"/>
              </w:rPr>
              <w:t xml:space="preserve"> </w:t>
            </w:r>
          </w:p>
        </w:tc>
      </w:tr>
      <w:tr w:rsidR="00A05A71" w:rsidRPr="007F52A5" w14:paraId="5D12A698" w14:textId="77777777" w:rsidTr="00BE10F4">
        <w:tc>
          <w:tcPr>
            <w:tcW w:w="1160" w:type="dxa"/>
          </w:tcPr>
          <w:p w14:paraId="16A760D0" w14:textId="77777777" w:rsidR="00A05A71" w:rsidRPr="00A05A71" w:rsidRDefault="00A05A71" w:rsidP="00BE10F4">
            <w:pPr>
              <w:pStyle w:val="COMTabletext"/>
              <w:keepNext w:val="0"/>
            </w:pPr>
            <w:r w:rsidRPr="00A05A71">
              <w:t>Zilucoplan administrations</w:t>
            </w:r>
          </w:p>
        </w:tc>
        <w:tc>
          <w:tcPr>
            <w:tcW w:w="1350" w:type="dxa"/>
          </w:tcPr>
          <w:p w14:paraId="2E39BB25" w14:textId="77777777" w:rsidR="00A05A71" w:rsidRPr="00A05A71" w:rsidRDefault="00A05A71" w:rsidP="00BE10F4">
            <w:pPr>
              <w:pStyle w:val="COMTabletext"/>
              <w:keepNext w:val="0"/>
              <w:jc w:val="center"/>
            </w:pPr>
            <w:r w:rsidRPr="00A05A71">
              <w:t>1 daily</w:t>
            </w:r>
          </w:p>
        </w:tc>
        <w:tc>
          <w:tcPr>
            <w:tcW w:w="2305" w:type="dxa"/>
          </w:tcPr>
          <w:p w14:paraId="77CD3B07" w14:textId="77777777" w:rsidR="00A05A71" w:rsidRPr="00A05A71" w:rsidRDefault="00A05A71" w:rsidP="00BE10F4">
            <w:pPr>
              <w:pStyle w:val="COMTabletext"/>
              <w:keepNext w:val="0"/>
            </w:pPr>
            <w:r w:rsidRPr="00A05A71">
              <w:t>Recommended treatment regimen for zilucoplan.</w:t>
            </w:r>
          </w:p>
        </w:tc>
        <w:tc>
          <w:tcPr>
            <w:tcW w:w="4201" w:type="dxa"/>
          </w:tcPr>
          <w:p w14:paraId="293441C6" w14:textId="140D44F8" w:rsidR="00A05A71" w:rsidRPr="002F28F1" w:rsidRDefault="00A05A71" w:rsidP="00BE10F4">
            <w:pPr>
              <w:pStyle w:val="COMTabletext"/>
              <w:keepNext w:val="0"/>
            </w:pPr>
            <w:r w:rsidRPr="002F28F1">
              <w:t xml:space="preserve">No adjustment for treatment adherence was applied. The </w:t>
            </w:r>
            <w:r w:rsidR="002F28F1" w:rsidRPr="002F28F1">
              <w:t xml:space="preserve">evaluation considered that the </w:t>
            </w:r>
            <w:r w:rsidRPr="002F28F1">
              <w:t xml:space="preserve">assumption of perfect adherence </w:t>
            </w:r>
            <w:r w:rsidR="002F28F1" w:rsidRPr="002F28F1">
              <w:t>wa</w:t>
            </w:r>
            <w:r w:rsidRPr="002F28F1">
              <w:t>s unlikely to reflect Australian clinical practice.</w:t>
            </w:r>
          </w:p>
          <w:p w14:paraId="54CC070B" w14:textId="77777777" w:rsidR="00A05A71" w:rsidRPr="002F28F1" w:rsidRDefault="00A05A71" w:rsidP="00BE10F4">
            <w:pPr>
              <w:pStyle w:val="COMTabletext"/>
              <w:keepNext w:val="0"/>
            </w:pPr>
          </w:p>
          <w:p w14:paraId="55F61864" w14:textId="6F14FC46" w:rsidR="00A05A71" w:rsidRPr="002F28F1" w:rsidRDefault="00A05A71" w:rsidP="00A05A71">
            <w:pPr>
              <w:pStyle w:val="COMTabletext"/>
              <w:rPr>
                <w:i/>
                <w:iCs/>
              </w:rPr>
            </w:pPr>
            <w:r w:rsidRPr="002F28F1">
              <w:rPr>
                <w:bCs w:val="0"/>
              </w:rPr>
              <w:t>DUSC considered that this was an overestimate.</w:t>
            </w:r>
          </w:p>
        </w:tc>
      </w:tr>
      <w:tr w:rsidR="00A05A71" w:rsidRPr="007F52A5" w14:paraId="2E4743C9" w14:textId="77777777" w:rsidTr="0098459D">
        <w:trPr>
          <w:cantSplit/>
        </w:trPr>
        <w:tc>
          <w:tcPr>
            <w:tcW w:w="1160" w:type="dxa"/>
          </w:tcPr>
          <w:p w14:paraId="2F8DEF22" w14:textId="77777777" w:rsidR="00A05A71" w:rsidRPr="00A05A71" w:rsidRDefault="00A05A71" w:rsidP="00BE10F4">
            <w:pPr>
              <w:pStyle w:val="COMTabletext"/>
              <w:keepNext w:val="0"/>
            </w:pPr>
            <w:r w:rsidRPr="00A05A71">
              <w:t>Number of zilucoplan scripts per patient during the initial 16 weeks</w:t>
            </w:r>
          </w:p>
        </w:tc>
        <w:tc>
          <w:tcPr>
            <w:tcW w:w="1350" w:type="dxa"/>
          </w:tcPr>
          <w:p w14:paraId="731BC3FD" w14:textId="70B05B41" w:rsidR="00A05A71" w:rsidRPr="00A05A71" w:rsidRDefault="0069051D" w:rsidP="00BE10F4">
            <w:pPr>
              <w:pStyle w:val="COMTabletext"/>
              <w:keepNext w:val="0"/>
              <w:jc w:val="center"/>
            </w:pPr>
            <w:r w:rsidRPr="0069051D">
              <w:rPr>
                <w:color w:val="000000"/>
                <w:spacing w:val="104"/>
                <w:shd w:val="solid" w:color="000000" w:fill="000000"/>
                <w:fitText w:val="190" w:id="-893204220"/>
                <w14:textFill>
                  <w14:solidFill>
                    <w14:srgbClr w14:val="000000">
                      <w14:alpha w14:val="100000"/>
                    </w14:srgbClr>
                  </w14:solidFill>
                </w14:textFill>
              </w:rPr>
              <w:t>|</w:t>
            </w:r>
            <w:r w:rsidRPr="0069051D">
              <w:rPr>
                <w:color w:val="000000"/>
                <w:spacing w:val="1"/>
                <w:shd w:val="solid" w:color="000000" w:fill="000000"/>
                <w:fitText w:val="190" w:id="-893204220"/>
                <w14:textFill>
                  <w14:solidFill>
                    <w14:srgbClr w14:val="000000">
                      <w14:alpha w14:val="100000"/>
                    </w14:srgbClr>
                  </w14:solidFill>
                </w14:textFill>
              </w:rPr>
              <w:t>|</w:t>
            </w:r>
            <w:r w:rsidR="003D6F8C" w:rsidRPr="003D6F8C">
              <w:rPr>
                <w:vertAlign w:val="superscript"/>
              </w:rPr>
              <w:t>1</w:t>
            </w:r>
            <w:r w:rsidR="00A05A71" w:rsidRPr="003D6F8C">
              <w:t xml:space="preserve"> scripts</w:t>
            </w:r>
          </w:p>
        </w:tc>
        <w:tc>
          <w:tcPr>
            <w:tcW w:w="2305" w:type="dxa"/>
          </w:tcPr>
          <w:p w14:paraId="0B3ABC8C" w14:textId="4E7D409D" w:rsidR="00A05A71" w:rsidRPr="00A05A71" w:rsidRDefault="00A05A71" w:rsidP="00BE10F4">
            <w:pPr>
              <w:pStyle w:val="COMTabletext"/>
              <w:keepNext w:val="0"/>
            </w:pPr>
            <w:r w:rsidRPr="00A05A71">
              <w:t>The number of patient-weeks of treatment among patients in the zilucoplan arm of the economic model during the initial 16 weeks (</w:t>
            </w:r>
            <w:r w:rsidR="0069051D" w:rsidRPr="0069051D">
              <w:rPr>
                <w:color w:val="000000"/>
                <w:spacing w:val="53"/>
                <w:shd w:val="solid" w:color="000000" w:fill="000000"/>
                <w:fitText w:val="330" w:id="-893204219"/>
                <w14:textFill>
                  <w14:solidFill>
                    <w14:srgbClr w14:val="000000">
                      <w14:alpha w14:val="100000"/>
                    </w14:srgbClr>
                  </w14:solidFill>
                </w14:textFill>
              </w:rPr>
              <w:t>|||</w:t>
            </w:r>
            <w:r w:rsidR="0069051D" w:rsidRPr="0069051D">
              <w:rPr>
                <w:color w:val="000000"/>
                <w:spacing w:val="1"/>
                <w:shd w:val="solid" w:color="000000" w:fill="000000"/>
                <w:fitText w:val="330" w:id="-893204219"/>
                <w14:textFill>
                  <w14:solidFill>
                    <w14:srgbClr w14:val="000000">
                      <w14:alpha w14:val="100000"/>
                    </w14:srgbClr>
                  </w14:solidFill>
                </w14:textFill>
              </w:rPr>
              <w:t>|</w:t>
            </w:r>
            <w:r w:rsidRPr="00A05A71">
              <w:t xml:space="preserve"> weeks) was used to derive the number of scripts during the initial treatment period (</w:t>
            </w:r>
            <w:r w:rsidR="0069051D" w:rsidRPr="0069051D">
              <w:rPr>
                <w:color w:val="000000"/>
                <w:spacing w:val="53"/>
                <w:shd w:val="solid" w:color="000000" w:fill="000000"/>
                <w:fitText w:val="330" w:id="-893204218"/>
                <w14:textFill>
                  <w14:solidFill>
                    <w14:srgbClr w14:val="000000">
                      <w14:alpha w14:val="100000"/>
                    </w14:srgbClr>
                  </w14:solidFill>
                </w14:textFill>
              </w:rPr>
              <w:t>|||</w:t>
            </w:r>
            <w:r w:rsidR="0069051D" w:rsidRPr="0069051D">
              <w:rPr>
                <w:color w:val="000000"/>
                <w:spacing w:val="1"/>
                <w:shd w:val="solid" w:color="000000" w:fill="000000"/>
                <w:fitText w:val="330" w:id="-893204218"/>
                <w14:textFill>
                  <w14:solidFill>
                    <w14:srgbClr w14:val="000000">
                      <w14:alpha w14:val="100000"/>
                    </w14:srgbClr>
                  </w14:solidFill>
                </w14:textFill>
              </w:rPr>
              <w:t>|</w:t>
            </w:r>
            <w:r w:rsidRPr="004E599E">
              <w:t xml:space="preserve"> x </w:t>
            </w:r>
            <w:r w:rsidR="0069051D" w:rsidRPr="0069051D">
              <w:rPr>
                <w:color w:val="000000"/>
                <w:spacing w:val="53"/>
                <w:shd w:val="solid" w:color="000000" w:fill="000000"/>
                <w:fitText w:val="330" w:id="-893204217"/>
                <w14:textFill>
                  <w14:solidFill>
                    <w14:srgbClr w14:val="000000">
                      <w14:alpha w14:val="100000"/>
                    </w14:srgbClr>
                  </w14:solidFill>
                </w14:textFill>
              </w:rPr>
              <w:t>|||</w:t>
            </w:r>
            <w:r w:rsidR="0069051D" w:rsidRPr="0069051D">
              <w:rPr>
                <w:color w:val="000000"/>
                <w:spacing w:val="1"/>
                <w:shd w:val="solid" w:color="000000" w:fill="000000"/>
                <w:fitText w:val="330" w:id="-893204217"/>
                <w14:textFill>
                  <w14:solidFill>
                    <w14:srgbClr w14:val="000000">
                      <w14:alpha w14:val="100000"/>
                    </w14:srgbClr>
                  </w14:solidFill>
                </w14:textFill>
              </w:rPr>
              <w:t>|</w:t>
            </w:r>
            <w:r w:rsidRPr="004E599E">
              <w:t xml:space="preserve"> ÷ </w:t>
            </w:r>
            <w:r w:rsidR="0069051D" w:rsidRPr="0069051D">
              <w:rPr>
                <w:color w:val="000000"/>
                <w:spacing w:val="53"/>
                <w:shd w:val="solid" w:color="000000" w:fill="000000"/>
                <w:fitText w:val="330" w:id="-893204216"/>
                <w14:textFill>
                  <w14:solidFill>
                    <w14:srgbClr w14:val="000000">
                      <w14:alpha w14:val="100000"/>
                    </w14:srgbClr>
                  </w14:solidFill>
                </w14:textFill>
              </w:rPr>
              <w:t>|||</w:t>
            </w:r>
            <w:r w:rsidR="0069051D" w:rsidRPr="0069051D">
              <w:rPr>
                <w:color w:val="000000"/>
                <w:spacing w:val="1"/>
                <w:shd w:val="solid" w:color="000000" w:fill="000000"/>
                <w:fitText w:val="330" w:id="-893204216"/>
                <w14:textFill>
                  <w14:solidFill>
                    <w14:srgbClr w14:val="000000">
                      <w14:alpha w14:val="100000"/>
                    </w14:srgbClr>
                  </w14:solidFill>
                </w14:textFill>
              </w:rPr>
              <w:t>|</w:t>
            </w:r>
            <w:r w:rsidRPr="004E599E">
              <w:t xml:space="preserve"> = </w:t>
            </w:r>
            <w:r w:rsidR="0069051D" w:rsidRPr="0069051D">
              <w:rPr>
                <w:color w:val="000000"/>
                <w:spacing w:val="53"/>
                <w:shd w:val="solid" w:color="000000" w:fill="000000"/>
                <w:fitText w:val="330" w:id="-893204215"/>
                <w14:textFill>
                  <w14:solidFill>
                    <w14:srgbClr w14:val="000000">
                      <w14:alpha w14:val="100000"/>
                    </w14:srgbClr>
                  </w14:solidFill>
                </w14:textFill>
              </w:rPr>
              <w:t>|||</w:t>
            </w:r>
            <w:r w:rsidR="0069051D" w:rsidRPr="0069051D">
              <w:rPr>
                <w:color w:val="000000"/>
                <w:spacing w:val="1"/>
                <w:shd w:val="solid" w:color="000000" w:fill="000000"/>
                <w:fitText w:val="330" w:id="-893204215"/>
                <w14:textFill>
                  <w14:solidFill>
                    <w14:srgbClr w14:val="000000">
                      <w14:alpha w14:val="100000"/>
                    </w14:srgbClr>
                  </w14:solidFill>
                </w14:textFill>
              </w:rPr>
              <w:t>|</w:t>
            </w:r>
            <w:r w:rsidR="009623FD" w:rsidRPr="009623FD">
              <w:rPr>
                <w:vertAlign w:val="superscript"/>
              </w:rPr>
              <w:t>1</w:t>
            </w:r>
            <w:r w:rsidRPr="00C877F5">
              <w:t xml:space="preserve"> scripts).</w:t>
            </w:r>
          </w:p>
        </w:tc>
        <w:tc>
          <w:tcPr>
            <w:tcW w:w="4201" w:type="dxa"/>
            <w:vMerge w:val="restart"/>
          </w:tcPr>
          <w:p w14:paraId="19F2AEC5" w14:textId="5EA15DA6" w:rsidR="00A05A71" w:rsidRPr="002F28F1" w:rsidRDefault="00A05A71" w:rsidP="00BE10F4">
            <w:pPr>
              <w:pStyle w:val="COMTabletext"/>
              <w:keepNext w:val="0"/>
            </w:pPr>
            <w:r w:rsidRPr="002F28F1">
              <w:t xml:space="preserve">The difference between the full treatment period and the assumed treatment period was due to adjustment for patients discontinuing treatment following an exacerbation, myasthenic crisis, death due to myasthenic crisis, or death due to background mortality. It is unclear whether patients experiencing an exacerbation or a myasthenic crisis would discontinue treatment with zilucoplan in clinical practice. The derivation of the </w:t>
            </w:r>
            <w:r w:rsidR="0069051D" w:rsidRPr="0069051D">
              <w:rPr>
                <w:color w:val="000000"/>
                <w:spacing w:val="53"/>
                <w:shd w:val="solid" w:color="000000" w:fill="000000"/>
                <w:fitText w:val="330" w:id="-893204214"/>
                <w14:textFill>
                  <w14:solidFill>
                    <w14:srgbClr w14:val="000000">
                      <w14:alpha w14:val="100000"/>
                    </w14:srgbClr>
                  </w14:solidFill>
                </w14:textFill>
              </w:rPr>
              <w:t>|||</w:t>
            </w:r>
            <w:r w:rsidR="0069051D" w:rsidRPr="0069051D">
              <w:rPr>
                <w:color w:val="000000"/>
                <w:spacing w:val="1"/>
                <w:shd w:val="solid" w:color="000000" w:fill="000000"/>
                <w:fitText w:val="330" w:id="-893204214"/>
                <w14:textFill>
                  <w14:solidFill>
                    <w14:srgbClr w14:val="000000">
                      <w14:alpha w14:val="100000"/>
                    </w14:srgbClr>
                  </w14:solidFill>
                </w14:textFill>
              </w:rPr>
              <w:t>|</w:t>
            </w:r>
            <w:r w:rsidR="009623FD" w:rsidRPr="009623FD">
              <w:rPr>
                <w:vertAlign w:val="superscript"/>
              </w:rPr>
              <w:t>1</w:t>
            </w:r>
            <w:r w:rsidRPr="002F28F1">
              <w:t xml:space="preserve"> patient-weeks of treatment was unclear (the economic model spreadsheet indicated a treatment duration of </w:t>
            </w:r>
            <w:r w:rsidR="0069051D" w:rsidRPr="0069051D">
              <w:rPr>
                <w:color w:val="000000"/>
                <w:spacing w:val="53"/>
                <w:shd w:val="solid" w:color="000000" w:fill="000000"/>
                <w:fitText w:val="330" w:id="-893204213"/>
                <w14:textFill>
                  <w14:solidFill>
                    <w14:srgbClr w14:val="000000">
                      <w14:alpha w14:val="100000"/>
                    </w14:srgbClr>
                  </w14:solidFill>
                </w14:textFill>
              </w:rPr>
              <w:t>|||</w:t>
            </w:r>
            <w:r w:rsidR="0069051D" w:rsidRPr="0069051D">
              <w:rPr>
                <w:color w:val="000000"/>
                <w:spacing w:val="1"/>
                <w:shd w:val="solid" w:color="000000" w:fill="000000"/>
                <w:fitText w:val="330" w:id="-893204213"/>
                <w14:textFill>
                  <w14:solidFill>
                    <w14:srgbClr w14:val="000000">
                      <w14:alpha w14:val="100000"/>
                    </w14:srgbClr>
                  </w14:solidFill>
                </w14:textFill>
              </w:rPr>
              <w:t>|</w:t>
            </w:r>
            <w:r w:rsidR="009623FD" w:rsidRPr="009623FD">
              <w:rPr>
                <w:vertAlign w:val="superscript"/>
              </w:rPr>
              <w:t>1</w:t>
            </w:r>
            <w:r w:rsidRPr="002F28F1">
              <w:t xml:space="preserve"> patient-weeks).</w:t>
            </w:r>
          </w:p>
          <w:p w14:paraId="1E035AD2" w14:textId="77777777" w:rsidR="00A05A71" w:rsidRPr="002F28F1" w:rsidRDefault="00A05A71" w:rsidP="00BE10F4">
            <w:pPr>
              <w:pStyle w:val="COMTabletext"/>
              <w:keepNext w:val="0"/>
            </w:pPr>
          </w:p>
          <w:p w14:paraId="2E633078" w14:textId="6CB26091" w:rsidR="00A05A71" w:rsidRPr="002F28F1" w:rsidRDefault="00A05A71" w:rsidP="00BE10F4">
            <w:pPr>
              <w:pStyle w:val="COMTabletext"/>
              <w:keepNext w:val="0"/>
              <w:rPr>
                <w:i/>
                <w:iCs/>
              </w:rPr>
            </w:pPr>
            <w:r w:rsidRPr="002F28F1">
              <w:rPr>
                <w:bCs w:val="0"/>
              </w:rPr>
              <w:t xml:space="preserve">DUSC considered that these were overestimated. </w:t>
            </w:r>
            <w:r w:rsidRPr="002F28F1">
              <w:t>DUSC noted that treatment discontinuation due to myasthenic crisis would likely be uncommon in practice</w:t>
            </w:r>
          </w:p>
        </w:tc>
      </w:tr>
      <w:tr w:rsidR="00A05A71" w:rsidRPr="007F52A5" w14:paraId="0F61CCE5" w14:textId="77777777" w:rsidTr="00BE10F4">
        <w:tc>
          <w:tcPr>
            <w:tcW w:w="1160" w:type="dxa"/>
          </w:tcPr>
          <w:p w14:paraId="7F0047D6" w14:textId="77777777" w:rsidR="00A05A71" w:rsidRPr="00A05A71" w:rsidRDefault="00A05A71" w:rsidP="00BE10F4">
            <w:pPr>
              <w:pStyle w:val="COMTabletext"/>
              <w:keepNext w:val="0"/>
            </w:pPr>
            <w:r w:rsidRPr="00A05A71">
              <w:t>Number of zilucoplan scripts per patient during the remainder of first year</w:t>
            </w:r>
          </w:p>
        </w:tc>
        <w:tc>
          <w:tcPr>
            <w:tcW w:w="1350" w:type="dxa"/>
          </w:tcPr>
          <w:p w14:paraId="48D0EA6E" w14:textId="2887B5B5" w:rsidR="00A05A71" w:rsidRPr="00A05A71" w:rsidRDefault="0069051D" w:rsidP="00BE10F4">
            <w:pPr>
              <w:pStyle w:val="COMTabletext"/>
              <w:keepNext w:val="0"/>
              <w:jc w:val="center"/>
            </w:pPr>
            <w:r w:rsidRPr="0069051D">
              <w:rPr>
                <w:color w:val="000000"/>
                <w:spacing w:val="104"/>
                <w:shd w:val="solid" w:color="000000" w:fill="000000"/>
                <w:fitText w:val="190" w:id="-893204212"/>
                <w14:textFill>
                  <w14:solidFill>
                    <w14:srgbClr w14:val="000000">
                      <w14:alpha w14:val="100000"/>
                    </w14:srgbClr>
                  </w14:solidFill>
                </w14:textFill>
              </w:rPr>
              <w:t>|</w:t>
            </w:r>
            <w:r w:rsidRPr="0069051D">
              <w:rPr>
                <w:color w:val="000000"/>
                <w:spacing w:val="1"/>
                <w:shd w:val="solid" w:color="000000" w:fill="000000"/>
                <w:fitText w:val="190" w:id="-893204212"/>
                <w14:textFill>
                  <w14:solidFill>
                    <w14:srgbClr w14:val="000000">
                      <w14:alpha w14:val="100000"/>
                    </w14:srgbClr>
                  </w14:solidFill>
                </w14:textFill>
              </w:rPr>
              <w:t>|</w:t>
            </w:r>
            <w:r w:rsidR="002D60F3" w:rsidRPr="003D6F8C">
              <w:rPr>
                <w:vertAlign w:val="superscript"/>
              </w:rPr>
              <w:t>1</w:t>
            </w:r>
            <w:r w:rsidR="00A05A71" w:rsidRPr="00FA5AC5">
              <w:t xml:space="preserve"> scripts</w:t>
            </w:r>
          </w:p>
        </w:tc>
        <w:tc>
          <w:tcPr>
            <w:tcW w:w="2305" w:type="dxa"/>
          </w:tcPr>
          <w:p w14:paraId="11BE6A63" w14:textId="21175962" w:rsidR="00A05A71" w:rsidRPr="00A05A71" w:rsidRDefault="00A05A71" w:rsidP="00BE10F4">
            <w:pPr>
              <w:pStyle w:val="COMTabletext"/>
              <w:keepNext w:val="0"/>
            </w:pPr>
            <w:r w:rsidRPr="00A05A71">
              <w:t>The number of patient-weeks of treatment among patients in the zilucoplan arm of the economic model between 16 and 52 weeks (</w:t>
            </w:r>
            <w:r w:rsidR="0069051D" w:rsidRPr="0069051D">
              <w:rPr>
                <w:color w:val="000000"/>
                <w:spacing w:val="53"/>
                <w:shd w:val="solid" w:color="000000" w:fill="000000"/>
                <w:fitText w:val="330" w:id="-893204211"/>
                <w14:textFill>
                  <w14:solidFill>
                    <w14:srgbClr w14:val="000000">
                      <w14:alpha w14:val="100000"/>
                    </w14:srgbClr>
                  </w14:solidFill>
                </w14:textFill>
              </w:rPr>
              <w:t>|||</w:t>
            </w:r>
            <w:r w:rsidR="0069051D" w:rsidRPr="0069051D">
              <w:rPr>
                <w:color w:val="000000"/>
                <w:spacing w:val="1"/>
                <w:shd w:val="solid" w:color="000000" w:fill="000000"/>
                <w:fitText w:val="330" w:id="-893204211"/>
                <w14:textFill>
                  <w14:solidFill>
                    <w14:srgbClr w14:val="000000">
                      <w14:alpha w14:val="100000"/>
                    </w14:srgbClr>
                  </w14:solidFill>
                </w14:textFill>
              </w:rPr>
              <w:t>|</w:t>
            </w:r>
            <w:r w:rsidRPr="00A05A71">
              <w:t xml:space="preserve"> weeks) was used to estimate the number of scripts for the remainder of the first year of treatment (</w:t>
            </w:r>
            <w:r w:rsidR="0069051D" w:rsidRPr="0069051D">
              <w:rPr>
                <w:color w:val="000000"/>
                <w:spacing w:val="53"/>
                <w:shd w:val="solid" w:color="000000" w:fill="000000"/>
                <w:fitText w:val="330" w:id="-893204210"/>
                <w14:textFill>
                  <w14:solidFill>
                    <w14:srgbClr w14:val="000000">
                      <w14:alpha w14:val="100000"/>
                    </w14:srgbClr>
                  </w14:solidFill>
                </w14:textFill>
              </w:rPr>
              <w:t>|||</w:t>
            </w:r>
            <w:r w:rsidR="0069051D" w:rsidRPr="0069051D">
              <w:rPr>
                <w:color w:val="000000"/>
                <w:spacing w:val="1"/>
                <w:shd w:val="solid" w:color="000000" w:fill="000000"/>
                <w:fitText w:val="330" w:id="-893204210"/>
                <w14:textFill>
                  <w14:solidFill>
                    <w14:srgbClr w14:val="000000">
                      <w14:alpha w14:val="100000"/>
                    </w14:srgbClr>
                  </w14:solidFill>
                </w14:textFill>
              </w:rPr>
              <w:t>|</w:t>
            </w:r>
            <w:r w:rsidRPr="009623FD">
              <w:t xml:space="preserve"> x </w:t>
            </w:r>
            <w:r w:rsidR="0069051D" w:rsidRPr="0069051D">
              <w:rPr>
                <w:color w:val="000000"/>
                <w:spacing w:val="49"/>
                <w:shd w:val="solid" w:color="000000" w:fill="000000"/>
                <w:fitText w:val="320" w:id="-893204209"/>
                <w14:textFill>
                  <w14:solidFill>
                    <w14:srgbClr w14:val="000000">
                      <w14:alpha w14:val="100000"/>
                    </w14:srgbClr>
                  </w14:solidFill>
                </w14:textFill>
              </w:rPr>
              <w:t>|||</w:t>
            </w:r>
            <w:r w:rsidR="0069051D" w:rsidRPr="0069051D">
              <w:rPr>
                <w:color w:val="000000"/>
                <w:spacing w:val="3"/>
                <w:shd w:val="solid" w:color="000000" w:fill="000000"/>
                <w:fitText w:val="320" w:id="-893204209"/>
                <w14:textFill>
                  <w14:solidFill>
                    <w14:srgbClr w14:val="000000">
                      <w14:alpha w14:val="100000"/>
                    </w14:srgbClr>
                  </w14:solidFill>
                </w14:textFill>
              </w:rPr>
              <w:t>|</w:t>
            </w:r>
            <w:r w:rsidRPr="009623FD">
              <w:t xml:space="preserve"> ÷ </w:t>
            </w:r>
            <w:r w:rsidR="0069051D" w:rsidRPr="0069051D">
              <w:rPr>
                <w:color w:val="000000"/>
                <w:spacing w:val="53"/>
                <w:shd w:val="solid" w:color="000000" w:fill="000000"/>
                <w:fitText w:val="330" w:id="-893204208"/>
                <w14:textFill>
                  <w14:solidFill>
                    <w14:srgbClr w14:val="000000">
                      <w14:alpha w14:val="100000"/>
                    </w14:srgbClr>
                  </w14:solidFill>
                </w14:textFill>
              </w:rPr>
              <w:t>|||</w:t>
            </w:r>
            <w:r w:rsidR="0069051D" w:rsidRPr="0069051D">
              <w:rPr>
                <w:color w:val="000000"/>
                <w:spacing w:val="1"/>
                <w:shd w:val="solid" w:color="000000" w:fill="000000"/>
                <w:fitText w:val="330" w:id="-893204208"/>
                <w14:textFill>
                  <w14:solidFill>
                    <w14:srgbClr w14:val="000000">
                      <w14:alpha w14:val="100000"/>
                    </w14:srgbClr>
                  </w14:solidFill>
                </w14:textFill>
              </w:rPr>
              <w:t>|</w:t>
            </w:r>
            <w:r w:rsidRPr="009623FD">
              <w:t xml:space="preserve"> = </w:t>
            </w:r>
            <w:r w:rsidR="0069051D" w:rsidRPr="0069051D">
              <w:rPr>
                <w:color w:val="000000"/>
                <w:spacing w:val="53"/>
                <w:shd w:val="solid" w:color="000000" w:fill="000000"/>
                <w:fitText w:val="330" w:id="-893204224"/>
                <w14:textFill>
                  <w14:solidFill>
                    <w14:srgbClr w14:val="000000">
                      <w14:alpha w14:val="100000"/>
                    </w14:srgbClr>
                  </w14:solidFill>
                </w14:textFill>
              </w:rPr>
              <w:t>|||</w:t>
            </w:r>
            <w:r w:rsidR="0069051D" w:rsidRPr="0069051D">
              <w:rPr>
                <w:color w:val="000000"/>
                <w:spacing w:val="1"/>
                <w:shd w:val="solid" w:color="000000" w:fill="000000"/>
                <w:fitText w:val="330" w:id="-893204224"/>
                <w14:textFill>
                  <w14:solidFill>
                    <w14:srgbClr w14:val="000000">
                      <w14:alpha w14:val="100000"/>
                    </w14:srgbClr>
                  </w14:solidFill>
                </w14:textFill>
              </w:rPr>
              <w:t>|</w:t>
            </w:r>
            <w:r w:rsidR="009623FD" w:rsidRPr="009623FD">
              <w:rPr>
                <w:vertAlign w:val="superscript"/>
              </w:rPr>
              <w:t>1</w:t>
            </w:r>
            <w:r w:rsidRPr="009623FD">
              <w:t xml:space="preserve"> scripts).</w:t>
            </w:r>
          </w:p>
        </w:tc>
        <w:tc>
          <w:tcPr>
            <w:tcW w:w="4201" w:type="dxa"/>
            <w:vMerge/>
          </w:tcPr>
          <w:p w14:paraId="22436AB8" w14:textId="77777777" w:rsidR="00A05A71" w:rsidRPr="002F28F1" w:rsidRDefault="00A05A71" w:rsidP="00BE10F4">
            <w:pPr>
              <w:pStyle w:val="COMTabletext"/>
              <w:keepNext w:val="0"/>
              <w:rPr>
                <w:i/>
                <w:iCs/>
              </w:rPr>
            </w:pPr>
          </w:p>
        </w:tc>
      </w:tr>
      <w:tr w:rsidR="00A05A71" w:rsidRPr="007F52A5" w14:paraId="705199E5" w14:textId="77777777" w:rsidTr="00BE10F4">
        <w:tc>
          <w:tcPr>
            <w:tcW w:w="1160" w:type="dxa"/>
          </w:tcPr>
          <w:p w14:paraId="35FE1B93" w14:textId="77777777" w:rsidR="00A05A71" w:rsidRPr="00A05A71" w:rsidRDefault="00A05A71" w:rsidP="00BE10F4">
            <w:pPr>
              <w:pStyle w:val="COMTabletext"/>
              <w:keepNext w:val="0"/>
            </w:pPr>
            <w:r w:rsidRPr="00A05A71">
              <w:t>Zilucoplan persistence</w:t>
            </w:r>
          </w:p>
        </w:tc>
        <w:tc>
          <w:tcPr>
            <w:tcW w:w="1350" w:type="dxa"/>
          </w:tcPr>
          <w:p w14:paraId="70749A96" w14:textId="6D04EC68" w:rsidR="00A05A71" w:rsidRPr="00B52441" w:rsidRDefault="00A05A71" w:rsidP="00BE10F4">
            <w:pPr>
              <w:pStyle w:val="COMTabletext"/>
              <w:keepNext w:val="0"/>
              <w:jc w:val="center"/>
            </w:pPr>
            <w:r w:rsidRPr="00B52441">
              <w:t xml:space="preserve">Yr 1 to 2: </w:t>
            </w:r>
            <w:r w:rsidR="0069051D" w:rsidRPr="0069051D">
              <w:rPr>
                <w:color w:val="000000"/>
                <w:shd w:val="solid" w:color="000000" w:fill="000000"/>
                <w14:textFill>
                  <w14:solidFill>
                    <w14:srgbClr w14:val="000000">
                      <w14:alpha w14:val="100000"/>
                    </w14:srgbClr>
                  </w14:solidFill>
                </w14:textFill>
              </w:rPr>
              <w:t>|</w:t>
            </w:r>
            <w:r w:rsidRPr="00B52441">
              <w:t>%</w:t>
            </w:r>
          </w:p>
          <w:p w14:paraId="445B5192" w14:textId="698DC223" w:rsidR="00A05A71" w:rsidRPr="00B52441" w:rsidRDefault="00A05A71" w:rsidP="00BE10F4">
            <w:pPr>
              <w:pStyle w:val="COMTabletext"/>
              <w:keepNext w:val="0"/>
              <w:jc w:val="center"/>
            </w:pPr>
            <w:r w:rsidRPr="00B52441">
              <w:t xml:space="preserve">Yr 2 to 3: </w:t>
            </w:r>
            <w:r w:rsidR="0069051D" w:rsidRPr="0069051D">
              <w:rPr>
                <w:color w:val="000000"/>
                <w:shd w:val="solid" w:color="000000" w:fill="000000"/>
                <w14:textFill>
                  <w14:solidFill>
                    <w14:srgbClr w14:val="000000">
                      <w14:alpha w14:val="100000"/>
                    </w14:srgbClr>
                  </w14:solidFill>
                </w14:textFill>
              </w:rPr>
              <w:t>|</w:t>
            </w:r>
            <w:r w:rsidRPr="00B52441">
              <w:t>%</w:t>
            </w:r>
          </w:p>
          <w:p w14:paraId="7E552939" w14:textId="1A17C890" w:rsidR="00A05A71" w:rsidRPr="00B52441" w:rsidRDefault="00A05A71" w:rsidP="00BE10F4">
            <w:pPr>
              <w:pStyle w:val="COMTabletext"/>
              <w:keepNext w:val="0"/>
              <w:jc w:val="center"/>
            </w:pPr>
            <w:r w:rsidRPr="00B52441">
              <w:t xml:space="preserve">Yr 3 to 4: </w:t>
            </w:r>
            <w:r w:rsidR="0069051D" w:rsidRPr="0069051D">
              <w:rPr>
                <w:color w:val="000000"/>
                <w:shd w:val="solid" w:color="000000" w:fill="000000"/>
                <w14:textFill>
                  <w14:solidFill>
                    <w14:srgbClr w14:val="000000">
                      <w14:alpha w14:val="100000"/>
                    </w14:srgbClr>
                  </w14:solidFill>
                </w14:textFill>
              </w:rPr>
              <w:t>|</w:t>
            </w:r>
            <w:r w:rsidRPr="00B52441">
              <w:t>%</w:t>
            </w:r>
          </w:p>
          <w:p w14:paraId="241B7216" w14:textId="141D6D76" w:rsidR="00A05A71" w:rsidRPr="00B52441" w:rsidRDefault="00A05A71" w:rsidP="00BE10F4">
            <w:pPr>
              <w:pStyle w:val="COMTabletext"/>
              <w:keepNext w:val="0"/>
              <w:jc w:val="center"/>
            </w:pPr>
            <w:r w:rsidRPr="00B52441">
              <w:t xml:space="preserve">Yr 4 to 5: </w:t>
            </w:r>
            <w:r w:rsidR="0069051D" w:rsidRPr="0069051D">
              <w:rPr>
                <w:color w:val="000000"/>
                <w:shd w:val="solid" w:color="000000" w:fill="000000"/>
                <w14:textFill>
                  <w14:solidFill>
                    <w14:srgbClr w14:val="000000">
                      <w14:alpha w14:val="100000"/>
                    </w14:srgbClr>
                  </w14:solidFill>
                </w14:textFill>
              </w:rPr>
              <w:t>|</w:t>
            </w:r>
            <w:r w:rsidRPr="00B52441">
              <w:t>%</w:t>
            </w:r>
          </w:p>
          <w:p w14:paraId="4BF46B91" w14:textId="4C37FFF4" w:rsidR="00A05A71" w:rsidRPr="00A05A71" w:rsidRDefault="00A05A71" w:rsidP="00BE10F4">
            <w:pPr>
              <w:pStyle w:val="COMTabletext"/>
              <w:keepNext w:val="0"/>
              <w:jc w:val="center"/>
            </w:pPr>
            <w:r w:rsidRPr="00B52441">
              <w:t xml:space="preserve">Yr 5 to 6: </w:t>
            </w:r>
            <w:r w:rsidR="0069051D" w:rsidRPr="0069051D">
              <w:rPr>
                <w:color w:val="000000"/>
                <w:shd w:val="solid" w:color="000000" w:fill="000000"/>
                <w14:textFill>
                  <w14:solidFill>
                    <w14:srgbClr w14:val="000000">
                      <w14:alpha w14:val="100000"/>
                    </w14:srgbClr>
                  </w14:solidFill>
                </w14:textFill>
              </w:rPr>
              <w:t>|</w:t>
            </w:r>
            <w:r w:rsidRPr="00B52441">
              <w:t>%</w:t>
            </w:r>
          </w:p>
        </w:tc>
        <w:tc>
          <w:tcPr>
            <w:tcW w:w="2305" w:type="dxa"/>
          </w:tcPr>
          <w:p w14:paraId="7ACF6EA4" w14:textId="77777777" w:rsidR="00A05A71" w:rsidRPr="00A05A71" w:rsidRDefault="00A05A71" w:rsidP="00BE10F4">
            <w:pPr>
              <w:pStyle w:val="COMTabletext"/>
              <w:keepNext w:val="0"/>
            </w:pPr>
            <w:r w:rsidRPr="00A05A71">
              <w:t>Derived from the economic model trace for the zilucoplan arm. The persistence estimate was applied to the recommended number of scripts per year (365.25 ÷ 28 = 13.04 scripts per year) to derive the number of scripts per patient in each subsequent year.</w:t>
            </w:r>
          </w:p>
        </w:tc>
        <w:tc>
          <w:tcPr>
            <w:tcW w:w="4201" w:type="dxa"/>
          </w:tcPr>
          <w:p w14:paraId="03829FC1" w14:textId="769DBC16" w:rsidR="00A05A71" w:rsidRPr="002F28F1" w:rsidRDefault="00A05A71" w:rsidP="00BE10F4">
            <w:pPr>
              <w:pStyle w:val="COMTabletext"/>
              <w:keepNext w:val="0"/>
            </w:pPr>
            <w:bookmarkStart w:id="101" w:name="_Hlk164414364"/>
            <w:r w:rsidRPr="002F28F1">
              <w:t>In the economic model, patients who experienced myasthenia gravis disease exacerbations subsequently discontinued treatment. Th</w:t>
            </w:r>
            <w:r w:rsidR="002F28F1">
              <w:t>e evaluation considered th</w:t>
            </w:r>
            <w:r w:rsidRPr="002F28F1">
              <w:t>is may not reflect treatment decisions in clinical practice. Additionally,</w:t>
            </w:r>
            <w:bookmarkEnd w:id="101"/>
            <w:r w:rsidRPr="002F28F1">
              <w:t xml:space="preserve"> patients in the PBS population may re-initiate treatment with zilucoplan </w:t>
            </w:r>
            <w:proofErr w:type="gramStart"/>
            <w:r w:rsidRPr="002F28F1">
              <w:t>at a later time</w:t>
            </w:r>
            <w:proofErr w:type="gramEnd"/>
            <w:r w:rsidRPr="002F28F1">
              <w:t>.</w:t>
            </w:r>
          </w:p>
          <w:p w14:paraId="7974C506" w14:textId="77777777" w:rsidR="00A05A71" w:rsidRPr="002F28F1" w:rsidRDefault="00A05A71" w:rsidP="00BE10F4">
            <w:pPr>
              <w:pStyle w:val="COMTabletext"/>
              <w:keepNext w:val="0"/>
            </w:pPr>
          </w:p>
          <w:p w14:paraId="14BEA1CB" w14:textId="10FDA6B4" w:rsidR="00A05A71" w:rsidRPr="002F28F1" w:rsidRDefault="00A05A71" w:rsidP="00BE10F4">
            <w:pPr>
              <w:pStyle w:val="COMTabletext"/>
              <w:rPr>
                <w:i/>
                <w:iCs/>
              </w:rPr>
            </w:pPr>
            <w:r w:rsidRPr="002F28F1">
              <w:t>DUSC noted that this step is dependent on the proposed restriction.</w:t>
            </w:r>
          </w:p>
        </w:tc>
      </w:tr>
      <w:tr w:rsidR="00A05A71" w:rsidRPr="007F52A5" w14:paraId="2BD408B2" w14:textId="77777777" w:rsidTr="00BE10F4">
        <w:tc>
          <w:tcPr>
            <w:tcW w:w="1160" w:type="dxa"/>
          </w:tcPr>
          <w:p w14:paraId="0589EC64" w14:textId="77777777" w:rsidR="00A05A71" w:rsidRPr="00A05A71" w:rsidRDefault="00A05A71" w:rsidP="00BE10F4">
            <w:pPr>
              <w:pStyle w:val="COMTabletext"/>
              <w:keepNext w:val="0"/>
            </w:pPr>
            <w:r w:rsidRPr="00A05A71">
              <w:t>Zilucoplan utilisation split based on dose</w:t>
            </w:r>
          </w:p>
        </w:tc>
        <w:tc>
          <w:tcPr>
            <w:tcW w:w="1350" w:type="dxa"/>
          </w:tcPr>
          <w:p w14:paraId="173E7818" w14:textId="103D9B8A" w:rsidR="00A05A71" w:rsidRPr="004A3D65" w:rsidRDefault="00A05A71" w:rsidP="00BE10F4">
            <w:pPr>
              <w:pStyle w:val="COMTabletext"/>
              <w:keepNext w:val="0"/>
              <w:jc w:val="center"/>
            </w:pPr>
            <w:r w:rsidRPr="004A3D65">
              <w:t xml:space="preserve">16.6 mg: </w:t>
            </w:r>
            <w:r w:rsidR="0069051D" w:rsidRPr="0069051D">
              <w:rPr>
                <w:color w:val="000000"/>
                <w:spacing w:val="46"/>
                <w:shd w:val="solid" w:color="000000" w:fill="000000"/>
                <w:fitText w:val="310" w:id="-893204223"/>
                <w14:textFill>
                  <w14:solidFill>
                    <w14:srgbClr w14:val="000000">
                      <w14:alpha w14:val="100000"/>
                    </w14:srgbClr>
                  </w14:solidFill>
                </w14:textFill>
              </w:rPr>
              <w:t>|||</w:t>
            </w:r>
            <w:r w:rsidR="0069051D" w:rsidRPr="0069051D">
              <w:rPr>
                <w:color w:val="000000"/>
                <w:spacing w:val="2"/>
                <w:shd w:val="solid" w:color="000000" w:fill="000000"/>
                <w:fitText w:val="310" w:id="-893204223"/>
                <w14:textFill>
                  <w14:solidFill>
                    <w14:srgbClr w14:val="000000">
                      <w14:alpha w14:val="100000"/>
                    </w14:srgbClr>
                  </w14:solidFill>
                </w14:textFill>
              </w:rPr>
              <w:t>|</w:t>
            </w:r>
            <w:r w:rsidRPr="004A3D65">
              <w:t>%</w:t>
            </w:r>
          </w:p>
          <w:p w14:paraId="5291FA4C" w14:textId="091D56E3" w:rsidR="00A05A71" w:rsidRPr="004A3D65" w:rsidRDefault="00A05A71" w:rsidP="00BE10F4">
            <w:pPr>
              <w:pStyle w:val="COMTabletext"/>
              <w:keepNext w:val="0"/>
              <w:jc w:val="center"/>
            </w:pPr>
            <w:r w:rsidRPr="004A3D65">
              <w:t xml:space="preserve">23.0 mg: </w:t>
            </w:r>
            <w:r w:rsidR="0069051D" w:rsidRPr="0069051D">
              <w:rPr>
                <w:color w:val="000000"/>
                <w:spacing w:val="46"/>
                <w:shd w:val="solid" w:color="000000" w:fill="000000"/>
                <w:fitText w:val="310" w:id="-893204222"/>
                <w14:textFill>
                  <w14:solidFill>
                    <w14:srgbClr w14:val="000000">
                      <w14:alpha w14:val="100000"/>
                    </w14:srgbClr>
                  </w14:solidFill>
                </w14:textFill>
              </w:rPr>
              <w:t>|||</w:t>
            </w:r>
            <w:r w:rsidR="0069051D" w:rsidRPr="0069051D">
              <w:rPr>
                <w:color w:val="000000"/>
                <w:spacing w:val="2"/>
                <w:shd w:val="solid" w:color="000000" w:fill="000000"/>
                <w:fitText w:val="310" w:id="-893204222"/>
                <w14:textFill>
                  <w14:solidFill>
                    <w14:srgbClr w14:val="000000">
                      <w14:alpha w14:val="100000"/>
                    </w14:srgbClr>
                  </w14:solidFill>
                </w14:textFill>
              </w:rPr>
              <w:t>|</w:t>
            </w:r>
            <w:r w:rsidRPr="004A3D65">
              <w:t>%</w:t>
            </w:r>
          </w:p>
          <w:p w14:paraId="453C1DAF" w14:textId="3682D2F0" w:rsidR="00A05A71" w:rsidRPr="00A05A71" w:rsidRDefault="00A05A71" w:rsidP="00BE10F4">
            <w:pPr>
              <w:pStyle w:val="COMTabletext"/>
              <w:keepNext w:val="0"/>
              <w:jc w:val="center"/>
            </w:pPr>
            <w:r w:rsidRPr="004A3D65">
              <w:t xml:space="preserve">32.4 mg: </w:t>
            </w:r>
            <w:r w:rsidR="0069051D" w:rsidRPr="0069051D">
              <w:rPr>
                <w:color w:val="000000"/>
                <w:spacing w:val="46"/>
                <w:shd w:val="solid" w:color="000000" w:fill="000000"/>
                <w:fitText w:val="310" w:id="-893204221"/>
                <w14:textFill>
                  <w14:solidFill>
                    <w14:srgbClr w14:val="000000">
                      <w14:alpha w14:val="100000"/>
                    </w14:srgbClr>
                  </w14:solidFill>
                </w14:textFill>
              </w:rPr>
              <w:t>|||</w:t>
            </w:r>
            <w:r w:rsidR="0069051D" w:rsidRPr="0069051D">
              <w:rPr>
                <w:color w:val="000000"/>
                <w:spacing w:val="2"/>
                <w:shd w:val="solid" w:color="000000" w:fill="000000"/>
                <w:fitText w:val="310" w:id="-893204221"/>
                <w14:textFill>
                  <w14:solidFill>
                    <w14:srgbClr w14:val="000000">
                      <w14:alpha w14:val="100000"/>
                    </w14:srgbClr>
                  </w14:solidFill>
                </w14:textFill>
              </w:rPr>
              <w:t>|</w:t>
            </w:r>
            <w:r w:rsidRPr="004A3D65">
              <w:t>%</w:t>
            </w:r>
          </w:p>
        </w:tc>
        <w:tc>
          <w:tcPr>
            <w:tcW w:w="2305" w:type="dxa"/>
          </w:tcPr>
          <w:p w14:paraId="2E4BA7E1" w14:textId="77777777" w:rsidR="00A05A71" w:rsidRPr="00A05A71" w:rsidRDefault="00A05A71" w:rsidP="00BE10F4">
            <w:pPr>
              <w:pStyle w:val="COMTabletext"/>
              <w:keepNext w:val="0"/>
            </w:pPr>
            <w:r w:rsidRPr="00A05A71">
              <w:t>Based on the distribution of use among patients in the RAISE trial.</w:t>
            </w:r>
          </w:p>
        </w:tc>
        <w:tc>
          <w:tcPr>
            <w:tcW w:w="4201" w:type="dxa"/>
          </w:tcPr>
          <w:p w14:paraId="2ED7E760" w14:textId="224E8537" w:rsidR="00A05A71" w:rsidRPr="00A05A71" w:rsidRDefault="00A05A71" w:rsidP="00BE10F4">
            <w:pPr>
              <w:pStyle w:val="COMTabletext"/>
              <w:keepNext w:val="0"/>
              <w:rPr>
                <w:highlight w:val="yellow"/>
              </w:rPr>
            </w:pPr>
            <w:r>
              <w:t>DUSC considered that t</w:t>
            </w:r>
            <w:r w:rsidRPr="00A05A71">
              <w:t xml:space="preserve">his appeared reasonable. </w:t>
            </w:r>
          </w:p>
        </w:tc>
      </w:tr>
      <w:tr w:rsidR="00A05A71" w:rsidRPr="007F52A5" w14:paraId="3F3523CE" w14:textId="77777777" w:rsidTr="00BE10F4">
        <w:tc>
          <w:tcPr>
            <w:tcW w:w="1160" w:type="dxa"/>
          </w:tcPr>
          <w:p w14:paraId="005E5EB3" w14:textId="77777777" w:rsidR="00A05A71" w:rsidRPr="00A05A71" w:rsidRDefault="00A05A71" w:rsidP="00BE10F4">
            <w:pPr>
              <w:pStyle w:val="COMTabletext"/>
              <w:keepNext w:val="0"/>
            </w:pPr>
            <w:r w:rsidRPr="00A05A71">
              <w:t>Proportion of patients treated with IVIg versus PLEX</w:t>
            </w:r>
          </w:p>
        </w:tc>
        <w:tc>
          <w:tcPr>
            <w:tcW w:w="1350" w:type="dxa"/>
          </w:tcPr>
          <w:p w14:paraId="3F6397D3" w14:textId="77777777" w:rsidR="00A05A71" w:rsidRPr="00A05A71" w:rsidRDefault="00A05A71" w:rsidP="00BE10F4">
            <w:pPr>
              <w:pStyle w:val="COMTabletext"/>
              <w:keepNext w:val="0"/>
              <w:jc w:val="center"/>
            </w:pPr>
            <w:r w:rsidRPr="00A05A71">
              <w:t>IVIg: 82.93%</w:t>
            </w:r>
          </w:p>
          <w:p w14:paraId="6AC4463A" w14:textId="77777777" w:rsidR="00A05A71" w:rsidRPr="00A05A71" w:rsidRDefault="00A05A71" w:rsidP="00BE10F4">
            <w:pPr>
              <w:pStyle w:val="COMTabletext"/>
              <w:keepNext w:val="0"/>
              <w:jc w:val="center"/>
            </w:pPr>
            <w:r w:rsidRPr="00A05A71">
              <w:t>PLEX:17.07%</w:t>
            </w:r>
          </w:p>
        </w:tc>
        <w:tc>
          <w:tcPr>
            <w:tcW w:w="2305" w:type="dxa"/>
          </w:tcPr>
          <w:p w14:paraId="06C71FBA" w14:textId="04FCB199" w:rsidR="00A05A71" w:rsidRPr="00A05A71" w:rsidRDefault="00A05A71" w:rsidP="00BE10F4">
            <w:pPr>
              <w:pStyle w:val="COMTabletext"/>
              <w:keepNext w:val="0"/>
            </w:pPr>
            <w:r w:rsidRPr="00A05A71">
              <w:t>Li (2019). Retrospective study of the clinical features and management of 66 adults (45% female) with a diagnosis of myasthenia gravis confirmed by a neurologist from June 2007 to 2017 in a Melbourne hospital network. Forty-one patients (62%) received either maintenance treatment with IVIg (34/41; 82.9%) or PLEX (7/41;17.1%).</w:t>
            </w:r>
          </w:p>
        </w:tc>
        <w:tc>
          <w:tcPr>
            <w:tcW w:w="4201" w:type="dxa"/>
          </w:tcPr>
          <w:p w14:paraId="44FCFC93" w14:textId="604ACD19" w:rsidR="00A05A71" w:rsidRPr="002F28F1" w:rsidRDefault="002F28F1" w:rsidP="00BE10F4">
            <w:pPr>
              <w:pStyle w:val="COMTabletext"/>
              <w:keepNext w:val="0"/>
            </w:pPr>
            <w:r w:rsidRPr="002F28F1">
              <w:t>The evaluation considered it was</w:t>
            </w:r>
            <w:r w:rsidR="00A05A71" w:rsidRPr="002F28F1">
              <w:t xml:space="preserve"> unclear whether the Melbourne-based sample </w:t>
            </w:r>
            <w:r w:rsidRPr="002F28F1">
              <w:t>wa</w:t>
            </w:r>
            <w:r w:rsidR="00A05A71" w:rsidRPr="002F28F1">
              <w:t>s representative of the relative utilisation of IVIg and PLEX in Australia. The submission noted feedback from Australian clinicians who are experienced in the treatment of myasthenia gravis that approximately 90% of patients receive IVIg and 10% receive PLEX.</w:t>
            </w:r>
          </w:p>
          <w:p w14:paraId="3CED8B74" w14:textId="77777777" w:rsidR="00A05A71" w:rsidRPr="002F28F1" w:rsidRDefault="00A05A71" w:rsidP="00BE10F4">
            <w:pPr>
              <w:pStyle w:val="COMTabletext"/>
              <w:keepNext w:val="0"/>
            </w:pPr>
          </w:p>
          <w:p w14:paraId="0D4B5D57" w14:textId="74D7E6DE" w:rsidR="00A05A71" w:rsidRPr="002F28F1" w:rsidRDefault="00A05A71" w:rsidP="00BE10F4">
            <w:pPr>
              <w:pStyle w:val="COMTabletext"/>
            </w:pPr>
            <w:r w:rsidRPr="002F28F1">
              <w:t>DUSC noted that larger hospitals more likely to administer PLEX.</w:t>
            </w:r>
          </w:p>
          <w:p w14:paraId="1F48997D" w14:textId="77777777" w:rsidR="00A05A71" w:rsidRPr="002F28F1" w:rsidRDefault="00A05A71" w:rsidP="00BE10F4">
            <w:pPr>
              <w:pStyle w:val="COMTabletext"/>
              <w:keepNext w:val="0"/>
              <w:rPr>
                <w:i/>
                <w:iCs/>
              </w:rPr>
            </w:pPr>
          </w:p>
        </w:tc>
      </w:tr>
      <w:tr w:rsidR="00A05A71" w:rsidRPr="007F52A5" w14:paraId="4FD3CF6C" w14:textId="77777777" w:rsidTr="00F649BD">
        <w:trPr>
          <w:cantSplit/>
        </w:trPr>
        <w:tc>
          <w:tcPr>
            <w:tcW w:w="1160" w:type="dxa"/>
          </w:tcPr>
          <w:p w14:paraId="74AB760A" w14:textId="77777777" w:rsidR="00A05A71" w:rsidRPr="00A05A71" w:rsidRDefault="00A05A71" w:rsidP="00BE10F4">
            <w:pPr>
              <w:pStyle w:val="COMTabletext"/>
              <w:keepNext w:val="0"/>
            </w:pPr>
            <w:r w:rsidRPr="00A05A71">
              <w:t>IVIg dose</w:t>
            </w:r>
          </w:p>
        </w:tc>
        <w:tc>
          <w:tcPr>
            <w:tcW w:w="1350" w:type="dxa"/>
          </w:tcPr>
          <w:p w14:paraId="70DC6686" w14:textId="77777777" w:rsidR="00A05A71" w:rsidRPr="00A05A71" w:rsidRDefault="00A05A71" w:rsidP="00BE10F4">
            <w:pPr>
              <w:pStyle w:val="COMTabletext"/>
              <w:keepNext w:val="0"/>
              <w:jc w:val="center"/>
            </w:pPr>
            <w:r w:rsidRPr="00A05A71">
              <w:t>Induction: 178.2 g</w:t>
            </w:r>
          </w:p>
          <w:p w14:paraId="52561D7D" w14:textId="77777777" w:rsidR="00A05A71" w:rsidRPr="00A05A71" w:rsidRDefault="00A05A71" w:rsidP="00BE10F4">
            <w:pPr>
              <w:pStyle w:val="COMTabletext"/>
              <w:keepNext w:val="0"/>
              <w:jc w:val="center"/>
            </w:pPr>
            <w:r w:rsidRPr="00A05A71">
              <w:t>Maintenance: 89.1 g</w:t>
            </w:r>
          </w:p>
        </w:tc>
        <w:tc>
          <w:tcPr>
            <w:tcW w:w="2305" w:type="dxa"/>
          </w:tcPr>
          <w:p w14:paraId="4CB61329" w14:textId="77777777" w:rsidR="00A05A71" w:rsidRPr="00A05A71" w:rsidRDefault="00A05A71" w:rsidP="00BE10F4">
            <w:pPr>
              <w:pStyle w:val="COMTabletext"/>
            </w:pPr>
            <w:r w:rsidRPr="00A05A71">
              <w:t>Based on the dosing information for myasthenia gravis included in the product information for Privigen (10% human normal immunoglobulin for intravenous infusion). The product information recommends (prior to surgery or during myasthenic crisis) an induction dose of 1-2 g/kg and a maintenance dose of 0.4-1 g/kg. Body weight was assumed to be the mean body weight at baseline in the RAISE trial (89.1 kg). The submission stated that the maximum dose in each dose range was assumed.</w:t>
            </w:r>
          </w:p>
        </w:tc>
        <w:tc>
          <w:tcPr>
            <w:tcW w:w="4201" w:type="dxa"/>
            <w:vMerge w:val="restart"/>
          </w:tcPr>
          <w:p w14:paraId="6E4F5E6F" w14:textId="6561C58A" w:rsidR="00A05A71" w:rsidRPr="002F28F1" w:rsidRDefault="00A05A71" w:rsidP="00BE10F4">
            <w:pPr>
              <w:pStyle w:val="COMTabletext"/>
            </w:pPr>
            <w:r w:rsidRPr="002F28F1">
              <w:t xml:space="preserve">The </w:t>
            </w:r>
            <w:r w:rsidR="00BD5FE1">
              <w:t xml:space="preserve">commentary and the DUSC considered that the estimated </w:t>
            </w:r>
            <w:r w:rsidRPr="002F28F1">
              <w:t xml:space="preserve">doses/administration frequencies appeared to be overestimated. The NBA guidelines (maintenance therapy indication) note that a dose of 1 g/kg has been demonstrated to be equally effective as 2 g/kg for induction prior to maintenance therapy and a dose of 2 g/kg should be reserved for patients with particularly severe disease. </w:t>
            </w:r>
          </w:p>
          <w:p w14:paraId="75E6C347" w14:textId="77777777" w:rsidR="00A05A71" w:rsidRPr="002F28F1" w:rsidRDefault="00A05A71" w:rsidP="00BE10F4">
            <w:pPr>
              <w:pStyle w:val="COMTabletext"/>
              <w:rPr>
                <w:sz w:val="16"/>
                <w:szCs w:val="16"/>
              </w:rPr>
            </w:pPr>
          </w:p>
          <w:p w14:paraId="30DE7DD8" w14:textId="77777777" w:rsidR="00A05A71" w:rsidRPr="002F28F1" w:rsidRDefault="00A05A71" w:rsidP="00BE10F4">
            <w:pPr>
              <w:pStyle w:val="COMTabletext"/>
            </w:pPr>
            <w:r w:rsidRPr="002F28F1">
              <w:t xml:space="preserve">The assumed annual dose of IVIg in the submission (1,158 g) was substantially higher than the mean dose of IVIg among patients on IVIg maintenance treatment for myasthenia gravis reported in the MSAC review of immunoglobulin use for myasthenia gravis (492 g). </w:t>
            </w:r>
          </w:p>
          <w:p w14:paraId="628E9578" w14:textId="77777777" w:rsidR="00A05A71" w:rsidRPr="002F28F1" w:rsidRDefault="00A05A71" w:rsidP="00BE10F4">
            <w:pPr>
              <w:pStyle w:val="COMTabletext"/>
              <w:rPr>
                <w:sz w:val="16"/>
                <w:szCs w:val="16"/>
              </w:rPr>
            </w:pPr>
          </w:p>
          <w:p w14:paraId="5A642C2D" w14:textId="77777777" w:rsidR="00A05A71" w:rsidRPr="002F28F1" w:rsidRDefault="00A05A71" w:rsidP="00BE10F4">
            <w:pPr>
              <w:pStyle w:val="COMTabletext"/>
            </w:pPr>
            <w:r w:rsidRPr="002F28F1">
              <w:t>The submission assumed perfect treatment adherence which is unlikely to be realised in clinical practice.</w:t>
            </w:r>
          </w:p>
          <w:p w14:paraId="1BC7DCE5" w14:textId="77777777" w:rsidR="00A05A71" w:rsidRPr="002F28F1" w:rsidRDefault="00A05A71" w:rsidP="00BE10F4">
            <w:pPr>
              <w:pStyle w:val="COMTabletext"/>
            </w:pPr>
          </w:p>
          <w:p w14:paraId="5BD32F8B" w14:textId="723FEBC4" w:rsidR="00A05A71" w:rsidRPr="002F28F1" w:rsidRDefault="00A05A71" w:rsidP="00BD5FE1">
            <w:pPr>
              <w:pStyle w:val="COMTabletext"/>
              <w:rPr>
                <w:i/>
                <w:iCs/>
              </w:rPr>
            </w:pPr>
            <w:r w:rsidRPr="002F28F1">
              <w:rPr>
                <w:bCs w:val="0"/>
              </w:rPr>
              <w:t xml:space="preserve">DUSC considered </w:t>
            </w:r>
            <w:r w:rsidRPr="002F28F1">
              <w:t>IVIg is often rationalised in practice, including the frequency.</w:t>
            </w:r>
          </w:p>
        </w:tc>
      </w:tr>
      <w:tr w:rsidR="00A05A71" w:rsidRPr="007F52A5" w14:paraId="4F7B9101" w14:textId="77777777" w:rsidTr="00BE10F4">
        <w:tc>
          <w:tcPr>
            <w:tcW w:w="1160" w:type="dxa"/>
          </w:tcPr>
          <w:p w14:paraId="0BC9399B" w14:textId="77777777" w:rsidR="00A05A71" w:rsidRPr="00A05A71" w:rsidRDefault="00A05A71" w:rsidP="00BE10F4">
            <w:pPr>
              <w:pStyle w:val="COMTabletext"/>
              <w:keepNext w:val="0"/>
            </w:pPr>
            <w:r w:rsidRPr="00A05A71">
              <w:t>IVIg administrations</w:t>
            </w:r>
          </w:p>
        </w:tc>
        <w:tc>
          <w:tcPr>
            <w:tcW w:w="1350" w:type="dxa"/>
          </w:tcPr>
          <w:p w14:paraId="41B39AD8" w14:textId="77777777" w:rsidR="00A05A71" w:rsidRPr="00A05A71" w:rsidRDefault="00A05A71" w:rsidP="00BE10F4">
            <w:pPr>
              <w:pStyle w:val="COMTabletext"/>
              <w:keepNext w:val="0"/>
              <w:jc w:val="center"/>
            </w:pPr>
            <w:r w:rsidRPr="00A05A71">
              <w:t>First year: 14</w:t>
            </w:r>
          </w:p>
          <w:p w14:paraId="22481867" w14:textId="77777777" w:rsidR="00A05A71" w:rsidRPr="00A05A71" w:rsidRDefault="00A05A71" w:rsidP="00BE10F4">
            <w:pPr>
              <w:pStyle w:val="COMTabletext"/>
              <w:keepNext w:val="0"/>
              <w:jc w:val="center"/>
            </w:pPr>
            <w:r w:rsidRPr="00A05A71">
              <w:t>Subsequent years: 13</w:t>
            </w:r>
          </w:p>
        </w:tc>
        <w:tc>
          <w:tcPr>
            <w:tcW w:w="2305" w:type="dxa"/>
          </w:tcPr>
          <w:p w14:paraId="42DCE948" w14:textId="77777777" w:rsidR="00A05A71" w:rsidRPr="00A05A71" w:rsidRDefault="00A05A71" w:rsidP="00BE10F4">
            <w:pPr>
              <w:pStyle w:val="COMTabletext"/>
            </w:pPr>
            <w:r w:rsidRPr="00A05A71">
              <w:t xml:space="preserve">Based on the dosing information for myasthenia gravis included in the product information for Privigen (10% human normal immunoglobulin for intravenous infusion). The product information recommends (prior to surgery or during myasthenic crisis) the induction dose to be administered in divided doses over 2-5 days and maintenance doses to be administered every 4-6 weeks. The submission stated that the highest dose frequency in the range was chosen. The induction dose was assumed to be administered in two doses during the initial 4 weeks. Maintenance doses were assumed to be administered every 4 weeks. </w:t>
            </w:r>
          </w:p>
        </w:tc>
        <w:tc>
          <w:tcPr>
            <w:tcW w:w="4201" w:type="dxa"/>
            <w:vMerge/>
          </w:tcPr>
          <w:p w14:paraId="6181E6AE" w14:textId="77777777" w:rsidR="00A05A71" w:rsidRPr="007F52A5" w:rsidRDefault="00A05A71" w:rsidP="00BE10F4">
            <w:pPr>
              <w:pStyle w:val="COMTabletext"/>
              <w:rPr>
                <w:i/>
                <w:iCs/>
                <w:highlight w:val="yellow"/>
              </w:rPr>
            </w:pPr>
          </w:p>
        </w:tc>
      </w:tr>
      <w:tr w:rsidR="00A05A71" w:rsidRPr="007F52A5" w14:paraId="5763E22E" w14:textId="77777777" w:rsidTr="002F28F1">
        <w:tc>
          <w:tcPr>
            <w:tcW w:w="1160" w:type="dxa"/>
          </w:tcPr>
          <w:p w14:paraId="5276AD80" w14:textId="77777777" w:rsidR="00A05A71" w:rsidRPr="00A05A71" w:rsidRDefault="00A05A71" w:rsidP="00BE10F4">
            <w:pPr>
              <w:pStyle w:val="COMTabletext"/>
              <w:keepNext w:val="0"/>
            </w:pPr>
            <w:r w:rsidRPr="00A05A71">
              <w:t>PLEX dose</w:t>
            </w:r>
          </w:p>
        </w:tc>
        <w:tc>
          <w:tcPr>
            <w:tcW w:w="1350" w:type="dxa"/>
          </w:tcPr>
          <w:p w14:paraId="2DEAF50C" w14:textId="77777777" w:rsidR="00A05A71" w:rsidRPr="00A05A71" w:rsidRDefault="00A05A71" w:rsidP="00BE10F4">
            <w:pPr>
              <w:pStyle w:val="COMTabletext"/>
              <w:keepNext w:val="0"/>
              <w:jc w:val="center"/>
            </w:pPr>
            <w:r w:rsidRPr="00A05A71">
              <w:t>4.46 litres</w:t>
            </w:r>
          </w:p>
        </w:tc>
        <w:tc>
          <w:tcPr>
            <w:tcW w:w="2305" w:type="dxa"/>
          </w:tcPr>
          <w:p w14:paraId="29C79644" w14:textId="77777777" w:rsidR="00A05A71" w:rsidRPr="00A05A71" w:rsidRDefault="00A05A71" w:rsidP="00BE10F4">
            <w:pPr>
              <w:pStyle w:val="COMTabletext"/>
              <w:keepNext w:val="0"/>
            </w:pPr>
            <w:r w:rsidRPr="00A05A71">
              <w:t xml:space="preserve">Assumed a dose of 5% of total body weight based on the dose included in a study by Ronager (2001). The mean body weight was based on the baseline weight in the RAISE trial (89.1 kg x 0.05 = 4.46). </w:t>
            </w:r>
          </w:p>
        </w:tc>
        <w:tc>
          <w:tcPr>
            <w:tcW w:w="4201" w:type="dxa"/>
          </w:tcPr>
          <w:p w14:paraId="6619C68D" w14:textId="1622B909" w:rsidR="00A05A71" w:rsidRPr="002F28F1" w:rsidRDefault="00A05A71" w:rsidP="00BE10F4">
            <w:pPr>
              <w:pStyle w:val="COMTabletext"/>
              <w:keepNext w:val="0"/>
            </w:pPr>
            <w:r w:rsidRPr="002F28F1">
              <w:t>The</w:t>
            </w:r>
            <w:r w:rsidR="00BD5FE1">
              <w:t xml:space="preserve"> commentary and the DUSC considered that the</w:t>
            </w:r>
            <w:r w:rsidRPr="002F28F1">
              <w:t xml:space="preserve"> submission did not adequately justify the assumed PLEX volume, which was higher than the volume of 3.0 litres included in the MSAC review of immunoglobulin use for myasthenia gravis (Milverton 2009).</w:t>
            </w:r>
          </w:p>
          <w:p w14:paraId="7E7B3317" w14:textId="59BB77CD" w:rsidR="00A05A71" w:rsidRPr="002F28F1" w:rsidRDefault="00A05A71" w:rsidP="00BE10F4">
            <w:pPr>
              <w:pStyle w:val="COMTabletext"/>
              <w:keepNext w:val="0"/>
              <w:rPr>
                <w:i/>
                <w:iCs/>
              </w:rPr>
            </w:pPr>
          </w:p>
        </w:tc>
      </w:tr>
      <w:tr w:rsidR="00A05A71" w:rsidRPr="007F52A5" w14:paraId="28C7AA78" w14:textId="77777777" w:rsidTr="00672AC4">
        <w:trPr>
          <w:cantSplit/>
        </w:trPr>
        <w:tc>
          <w:tcPr>
            <w:tcW w:w="1160" w:type="dxa"/>
          </w:tcPr>
          <w:p w14:paraId="2DE8DD0C" w14:textId="77777777" w:rsidR="00A05A71" w:rsidRPr="00A05A71" w:rsidRDefault="00A05A71" w:rsidP="00BE10F4">
            <w:pPr>
              <w:pStyle w:val="COMTabletext"/>
              <w:keepNext w:val="0"/>
            </w:pPr>
            <w:r w:rsidRPr="00A05A71">
              <w:t>PLEX administrations</w:t>
            </w:r>
          </w:p>
        </w:tc>
        <w:tc>
          <w:tcPr>
            <w:tcW w:w="1350" w:type="dxa"/>
          </w:tcPr>
          <w:p w14:paraId="5974E322" w14:textId="77777777" w:rsidR="00A05A71" w:rsidRPr="00A05A71" w:rsidRDefault="00A05A71" w:rsidP="00BE10F4">
            <w:pPr>
              <w:pStyle w:val="COMTabletext"/>
              <w:keepNext w:val="0"/>
              <w:jc w:val="center"/>
            </w:pPr>
            <w:r w:rsidRPr="00A05A71">
              <w:t>First year: 55</w:t>
            </w:r>
          </w:p>
          <w:p w14:paraId="743A7E05" w14:textId="77777777" w:rsidR="00A05A71" w:rsidRPr="00A05A71" w:rsidRDefault="00A05A71" w:rsidP="00BE10F4">
            <w:pPr>
              <w:pStyle w:val="COMTabletext"/>
              <w:keepNext w:val="0"/>
              <w:jc w:val="center"/>
            </w:pPr>
            <w:r w:rsidRPr="00A05A71">
              <w:t>Subsequent years: 52</w:t>
            </w:r>
          </w:p>
        </w:tc>
        <w:tc>
          <w:tcPr>
            <w:tcW w:w="2305" w:type="dxa"/>
          </w:tcPr>
          <w:p w14:paraId="03016A86" w14:textId="77777777" w:rsidR="00A05A71" w:rsidRPr="00A05A71" w:rsidRDefault="00A05A71" w:rsidP="00BE10F4">
            <w:pPr>
              <w:pStyle w:val="COMTabletext"/>
              <w:keepNext w:val="0"/>
            </w:pPr>
            <w:r w:rsidRPr="00A05A71">
              <w:t>Assumed 5 plasma exchanges during the 2-week induction period and one plasma exchange weekly thereafter.</w:t>
            </w:r>
          </w:p>
        </w:tc>
        <w:tc>
          <w:tcPr>
            <w:tcW w:w="4201" w:type="dxa"/>
          </w:tcPr>
          <w:p w14:paraId="665F6ACF" w14:textId="56027197" w:rsidR="00A05A71" w:rsidRPr="002F28F1" w:rsidRDefault="00A05A71" w:rsidP="00BE10F4">
            <w:pPr>
              <w:pStyle w:val="COMTabletext"/>
              <w:keepNext w:val="0"/>
            </w:pPr>
            <w:r w:rsidRPr="002F28F1">
              <w:t xml:space="preserve">The </w:t>
            </w:r>
            <w:r w:rsidR="00BD5FE1">
              <w:t>commentary and the DUSC considered that the</w:t>
            </w:r>
            <w:r w:rsidR="00BD5FE1" w:rsidRPr="002F28F1">
              <w:t xml:space="preserve"> </w:t>
            </w:r>
            <w:r w:rsidRPr="002F28F1">
              <w:t xml:space="preserve">assumption of a once weekly (high intensity regimen) was not adequately justified. </w:t>
            </w:r>
          </w:p>
          <w:p w14:paraId="759179B0" w14:textId="77777777" w:rsidR="00A05A71" w:rsidRPr="002F28F1" w:rsidRDefault="00A05A71" w:rsidP="00BE10F4">
            <w:pPr>
              <w:pStyle w:val="COMTabletext"/>
              <w:keepNext w:val="0"/>
              <w:rPr>
                <w:sz w:val="16"/>
                <w:szCs w:val="16"/>
              </w:rPr>
            </w:pPr>
          </w:p>
          <w:p w14:paraId="68F643C1" w14:textId="77777777" w:rsidR="00A05A71" w:rsidRPr="002F28F1" w:rsidRDefault="00A05A71" w:rsidP="00BE10F4">
            <w:pPr>
              <w:pStyle w:val="COMTabletext"/>
              <w:keepNext w:val="0"/>
            </w:pPr>
            <w:r w:rsidRPr="002F28F1">
              <w:t xml:space="preserve">Plasmapheresis may not be a viable long-term treatment due to the emergence of venous access issues associated with treatment. </w:t>
            </w:r>
          </w:p>
          <w:p w14:paraId="4A9235D4" w14:textId="77777777" w:rsidR="00A05A71" w:rsidRPr="002F28F1" w:rsidRDefault="00A05A71" w:rsidP="00BE10F4">
            <w:pPr>
              <w:pStyle w:val="COMTabletext"/>
              <w:keepNext w:val="0"/>
              <w:rPr>
                <w:sz w:val="16"/>
                <w:szCs w:val="16"/>
              </w:rPr>
            </w:pPr>
          </w:p>
          <w:p w14:paraId="0FD2E5D4" w14:textId="09179119" w:rsidR="00A05A71" w:rsidRPr="002F28F1" w:rsidRDefault="00A05A71" w:rsidP="00BE10F4">
            <w:pPr>
              <w:pStyle w:val="COMTabletext"/>
              <w:keepNext w:val="0"/>
              <w:rPr>
                <w:i/>
                <w:iCs/>
              </w:rPr>
            </w:pPr>
            <w:r w:rsidRPr="002F28F1">
              <w:t>The submission assumed perfect treatment adherence which is unlikely to be realised in clinical practice.</w:t>
            </w:r>
          </w:p>
        </w:tc>
      </w:tr>
      <w:tr w:rsidR="00A05A71" w:rsidRPr="007F52A5" w14:paraId="178CB790" w14:textId="77777777" w:rsidTr="002F28F1">
        <w:tc>
          <w:tcPr>
            <w:tcW w:w="1160" w:type="dxa"/>
          </w:tcPr>
          <w:p w14:paraId="0EE376C4" w14:textId="77777777" w:rsidR="00A05A71" w:rsidRPr="00A05A71" w:rsidRDefault="00A05A71" w:rsidP="00BE10F4">
            <w:pPr>
              <w:pStyle w:val="COMTabletext"/>
              <w:keepNext w:val="0"/>
            </w:pPr>
            <w:r w:rsidRPr="00A05A71">
              <w:t>Proportion achieving a response with IVIg/PLEX</w:t>
            </w:r>
          </w:p>
        </w:tc>
        <w:tc>
          <w:tcPr>
            <w:tcW w:w="1350" w:type="dxa"/>
          </w:tcPr>
          <w:p w14:paraId="47500762" w14:textId="77777777" w:rsidR="00A05A71" w:rsidRPr="00A05A71" w:rsidRDefault="00A05A71" w:rsidP="00BE10F4">
            <w:pPr>
              <w:pStyle w:val="COMTabletext"/>
              <w:keepNext w:val="0"/>
              <w:jc w:val="center"/>
            </w:pPr>
            <w:r w:rsidRPr="00A05A71">
              <w:t>84.9%</w:t>
            </w:r>
          </w:p>
        </w:tc>
        <w:tc>
          <w:tcPr>
            <w:tcW w:w="2305" w:type="dxa"/>
          </w:tcPr>
          <w:p w14:paraId="64380DB2" w14:textId="77777777" w:rsidR="00A05A71" w:rsidRPr="00A05A71" w:rsidRDefault="00A05A71" w:rsidP="00BE10F4">
            <w:pPr>
              <w:pStyle w:val="COMTabletext"/>
              <w:keepNext w:val="0"/>
            </w:pPr>
            <w:r w:rsidRPr="00A05A71">
              <w:t>Assumed to be the same as for zilucoplan (based on the proportion of zilucoplan-treated patients achieving a ≥3 point reduction in MG-ADL at 16 weeks in the RAISE extension study).</w:t>
            </w:r>
          </w:p>
        </w:tc>
        <w:tc>
          <w:tcPr>
            <w:tcW w:w="4201" w:type="dxa"/>
          </w:tcPr>
          <w:p w14:paraId="1D81CC70" w14:textId="66DB50CB" w:rsidR="00A05A71" w:rsidRPr="002F28F1" w:rsidRDefault="00A05A71" w:rsidP="00B97549">
            <w:pPr>
              <w:pStyle w:val="COMTabletext"/>
              <w:keepNext w:val="0"/>
            </w:pPr>
            <w:r w:rsidRPr="002F28F1">
              <w:t xml:space="preserve">The </w:t>
            </w:r>
            <w:r w:rsidR="00BD5FE1">
              <w:t>commentary considered that the</w:t>
            </w:r>
            <w:r w:rsidR="00BD5FE1" w:rsidRPr="002F28F1">
              <w:t xml:space="preserve"> </w:t>
            </w:r>
            <w:r w:rsidRPr="002F28F1">
              <w:t>assumption of the same treatment response rate for zilucoplan was not adequately justified, and was inconsistent with the economic model in which no response was assumed for treatment with IVIg/PLEX.</w:t>
            </w:r>
            <w:r w:rsidR="00B97549">
              <w:t xml:space="preserve"> However, the </w:t>
            </w:r>
            <w:r w:rsidRPr="002F28F1">
              <w:t xml:space="preserve">DUSC considered that this </w:t>
            </w:r>
            <w:r w:rsidR="00B97549">
              <w:t xml:space="preserve">assumption </w:t>
            </w:r>
            <w:r w:rsidRPr="002F28F1">
              <w:t>was reasonable given the low threshold for treatment response.</w:t>
            </w:r>
          </w:p>
        </w:tc>
      </w:tr>
      <w:tr w:rsidR="00A05A71" w:rsidRPr="007F52A5" w14:paraId="6C985E18" w14:textId="77777777" w:rsidTr="002F28F1">
        <w:tc>
          <w:tcPr>
            <w:tcW w:w="1160" w:type="dxa"/>
          </w:tcPr>
          <w:p w14:paraId="0C6ABEBF" w14:textId="77777777" w:rsidR="00A05A71" w:rsidRPr="00A05A71" w:rsidRDefault="00A05A71" w:rsidP="00BE10F4">
            <w:pPr>
              <w:pStyle w:val="COMTabletext"/>
              <w:keepNext w:val="0"/>
            </w:pPr>
            <w:r w:rsidRPr="00A05A71">
              <w:t>IVIg/PLEX persistence in subsequent years</w:t>
            </w:r>
          </w:p>
        </w:tc>
        <w:tc>
          <w:tcPr>
            <w:tcW w:w="1350" w:type="dxa"/>
          </w:tcPr>
          <w:p w14:paraId="76245809" w14:textId="710240DE" w:rsidR="00A05A71" w:rsidRPr="003562FA" w:rsidRDefault="00A05A71" w:rsidP="00BE10F4">
            <w:pPr>
              <w:pStyle w:val="COMTabletext"/>
              <w:keepNext w:val="0"/>
              <w:jc w:val="center"/>
            </w:pPr>
            <w:r w:rsidRPr="003562FA">
              <w:t xml:space="preserve">Yr 1 to 2: </w:t>
            </w:r>
            <w:r w:rsidR="0069051D" w:rsidRPr="0069051D">
              <w:rPr>
                <w:color w:val="000000"/>
                <w:shd w:val="solid" w:color="000000" w:fill="000000"/>
                <w14:textFill>
                  <w14:solidFill>
                    <w14:srgbClr w14:val="000000">
                      <w14:alpha w14:val="100000"/>
                    </w14:srgbClr>
                  </w14:solidFill>
                </w14:textFill>
              </w:rPr>
              <w:t>|</w:t>
            </w:r>
            <w:r w:rsidRPr="003562FA">
              <w:t>%</w:t>
            </w:r>
          </w:p>
          <w:p w14:paraId="6B524961" w14:textId="1A48CB7E" w:rsidR="00A05A71" w:rsidRPr="003562FA" w:rsidRDefault="00A05A71" w:rsidP="00BE10F4">
            <w:pPr>
              <w:pStyle w:val="COMTabletext"/>
              <w:keepNext w:val="0"/>
              <w:jc w:val="center"/>
            </w:pPr>
            <w:r w:rsidRPr="003562FA">
              <w:t>Yr 2 to 3</w:t>
            </w:r>
            <w:r w:rsidRPr="002D60F3">
              <w:t xml:space="preserve">: </w:t>
            </w:r>
            <w:r w:rsidR="0069051D" w:rsidRPr="0069051D">
              <w:rPr>
                <w:color w:val="000000"/>
                <w:shd w:val="solid" w:color="000000" w:fill="000000"/>
                <w14:textFill>
                  <w14:solidFill>
                    <w14:srgbClr w14:val="000000">
                      <w14:alpha w14:val="100000"/>
                    </w14:srgbClr>
                  </w14:solidFill>
                </w14:textFill>
              </w:rPr>
              <w:t>|</w:t>
            </w:r>
            <w:r w:rsidRPr="003562FA">
              <w:t>%</w:t>
            </w:r>
          </w:p>
          <w:p w14:paraId="4ED5EEAC" w14:textId="6065938C" w:rsidR="00A05A71" w:rsidRPr="003562FA" w:rsidRDefault="00A05A71" w:rsidP="00BE10F4">
            <w:pPr>
              <w:pStyle w:val="COMTabletext"/>
              <w:keepNext w:val="0"/>
              <w:jc w:val="center"/>
            </w:pPr>
            <w:r w:rsidRPr="003562FA">
              <w:t xml:space="preserve">Yr 3 to 4: </w:t>
            </w:r>
            <w:r w:rsidR="0069051D" w:rsidRPr="0069051D">
              <w:rPr>
                <w:color w:val="000000"/>
                <w:shd w:val="solid" w:color="000000" w:fill="000000"/>
                <w14:textFill>
                  <w14:solidFill>
                    <w14:srgbClr w14:val="000000">
                      <w14:alpha w14:val="100000"/>
                    </w14:srgbClr>
                  </w14:solidFill>
                </w14:textFill>
              </w:rPr>
              <w:t>|</w:t>
            </w:r>
            <w:r w:rsidRPr="003562FA">
              <w:t>%</w:t>
            </w:r>
          </w:p>
          <w:p w14:paraId="00320DA3" w14:textId="3B2AF8B4" w:rsidR="00A05A71" w:rsidRPr="003562FA" w:rsidRDefault="00A05A71" w:rsidP="00BE10F4">
            <w:pPr>
              <w:pStyle w:val="COMTabletext"/>
              <w:keepNext w:val="0"/>
              <w:jc w:val="center"/>
            </w:pPr>
            <w:r w:rsidRPr="003562FA">
              <w:t xml:space="preserve">Yr 4 to 5: </w:t>
            </w:r>
            <w:r w:rsidR="0069051D" w:rsidRPr="0069051D">
              <w:rPr>
                <w:color w:val="000000"/>
                <w:shd w:val="solid" w:color="000000" w:fill="000000"/>
                <w14:textFill>
                  <w14:solidFill>
                    <w14:srgbClr w14:val="000000">
                      <w14:alpha w14:val="100000"/>
                    </w14:srgbClr>
                  </w14:solidFill>
                </w14:textFill>
              </w:rPr>
              <w:t>|</w:t>
            </w:r>
            <w:r w:rsidRPr="003562FA">
              <w:t>%</w:t>
            </w:r>
          </w:p>
          <w:p w14:paraId="1B41CED4" w14:textId="24B0D1AD" w:rsidR="00A05A71" w:rsidRPr="00A05A71" w:rsidRDefault="00A05A71" w:rsidP="00BE10F4">
            <w:pPr>
              <w:pStyle w:val="COMTabletext"/>
              <w:keepNext w:val="0"/>
              <w:jc w:val="center"/>
            </w:pPr>
            <w:r w:rsidRPr="003562FA">
              <w:t xml:space="preserve">Yr 5 to 6: </w:t>
            </w:r>
            <w:r w:rsidR="0069051D" w:rsidRPr="0069051D">
              <w:rPr>
                <w:color w:val="000000"/>
                <w:shd w:val="solid" w:color="000000" w:fill="000000"/>
                <w14:textFill>
                  <w14:solidFill>
                    <w14:srgbClr w14:val="000000">
                      <w14:alpha w14:val="100000"/>
                    </w14:srgbClr>
                  </w14:solidFill>
                </w14:textFill>
              </w:rPr>
              <w:t>|</w:t>
            </w:r>
            <w:r w:rsidRPr="003562FA">
              <w:t>%</w:t>
            </w:r>
          </w:p>
        </w:tc>
        <w:tc>
          <w:tcPr>
            <w:tcW w:w="2305" w:type="dxa"/>
          </w:tcPr>
          <w:p w14:paraId="46A85FBA" w14:textId="77777777" w:rsidR="00A05A71" w:rsidRPr="00A05A71" w:rsidRDefault="00A05A71" w:rsidP="00BE10F4">
            <w:pPr>
              <w:pStyle w:val="COMTabletext"/>
              <w:keepNext w:val="0"/>
            </w:pPr>
            <w:r w:rsidRPr="00A05A71">
              <w:t>Assumed to be the same as for zilucoplan (derived from the economic model trace for the zilucoplan arm).</w:t>
            </w:r>
          </w:p>
        </w:tc>
        <w:tc>
          <w:tcPr>
            <w:tcW w:w="4201" w:type="dxa"/>
          </w:tcPr>
          <w:p w14:paraId="3A7D7900" w14:textId="072D64C7" w:rsidR="00A05A71" w:rsidRPr="002F28F1" w:rsidRDefault="00A05A71" w:rsidP="00BE10F4">
            <w:pPr>
              <w:pStyle w:val="COMTabletext"/>
              <w:keepNext w:val="0"/>
            </w:pPr>
            <w:r w:rsidRPr="002F28F1">
              <w:t xml:space="preserve">The </w:t>
            </w:r>
            <w:r w:rsidR="00BD5FE1">
              <w:t>commentary and the DUSC considered that the</w:t>
            </w:r>
            <w:r w:rsidR="00BD5FE1" w:rsidRPr="002F28F1">
              <w:t xml:space="preserve"> </w:t>
            </w:r>
            <w:r w:rsidRPr="002F28F1">
              <w:t>assumption of the same treatment persistence for IVIg and PLEX as zilucoplan was not adequately justified.</w:t>
            </w:r>
          </w:p>
          <w:p w14:paraId="7A97DA3A" w14:textId="77777777" w:rsidR="00A05A71" w:rsidRPr="002F28F1" w:rsidRDefault="00A05A71" w:rsidP="00BE10F4">
            <w:pPr>
              <w:pStyle w:val="COMTabletext"/>
              <w:keepNext w:val="0"/>
            </w:pPr>
          </w:p>
          <w:p w14:paraId="29F28E37" w14:textId="77777777" w:rsidR="00A05A71" w:rsidRPr="002F28F1" w:rsidRDefault="00A05A71" w:rsidP="00BE10F4">
            <w:pPr>
              <w:pStyle w:val="COMTabletext"/>
              <w:keepNext w:val="0"/>
            </w:pPr>
            <w:r w:rsidRPr="002F28F1">
              <w:t>The persistence estimates were not consistent with the economic evaluation which assumed that all patients would continue using these treatments until death.</w:t>
            </w:r>
          </w:p>
          <w:p w14:paraId="04E96119" w14:textId="77777777" w:rsidR="00A05A71" w:rsidRPr="002F28F1" w:rsidRDefault="00A05A71" w:rsidP="00BE10F4">
            <w:pPr>
              <w:pStyle w:val="COMTabletext"/>
              <w:keepNext w:val="0"/>
              <w:rPr>
                <w:i/>
                <w:iCs/>
              </w:rPr>
            </w:pPr>
          </w:p>
          <w:p w14:paraId="1E70E89C" w14:textId="3A73A343" w:rsidR="00A05A71" w:rsidRPr="002F28F1" w:rsidRDefault="00A05A71" w:rsidP="00A05A71">
            <w:pPr>
              <w:pStyle w:val="COMTabletext"/>
              <w:rPr>
                <w:i/>
                <w:iCs/>
              </w:rPr>
            </w:pPr>
            <w:r w:rsidRPr="002F28F1">
              <w:rPr>
                <w:bCs w:val="0"/>
              </w:rPr>
              <w:t>DUSC not</w:t>
            </w:r>
            <w:r w:rsidR="00BD5FE1">
              <w:rPr>
                <w:bCs w:val="0"/>
              </w:rPr>
              <w:t>ed</w:t>
            </w:r>
            <w:r w:rsidR="00F854FF">
              <w:rPr>
                <w:bCs w:val="0"/>
              </w:rPr>
              <w:t xml:space="preserve"> </w:t>
            </w:r>
            <w:r w:rsidRPr="002F28F1">
              <w:rPr>
                <w:bCs w:val="0"/>
              </w:rPr>
              <w:t xml:space="preserve">that </w:t>
            </w:r>
            <w:r w:rsidRPr="002F28F1">
              <w:t>IVIG and PLEX more likely to be de-escalated given inconvenience to patient and possible risks.</w:t>
            </w:r>
          </w:p>
        </w:tc>
      </w:tr>
    </w:tbl>
    <w:p w14:paraId="4188CD0F" w14:textId="49BD264F" w:rsidR="007F52A5" w:rsidRPr="00B162C2" w:rsidRDefault="007F52A5" w:rsidP="007F52A5">
      <w:pPr>
        <w:pStyle w:val="TableFigureFooter"/>
      </w:pPr>
      <w:r w:rsidRPr="00B162C2">
        <w:t>Source: Section 4, pp171-199 of the submission; Section 4 utilisation and financial impacts Excel workbook</w:t>
      </w:r>
      <w:r w:rsidR="00A05A71">
        <w:t xml:space="preserve"> and Table 1, pp6-13 of the DUSC Advice</w:t>
      </w:r>
    </w:p>
    <w:p w14:paraId="382F8C85" w14:textId="77777777" w:rsidR="007F52A5" w:rsidRDefault="007F52A5" w:rsidP="006D328B">
      <w:pPr>
        <w:pStyle w:val="TableFigureFooter"/>
        <w:spacing w:after="0"/>
      </w:pPr>
      <w:r w:rsidRPr="00B162C2">
        <w:t>Abbreviations: AChR+, acetylcholine receptor antibody positive; IVIg, intravenous immunoglobulin; MG-ADL, Myasthenia Gravis Activities of Daily Living; MGC, Myasthenia Gravis Composite score; MGFA, Myasthenia Gravis Foundation of America; NBA, National Blood Authority; PBS, Pharmaceutical Benefits Scheme; PLEX, plasma exchange; QMG, Quantitative Myasthenia Gravis score</w:t>
      </w:r>
    </w:p>
    <w:p w14:paraId="4A10E250" w14:textId="77777777" w:rsidR="006D328B" w:rsidRPr="009A6D58" w:rsidRDefault="006D328B" w:rsidP="006D328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C357282" w14:textId="53FD1A12" w:rsidR="008A4D0C" w:rsidRPr="007E1111" w:rsidRDefault="006D328B" w:rsidP="006D328B">
      <w:pPr>
        <w:spacing w:after="120"/>
        <w:rPr>
          <w:b/>
          <w:bCs/>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132E9C84" w14:textId="55F20AF5" w:rsidR="007F52A5" w:rsidRPr="00B162C2" w:rsidRDefault="007F52A5" w:rsidP="00A10F29">
      <w:pPr>
        <w:pStyle w:val="3-BodyText"/>
      </w:pPr>
      <w:r w:rsidRPr="00B162C2">
        <w:fldChar w:fldCharType="begin" w:fldLock="1"/>
      </w:r>
      <w:r w:rsidRPr="00B162C2">
        <w:instrText xml:space="preserve"> REF _Ref164685221 \h </w:instrText>
      </w:r>
      <w:r w:rsidRPr="00B162C2">
        <w:fldChar w:fldCharType="separate"/>
      </w:r>
      <w:r w:rsidR="00FC355E" w:rsidRPr="00B162C2">
        <w:t xml:space="preserve">Table </w:t>
      </w:r>
      <w:r w:rsidR="00FC355E">
        <w:rPr>
          <w:noProof/>
        </w:rPr>
        <w:t>18</w:t>
      </w:r>
      <w:r w:rsidRPr="00B162C2">
        <w:fldChar w:fldCharType="end"/>
      </w:r>
      <w:r w:rsidRPr="00B162C2">
        <w:t xml:space="preserve"> summarises the estimated number of initiating patients, scripts dispensed and net cost to the PBS of listing zilucoplan for generalised myasthenia gravis.</w:t>
      </w:r>
    </w:p>
    <w:p w14:paraId="7E373164" w14:textId="0A16F444" w:rsidR="007F52A5" w:rsidRPr="00B162C2" w:rsidRDefault="007F52A5" w:rsidP="007F52A5">
      <w:pPr>
        <w:pStyle w:val="COMtablefigcaption"/>
      </w:pPr>
      <w:bookmarkStart w:id="102" w:name="_Ref164685221"/>
      <w:r w:rsidRPr="00B162C2">
        <w:t xml:space="preserve">Table </w:t>
      </w:r>
      <w:r w:rsidR="002F23E8">
        <w:fldChar w:fldCharType="begin" w:fldLock="1"/>
      </w:r>
      <w:r w:rsidR="002F23E8">
        <w:instrText xml:space="preserve"> SEQ Table \* ARABIC </w:instrText>
      </w:r>
      <w:r w:rsidR="002F23E8">
        <w:fldChar w:fldCharType="separate"/>
      </w:r>
      <w:r w:rsidR="00FC355E">
        <w:rPr>
          <w:noProof/>
        </w:rPr>
        <w:t>18</w:t>
      </w:r>
      <w:r w:rsidR="002F23E8">
        <w:rPr>
          <w:noProof/>
        </w:rPr>
        <w:fldChar w:fldCharType="end"/>
      </w:r>
      <w:bookmarkEnd w:id="102"/>
      <w:r w:rsidRPr="00B162C2">
        <w:t>: Estimated use and financial implications of listing zilucoplan for generalised myasthenia gravis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of listing zilucoplan for generalised myasthenia gravis"/>
      </w:tblPr>
      <w:tblGrid>
        <w:gridCol w:w="2829"/>
        <w:gridCol w:w="1031"/>
        <w:gridCol w:w="1031"/>
        <w:gridCol w:w="1032"/>
        <w:gridCol w:w="1032"/>
        <w:gridCol w:w="1032"/>
        <w:gridCol w:w="1030"/>
      </w:tblGrid>
      <w:tr w:rsidR="007F52A5" w:rsidRPr="00B162C2" w14:paraId="7719B231" w14:textId="77777777" w:rsidTr="00BE10F4">
        <w:trPr>
          <w:tblHeader/>
        </w:trPr>
        <w:tc>
          <w:tcPr>
            <w:tcW w:w="1569" w:type="pct"/>
            <w:vAlign w:val="center"/>
          </w:tcPr>
          <w:p w14:paraId="266EC76F" w14:textId="77777777" w:rsidR="007F52A5" w:rsidRPr="00B162C2" w:rsidRDefault="007F52A5" w:rsidP="00BE10F4">
            <w:pPr>
              <w:pStyle w:val="COMTableheadingrow"/>
              <w:jc w:val="center"/>
              <w:rPr>
                <w:lang w:val="en-AU"/>
              </w:rPr>
            </w:pPr>
          </w:p>
        </w:tc>
        <w:tc>
          <w:tcPr>
            <w:tcW w:w="572" w:type="pct"/>
            <w:vAlign w:val="center"/>
          </w:tcPr>
          <w:p w14:paraId="02E5BBC7" w14:textId="77777777" w:rsidR="007F52A5" w:rsidRPr="00B162C2" w:rsidRDefault="007F52A5" w:rsidP="00BE10F4">
            <w:pPr>
              <w:pStyle w:val="COMTableheadingrow"/>
              <w:jc w:val="center"/>
              <w:rPr>
                <w:lang w:val="en-AU"/>
              </w:rPr>
            </w:pPr>
            <w:r w:rsidRPr="00B162C2">
              <w:rPr>
                <w:lang w:val="en-AU"/>
              </w:rPr>
              <w:t>Year 1</w:t>
            </w:r>
          </w:p>
        </w:tc>
        <w:tc>
          <w:tcPr>
            <w:tcW w:w="572" w:type="pct"/>
            <w:vAlign w:val="center"/>
          </w:tcPr>
          <w:p w14:paraId="42617B96" w14:textId="77777777" w:rsidR="007F52A5" w:rsidRPr="00B162C2" w:rsidRDefault="007F52A5" w:rsidP="00BE10F4">
            <w:pPr>
              <w:pStyle w:val="COMTableheadingrow"/>
              <w:jc w:val="center"/>
              <w:rPr>
                <w:lang w:val="en-AU"/>
              </w:rPr>
            </w:pPr>
            <w:r w:rsidRPr="00B162C2">
              <w:rPr>
                <w:lang w:val="en-AU"/>
              </w:rPr>
              <w:t>Year 2</w:t>
            </w:r>
          </w:p>
        </w:tc>
        <w:tc>
          <w:tcPr>
            <w:tcW w:w="572" w:type="pct"/>
            <w:vAlign w:val="center"/>
          </w:tcPr>
          <w:p w14:paraId="30CF0F79" w14:textId="77777777" w:rsidR="007F52A5" w:rsidRPr="00B162C2" w:rsidRDefault="007F52A5" w:rsidP="00BE10F4">
            <w:pPr>
              <w:pStyle w:val="COMTableheadingrow"/>
              <w:jc w:val="center"/>
              <w:rPr>
                <w:lang w:val="en-AU"/>
              </w:rPr>
            </w:pPr>
            <w:r w:rsidRPr="00B162C2">
              <w:rPr>
                <w:lang w:val="en-AU"/>
              </w:rPr>
              <w:t>Year 3</w:t>
            </w:r>
          </w:p>
        </w:tc>
        <w:tc>
          <w:tcPr>
            <w:tcW w:w="572" w:type="pct"/>
            <w:vAlign w:val="center"/>
          </w:tcPr>
          <w:p w14:paraId="1291679B" w14:textId="77777777" w:rsidR="007F52A5" w:rsidRPr="00B162C2" w:rsidRDefault="007F52A5" w:rsidP="00BE10F4">
            <w:pPr>
              <w:pStyle w:val="COMTableheadingrow"/>
              <w:jc w:val="center"/>
              <w:rPr>
                <w:lang w:val="en-AU"/>
              </w:rPr>
            </w:pPr>
            <w:r w:rsidRPr="00B162C2">
              <w:rPr>
                <w:lang w:val="en-AU"/>
              </w:rPr>
              <w:t>Year 4</w:t>
            </w:r>
          </w:p>
        </w:tc>
        <w:tc>
          <w:tcPr>
            <w:tcW w:w="572" w:type="pct"/>
            <w:vAlign w:val="center"/>
          </w:tcPr>
          <w:p w14:paraId="6F406632" w14:textId="77777777" w:rsidR="007F52A5" w:rsidRPr="00B162C2" w:rsidRDefault="007F52A5" w:rsidP="00BE10F4">
            <w:pPr>
              <w:pStyle w:val="COMTableheadingrow"/>
              <w:jc w:val="center"/>
              <w:rPr>
                <w:lang w:val="en-AU"/>
              </w:rPr>
            </w:pPr>
            <w:r w:rsidRPr="00B162C2">
              <w:rPr>
                <w:lang w:val="en-AU"/>
              </w:rPr>
              <w:t>Year 5</w:t>
            </w:r>
          </w:p>
        </w:tc>
        <w:tc>
          <w:tcPr>
            <w:tcW w:w="571" w:type="pct"/>
          </w:tcPr>
          <w:p w14:paraId="149D718C" w14:textId="77777777" w:rsidR="007F52A5" w:rsidRPr="00B162C2" w:rsidRDefault="007F52A5" w:rsidP="00BE10F4">
            <w:pPr>
              <w:pStyle w:val="COMTableheadingrow"/>
              <w:jc w:val="center"/>
              <w:rPr>
                <w:lang w:val="en-AU"/>
              </w:rPr>
            </w:pPr>
            <w:r w:rsidRPr="00B162C2">
              <w:rPr>
                <w:lang w:val="en-AU"/>
              </w:rPr>
              <w:t>Year 6</w:t>
            </w:r>
          </w:p>
        </w:tc>
      </w:tr>
      <w:tr w:rsidR="007F52A5" w:rsidRPr="00B162C2" w14:paraId="3DF2AABD" w14:textId="77777777" w:rsidTr="00BE10F4">
        <w:tc>
          <w:tcPr>
            <w:tcW w:w="5000" w:type="pct"/>
            <w:gridSpan w:val="7"/>
            <w:vAlign w:val="center"/>
          </w:tcPr>
          <w:p w14:paraId="2FD5F3B1" w14:textId="77777777" w:rsidR="007F52A5" w:rsidRPr="00B162C2" w:rsidRDefault="007F52A5" w:rsidP="00BE10F4">
            <w:pPr>
              <w:pStyle w:val="COMTableheadingrow"/>
              <w:rPr>
                <w:bCs/>
                <w:lang w:val="en-AU"/>
              </w:rPr>
            </w:pPr>
            <w:r w:rsidRPr="00B162C2">
              <w:rPr>
                <w:bCs/>
                <w:lang w:val="en-AU"/>
              </w:rPr>
              <w:t>Estimated extent of use</w:t>
            </w:r>
          </w:p>
        </w:tc>
      </w:tr>
      <w:tr w:rsidR="007F52A5" w:rsidRPr="00B162C2" w14:paraId="299B585D" w14:textId="77777777" w:rsidTr="00BE10F4">
        <w:tc>
          <w:tcPr>
            <w:tcW w:w="1569" w:type="pct"/>
            <w:vAlign w:val="center"/>
          </w:tcPr>
          <w:p w14:paraId="218CDB8B" w14:textId="77777777" w:rsidR="007F52A5" w:rsidRDefault="007F52A5" w:rsidP="00BE10F4">
            <w:pPr>
              <w:pStyle w:val="COMTabletext"/>
            </w:pPr>
            <w:r w:rsidRPr="00101EC9">
              <w:t>Eligible population</w:t>
            </w:r>
          </w:p>
        </w:tc>
        <w:tc>
          <w:tcPr>
            <w:tcW w:w="572" w:type="pct"/>
          </w:tcPr>
          <w:p w14:paraId="33CF36E4" w14:textId="60E9A27B" w:rsidR="007F52A5" w:rsidRPr="000057E7" w:rsidRDefault="0069051D" w:rsidP="00BE10F4">
            <w:pPr>
              <w:pStyle w:val="COMTabletext"/>
              <w:jc w:val="center"/>
              <w:rPr>
                <w:vertAlign w:val="superscript"/>
              </w:rPr>
            </w:pPr>
            <w:r w:rsidRPr="0069051D">
              <w:rPr>
                <w:rFonts w:hint="eastAsia"/>
                <w:color w:val="000000"/>
                <w:w w:val="24"/>
                <w:shd w:val="solid" w:color="000000" w:fill="000000"/>
                <w:fitText w:val="110" w:id="-893204220"/>
                <w14:textFill>
                  <w14:solidFill>
                    <w14:srgbClr w14:val="000000">
                      <w14:alpha w14:val="100000"/>
                    </w14:srgbClr>
                  </w14:solidFill>
                </w14:textFill>
              </w:rPr>
              <w:t xml:space="preserve">　</w:t>
            </w:r>
            <w:r w:rsidRPr="0069051D">
              <w:rPr>
                <w:color w:val="000000"/>
                <w:w w:val="24"/>
                <w:shd w:val="solid" w:color="000000" w:fill="000000"/>
                <w:fitText w:val="110" w:id="-893204220"/>
                <w14:textFill>
                  <w14:solidFill>
                    <w14:srgbClr w14:val="000000">
                      <w14:alpha w14:val="100000"/>
                    </w14:srgbClr>
                  </w14:solidFill>
                </w14:textFill>
              </w:rPr>
              <w:t>|</w:t>
            </w:r>
            <w:r w:rsidRPr="0069051D">
              <w:rPr>
                <w:rFonts w:hint="eastAsia"/>
                <w:color w:val="000000"/>
                <w:spacing w:val="6"/>
                <w:w w:val="24"/>
                <w:shd w:val="solid" w:color="000000" w:fill="000000"/>
                <w:fitText w:val="110" w:id="-893204220"/>
                <w14:textFill>
                  <w14:solidFill>
                    <w14:srgbClr w14:val="000000">
                      <w14:alpha w14:val="100000"/>
                    </w14:srgbClr>
                  </w14:solidFill>
                </w14:textFill>
              </w:rPr>
              <w:t xml:space="preserve">　</w:t>
            </w:r>
            <w:r w:rsidR="00076B5A">
              <w:rPr>
                <w:vertAlign w:val="superscript"/>
              </w:rPr>
              <w:t xml:space="preserve"> 1</w:t>
            </w:r>
          </w:p>
        </w:tc>
        <w:tc>
          <w:tcPr>
            <w:tcW w:w="572" w:type="pct"/>
          </w:tcPr>
          <w:p w14:paraId="2F79A90A" w14:textId="6AE49B2A" w:rsidR="007F52A5" w:rsidRPr="00B162C2" w:rsidRDefault="0069051D" w:rsidP="00BE10F4">
            <w:pPr>
              <w:pStyle w:val="COMTabletext"/>
              <w:jc w:val="center"/>
            </w:pPr>
            <w:r w:rsidRPr="0069051D">
              <w:rPr>
                <w:rFonts w:hint="eastAsia"/>
                <w:color w:val="000000"/>
                <w:w w:val="24"/>
                <w:shd w:val="solid" w:color="000000" w:fill="000000"/>
                <w:fitText w:val="110" w:id="-893204219"/>
                <w14:textFill>
                  <w14:solidFill>
                    <w14:srgbClr w14:val="000000">
                      <w14:alpha w14:val="100000"/>
                    </w14:srgbClr>
                  </w14:solidFill>
                </w14:textFill>
              </w:rPr>
              <w:t xml:space="preserve">　</w:t>
            </w:r>
            <w:r w:rsidRPr="0069051D">
              <w:rPr>
                <w:color w:val="000000"/>
                <w:w w:val="24"/>
                <w:shd w:val="solid" w:color="000000" w:fill="000000"/>
                <w:fitText w:val="110" w:id="-893204219"/>
                <w14:textFill>
                  <w14:solidFill>
                    <w14:srgbClr w14:val="000000">
                      <w14:alpha w14:val="100000"/>
                    </w14:srgbClr>
                  </w14:solidFill>
                </w14:textFill>
              </w:rPr>
              <w:t>|</w:t>
            </w:r>
            <w:r w:rsidRPr="0069051D">
              <w:rPr>
                <w:rFonts w:hint="eastAsia"/>
                <w:color w:val="000000"/>
                <w:spacing w:val="6"/>
                <w:w w:val="24"/>
                <w:shd w:val="solid" w:color="000000" w:fill="000000"/>
                <w:fitText w:val="110" w:id="-893204219"/>
                <w14:textFill>
                  <w14:solidFill>
                    <w14:srgbClr w14:val="000000">
                      <w14:alpha w14:val="100000"/>
                    </w14:srgbClr>
                  </w14:solidFill>
                </w14:textFill>
              </w:rPr>
              <w:t xml:space="preserve">　</w:t>
            </w:r>
            <w:r w:rsidR="00076B5A">
              <w:rPr>
                <w:vertAlign w:val="superscript"/>
              </w:rPr>
              <w:t xml:space="preserve"> 1</w:t>
            </w:r>
          </w:p>
        </w:tc>
        <w:tc>
          <w:tcPr>
            <w:tcW w:w="572" w:type="pct"/>
          </w:tcPr>
          <w:p w14:paraId="6956A0CC" w14:textId="1A9A8D16" w:rsidR="007F52A5" w:rsidRPr="00B162C2" w:rsidRDefault="0069051D" w:rsidP="00BE10F4">
            <w:pPr>
              <w:pStyle w:val="COMTabletext"/>
              <w:jc w:val="center"/>
            </w:pPr>
            <w:r w:rsidRPr="0069051D">
              <w:rPr>
                <w:rFonts w:hint="eastAsia"/>
                <w:color w:val="000000"/>
                <w:w w:val="24"/>
                <w:shd w:val="solid" w:color="000000" w:fill="000000"/>
                <w:fitText w:val="110" w:id="-893204218"/>
                <w14:textFill>
                  <w14:solidFill>
                    <w14:srgbClr w14:val="000000">
                      <w14:alpha w14:val="100000"/>
                    </w14:srgbClr>
                  </w14:solidFill>
                </w14:textFill>
              </w:rPr>
              <w:t xml:space="preserve">　</w:t>
            </w:r>
            <w:r w:rsidRPr="0069051D">
              <w:rPr>
                <w:color w:val="000000"/>
                <w:w w:val="24"/>
                <w:shd w:val="solid" w:color="000000" w:fill="000000"/>
                <w:fitText w:val="110" w:id="-893204218"/>
                <w14:textFill>
                  <w14:solidFill>
                    <w14:srgbClr w14:val="000000">
                      <w14:alpha w14:val="100000"/>
                    </w14:srgbClr>
                  </w14:solidFill>
                </w14:textFill>
              </w:rPr>
              <w:t>|</w:t>
            </w:r>
            <w:r w:rsidRPr="0069051D">
              <w:rPr>
                <w:rFonts w:hint="eastAsia"/>
                <w:color w:val="000000"/>
                <w:spacing w:val="6"/>
                <w:w w:val="24"/>
                <w:shd w:val="solid" w:color="000000" w:fill="000000"/>
                <w:fitText w:val="110" w:id="-893204218"/>
                <w14:textFill>
                  <w14:solidFill>
                    <w14:srgbClr w14:val="000000">
                      <w14:alpha w14:val="100000"/>
                    </w14:srgbClr>
                  </w14:solidFill>
                </w14:textFill>
              </w:rPr>
              <w:t xml:space="preserve">　</w:t>
            </w:r>
            <w:r w:rsidR="00076B5A">
              <w:rPr>
                <w:vertAlign w:val="superscript"/>
              </w:rPr>
              <w:t xml:space="preserve"> 1</w:t>
            </w:r>
          </w:p>
        </w:tc>
        <w:tc>
          <w:tcPr>
            <w:tcW w:w="572" w:type="pct"/>
          </w:tcPr>
          <w:p w14:paraId="3B63ACD8" w14:textId="5A8E981F" w:rsidR="007F52A5" w:rsidRPr="00B162C2" w:rsidRDefault="0069051D" w:rsidP="00BE10F4">
            <w:pPr>
              <w:pStyle w:val="COMTabletext"/>
              <w:jc w:val="center"/>
            </w:pPr>
            <w:r w:rsidRPr="0069051D">
              <w:rPr>
                <w:rFonts w:hint="eastAsia"/>
                <w:color w:val="000000"/>
                <w:w w:val="24"/>
                <w:shd w:val="solid" w:color="000000" w:fill="000000"/>
                <w:fitText w:val="110" w:id="-893204217"/>
                <w14:textFill>
                  <w14:solidFill>
                    <w14:srgbClr w14:val="000000">
                      <w14:alpha w14:val="100000"/>
                    </w14:srgbClr>
                  </w14:solidFill>
                </w14:textFill>
              </w:rPr>
              <w:t xml:space="preserve">　</w:t>
            </w:r>
            <w:r w:rsidRPr="0069051D">
              <w:rPr>
                <w:color w:val="000000"/>
                <w:w w:val="24"/>
                <w:shd w:val="solid" w:color="000000" w:fill="000000"/>
                <w:fitText w:val="110" w:id="-893204217"/>
                <w14:textFill>
                  <w14:solidFill>
                    <w14:srgbClr w14:val="000000">
                      <w14:alpha w14:val="100000"/>
                    </w14:srgbClr>
                  </w14:solidFill>
                </w14:textFill>
              </w:rPr>
              <w:t>|</w:t>
            </w:r>
            <w:r w:rsidRPr="0069051D">
              <w:rPr>
                <w:rFonts w:hint="eastAsia"/>
                <w:color w:val="000000"/>
                <w:spacing w:val="6"/>
                <w:w w:val="24"/>
                <w:shd w:val="solid" w:color="000000" w:fill="000000"/>
                <w:fitText w:val="110" w:id="-893204217"/>
                <w14:textFill>
                  <w14:solidFill>
                    <w14:srgbClr w14:val="000000">
                      <w14:alpha w14:val="100000"/>
                    </w14:srgbClr>
                  </w14:solidFill>
                </w14:textFill>
              </w:rPr>
              <w:t xml:space="preserve">　</w:t>
            </w:r>
            <w:r w:rsidR="00076B5A">
              <w:rPr>
                <w:vertAlign w:val="superscript"/>
              </w:rPr>
              <w:t xml:space="preserve"> 1</w:t>
            </w:r>
          </w:p>
        </w:tc>
        <w:tc>
          <w:tcPr>
            <w:tcW w:w="572" w:type="pct"/>
          </w:tcPr>
          <w:p w14:paraId="79EAA22C" w14:textId="4C23AA65" w:rsidR="007F52A5" w:rsidRPr="00B162C2" w:rsidRDefault="0069051D" w:rsidP="00BE10F4">
            <w:pPr>
              <w:pStyle w:val="COMTabletext"/>
              <w:jc w:val="center"/>
            </w:pPr>
            <w:r w:rsidRPr="0069051D">
              <w:rPr>
                <w:rFonts w:hint="eastAsia"/>
                <w:color w:val="000000"/>
                <w:w w:val="24"/>
                <w:shd w:val="solid" w:color="000000" w:fill="000000"/>
                <w:fitText w:val="110" w:id="-893204216"/>
                <w14:textFill>
                  <w14:solidFill>
                    <w14:srgbClr w14:val="000000">
                      <w14:alpha w14:val="100000"/>
                    </w14:srgbClr>
                  </w14:solidFill>
                </w14:textFill>
              </w:rPr>
              <w:t xml:space="preserve">　</w:t>
            </w:r>
            <w:r w:rsidRPr="0069051D">
              <w:rPr>
                <w:color w:val="000000"/>
                <w:w w:val="24"/>
                <w:shd w:val="solid" w:color="000000" w:fill="000000"/>
                <w:fitText w:val="110" w:id="-893204216"/>
                <w14:textFill>
                  <w14:solidFill>
                    <w14:srgbClr w14:val="000000">
                      <w14:alpha w14:val="100000"/>
                    </w14:srgbClr>
                  </w14:solidFill>
                </w14:textFill>
              </w:rPr>
              <w:t>|</w:t>
            </w:r>
            <w:r w:rsidRPr="0069051D">
              <w:rPr>
                <w:rFonts w:hint="eastAsia"/>
                <w:color w:val="000000"/>
                <w:spacing w:val="6"/>
                <w:w w:val="24"/>
                <w:shd w:val="solid" w:color="000000" w:fill="000000"/>
                <w:fitText w:val="110" w:id="-893204216"/>
                <w14:textFill>
                  <w14:solidFill>
                    <w14:srgbClr w14:val="000000">
                      <w14:alpha w14:val="100000"/>
                    </w14:srgbClr>
                  </w14:solidFill>
                </w14:textFill>
              </w:rPr>
              <w:t xml:space="preserve">　</w:t>
            </w:r>
            <w:r w:rsidR="00076B5A">
              <w:rPr>
                <w:vertAlign w:val="superscript"/>
              </w:rPr>
              <w:t xml:space="preserve"> 1</w:t>
            </w:r>
          </w:p>
        </w:tc>
        <w:tc>
          <w:tcPr>
            <w:tcW w:w="571" w:type="pct"/>
          </w:tcPr>
          <w:p w14:paraId="395C6BAB" w14:textId="00B94CB8" w:rsidR="007F52A5" w:rsidRDefault="0069051D" w:rsidP="00BE10F4">
            <w:pPr>
              <w:pStyle w:val="COMTabletext"/>
              <w:jc w:val="center"/>
            </w:pPr>
            <w:r w:rsidRPr="0069051D">
              <w:rPr>
                <w:rFonts w:hint="eastAsia"/>
                <w:color w:val="000000"/>
                <w:w w:val="24"/>
                <w:shd w:val="solid" w:color="000000" w:fill="000000"/>
                <w:fitText w:val="110" w:id="-893204215"/>
                <w14:textFill>
                  <w14:solidFill>
                    <w14:srgbClr w14:val="000000">
                      <w14:alpha w14:val="100000"/>
                    </w14:srgbClr>
                  </w14:solidFill>
                </w14:textFill>
              </w:rPr>
              <w:t xml:space="preserve">　</w:t>
            </w:r>
            <w:r w:rsidRPr="0069051D">
              <w:rPr>
                <w:color w:val="000000"/>
                <w:w w:val="24"/>
                <w:shd w:val="solid" w:color="000000" w:fill="000000"/>
                <w:fitText w:val="110" w:id="-893204215"/>
                <w14:textFill>
                  <w14:solidFill>
                    <w14:srgbClr w14:val="000000">
                      <w14:alpha w14:val="100000"/>
                    </w14:srgbClr>
                  </w14:solidFill>
                </w14:textFill>
              </w:rPr>
              <w:t>|</w:t>
            </w:r>
            <w:r w:rsidRPr="0069051D">
              <w:rPr>
                <w:rFonts w:hint="eastAsia"/>
                <w:color w:val="000000"/>
                <w:spacing w:val="6"/>
                <w:w w:val="24"/>
                <w:shd w:val="solid" w:color="000000" w:fill="000000"/>
                <w:fitText w:val="110" w:id="-893204215"/>
                <w14:textFill>
                  <w14:solidFill>
                    <w14:srgbClr w14:val="000000">
                      <w14:alpha w14:val="100000"/>
                    </w14:srgbClr>
                  </w14:solidFill>
                </w14:textFill>
              </w:rPr>
              <w:t xml:space="preserve">　</w:t>
            </w:r>
            <w:r w:rsidR="00076B5A">
              <w:rPr>
                <w:vertAlign w:val="superscript"/>
              </w:rPr>
              <w:t xml:space="preserve"> 1</w:t>
            </w:r>
          </w:p>
        </w:tc>
      </w:tr>
      <w:tr w:rsidR="007F52A5" w:rsidRPr="00B162C2" w14:paraId="206C18C1" w14:textId="77777777" w:rsidTr="00BE10F4">
        <w:tc>
          <w:tcPr>
            <w:tcW w:w="1569" w:type="pct"/>
            <w:vAlign w:val="center"/>
          </w:tcPr>
          <w:p w14:paraId="4799A813" w14:textId="77777777" w:rsidR="007F52A5" w:rsidRPr="00101EC9" w:rsidRDefault="007F52A5" w:rsidP="00BE10F4">
            <w:pPr>
              <w:pStyle w:val="COMTabletext"/>
              <w:rPr>
                <w:vertAlign w:val="superscript"/>
              </w:rPr>
            </w:pPr>
            <w:r w:rsidRPr="00101EC9">
              <w:t>Zilucoplan uptake rate</w:t>
            </w:r>
            <w:r>
              <w:rPr>
                <w:vertAlign w:val="superscript"/>
              </w:rPr>
              <w:t>a</w:t>
            </w:r>
          </w:p>
        </w:tc>
        <w:tc>
          <w:tcPr>
            <w:tcW w:w="572" w:type="pct"/>
          </w:tcPr>
          <w:p w14:paraId="6CD1B4E5" w14:textId="6752A067" w:rsidR="007F52A5" w:rsidRPr="0050728A" w:rsidRDefault="0069051D" w:rsidP="00BE10F4">
            <w:pPr>
              <w:pStyle w:val="COMTabletext"/>
              <w:jc w:val="center"/>
            </w:pPr>
            <w:r w:rsidRPr="0069051D">
              <w:rPr>
                <w:rFonts w:hint="eastAsia"/>
                <w:color w:val="000000"/>
                <w:w w:val="27"/>
                <w:shd w:val="solid" w:color="000000" w:fill="000000"/>
                <w:fitText w:val="120" w:id="-893204214"/>
                <w14:textFill>
                  <w14:solidFill>
                    <w14:srgbClr w14:val="000000">
                      <w14:alpha w14:val="100000"/>
                    </w14:srgbClr>
                  </w14:solidFill>
                </w14:textFill>
              </w:rPr>
              <w:t xml:space="preserve">　</w:t>
            </w:r>
            <w:r w:rsidRPr="0069051D">
              <w:rPr>
                <w:color w:val="000000"/>
                <w:w w:val="27"/>
                <w:shd w:val="solid" w:color="000000" w:fill="000000"/>
                <w:fitText w:val="120" w:id="-893204214"/>
                <w14:textFill>
                  <w14:solidFill>
                    <w14:srgbClr w14:val="000000">
                      <w14:alpha w14:val="100000"/>
                    </w14:srgbClr>
                  </w14:solidFill>
                </w14:textFill>
              </w:rPr>
              <w:t>|</w:t>
            </w:r>
            <w:r w:rsidRPr="0069051D">
              <w:rPr>
                <w:rFonts w:hint="eastAsia"/>
                <w:color w:val="000000"/>
                <w:spacing w:val="2"/>
                <w:w w:val="27"/>
                <w:shd w:val="solid" w:color="000000" w:fill="000000"/>
                <w:fitText w:val="120" w:id="-893204214"/>
                <w14:textFill>
                  <w14:solidFill>
                    <w14:srgbClr w14:val="000000">
                      <w14:alpha w14:val="100000"/>
                    </w14:srgbClr>
                  </w14:solidFill>
                </w14:textFill>
              </w:rPr>
              <w:t xml:space="preserve">　</w:t>
            </w:r>
            <w:r w:rsidR="007F52A5" w:rsidRPr="0050728A">
              <w:t>%</w:t>
            </w:r>
          </w:p>
        </w:tc>
        <w:tc>
          <w:tcPr>
            <w:tcW w:w="572" w:type="pct"/>
          </w:tcPr>
          <w:p w14:paraId="4415A6C8" w14:textId="6A6C22D2" w:rsidR="007F52A5" w:rsidRPr="0050728A" w:rsidRDefault="0069051D" w:rsidP="00BE10F4">
            <w:pPr>
              <w:pStyle w:val="COMTabletext"/>
              <w:jc w:val="center"/>
            </w:pPr>
            <w:r w:rsidRPr="0069051D">
              <w:rPr>
                <w:rFonts w:hint="eastAsia"/>
                <w:color w:val="000000"/>
                <w:w w:val="27"/>
                <w:shd w:val="solid" w:color="000000" w:fill="000000"/>
                <w:fitText w:val="120" w:id="-893204213"/>
                <w14:textFill>
                  <w14:solidFill>
                    <w14:srgbClr w14:val="000000">
                      <w14:alpha w14:val="100000"/>
                    </w14:srgbClr>
                  </w14:solidFill>
                </w14:textFill>
              </w:rPr>
              <w:t xml:space="preserve">　</w:t>
            </w:r>
            <w:r w:rsidRPr="0069051D">
              <w:rPr>
                <w:color w:val="000000"/>
                <w:w w:val="27"/>
                <w:shd w:val="solid" w:color="000000" w:fill="000000"/>
                <w:fitText w:val="120" w:id="-893204213"/>
                <w14:textFill>
                  <w14:solidFill>
                    <w14:srgbClr w14:val="000000">
                      <w14:alpha w14:val="100000"/>
                    </w14:srgbClr>
                  </w14:solidFill>
                </w14:textFill>
              </w:rPr>
              <w:t>|</w:t>
            </w:r>
            <w:r w:rsidRPr="0069051D">
              <w:rPr>
                <w:rFonts w:hint="eastAsia"/>
                <w:color w:val="000000"/>
                <w:spacing w:val="2"/>
                <w:w w:val="27"/>
                <w:shd w:val="solid" w:color="000000" w:fill="000000"/>
                <w:fitText w:val="120" w:id="-893204213"/>
                <w14:textFill>
                  <w14:solidFill>
                    <w14:srgbClr w14:val="000000">
                      <w14:alpha w14:val="100000"/>
                    </w14:srgbClr>
                  </w14:solidFill>
                </w14:textFill>
              </w:rPr>
              <w:t xml:space="preserve">　</w:t>
            </w:r>
            <w:r w:rsidR="007F52A5" w:rsidRPr="0050728A">
              <w:t>%</w:t>
            </w:r>
          </w:p>
        </w:tc>
        <w:tc>
          <w:tcPr>
            <w:tcW w:w="572" w:type="pct"/>
          </w:tcPr>
          <w:p w14:paraId="0DAC2E96" w14:textId="54BA1F6E" w:rsidR="007F52A5" w:rsidRPr="0050728A" w:rsidRDefault="0069051D" w:rsidP="00BE10F4">
            <w:pPr>
              <w:pStyle w:val="COMTabletext"/>
              <w:jc w:val="center"/>
            </w:pPr>
            <w:r w:rsidRPr="0069051D">
              <w:rPr>
                <w:rFonts w:hint="eastAsia"/>
                <w:color w:val="000000"/>
                <w:w w:val="27"/>
                <w:shd w:val="solid" w:color="000000" w:fill="000000"/>
                <w:fitText w:val="120" w:id="-893204212"/>
                <w14:textFill>
                  <w14:solidFill>
                    <w14:srgbClr w14:val="000000">
                      <w14:alpha w14:val="100000"/>
                    </w14:srgbClr>
                  </w14:solidFill>
                </w14:textFill>
              </w:rPr>
              <w:t xml:space="preserve">　</w:t>
            </w:r>
            <w:r w:rsidRPr="0069051D">
              <w:rPr>
                <w:color w:val="000000"/>
                <w:w w:val="27"/>
                <w:shd w:val="solid" w:color="000000" w:fill="000000"/>
                <w:fitText w:val="120" w:id="-893204212"/>
                <w14:textFill>
                  <w14:solidFill>
                    <w14:srgbClr w14:val="000000">
                      <w14:alpha w14:val="100000"/>
                    </w14:srgbClr>
                  </w14:solidFill>
                </w14:textFill>
              </w:rPr>
              <w:t>|</w:t>
            </w:r>
            <w:r w:rsidRPr="0069051D">
              <w:rPr>
                <w:rFonts w:hint="eastAsia"/>
                <w:color w:val="000000"/>
                <w:spacing w:val="2"/>
                <w:w w:val="27"/>
                <w:shd w:val="solid" w:color="000000" w:fill="000000"/>
                <w:fitText w:val="120" w:id="-893204212"/>
                <w14:textFill>
                  <w14:solidFill>
                    <w14:srgbClr w14:val="000000">
                      <w14:alpha w14:val="100000"/>
                    </w14:srgbClr>
                  </w14:solidFill>
                </w14:textFill>
              </w:rPr>
              <w:t xml:space="preserve">　</w:t>
            </w:r>
            <w:r w:rsidR="007F52A5" w:rsidRPr="0050728A">
              <w:t>%</w:t>
            </w:r>
          </w:p>
        </w:tc>
        <w:tc>
          <w:tcPr>
            <w:tcW w:w="572" w:type="pct"/>
          </w:tcPr>
          <w:p w14:paraId="2183E17F" w14:textId="58A47297" w:rsidR="007F52A5" w:rsidRPr="0050728A" w:rsidRDefault="0069051D" w:rsidP="00BE10F4">
            <w:pPr>
              <w:pStyle w:val="COMTabletext"/>
              <w:jc w:val="center"/>
            </w:pPr>
            <w:r w:rsidRPr="0069051D">
              <w:rPr>
                <w:rFonts w:hint="eastAsia"/>
                <w:color w:val="000000"/>
                <w:w w:val="27"/>
                <w:shd w:val="solid" w:color="000000" w:fill="000000"/>
                <w:fitText w:val="120" w:id="-893204211"/>
                <w14:textFill>
                  <w14:solidFill>
                    <w14:srgbClr w14:val="000000">
                      <w14:alpha w14:val="100000"/>
                    </w14:srgbClr>
                  </w14:solidFill>
                </w14:textFill>
              </w:rPr>
              <w:t xml:space="preserve">　</w:t>
            </w:r>
            <w:r w:rsidRPr="0069051D">
              <w:rPr>
                <w:color w:val="000000"/>
                <w:w w:val="27"/>
                <w:shd w:val="solid" w:color="000000" w:fill="000000"/>
                <w:fitText w:val="120" w:id="-893204211"/>
                <w14:textFill>
                  <w14:solidFill>
                    <w14:srgbClr w14:val="000000">
                      <w14:alpha w14:val="100000"/>
                    </w14:srgbClr>
                  </w14:solidFill>
                </w14:textFill>
              </w:rPr>
              <w:t>|</w:t>
            </w:r>
            <w:r w:rsidRPr="0069051D">
              <w:rPr>
                <w:rFonts w:hint="eastAsia"/>
                <w:color w:val="000000"/>
                <w:spacing w:val="2"/>
                <w:w w:val="27"/>
                <w:shd w:val="solid" w:color="000000" w:fill="000000"/>
                <w:fitText w:val="120" w:id="-893204211"/>
                <w14:textFill>
                  <w14:solidFill>
                    <w14:srgbClr w14:val="000000">
                      <w14:alpha w14:val="100000"/>
                    </w14:srgbClr>
                  </w14:solidFill>
                </w14:textFill>
              </w:rPr>
              <w:t xml:space="preserve">　</w:t>
            </w:r>
            <w:r w:rsidR="007F52A5" w:rsidRPr="0050728A">
              <w:t>%</w:t>
            </w:r>
          </w:p>
        </w:tc>
        <w:tc>
          <w:tcPr>
            <w:tcW w:w="572" w:type="pct"/>
          </w:tcPr>
          <w:p w14:paraId="5B6E9708" w14:textId="4BF9342A" w:rsidR="007F52A5" w:rsidRPr="0050728A" w:rsidRDefault="0069051D" w:rsidP="00BE10F4">
            <w:pPr>
              <w:pStyle w:val="COMTabletext"/>
              <w:jc w:val="center"/>
            </w:pPr>
            <w:r w:rsidRPr="0069051D">
              <w:rPr>
                <w:rFonts w:hint="eastAsia"/>
                <w:color w:val="000000"/>
                <w:w w:val="27"/>
                <w:shd w:val="solid" w:color="000000" w:fill="000000"/>
                <w:fitText w:val="120" w:id="-893204210"/>
                <w14:textFill>
                  <w14:solidFill>
                    <w14:srgbClr w14:val="000000">
                      <w14:alpha w14:val="100000"/>
                    </w14:srgbClr>
                  </w14:solidFill>
                </w14:textFill>
              </w:rPr>
              <w:t xml:space="preserve">　</w:t>
            </w:r>
            <w:r w:rsidRPr="0069051D">
              <w:rPr>
                <w:color w:val="000000"/>
                <w:w w:val="27"/>
                <w:shd w:val="solid" w:color="000000" w:fill="000000"/>
                <w:fitText w:val="120" w:id="-893204210"/>
                <w14:textFill>
                  <w14:solidFill>
                    <w14:srgbClr w14:val="000000">
                      <w14:alpha w14:val="100000"/>
                    </w14:srgbClr>
                  </w14:solidFill>
                </w14:textFill>
              </w:rPr>
              <w:t>|</w:t>
            </w:r>
            <w:r w:rsidRPr="0069051D">
              <w:rPr>
                <w:rFonts w:hint="eastAsia"/>
                <w:color w:val="000000"/>
                <w:spacing w:val="2"/>
                <w:w w:val="27"/>
                <w:shd w:val="solid" w:color="000000" w:fill="000000"/>
                <w:fitText w:val="120" w:id="-893204210"/>
                <w14:textFill>
                  <w14:solidFill>
                    <w14:srgbClr w14:val="000000">
                      <w14:alpha w14:val="100000"/>
                    </w14:srgbClr>
                  </w14:solidFill>
                </w14:textFill>
              </w:rPr>
              <w:t xml:space="preserve">　</w:t>
            </w:r>
            <w:r w:rsidR="007F52A5" w:rsidRPr="0050728A">
              <w:t>%</w:t>
            </w:r>
          </w:p>
        </w:tc>
        <w:tc>
          <w:tcPr>
            <w:tcW w:w="571" w:type="pct"/>
          </w:tcPr>
          <w:p w14:paraId="3CA4FC34" w14:textId="6BB819CD" w:rsidR="007F52A5" w:rsidRPr="0050728A" w:rsidRDefault="0069051D" w:rsidP="00BE10F4">
            <w:pPr>
              <w:pStyle w:val="COMTabletext"/>
              <w:jc w:val="center"/>
            </w:pPr>
            <w:r w:rsidRPr="0069051D">
              <w:rPr>
                <w:rFonts w:hint="eastAsia"/>
                <w:color w:val="000000"/>
                <w:w w:val="29"/>
                <w:shd w:val="solid" w:color="000000" w:fill="000000"/>
                <w:fitText w:val="130" w:id="-893204209"/>
                <w14:textFill>
                  <w14:solidFill>
                    <w14:srgbClr w14:val="000000">
                      <w14:alpha w14:val="100000"/>
                    </w14:srgbClr>
                  </w14:solidFill>
                </w14:textFill>
              </w:rPr>
              <w:t xml:space="preserve">　</w:t>
            </w:r>
            <w:r w:rsidRPr="0069051D">
              <w:rPr>
                <w:color w:val="000000"/>
                <w:w w:val="29"/>
                <w:shd w:val="solid" w:color="000000" w:fill="000000"/>
                <w:fitText w:val="130" w:id="-893204209"/>
                <w14:textFill>
                  <w14:solidFill>
                    <w14:srgbClr w14:val="000000">
                      <w14:alpha w14:val="100000"/>
                    </w14:srgbClr>
                  </w14:solidFill>
                </w14:textFill>
              </w:rPr>
              <w:t>|</w:t>
            </w:r>
            <w:r w:rsidRPr="0069051D">
              <w:rPr>
                <w:rFonts w:hint="eastAsia"/>
                <w:color w:val="000000"/>
                <w:spacing w:val="2"/>
                <w:w w:val="29"/>
                <w:shd w:val="solid" w:color="000000" w:fill="000000"/>
                <w:fitText w:val="130" w:id="-893204209"/>
                <w14:textFill>
                  <w14:solidFill>
                    <w14:srgbClr w14:val="000000">
                      <w14:alpha w14:val="100000"/>
                    </w14:srgbClr>
                  </w14:solidFill>
                </w14:textFill>
              </w:rPr>
              <w:t xml:space="preserve">　</w:t>
            </w:r>
            <w:r w:rsidR="007F52A5" w:rsidRPr="0050728A">
              <w:t>%</w:t>
            </w:r>
          </w:p>
        </w:tc>
      </w:tr>
      <w:tr w:rsidR="007F52A5" w:rsidRPr="00B162C2" w14:paraId="057D35A3" w14:textId="77777777" w:rsidTr="00BE10F4">
        <w:tc>
          <w:tcPr>
            <w:tcW w:w="1569" w:type="pct"/>
            <w:vAlign w:val="center"/>
          </w:tcPr>
          <w:p w14:paraId="6DFE70FD" w14:textId="77777777" w:rsidR="007F52A5" w:rsidRPr="00B162C2" w:rsidRDefault="007F52A5" w:rsidP="00BE10F4">
            <w:pPr>
              <w:pStyle w:val="COMTabletext"/>
              <w:rPr>
                <w:rFonts w:ascii="Times" w:hAnsi="Times"/>
              </w:rPr>
            </w:pPr>
            <w:r w:rsidRPr="00B162C2">
              <w:t>Initiating patients</w:t>
            </w:r>
          </w:p>
        </w:tc>
        <w:tc>
          <w:tcPr>
            <w:tcW w:w="572" w:type="pct"/>
          </w:tcPr>
          <w:p w14:paraId="554181AF" w14:textId="2C30CA5C" w:rsidR="007F52A5" w:rsidRPr="00B162C2" w:rsidRDefault="0069051D" w:rsidP="00BE10F4">
            <w:pPr>
              <w:pStyle w:val="COMTabletext"/>
              <w:jc w:val="center"/>
            </w:pPr>
            <w:r w:rsidRPr="0069051D">
              <w:rPr>
                <w:rFonts w:hint="eastAsia"/>
                <w:color w:val="000000"/>
                <w:w w:val="24"/>
                <w:shd w:val="solid" w:color="000000" w:fill="000000"/>
                <w:fitText w:val="110" w:id="-893204208"/>
                <w14:textFill>
                  <w14:solidFill>
                    <w14:srgbClr w14:val="000000">
                      <w14:alpha w14:val="100000"/>
                    </w14:srgbClr>
                  </w14:solidFill>
                </w14:textFill>
              </w:rPr>
              <w:t xml:space="preserve">　</w:t>
            </w:r>
            <w:r w:rsidRPr="0069051D">
              <w:rPr>
                <w:color w:val="000000"/>
                <w:w w:val="24"/>
                <w:shd w:val="solid" w:color="000000" w:fill="000000"/>
                <w:fitText w:val="110" w:id="-893204208"/>
                <w14:textFill>
                  <w14:solidFill>
                    <w14:srgbClr w14:val="000000">
                      <w14:alpha w14:val="100000"/>
                    </w14:srgbClr>
                  </w14:solidFill>
                </w14:textFill>
              </w:rPr>
              <w:t>|</w:t>
            </w:r>
            <w:r w:rsidRPr="0069051D">
              <w:rPr>
                <w:rFonts w:hint="eastAsia"/>
                <w:color w:val="000000"/>
                <w:spacing w:val="6"/>
                <w:w w:val="24"/>
                <w:shd w:val="solid" w:color="000000" w:fill="000000"/>
                <w:fitText w:val="110" w:id="-893204208"/>
                <w14:textFill>
                  <w14:solidFill>
                    <w14:srgbClr w14:val="000000">
                      <w14:alpha w14:val="100000"/>
                    </w14:srgbClr>
                  </w14:solidFill>
                </w14:textFill>
              </w:rPr>
              <w:t xml:space="preserve">　</w:t>
            </w:r>
            <w:r w:rsidR="00076B5A">
              <w:rPr>
                <w:vertAlign w:val="superscript"/>
              </w:rPr>
              <w:t xml:space="preserve"> 1</w:t>
            </w:r>
          </w:p>
        </w:tc>
        <w:tc>
          <w:tcPr>
            <w:tcW w:w="572" w:type="pct"/>
          </w:tcPr>
          <w:p w14:paraId="4D190671" w14:textId="3D1FFD35" w:rsidR="007F52A5" w:rsidRPr="00B162C2" w:rsidRDefault="0069051D" w:rsidP="00BE10F4">
            <w:pPr>
              <w:pStyle w:val="COMTabletext"/>
              <w:jc w:val="center"/>
            </w:pPr>
            <w:r w:rsidRPr="0069051D">
              <w:rPr>
                <w:rFonts w:hint="eastAsia"/>
                <w:color w:val="000000"/>
                <w:w w:val="29"/>
                <w:shd w:val="solid" w:color="000000" w:fill="000000"/>
                <w:fitText w:val="130" w:id="-893204224"/>
                <w14:textFill>
                  <w14:solidFill>
                    <w14:srgbClr w14:val="000000">
                      <w14:alpha w14:val="100000"/>
                    </w14:srgbClr>
                  </w14:solidFill>
                </w14:textFill>
              </w:rPr>
              <w:t xml:space="preserve">　</w:t>
            </w:r>
            <w:r w:rsidRPr="0069051D">
              <w:rPr>
                <w:color w:val="000000"/>
                <w:w w:val="29"/>
                <w:shd w:val="solid" w:color="000000" w:fill="000000"/>
                <w:fitText w:val="130" w:id="-893204224"/>
                <w14:textFill>
                  <w14:solidFill>
                    <w14:srgbClr w14:val="000000">
                      <w14:alpha w14:val="100000"/>
                    </w14:srgbClr>
                  </w14:solidFill>
                </w14:textFill>
              </w:rPr>
              <w:t>|</w:t>
            </w:r>
            <w:r w:rsidRPr="0069051D">
              <w:rPr>
                <w:rFonts w:hint="eastAsia"/>
                <w:color w:val="000000"/>
                <w:spacing w:val="2"/>
                <w:w w:val="29"/>
                <w:shd w:val="solid" w:color="000000" w:fill="000000"/>
                <w:fitText w:val="130" w:id="-893204224"/>
                <w14:textFill>
                  <w14:solidFill>
                    <w14:srgbClr w14:val="000000">
                      <w14:alpha w14:val="100000"/>
                    </w14:srgbClr>
                  </w14:solidFill>
                </w14:textFill>
              </w:rPr>
              <w:t xml:space="preserve">　</w:t>
            </w:r>
            <w:r w:rsidR="007F52A5" w:rsidRPr="00B162C2">
              <w:t xml:space="preserve"> </w:t>
            </w:r>
            <w:r w:rsidR="00B90E59">
              <w:rPr>
                <w:vertAlign w:val="superscript"/>
              </w:rPr>
              <w:t xml:space="preserve"> 2</w:t>
            </w:r>
          </w:p>
        </w:tc>
        <w:tc>
          <w:tcPr>
            <w:tcW w:w="572" w:type="pct"/>
          </w:tcPr>
          <w:p w14:paraId="5418FE28" w14:textId="24BB29BB" w:rsidR="007F52A5" w:rsidRPr="00B162C2" w:rsidRDefault="0069051D" w:rsidP="00BE10F4">
            <w:pPr>
              <w:pStyle w:val="COMTabletext"/>
              <w:jc w:val="center"/>
            </w:pPr>
            <w:r w:rsidRPr="0069051D">
              <w:rPr>
                <w:rFonts w:hint="eastAsia"/>
                <w:color w:val="000000"/>
                <w:w w:val="29"/>
                <w:shd w:val="solid" w:color="000000" w:fill="000000"/>
                <w:fitText w:val="130" w:id="-893204223"/>
                <w14:textFill>
                  <w14:solidFill>
                    <w14:srgbClr w14:val="000000">
                      <w14:alpha w14:val="100000"/>
                    </w14:srgbClr>
                  </w14:solidFill>
                </w14:textFill>
              </w:rPr>
              <w:t xml:space="preserve">　</w:t>
            </w:r>
            <w:r w:rsidRPr="0069051D">
              <w:rPr>
                <w:color w:val="000000"/>
                <w:w w:val="29"/>
                <w:shd w:val="solid" w:color="000000" w:fill="000000"/>
                <w:fitText w:val="130" w:id="-893204223"/>
                <w14:textFill>
                  <w14:solidFill>
                    <w14:srgbClr w14:val="000000">
                      <w14:alpha w14:val="100000"/>
                    </w14:srgbClr>
                  </w14:solidFill>
                </w14:textFill>
              </w:rPr>
              <w:t>|</w:t>
            </w:r>
            <w:r w:rsidRPr="0069051D">
              <w:rPr>
                <w:rFonts w:hint="eastAsia"/>
                <w:color w:val="000000"/>
                <w:spacing w:val="2"/>
                <w:w w:val="29"/>
                <w:shd w:val="solid" w:color="000000" w:fill="000000"/>
                <w:fitText w:val="130" w:id="-893204223"/>
                <w14:textFill>
                  <w14:solidFill>
                    <w14:srgbClr w14:val="000000">
                      <w14:alpha w14:val="100000"/>
                    </w14:srgbClr>
                  </w14:solidFill>
                </w14:textFill>
              </w:rPr>
              <w:t xml:space="preserve">　</w:t>
            </w:r>
            <w:r w:rsidR="00B90E59" w:rsidRPr="00B162C2">
              <w:t xml:space="preserve"> </w:t>
            </w:r>
            <w:r w:rsidR="00B90E59">
              <w:rPr>
                <w:vertAlign w:val="superscript"/>
              </w:rPr>
              <w:t xml:space="preserve"> 2</w:t>
            </w:r>
          </w:p>
        </w:tc>
        <w:tc>
          <w:tcPr>
            <w:tcW w:w="572" w:type="pct"/>
          </w:tcPr>
          <w:p w14:paraId="5DDB2DF4" w14:textId="214661CA" w:rsidR="007F52A5" w:rsidRPr="00B162C2" w:rsidRDefault="0069051D" w:rsidP="00BE10F4">
            <w:pPr>
              <w:pStyle w:val="COMTabletext"/>
              <w:jc w:val="center"/>
            </w:pPr>
            <w:r w:rsidRPr="0069051D">
              <w:rPr>
                <w:rFonts w:hint="eastAsia"/>
                <w:color w:val="000000"/>
                <w:w w:val="29"/>
                <w:shd w:val="solid" w:color="000000" w:fill="000000"/>
                <w:fitText w:val="130" w:id="-893204222"/>
                <w14:textFill>
                  <w14:solidFill>
                    <w14:srgbClr w14:val="000000">
                      <w14:alpha w14:val="100000"/>
                    </w14:srgbClr>
                  </w14:solidFill>
                </w14:textFill>
              </w:rPr>
              <w:t xml:space="preserve">　</w:t>
            </w:r>
            <w:r w:rsidRPr="0069051D">
              <w:rPr>
                <w:color w:val="000000"/>
                <w:w w:val="29"/>
                <w:shd w:val="solid" w:color="000000" w:fill="000000"/>
                <w:fitText w:val="130" w:id="-893204222"/>
                <w14:textFill>
                  <w14:solidFill>
                    <w14:srgbClr w14:val="000000">
                      <w14:alpha w14:val="100000"/>
                    </w14:srgbClr>
                  </w14:solidFill>
                </w14:textFill>
              </w:rPr>
              <w:t>|</w:t>
            </w:r>
            <w:r w:rsidRPr="0069051D">
              <w:rPr>
                <w:rFonts w:hint="eastAsia"/>
                <w:color w:val="000000"/>
                <w:spacing w:val="2"/>
                <w:w w:val="29"/>
                <w:shd w:val="solid" w:color="000000" w:fill="000000"/>
                <w:fitText w:val="130" w:id="-893204222"/>
                <w14:textFill>
                  <w14:solidFill>
                    <w14:srgbClr w14:val="000000">
                      <w14:alpha w14:val="100000"/>
                    </w14:srgbClr>
                  </w14:solidFill>
                </w14:textFill>
              </w:rPr>
              <w:t xml:space="preserve">　</w:t>
            </w:r>
            <w:r w:rsidR="00B90E59" w:rsidRPr="00B162C2">
              <w:t xml:space="preserve"> </w:t>
            </w:r>
            <w:r w:rsidR="00B90E59">
              <w:rPr>
                <w:vertAlign w:val="superscript"/>
              </w:rPr>
              <w:t xml:space="preserve"> 2</w:t>
            </w:r>
          </w:p>
        </w:tc>
        <w:tc>
          <w:tcPr>
            <w:tcW w:w="572" w:type="pct"/>
          </w:tcPr>
          <w:p w14:paraId="3C7ED949" w14:textId="6E445028" w:rsidR="007F52A5" w:rsidRPr="00B162C2" w:rsidRDefault="0069051D" w:rsidP="00BE10F4">
            <w:pPr>
              <w:pStyle w:val="COMTabletext"/>
              <w:jc w:val="center"/>
            </w:pPr>
            <w:r w:rsidRPr="0069051D">
              <w:rPr>
                <w:rFonts w:hint="eastAsia"/>
                <w:color w:val="000000"/>
                <w:w w:val="29"/>
                <w:shd w:val="solid" w:color="000000" w:fill="000000"/>
                <w:fitText w:val="130" w:id="-893204221"/>
                <w14:textFill>
                  <w14:solidFill>
                    <w14:srgbClr w14:val="000000">
                      <w14:alpha w14:val="100000"/>
                    </w14:srgbClr>
                  </w14:solidFill>
                </w14:textFill>
              </w:rPr>
              <w:t xml:space="preserve">　</w:t>
            </w:r>
            <w:r w:rsidRPr="0069051D">
              <w:rPr>
                <w:color w:val="000000"/>
                <w:w w:val="29"/>
                <w:shd w:val="solid" w:color="000000" w:fill="000000"/>
                <w:fitText w:val="130" w:id="-893204221"/>
                <w14:textFill>
                  <w14:solidFill>
                    <w14:srgbClr w14:val="000000">
                      <w14:alpha w14:val="100000"/>
                    </w14:srgbClr>
                  </w14:solidFill>
                </w14:textFill>
              </w:rPr>
              <w:t>|</w:t>
            </w:r>
            <w:r w:rsidRPr="0069051D">
              <w:rPr>
                <w:rFonts w:hint="eastAsia"/>
                <w:color w:val="000000"/>
                <w:spacing w:val="2"/>
                <w:w w:val="29"/>
                <w:shd w:val="solid" w:color="000000" w:fill="000000"/>
                <w:fitText w:val="130" w:id="-893204221"/>
                <w14:textFill>
                  <w14:solidFill>
                    <w14:srgbClr w14:val="000000">
                      <w14:alpha w14:val="100000"/>
                    </w14:srgbClr>
                  </w14:solidFill>
                </w14:textFill>
              </w:rPr>
              <w:t xml:space="preserve">　</w:t>
            </w:r>
            <w:r w:rsidR="00B90E59" w:rsidRPr="00B162C2">
              <w:t xml:space="preserve"> </w:t>
            </w:r>
            <w:r w:rsidR="00B90E59">
              <w:rPr>
                <w:vertAlign w:val="superscript"/>
              </w:rPr>
              <w:t xml:space="preserve"> 2</w:t>
            </w:r>
          </w:p>
        </w:tc>
        <w:tc>
          <w:tcPr>
            <w:tcW w:w="571" w:type="pct"/>
          </w:tcPr>
          <w:p w14:paraId="696291B8" w14:textId="085A10CB" w:rsidR="007F52A5" w:rsidRPr="00B162C2" w:rsidRDefault="0069051D" w:rsidP="00BE10F4">
            <w:pPr>
              <w:pStyle w:val="COMTabletext"/>
              <w:jc w:val="center"/>
            </w:pPr>
            <w:r w:rsidRPr="0069051D">
              <w:rPr>
                <w:rFonts w:hint="eastAsia"/>
                <w:color w:val="000000"/>
                <w:w w:val="29"/>
                <w:shd w:val="solid" w:color="000000" w:fill="000000"/>
                <w:fitText w:val="130" w:id="-893204220"/>
                <w14:textFill>
                  <w14:solidFill>
                    <w14:srgbClr w14:val="000000">
                      <w14:alpha w14:val="100000"/>
                    </w14:srgbClr>
                  </w14:solidFill>
                </w14:textFill>
              </w:rPr>
              <w:t xml:space="preserve">　</w:t>
            </w:r>
            <w:r w:rsidRPr="0069051D">
              <w:rPr>
                <w:color w:val="000000"/>
                <w:w w:val="29"/>
                <w:shd w:val="solid" w:color="000000" w:fill="000000"/>
                <w:fitText w:val="130" w:id="-893204220"/>
                <w14:textFill>
                  <w14:solidFill>
                    <w14:srgbClr w14:val="000000">
                      <w14:alpha w14:val="100000"/>
                    </w14:srgbClr>
                  </w14:solidFill>
                </w14:textFill>
              </w:rPr>
              <w:t>|</w:t>
            </w:r>
            <w:r w:rsidRPr="0069051D">
              <w:rPr>
                <w:rFonts w:hint="eastAsia"/>
                <w:color w:val="000000"/>
                <w:spacing w:val="2"/>
                <w:w w:val="29"/>
                <w:shd w:val="solid" w:color="000000" w:fill="000000"/>
                <w:fitText w:val="130" w:id="-893204220"/>
                <w14:textFill>
                  <w14:solidFill>
                    <w14:srgbClr w14:val="000000">
                      <w14:alpha w14:val="100000"/>
                    </w14:srgbClr>
                  </w14:solidFill>
                </w14:textFill>
              </w:rPr>
              <w:t xml:space="preserve">　</w:t>
            </w:r>
            <w:r w:rsidR="00B90E59" w:rsidRPr="00B162C2">
              <w:t xml:space="preserve"> </w:t>
            </w:r>
            <w:r w:rsidR="00B90E59">
              <w:rPr>
                <w:vertAlign w:val="superscript"/>
              </w:rPr>
              <w:t xml:space="preserve"> 2</w:t>
            </w:r>
          </w:p>
        </w:tc>
      </w:tr>
      <w:tr w:rsidR="007F52A5" w:rsidRPr="00B162C2" w14:paraId="0D956627" w14:textId="77777777" w:rsidTr="00BE10F4">
        <w:tc>
          <w:tcPr>
            <w:tcW w:w="1569" w:type="pct"/>
            <w:vAlign w:val="center"/>
          </w:tcPr>
          <w:p w14:paraId="2F7F5002" w14:textId="77777777" w:rsidR="007F52A5" w:rsidRPr="00B162C2" w:rsidRDefault="007F52A5" w:rsidP="00BE10F4">
            <w:pPr>
              <w:pStyle w:val="COMTabletext"/>
            </w:pPr>
            <w:r w:rsidRPr="00B162C2">
              <w:t>Responders at 16 weeks (84.88%)</w:t>
            </w:r>
          </w:p>
        </w:tc>
        <w:tc>
          <w:tcPr>
            <w:tcW w:w="572" w:type="pct"/>
          </w:tcPr>
          <w:p w14:paraId="422D337E" w14:textId="5449825C" w:rsidR="007F52A5" w:rsidRPr="00B162C2" w:rsidRDefault="0069051D" w:rsidP="00BE10F4">
            <w:pPr>
              <w:pStyle w:val="COMTabletext"/>
              <w:jc w:val="center"/>
            </w:pPr>
            <w:r w:rsidRPr="0069051D">
              <w:rPr>
                <w:rFonts w:hint="eastAsia"/>
                <w:color w:val="000000"/>
                <w:w w:val="24"/>
                <w:shd w:val="solid" w:color="000000" w:fill="000000"/>
                <w:fitText w:val="110" w:id="-893204219"/>
                <w14:textFill>
                  <w14:solidFill>
                    <w14:srgbClr w14:val="000000">
                      <w14:alpha w14:val="100000"/>
                    </w14:srgbClr>
                  </w14:solidFill>
                </w14:textFill>
              </w:rPr>
              <w:t xml:space="preserve">　</w:t>
            </w:r>
            <w:r w:rsidRPr="0069051D">
              <w:rPr>
                <w:color w:val="000000"/>
                <w:w w:val="24"/>
                <w:shd w:val="solid" w:color="000000" w:fill="000000"/>
                <w:fitText w:val="110" w:id="-893204219"/>
                <w14:textFill>
                  <w14:solidFill>
                    <w14:srgbClr w14:val="000000">
                      <w14:alpha w14:val="100000"/>
                    </w14:srgbClr>
                  </w14:solidFill>
                </w14:textFill>
              </w:rPr>
              <w:t>|</w:t>
            </w:r>
            <w:r w:rsidRPr="0069051D">
              <w:rPr>
                <w:rFonts w:hint="eastAsia"/>
                <w:color w:val="000000"/>
                <w:spacing w:val="6"/>
                <w:w w:val="24"/>
                <w:shd w:val="solid" w:color="000000" w:fill="000000"/>
                <w:fitText w:val="110" w:id="-893204219"/>
                <w14:textFill>
                  <w14:solidFill>
                    <w14:srgbClr w14:val="000000">
                      <w14:alpha w14:val="100000"/>
                    </w14:srgbClr>
                  </w14:solidFill>
                </w14:textFill>
              </w:rPr>
              <w:t xml:space="preserve">　</w:t>
            </w:r>
            <w:r w:rsidR="00076B5A">
              <w:rPr>
                <w:vertAlign w:val="superscript"/>
              </w:rPr>
              <w:t xml:space="preserve"> 1</w:t>
            </w:r>
          </w:p>
        </w:tc>
        <w:tc>
          <w:tcPr>
            <w:tcW w:w="572" w:type="pct"/>
          </w:tcPr>
          <w:p w14:paraId="5B1D4FA6" w14:textId="2F640498" w:rsidR="007F52A5" w:rsidRPr="00B162C2" w:rsidRDefault="0069051D" w:rsidP="00BE10F4">
            <w:pPr>
              <w:pStyle w:val="COMTabletext"/>
              <w:jc w:val="center"/>
            </w:pPr>
            <w:r w:rsidRPr="0069051D">
              <w:rPr>
                <w:rFonts w:hint="eastAsia"/>
                <w:color w:val="000000"/>
                <w:w w:val="29"/>
                <w:shd w:val="solid" w:color="000000" w:fill="000000"/>
                <w:fitText w:val="130" w:id="-893204218"/>
                <w14:textFill>
                  <w14:solidFill>
                    <w14:srgbClr w14:val="000000">
                      <w14:alpha w14:val="100000"/>
                    </w14:srgbClr>
                  </w14:solidFill>
                </w14:textFill>
              </w:rPr>
              <w:t xml:space="preserve">　</w:t>
            </w:r>
            <w:r w:rsidRPr="0069051D">
              <w:rPr>
                <w:color w:val="000000"/>
                <w:w w:val="29"/>
                <w:shd w:val="solid" w:color="000000" w:fill="000000"/>
                <w:fitText w:val="130" w:id="-893204218"/>
                <w14:textFill>
                  <w14:solidFill>
                    <w14:srgbClr w14:val="000000">
                      <w14:alpha w14:val="100000"/>
                    </w14:srgbClr>
                  </w14:solidFill>
                </w14:textFill>
              </w:rPr>
              <w:t>|</w:t>
            </w:r>
            <w:r w:rsidRPr="0069051D">
              <w:rPr>
                <w:rFonts w:hint="eastAsia"/>
                <w:color w:val="000000"/>
                <w:spacing w:val="2"/>
                <w:w w:val="29"/>
                <w:shd w:val="solid" w:color="000000" w:fill="000000"/>
                <w:fitText w:val="130" w:id="-893204218"/>
                <w14:textFill>
                  <w14:solidFill>
                    <w14:srgbClr w14:val="000000">
                      <w14:alpha w14:val="100000"/>
                    </w14:srgbClr>
                  </w14:solidFill>
                </w14:textFill>
              </w:rPr>
              <w:t xml:space="preserve">　</w:t>
            </w:r>
            <w:r w:rsidR="00B90E59" w:rsidRPr="00B162C2">
              <w:t xml:space="preserve"> </w:t>
            </w:r>
            <w:r w:rsidR="00B90E59">
              <w:rPr>
                <w:vertAlign w:val="superscript"/>
              </w:rPr>
              <w:t xml:space="preserve"> 2</w:t>
            </w:r>
          </w:p>
        </w:tc>
        <w:tc>
          <w:tcPr>
            <w:tcW w:w="572" w:type="pct"/>
          </w:tcPr>
          <w:p w14:paraId="0E857C35" w14:textId="34757D8E" w:rsidR="007F52A5" w:rsidRPr="00B162C2" w:rsidRDefault="0069051D" w:rsidP="00BE10F4">
            <w:pPr>
              <w:pStyle w:val="COMTabletext"/>
              <w:jc w:val="center"/>
            </w:pPr>
            <w:r w:rsidRPr="0069051D">
              <w:rPr>
                <w:rFonts w:hint="eastAsia"/>
                <w:color w:val="000000"/>
                <w:w w:val="29"/>
                <w:shd w:val="solid" w:color="000000" w:fill="000000"/>
                <w:fitText w:val="130" w:id="-893204217"/>
                <w14:textFill>
                  <w14:solidFill>
                    <w14:srgbClr w14:val="000000">
                      <w14:alpha w14:val="100000"/>
                    </w14:srgbClr>
                  </w14:solidFill>
                </w14:textFill>
              </w:rPr>
              <w:t xml:space="preserve">　</w:t>
            </w:r>
            <w:r w:rsidRPr="0069051D">
              <w:rPr>
                <w:color w:val="000000"/>
                <w:w w:val="29"/>
                <w:shd w:val="solid" w:color="000000" w:fill="000000"/>
                <w:fitText w:val="130" w:id="-893204217"/>
                <w14:textFill>
                  <w14:solidFill>
                    <w14:srgbClr w14:val="000000">
                      <w14:alpha w14:val="100000"/>
                    </w14:srgbClr>
                  </w14:solidFill>
                </w14:textFill>
              </w:rPr>
              <w:t>|</w:t>
            </w:r>
            <w:r w:rsidRPr="0069051D">
              <w:rPr>
                <w:rFonts w:hint="eastAsia"/>
                <w:color w:val="000000"/>
                <w:spacing w:val="2"/>
                <w:w w:val="29"/>
                <w:shd w:val="solid" w:color="000000" w:fill="000000"/>
                <w:fitText w:val="130" w:id="-893204217"/>
                <w14:textFill>
                  <w14:solidFill>
                    <w14:srgbClr w14:val="000000">
                      <w14:alpha w14:val="100000"/>
                    </w14:srgbClr>
                  </w14:solidFill>
                </w14:textFill>
              </w:rPr>
              <w:t xml:space="preserve">　</w:t>
            </w:r>
            <w:r w:rsidR="00B90E59" w:rsidRPr="00B162C2">
              <w:t xml:space="preserve"> </w:t>
            </w:r>
            <w:r w:rsidR="00B90E59">
              <w:rPr>
                <w:vertAlign w:val="superscript"/>
              </w:rPr>
              <w:t xml:space="preserve"> 2</w:t>
            </w:r>
          </w:p>
        </w:tc>
        <w:tc>
          <w:tcPr>
            <w:tcW w:w="572" w:type="pct"/>
          </w:tcPr>
          <w:p w14:paraId="31FABC1F" w14:textId="5A5BFDCE" w:rsidR="007F52A5" w:rsidRPr="00B162C2" w:rsidRDefault="0069051D" w:rsidP="00BE10F4">
            <w:pPr>
              <w:pStyle w:val="COMTabletext"/>
              <w:jc w:val="center"/>
            </w:pPr>
            <w:r w:rsidRPr="0069051D">
              <w:rPr>
                <w:rFonts w:hint="eastAsia"/>
                <w:color w:val="000000"/>
                <w:w w:val="29"/>
                <w:shd w:val="solid" w:color="000000" w:fill="000000"/>
                <w:fitText w:val="130" w:id="-893204216"/>
                <w14:textFill>
                  <w14:solidFill>
                    <w14:srgbClr w14:val="000000">
                      <w14:alpha w14:val="100000"/>
                    </w14:srgbClr>
                  </w14:solidFill>
                </w14:textFill>
              </w:rPr>
              <w:t xml:space="preserve">　</w:t>
            </w:r>
            <w:r w:rsidRPr="0069051D">
              <w:rPr>
                <w:color w:val="000000"/>
                <w:w w:val="29"/>
                <w:shd w:val="solid" w:color="000000" w:fill="000000"/>
                <w:fitText w:val="130" w:id="-893204216"/>
                <w14:textFill>
                  <w14:solidFill>
                    <w14:srgbClr w14:val="000000">
                      <w14:alpha w14:val="100000"/>
                    </w14:srgbClr>
                  </w14:solidFill>
                </w14:textFill>
              </w:rPr>
              <w:t>|</w:t>
            </w:r>
            <w:r w:rsidRPr="0069051D">
              <w:rPr>
                <w:rFonts w:hint="eastAsia"/>
                <w:color w:val="000000"/>
                <w:spacing w:val="2"/>
                <w:w w:val="29"/>
                <w:shd w:val="solid" w:color="000000" w:fill="000000"/>
                <w:fitText w:val="130" w:id="-893204216"/>
                <w14:textFill>
                  <w14:solidFill>
                    <w14:srgbClr w14:val="000000">
                      <w14:alpha w14:val="100000"/>
                    </w14:srgbClr>
                  </w14:solidFill>
                </w14:textFill>
              </w:rPr>
              <w:t xml:space="preserve">　</w:t>
            </w:r>
            <w:r w:rsidR="00B90E59" w:rsidRPr="00B162C2">
              <w:t xml:space="preserve"> </w:t>
            </w:r>
            <w:r w:rsidR="00B90E59">
              <w:rPr>
                <w:vertAlign w:val="superscript"/>
              </w:rPr>
              <w:t xml:space="preserve"> 2</w:t>
            </w:r>
          </w:p>
        </w:tc>
        <w:tc>
          <w:tcPr>
            <w:tcW w:w="572" w:type="pct"/>
          </w:tcPr>
          <w:p w14:paraId="7B0FB3F2" w14:textId="281FD80B" w:rsidR="007F52A5" w:rsidRPr="00B162C2" w:rsidRDefault="0069051D" w:rsidP="00BE10F4">
            <w:pPr>
              <w:pStyle w:val="COMTabletext"/>
              <w:jc w:val="center"/>
            </w:pPr>
            <w:r w:rsidRPr="0069051D">
              <w:rPr>
                <w:rFonts w:hint="eastAsia"/>
                <w:color w:val="000000"/>
                <w:w w:val="29"/>
                <w:shd w:val="solid" w:color="000000" w:fill="000000"/>
                <w:fitText w:val="130" w:id="-893204215"/>
                <w14:textFill>
                  <w14:solidFill>
                    <w14:srgbClr w14:val="000000">
                      <w14:alpha w14:val="100000"/>
                    </w14:srgbClr>
                  </w14:solidFill>
                </w14:textFill>
              </w:rPr>
              <w:t xml:space="preserve">　</w:t>
            </w:r>
            <w:r w:rsidRPr="0069051D">
              <w:rPr>
                <w:color w:val="000000"/>
                <w:w w:val="29"/>
                <w:shd w:val="solid" w:color="000000" w:fill="000000"/>
                <w:fitText w:val="130" w:id="-893204215"/>
                <w14:textFill>
                  <w14:solidFill>
                    <w14:srgbClr w14:val="000000">
                      <w14:alpha w14:val="100000"/>
                    </w14:srgbClr>
                  </w14:solidFill>
                </w14:textFill>
              </w:rPr>
              <w:t>|</w:t>
            </w:r>
            <w:r w:rsidRPr="0069051D">
              <w:rPr>
                <w:rFonts w:hint="eastAsia"/>
                <w:color w:val="000000"/>
                <w:spacing w:val="2"/>
                <w:w w:val="29"/>
                <w:shd w:val="solid" w:color="000000" w:fill="000000"/>
                <w:fitText w:val="130" w:id="-893204215"/>
                <w14:textFill>
                  <w14:solidFill>
                    <w14:srgbClr w14:val="000000">
                      <w14:alpha w14:val="100000"/>
                    </w14:srgbClr>
                  </w14:solidFill>
                </w14:textFill>
              </w:rPr>
              <w:t xml:space="preserve">　</w:t>
            </w:r>
            <w:r w:rsidR="00B90E59" w:rsidRPr="00B162C2">
              <w:t xml:space="preserve"> </w:t>
            </w:r>
            <w:r w:rsidR="00B90E59">
              <w:rPr>
                <w:vertAlign w:val="superscript"/>
              </w:rPr>
              <w:t xml:space="preserve"> 2</w:t>
            </w:r>
          </w:p>
        </w:tc>
        <w:tc>
          <w:tcPr>
            <w:tcW w:w="571" w:type="pct"/>
          </w:tcPr>
          <w:p w14:paraId="24773E15" w14:textId="44744BC2" w:rsidR="007F52A5" w:rsidRPr="00B162C2" w:rsidRDefault="0069051D" w:rsidP="00BE10F4">
            <w:pPr>
              <w:pStyle w:val="COMTabletext"/>
              <w:jc w:val="center"/>
            </w:pPr>
            <w:r w:rsidRPr="0069051D">
              <w:rPr>
                <w:rFonts w:hint="eastAsia"/>
                <w:color w:val="000000"/>
                <w:w w:val="29"/>
                <w:shd w:val="solid" w:color="000000" w:fill="000000"/>
                <w:fitText w:val="130" w:id="-893204214"/>
                <w14:textFill>
                  <w14:solidFill>
                    <w14:srgbClr w14:val="000000">
                      <w14:alpha w14:val="100000"/>
                    </w14:srgbClr>
                  </w14:solidFill>
                </w14:textFill>
              </w:rPr>
              <w:t xml:space="preserve">　</w:t>
            </w:r>
            <w:r w:rsidRPr="0069051D">
              <w:rPr>
                <w:color w:val="000000"/>
                <w:w w:val="29"/>
                <w:shd w:val="solid" w:color="000000" w:fill="000000"/>
                <w:fitText w:val="130" w:id="-893204214"/>
                <w14:textFill>
                  <w14:solidFill>
                    <w14:srgbClr w14:val="000000">
                      <w14:alpha w14:val="100000"/>
                    </w14:srgbClr>
                  </w14:solidFill>
                </w14:textFill>
              </w:rPr>
              <w:t>|</w:t>
            </w:r>
            <w:r w:rsidRPr="0069051D">
              <w:rPr>
                <w:rFonts w:hint="eastAsia"/>
                <w:color w:val="000000"/>
                <w:spacing w:val="2"/>
                <w:w w:val="29"/>
                <w:shd w:val="solid" w:color="000000" w:fill="000000"/>
                <w:fitText w:val="130" w:id="-893204214"/>
                <w14:textFill>
                  <w14:solidFill>
                    <w14:srgbClr w14:val="000000">
                      <w14:alpha w14:val="100000"/>
                    </w14:srgbClr>
                  </w14:solidFill>
                </w14:textFill>
              </w:rPr>
              <w:t xml:space="preserve">　</w:t>
            </w:r>
            <w:r w:rsidR="00B90E59" w:rsidRPr="00B162C2">
              <w:t xml:space="preserve"> </w:t>
            </w:r>
            <w:r w:rsidR="00B90E59">
              <w:rPr>
                <w:vertAlign w:val="superscript"/>
              </w:rPr>
              <w:t xml:space="preserve"> 2</w:t>
            </w:r>
          </w:p>
        </w:tc>
      </w:tr>
      <w:tr w:rsidR="007F52A5" w:rsidRPr="00B162C2" w14:paraId="48B9BD8D" w14:textId="77777777" w:rsidTr="00BE10F4">
        <w:tc>
          <w:tcPr>
            <w:tcW w:w="1569" w:type="pct"/>
            <w:vAlign w:val="center"/>
          </w:tcPr>
          <w:p w14:paraId="377C9453" w14:textId="77777777" w:rsidR="007F52A5" w:rsidRPr="00B162C2" w:rsidRDefault="007F52A5" w:rsidP="00BE10F4">
            <w:pPr>
              <w:pStyle w:val="COMTabletext"/>
            </w:pPr>
            <w:r w:rsidRPr="00B162C2">
              <w:t>Zilucoplan 16.6 mg scripts</w:t>
            </w:r>
          </w:p>
        </w:tc>
        <w:tc>
          <w:tcPr>
            <w:tcW w:w="572" w:type="pct"/>
          </w:tcPr>
          <w:p w14:paraId="415309CC" w14:textId="79CAE65A" w:rsidR="007F52A5" w:rsidRPr="00B162C2" w:rsidRDefault="0069051D" w:rsidP="00BE10F4">
            <w:pPr>
              <w:pStyle w:val="COMTabletext"/>
              <w:jc w:val="center"/>
            </w:pPr>
            <w:r w:rsidRPr="0069051D">
              <w:rPr>
                <w:rFonts w:hint="eastAsia"/>
                <w:color w:val="000000"/>
                <w:w w:val="24"/>
                <w:shd w:val="solid" w:color="000000" w:fill="000000"/>
                <w:fitText w:val="110" w:id="-893204213"/>
                <w14:textFill>
                  <w14:solidFill>
                    <w14:srgbClr w14:val="000000">
                      <w14:alpha w14:val="100000"/>
                    </w14:srgbClr>
                  </w14:solidFill>
                </w14:textFill>
              </w:rPr>
              <w:t xml:space="preserve">　</w:t>
            </w:r>
            <w:r w:rsidRPr="0069051D">
              <w:rPr>
                <w:color w:val="000000"/>
                <w:w w:val="24"/>
                <w:shd w:val="solid" w:color="000000" w:fill="000000"/>
                <w:fitText w:val="110" w:id="-893204213"/>
                <w14:textFill>
                  <w14:solidFill>
                    <w14:srgbClr w14:val="000000">
                      <w14:alpha w14:val="100000"/>
                    </w14:srgbClr>
                  </w14:solidFill>
                </w14:textFill>
              </w:rPr>
              <w:t>|</w:t>
            </w:r>
            <w:r w:rsidRPr="0069051D">
              <w:rPr>
                <w:rFonts w:hint="eastAsia"/>
                <w:color w:val="000000"/>
                <w:spacing w:val="6"/>
                <w:w w:val="24"/>
                <w:shd w:val="solid" w:color="000000" w:fill="000000"/>
                <w:fitText w:val="110" w:id="-893204213"/>
                <w14:textFill>
                  <w14:solidFill>
                    <w14:srgbClr w14:val="000000">
                      <w14:alpha w14:val="100000"/>
                    </w14:srgbClr>
                  </w14:solidFill>
                </w14:textFill>
              </w:rPr>
              <w:t xml:space="preserve">　</w:t>
            </w:r>
            <w:r w:rsidR="00076B5A">
              <w:rPr>
                <w:vertAlign w:val="superscript"/>
              </w:rPr>
              <w:t xml:space="preserve"> 1</w:t>
            </w:r>
          </w:p>
        </w:tc>
        <w:tc>
          <w:tcPr>
            <w:tcW w:w="572" w:type="pct"/>
          </w:tcPr>
          <w:p w14:paraId="29ABA230" w14:textId="459E5443" w:rsidR="007F52A5" w:rsidRPr="00B162C2" w:rsidRDefault="0069051D" w:rsidP="00BE10F4">
            <w:pPr>
              <w:pStyle w:val="COMTabletext"/>
              <w:jc w:val="center"/>
            </w:pPr>
            <w:r w:rsidRPr="0069051D">
              <w:rPr>
                <w:rFonts w:hint="eastAsia"/>
                <w:color w:val="000000"/>
                <w:w w:val="24"/>
                <w:shd w:val="solid" w:color="000000" w:fill="000000"/>
                <w:fitText w:val="110" w:id="-893204212"/>
                <w14:textFill>
                  <w14:solidFill>
                    <w14:srgbClr w14:val="000000">
                      <w14:alpha w14:val="100000"/>
                    </w14:srgbClr>
                  </w14:solidFill>
                </w14:textFill>
              </w:rPr>
              <w:t xml:space="preserve">　</w:t>
            </w:r>
            <w:r w:rsidRPr="0069051D">
              <w:rPr>
                <w:color w:val="000000"/>
                <w:w w:val="24"/>
                <w:shd w:val="solid" w:color="000000" w:fill="000000"/>
                <w:fitText w:val="110" w:id="-893204212"/>
                <w14:textFill>
                  <w14:solidFill>
                    <w14:srgbClr w14:val="000000">
                      <w14:alpha w14:val="100000"/>
                    </w14:srgbClr>
                  </w14:solidFill>
                </w14:textFill>
              </w:rPr>
              <w:t>|</w:t>
            </w:r>
            <w:r w:rsidRPr="0069051D">
              <w:rPr>
                <w:rFonts w:hint="eastAsia"/>
                <w:color w:val="000000"/>
                <w:spacing w:val="6"/>
                <w:w w:val="24"/>
                <w:shd w:val="solid" w:color="000000" w:fill="000000"/>
                <w:fitText w:val="110" w:id="-893204212"/>
                <w14:textFill>
                  <w14:solidFill>
                    <w14:srgbClr w14:val="000000">
                      <w14:alpha w14:val="100000"/>
                    </w14:srgbClr>
                  </w14:solidFill>
                </w14:textFill>
              </w:rPr>
              <w:t xml:space="preserve">　</w:t>
            </w:r>
            <w:r w:rsidR="00076B5A">
              <w:rPr>
                <w:vertAlign w:val="superscript"/>
              </w:rPr>
              <w:t xml:space="preserve"> 1</w:t>
            </w:r>
          </w:p>
        </w:tc>
        <w:tc>
          <w:tcPr>
            <w:tcW w:w="572" w:type="pct"/>
          </w:tcPr>
          <w:p w14:paraId="3879E56D" w14:textId="547BEC73" w:rsidR="007F52A5" w:rsidRPr="00B162C2" w:rsidRDefault="0069051D" w:rsidP="00BE10F4">
            <w:pPr>
              <w:pStyle w:val="COMTabletext"/>
              <w:jc w:val="center"/>
            </w:pPr>
            <w:r w:rsidRPr="0069051D">
              <w:rPr>
                <w:rFonts w:hint="eastAsia"/>
                <w:color w:val="000000"/>
                <w:w w:val="24"/>
                <w:shd w:val="solid" w:color="000000" w:fill="000000"/>
                <w:fitText w:val="110" w:id="-893204211"/>
                <w14:textFill>
                  <w14:solidFill>
                    <w14:srgbClr w14:val="000000">
                      <w14:alpha w14:val="100000"/>
                    </w14:srgbClr>
                  </w14:solidFill>
                </w14:textFill>
              </w:rPr>
              <w:t xml:space="preserve">　</w:t>
            </w:r>
            <w:r w:rsidRPr="0069051D">
              <w:rPr>
                <w:color w:val="000000"/>
                <w:w w:val="24"/>
                <w:shd w:val="solid" w:color="000000" w:fill="000000"/>
                <w:fitText w:val="110" w:id="-893204211"/>
                <w14:textFill>
                  <w14:solidFill>
                    <w14:srgbClr w14:val="000000">
                      <w14:alpha w14:val="100000"/>
                    </w14:srgbClr>
                  </w14:solidFill>
                </w14:textFill>
              </w:rPr>
              <w:t>|</w:t>
            </w:r>
            <w:r w:rsidRPr="0069051D">
              <w:rPr>
                <w:rFonts w:hint="eastAsia"/>
                <w:color w:val="000000"/>
                <w:spacing w:val="6"/>
                <w:w w:val="24"/>
                <w:shd w:val="solid" w:color="000000" w:fill="000000"/>
                <w:fitText w:val="110" w:id="-893204211"/>
                <w14:textFill>
                  <w14:solidFill>
                    <w14:srgbClr w14:val="000000">
                      <w14:alpha w14:val="100000"/>
                    </w14:srgbClr>
                  </w14:solidFill>
                </w14:textFill>
              </w:rPr>
              <w:t xml:space="preserve">　</w:t>
            </w:r>
            <w:r w:rsidR="00076B5A">
              <w:rPr>
                <w:vertAlign w:val="superscript"/>
              </w:rPr>
              <w:t xml:space="preserve"> 1</w:t>
            </w:r>
          </w:p>
        </w:tc>
        <w:tc>
          <w:tcPr>
            <w:tcW w:w="572" w:type="pct"/>
          </w:tcPr>
          <w:p w14:paraId="37636635" w14:textId="498F7D2F" w:rsidR="007F52A5" w:rsidRPr="00B162C2" w:rsidRDefault="0069051D" w:rsidP="00BE10F4">
            <w:pPr>
              <w:pStyle w:val="COMTabletext"/>
              <w:jc w:val="center"/>
            </w:pPr>
            <w:r w:rsidRPr="0069051D">
              <w:rPr>
                <w:rFonts w:hint="eastAsia"/>
                <w:color w:val="000000"/>
                <w:w w:val="24"/>
                <w:shd w:val="solid" w:color="000000" w:fill="000000"/>
                <w:fitText w:val="110" w:id="-893204210"/>
                <w14:textFill>
                  <w14:solidFill>
                    <w14:srgbClr w14:val="000000">
                      <w14:alpha w14:val="100000"/>
                    </w14:srgbClr>
                  </w14:solidFill>
                </w14:textFill>
              </w:rPr>
              <w:t xml:space="preserve">　</w:t>
            </w:r>
            <w:r w:rsidRPr="0069051D">
              <w:rPr>
                <w:color w:val="000000"/>
                <w:w w:val="24"/>
                <w:shd w:val="solid" w:color="000000" w:fill="000000"/>
                <w:fitText w:val="110" w:id="-893204210"/>
                <w14:textFill>
                  <w14:solidFill>
                    <w14:srgbClr w14:val="000000">
                      <w14:alpha w14:val="100000"/>
                    </w14:srgbClr>
                  </w14:solidFill>
                </w14:textFill>
              </w:rPr>
              <w:t>|</w:t>
            </w:r>
            <w:r w:rsidRPr="0069051D">
              <w:rPr>
                <w:rFonts w:hint="eastAsia"/>
                <w:color w:val="000000"/>
                <w:spacing w:val="6"/>
                <w:w w:val="24"/>
                <w:shd w:val="solid" w:color="000000" w:fill="000000"/>
                <w:fitText w:val="110" w:id="-893204210"/>
                <w14:textFill>
                  <w14:solidFill>
                    <w14:srgbClr w14:val="000000">
                      <w14:alpha w14:val="100000"/>
                    </w14:srgbClr>
                  </w14:solidFill>
                </w14:textFill>
              </w:rPr>
              <w:t xml:space="preserve">　</w:t>
            </w:r>
            <w:r w:rsidR="00076B5A">
              <w:rPr>
                <w:vertAlign w:val="superscript"/>
              </w:rPr>
              <w:t xml:space="preserve"> 1</w:t>
            </w:r>
          </w:p>
        </w:tc>
        <w:tc>
          <w:tcPr>
            <w:tcW w:w="572" w:type="pct"/>
          </w:tcPr>
          <w:p w14:paraId="7B54D066" w14:textId="59074A16" w:rsidR="007F52A5" w:rsidRPr="00B162C2" w:rsidRDefault="0069051D" w:rsidP="00BE10F4">
            <w:pPr>
              <w:pStyle w:val="COMTabletext"/>
              <w:jc w:val="center"/>
            </w:pPr>
            <w:r w:rsidRPr="0069051D">
              <w:rPr>
                <w:rFonts w:hint="eastAsia"/>
                <w:color w:val="000000"/>
                <w:w w:val="24"/>
                <w:shd w:val="solid" w:color="000000" w:fill="000000"/>
                <w:fitText w:val="110" w:id="-893204209"/>
                <w14:textFill>
                  <w14:solidFill>
                    <w14:srgbClr w14:val="000000">
                      <w14:alpha w14:val="100000"/>
                    </w14:srgbClr>
                  </w14:solidFill>
                </w14:textFill>
              </w:rPr>
              <w:t xml:space="preserve">　</w:t>
            </w:r>
            <w:r w:rsidRPr="0069051D">
              <w:rPr>
                <w:color w:val="000000"/>
                <w:w w:val="24"/>
                <w:shd w:val="solid" w:color="000000" w:fill="000000"/>
                <w:fitText w:val="110" w:id="-893204209"/>
                <w14:textFill>
                  <w14:solidFill>
                    <w14:srgbClr w14:val="000000">
                      <w14:alpha w14:val="100000"/>
                    </w14:srgbClr>
                  </w14:solidFill>
                </w14:textFill>
              </w:rPr>
              <w:t>|</w:t>
            </w:r>
            <w:r w:rsidRPr="0069051D">
              <w:rPr>
                <w:rFonts w:hint="eastAsia"/>
                <w:color w:val="000000"/>
                <w:spacing w:val="6"/>
                <w:w w:val="24"/>
                <w:shd w:val="solid" w:color="000000" w:fill="000000"/>
                <w:fitText w:val="110" w:id="-893204209"/>
                <w14:textFill>
                  <w14:solidFill>
                    <w14:srgbClr w14:val="000000">
                      <w14:alpha w14:val="100000"/>
                    </w14:srgbClr>
                  </w14:solidFill>
                </w14:textFill>
              </w:rPr>
              <w:t xml:space="preserve">　</w:t>
            </w:r>
            <w:r w:rsidR="00076B5A">
              <w:rPr>
                <w:vertAlign w:val="superscript"/>
              </w:rPr>
              <w:t xml:space="preserve"> 1</w:t>
            </w:r>
          </w:p>
        </w:tc>
        <w:tc>
          <w:tcPr>
            <w:tcW w:w="571" w:type="pct"/>
          </w:tcPr>
          <w:p w14:paraId="7FCBCE64" w14:textId="47F1ADB5" w:rsidR="007F52A5" w:rsidRPr="00B162C2" w:rsidRDefault="0069051D" w:rsidP="00BE10F4">
            <w:pPr>
              <w:pStyle w:val="COMTabletext"/>
              <w:jc w:val="center"/>
            </w:pPr>
            <w:r w:rsidRPr="0069051D">
              <w:rPr>
                <w:rFonts w:hint="eastAsia"/>
                <w:color w:val="000000"/>
                <w:w w:val="24"/>
                <w:shd w:val="solid" w:color="000000" w:fill="000000"/>
                <w:fitText w:val="110" w:id="-893204208"/>
                <w14:textFill>
                  <w14:solidFill>
                    <w14:srgbClr w14:val="000000">
                      <w14:alpha w14:val="100000"/>
                    </w14:srgbClr>
                  </w14:solidFill>
                </w14:textFill>
              </w:rPr>
              <w:t xml:space="preserve">　</w:t>
            </w:r>
            <w:r w:rsidRPr="0069051D">
              <w:rPr>
                <w:color w:val="000000"/>
                <w:w w:val="24"/>
                <w:shd w:val="solid" w:color="000000" w:fill="000000"/>
                <w:fitText w:val="110" w:id="-893204208"/>
                <w14:textFill>
                  <w14:solidFill>
                    <w14:srgbClr w14:val="000000">
                      <w14:alpha w14:val="100000"/>
                    </w14:srgbClr>
                  </w14:solidFill>
                </w14:textFill>
              </w:rPr>
              <w:t>|</w:t>
            </w:r>
            <w:r w:rsidRPr="0069051D">
              <w:rPr>
                <w:rFonts w:hint="eastAsia"/>
                <w:color w:val="000000"/>
                <w:spacing w:val="6"/>
                <w:w w:val="24"/>
                <w:shd w:val="solid" w:color="000000" w:fill="000000"/>
                <w:fitText w:val="110" w:id="-893204208"/>
                <w14:textFill>
                  <w14:solidFill>
                    <w14:srgbClr w14:val="000000">
                      <w14:alpha w14:val="100000"/>
                    </w14:srgbClr>
                  </w14:solidFill>
                </w14:textFill>
              </w:rPr>
              <w:t xml:space="preserve">　</w:t>
            </w:r>
            <w:r w:rsidR="00076B5A">
              <w:rPr>
                <w:vertAlign w:val="superscript"/>
              </w:rPr>
              <w:t xml:space="preserve"> 1</w:t>
            </w:r>
          </w:p>
        </w:tc>
      </w:tr>
      <w:tr w:rsidR="007F52A5" w:rsidRPr="00B162C2" w14:paraId="4347417D" w14:textId="77777777" w:rsidTr="00BE10F4">
        <w:tc>
          <w:tcPr>
            <w:tcW w:w="1569" w:type="pct"/>
            <w:vAlign w:val="center"/>
          </w:tcPr>
          <w:p w14:paraId="18A9A15E" w14:textId="77777777" w:rsidR="007F52A5" w:rsidRPr="00B162C2" w:rsidRDefault="007F52A5" w:rsidP="00BE10F4">
            <w:pPr>
              <w:pStyle w:val="COMTabletext"/>
            </w:pPr>
            <w:r w:rsidRPr="00B162C2">
              <w:t>Zilucoplan 23.0 mg scripts</w:t>
            </w:r>
          </w:p>
        </w:tc>
        <w:tc>
          <w:tcPr>
            <w:tcW w:w="572" w:type="pct"/>
          </w:tcPr>
          <w:p w14:paraId="3EA05024" w14:textId="08720FA5" w:rsidR="007F52A5" w:rsidRPr="00B162C2" w:rsidRDefault="0069051D" w:rsidP="00BE10F4">
            <w:pPr>
              <w:pStyle w:val="COMTabletext"/>
              <w:jc w:val="center"/>
            </w:pPr>
            <w:r w:rsidRPr="0069051D">
              <w:rPr>
                <w:rFonts w:hint="eastAsia"/>
                <w:color w:val="000000"/>
                <w:w w:val="24"/>
                <w:shd w:val="solid" w:color="000000" w:fill="000000"/>
                <w:fitText w:val="110" w:id="-893204224"/>
                <w14:textFill>
                  <w14:solidFill>
                    <w14:srgbClr w14:val="000000">
                      <w14:alpha w14:val="100000"/>
                    </w14:srgbClr>
                  </w14:solidFill>
                </w14:textFill>
              </w:rPr>
              <w:t xml:space="preserve">　</w:t>
            </w:r>
            <w:r w:rsidRPr="0069051D">
              <w:rPr>
                <w:color w:val="000000"/>
                <w:w w:val="24"/>
                <w:shd w:val="solid" w:color="000000" w:fill="000000"/>
                <w:fitText w:val="110" w:id="-893204224"/>
                <w14:textFill>
                  <w14:solidFill>
                    <w14:srgbClr w14:val="000000">
                      <w14:alpha w14:val="100000"/>
                    </w14:srgbClr>
                  </w14:solidFill>
                </w14:textFill>
              </w:rPr>
              <w:t>|</w:t>
            </w:r>
            <w:r w:rsidRPr="0069051D">
              <w:rPr>
                <w:rFonts w:hint="eastAsia"/>
                <w:color w:val="000000"/>
                <w:spacing w:val="6"/>
                <w:w w:val="24"/>
                <w:shd w:val="solid" w:color="000000" w:fill="000000"/>
                <w:fitText w:val="110" w:id="-893204224"/>
                <w14:textFill>
                  <w14:solidFill>
                    <w14:srgbClr w14:val="000000">
                      <w14:alpha w14:val="100000"/>
                    </w14:srgbClr>
                  </w14:solidFill>
                </w14:textFill>
              </w:rPr>
              <w:t xml:space="preserve">　</w:t>
            </w:r>
            <w:r w:rsidR="00076B5A">
              <w:rPr>
                <w:vertAlign w:val="superscript"/>
              </w:rPr>
              <w:t xml:space="preserve"> 1</w:t>
            </w:r>
          </w:p>
        </w:tc>
        <w:tc>
          <w:tcPr>
            <w:tcW w:w="572" w:type="pct"/>
          </w:tcPr>
          <w:p w14:paraId="272F4960" w14:textId="5BE67333" w:rsidR="007F52A5" w:rsidRPr="00B162C2" w:rsidRDefault="0069051D" w:rsidP="00BE10F4">
            <w:pPr>
              <w:pStyle w:val="COMTabletext"/>
              <w:jc w:val="center"/>
            </w:pPr>
            <w:r w:rsidRPr="0069051D">
              <w:rPr>
                <w:rFonts w:hint="eastAsia"/>
                <w:color w:val="000000"/>
                <w:w w:val="24"/>
                <w:shd w:val="solid" w:color="000000" w:fill="000000"/>
                <w:fitText w:val="110" w:id="-893204223"/>
                <w14:textFill>
                  <w14:solidFill>
                    <w14:srgbClr w14:val="000000">
                      <w14:alpha w14:val="100000"/>
                    </w14:srgbClr>
                  </w14:solidFill>
                </w14:textFill>
              </w:rPr>
              <w:t xml:space="preserve">　</w:t>
            </w:r>
            <w:r w:rsidRPr="0069051D">
              <w:rPr>
                <w:color w:val="000000"/>
                <w:w w:val="24"/>
                <w:shd w:val="solid" w:color="000000" w:fill="000000"/>
                <w:fitText w:val="110" w:id="-893204223"/>
                <w14:textFill>
                  <w14:solidFill>
                    <w14:srgbClr w14:val="000000">
                      <w14:alpha w14:val="100000"/>
                    </w14:srgbClr>
                  </w14:solidFill>
                </w14:textFill>
              </w:rPr>
              <w:t>|</w:t>
            </w:r>
            <w:r w:rsidRPr="0069051D">
              <w:rPr>
                <w:rFonts w:hint="eastAsia"/>
                <w:color w:val="000000"/>
                <w:spacing w:val="6"/>
                <w:w w:val="24"/>
                <w:shd w:val="solid" w:color="000000" w:fill="000000"/>
                <w:fitText w:val="110" w:id="-893204223"/>
                <w14:textFill>
                  <w14:solidFill>
                    <w14:srgbClr w14:val="000000">
                      <w14:alpha w14:val="100000"/>
                    </w14:srgbClr>
                  </w14:solidFill>
                </w14:textFill>
              </w:rPr>
              <w:t xml:space="preserve">　</w:t>
            </w:r>
            <w:r w:rsidR="00076B5A">
              <w:rPr>
                <w:vertAlign w:val="superscript"/>
              </w:rPr>
              <w:t xml:space="preserve"> 1</w:t>
            </w:r>
          </w:p>
        </w:tc>
        <w:tc>
          <w:tcPr>
            <w:tcW w:w="572" w:type="pct"/>
          </w:tcPr>
          <w:p w14:paraId="5C1EA89D" w14:textId="0CB0F2A2" w:rsidR="007F52A5" w:rsidRPr="00B162C2" w:rsidRDefault="0069051D" w:rsidP="00BE10F4">
            <w:pPr>
              <w:pStyle w:val="COMTabletext"/>
              <w:jc w:val="center"/>
            </w:pPr>
            <w:r w:rsidRPr="0069051D">
              <w:rPr>
                <w:rFonts w:hint="eastAsia"/>
                <w:color w:val="000000"/>
                <w:w w:val="24"/>
                <w:shd w:val="solid" w:color="000000" w:fill="000000"/>
                <w:fitText w:val="110" w:id="-893204222"/>
                <w14:textFill>
                  <w14:solidFill>
                    <w14:srgbClr w14:val="000000">
                      <w14:alpha w14:val="100000"/>
                    </w14:srgbClr>
                  </w14:solidFill>
                </w14:textFill>
              </w:rPr>
              <w:t xml:space="preserve">　</w:t>
            </w:r>
            <w:r w:rsidRPr="0069051D">
              <w:rPr>
                <w:color w:val="000000"/>
                <w:w w:val="24"/>
                <w:shd w:val="solid" w:color="000000" w:fill="000000"/>
                <w:fitText w:val="110" w:id="-893204222"/>
                <w14:textFill>
                  <w14:solidFill>
                    <w14:srgbClr w14:val="000000">
                      <w14:alpha w14:val="100000"/>
                    </w14:srgbClr>
                  </w14:solidFill>
                </w14:textFill>
              </w:rPr>
              <w:t>|</w:t>
            </w:r>
            <w:r w:rsidRPr="0069051D">
              <w:rPr>
                <w:rFonts w:hint="eastAsia"/>
                <w:color w:val="000000"/>
                <w:spacing w:val="6"/>
                <w:w w:val="24"/>
                <w:shd w:val="solid" w:color="000000" w:fill="000000"/>
                <w:fitText w:val="110" w:id="-893204222"/>
                <w14:textFill>
                  <w14:solidFill>
                    <w14:srgbClr w14:val="000000">
                      <w14:alpha w14:val="100000"/>
                    </w14:srgbClr>
                  </w14:solidFill>
                </w14:textFill>
              </w:rPr>
              <w:t xml:space="preserve">　</w:t>
            </w:r>
            <w:r w:rsidR="00076B5A">
              <w:rPr>
                <w:vertAlign w:val="superscript"/>
              </w:rPr>
              <w:t xml:space="preserve"> 1</w:t>
            </w:r>
          </w:p>
        </w:tc>
        <w:tc>
          <w:tcPr>
            <w:tcW w:w="572" w:type="pct"/>
          </w:tcPr>
          <w:p w14:paraId="1F37667B" w14:textId="510C9B82" w:rsidR="007F52A5" w:rsidRPr="00B162C2" w:rsidRDefault="0069051D" w:rsidP="00BE10F4">
            <w:pPr>
              <w:pStyle w:val="COMTabletext"/>
              <w:jc w:val="center"/>
            </w:pPr>
            <w:r w:rsidRPr="0069051D">
              <w:rPr>
                <w:rFonts w:hint="eastAsia"/>
                <w:color w:val="000000"/>
                <w:w w:val="24"/>
                <w:shd w:val="solid" w:color="000000" w:fill="000000"/>
                <w:fitText w:val="110" w:id="-893204221"/>
                <w14:textFill>
                  <w14:solidFill>
                    <w14:srgbClr w14:val="000000">
                      <w14:alpha w14:val="100000"/>
                    </w14:srgbClr>
                  </w14:solidFill>
                </w14:textFill>
              </w:rPr>
              <w:t xml:space="preserve">　</w:t>
            </w:r>
            <w:r w:rsidRPr="0069051D">
              <w:rPr>
                <w:color w:val="000000"/>
                <w:w w:val="24"/>
                <w:shd w:val="solid" w:color="000000" w:fill="000000"/>
                <w:fitText w:val="110" w:id="-893204221"/>
                <w14:textFill>
                  <w14:solidFill>
                    <w14:srgbClr w14:val="000000">
                      <w14:alpha w14:val="100000"/>
                    </w14:srgbClr>
                  </w14:solidFill>
                </w14:textFill>
              </w:rPr>
              <w:t>|</w:t>
            </w:r>
            <w:r w:rsidRPr="0069051D">
              <w:rPr>
                <w:rFonts w:hint="eastAsia"/>
                <w:color w:val="000000"/>
                <w:spacing w:val="6"/>
                <w:w w:val="24"/>
                <w:shd w:val="solid" w:color="000000" w:fill="000000"/>
                <w:fitText w:val="110" w:id="-893204221"/>
                <w14:textFill>
                  <w14:solidFill>
                    <w14:srgbClr w14:val="000000">
                      <w14:alpha w14:val="100000"/>
                    </w14:srgbClr>
                  </w14:solidFill>
                </w14:textFill>
              </w:rPr>
              <w:t xml:space="preserve">　</w:t>
            </w:r>
            <w:r w:rsidR="00076B5A">
              <w:rPr>
                <w:vertAlign w:val="superscript"/>
              </w:rPr>
              <w:t xml:space="preserve"> 1</w:t>
            </w:r>
          </w:p>
        </w:tc>
        <w:tc>
          <w:tcPr>
            <w:tcW w:w="572" w:type="pct"/>
          </w:tcPr>
          <w:p w14:paraId="2B632F30" w14:textId="080F60A5" w:rsidR="007F52A5" w:rsidRPr="00B162C2" w:rsidRDefault="0069051D" w:rsidP="00BE10F4">
            <w:pPr>
              <w:pStyle w:val="COMTabletext"/>
              <w:jc w:val="center"/>
            </w:pPr>
            <w:r w:rsidRPr="0069051D">
              <w:rPr>
                <w:rFonts w:hint="eastAsia"/>
                <w:color w:val="000000"/>
                <w:w w:val="24"/>
                <w:shd w:val="solid" w:color="000000" w:fill="000000"/>
                <w:fitText w:val="110" w:id="-893204220"/>
                <w14:textFill>
                  <w14:solidFill>
                    <w14:srgbClr w14:val="000000">
                      <w14:alpha w14:val="100000"/>
                    </w14:srgbClr>
                  </w14:solidFill>
                </w14:textFill>
              </w:rPr>
              <w:t xml:space="preserve">　</w:t>
            </w:r>
            <w:r w:rsidRPr="0069051D">
              <w:rPr>
                <w:color w:val="000000"/>
                <w:w w:val="24"/>
                <w:shd w:val="solid" w:color="000000" w:fill="000000"/>
                <w:fitText w:val="110" w:id="-893204220"/>
                <w14:textFill>
                  <w14:solidFill>
                    <w14:srgbClr w14:val="000000">
                      <w14:alpha w14:val="100000"/>
                    </w14:srgbClr>
                  </w14:solidFill>
                </w14:textFill>
              </w:rPr>
              <w:t>|</w:t>
            </w:r>
            <w:r w:rsidRPr="0069051D">
              <w:rPr>
                <w:rFonts w:hint="eastAsia"/>
                <w:color w:val="000000"/>
                <w:spacing w:val="6"/>
                <w:w w:val="24"/>
                <w:shd w:val="solid" w:color="000000" w:fill="000000"/>
                <w:fitText w:val="110" w:id="-893204220"/>
                <w14:textFill>
                  <w14:solidFill>
                    <w14:srgbClr w14:val="000000">
                      <w14:alpha w14:val="100000"/>
                    </w14:srgbClr>
                  </w14:solidFill>
                </w14:textFill>
              </w:rPr>
              <w:t xml:space="preserve">　</w:t>
            </w:r>
            <w:r w:rsidR="00076B5A">
              <w:rPr>
                <w:vertAlign w:val="superscript"/>
              </w:rPr>
              <w:t xml:space="preserve"> 1</w:t>
            </w:r>
          </w:p>
        </w:tc>
        <w:tc>
          <w:tcPr>
            <w:tcW w:w="571" w:type="pct"/>
          </w:tcPr>
          <w:p w14:paraId="17160840" w14:textId="346F587F" w:rsidR="007F52A5" w:rsidRPr="00B162C2" w:rsidRDefault="0069051D" w:rsidP="00BE10F4">
            <w:pPr>
              <w:pStyle w:val="COMTabletext"/>
              <w:jc w:val="center"/>
            </w:pPr>
            <w:r w:rsidRPr="0069051D">
              <w:rPr>
                <w:rFonts w:hint="eastAsia"/>
                <w:color w:val="000000"/>
                <w:w w:val="24"/>
                <w:shd w:val="solid" w:color="000000" w:fill="000000"/>
                <w:fitText w:val="110" w:id="-893204219"/>
                <w14:textFill>
                  <w14:solidFill>
                    <w14:srgbClr w14:val="000000">
                      <w14:alpha w14:val="100000"/>
                    </w14:srgbClr>
                  </w14:solidFill>
                </w14:textFill>
              </w:rPr>
              <w:t xml:space="preserve">　</w:t>
            </w:r>
            <w:r w:rsidRPr="0069051D">
              <w:rPr>
                <w:color w:val="000000"/>
                <w:w w:val="24"/>
                <w:shd w:val="solid" w:color="000000" w:fill="000000"/>
                <w:fitText w:val="110" w:id="-893204219"/>
                <w14:textFill>
                  <w14:solidFill>
                    <w14:srgbClr w14:val="000000">
                      <w14:alpha w14:val="100000"/>
                    </w14:srgbClr>
                  </w14:solidFill>
                </w14:textFill>
              </w:rPr>
              <w:t>|</w:t>
            </w:r>
            <w:r w:rsidRPr="0069051D">
              <w:rPr>
                <w:rFonts w:hint="eastAsia"/>
                <w:color w:val="000000"/>
                <w:spacing w:val="6"/>
                <w:w w:val="24"/>
                <w:shd w:val="solid" w:color="000000" w:fill="000000"/>
                <w:fitText w:val="110" w:id="-893204219"/>
                <w14:textFill>
                  <w14:solidFill>
                    <w14:srgbClr w14:val="000000">
                      <w14:alpha w14:val="100000"/>
                    </w14:srgbClr>
                  </w14:solidFill>
                </w14:textFill>
              </w:rPr>
              <w:t xml:space="preserve">　</w:t>
            </w:r>
            <w:r w:rsidR="00076B5A">
              <w:rPr>
                <w:vertAlign w:val="superscript"/>
              </w:rPr>
              <w:t xml:space="preserve"> 1</w:t>
            </w:r>
          </w:p>
        </w:tc>
      </w:tr>
      <w:tr w:rsidR="007F52A5" w:rsidRPr="00B162C2" w14:paraId="270BDB77" w14:textId="77777777" w:rsidTr="00BE10F4">
        <w:tc>
          <w:tcPr>
            <w:tcW w:w="1569" w:type="pct"/>
            <w:vAlign w:val="center"/>
          </w:tcPr>
          <w:p w14:paraId="1FA821C4" w14:textId="77777777" w:rsidR="007F52A5" w:rsidRPr="00B162C2" w:rsidRDefault="007F52A5" w:rsidP="00BE10F4">
            <w:pPr>
              <w:pStyle w:val="COMTabletext"/>
            </w:pPr>
            <w:r w:rsidRPr="00B162C2">
              <w:t>Zilucoplan 32.4 mg scripts</w:t>
            </w:r>
          </w:p>
        </w:tc>
        <w:tc>
          <w:tcPr>
            <w:tcW w:w="572" w:type="pct"/>
          </w:tcPr>
          <w:p w14:paraId="10242F60" w14:textId="52C9B773" w:rsidR="007F52A5" w:rsidRPr="00B162C2" w:rsidRDefault="0069051D" w:rsidP="00BE10F4">
            <w:pPr>
              <w:pStyle w:val="COMTabletext"/>
              <w:jc w:val="center"/>
            </w:pPr>
            <w:r w:rsidRPr="0069051D">
              <w:rPr>
                <w:rFonts w:hint="eastAsia"/>
                <w:color w:val="000000"/>
                <w:w w:val="24"/>
                <w:shd w:val="solid" w:color="000000" w:fill="000000"/>
                <w:fitText w:val="110" w:id="-893204218"/>
                <w14:textFill>
                  <w14:solidFill>
                    <w14:srgbClr w14:val="000000">
                      <w14:alpha w14:val="100000"/>
                    </w14:srgbClr>
                  </w14:solidFill>
                </w14:textFill>
              </w:rPr>
              <w:t xml:space="preserve">　</w:t>
            </w:r>
            <w:r w:rsidRPr="0069051D">
              <w:rPr>
                <w:color w:val="000000"/>
                <w:w w:val="24"/>
                <w:shd w:val="solid" w:color="000000" w:fill="000000"/>
                <w:fitText w:val="110" w:id="-893204218"/>
                <w14:textFill>
                  <w14:solidFill>
                    <w14:srgbClr w14:val="000000">
                      <w14:alpha w14:val="100000"/>
                    </w14:srgbClr>
                  </w14:solidFill>
                </w14:textFill>
              </w:rPr>
              <w:t>|</w:t>
            </w:r>
            <w:r w:rsidRPr="0069051D">
              <w:rPr>
                <w:rFonts w:hint="eastAsia"/>
                <w:color w:val="000000"/>
                <w:spacing w:val="6"/>
                <w:w w:val="24"/>
                <w:shd w:val="solid" w:color="000000" w:fill="000000"/>
                <w:fitText w:val="110" w:id="-893204218"/>
                <w14:textFill>
                  <w14:solidFill>
                    <w14:srgbClr w14:val="000000">
                      <w14:alpha w14:val="100000"/>
                    </w14:srgbClr>
                  </w14:solidFill>
                </w14:textFill>
              </w:rPr>
              <w:t xml:space="preserve">　</w:t>
            </w:r>
            <w:r w:rsidR="00B90E59">
              <w:rPr>
                <w:vertAlign w:val="superscript"/>
              </w:rPr>
              <w:t xml:space="preserve"> 3</w:t>
            </w:r>
          </w:p>
        </w:tc>
        <w:tc>
          <w:tcPr>
            <w:tcW w:w="572" w:type="pct"/>
          </w:tcPr>
          <w:p w14:paraId="573A412D" w14:textId="19ABC325" w:rsidR="007F52A5" w:rsidRPr="00B162C2" w:rsidRDefault="0069051D" w:rsidP="00BE10F4">
            <w:pPr>
              <w:pStyle w:val="COMTabletext"/>
              <w:jc w:val="center"/>
            </w:pPr>
            <w:r w:rsidRPr="0069051D">
              <w:rPr>
                <w:rFonts w:hint="eastAsia"/>
                <w:color w:val="000000"/>
                <w:w w:val="24"/>
                <w:shd w:val="solid" w:color="000000" w:fill="000000"/>
                <w:fitText w:val="110" w:id="-893204217"/>
                <w14:textFill>
                  <w14:solidFill>
                    <w14:srgbClr w14:val="000000">
                      <w14:alpha w14:val="100000"/>
                    </w14:srgbClr>
                  </w14:solidFill>
                </w14:textFill>
              </w:rPr>
              <w:t xml:space="preserve">　</w:t>
            </w:r>
            <w:r w:rsidRPr="0069051D">
              <w:rPr>
                <w:color w:val="000000"/>
                <w:w w:val="24"/>
                <w:shd w:val="solid" w:color="000000" w:fill="000000"/>
                <w:fitText w:val="110" w:id="-893204217"/>
                <w14:textFill>
                  <w14:solidFill>
                    <w14:srgbClr w14:val="000000">
                      <w14:alpha w14:val="100000"/>
                    </w14:srgbClr>
                  </w14:solidFill>
                </w14:textFill>
              </w:rPr>
              <w:t>|</w:t>
            </w:r>
            <w:r w:rsidRPr="0069051D">
              <w:rPr>
                <w:rFonts w:hint="eastAsia"/>
                <w:color w:val="000000"/>
                <w:spacing w:val="6"/>
                <w:w w:val="24"/>
                <w:shd w:val="solid" w:color="000000" w:fill="000000"/>
                <w:fitText w:val="110" w:id="-893204217"/>
                <w14:textFill>
                  <w14:solidFill>
                    <w14:srgbClr w14:val="000000">
                      <w14:alpha w14:val="100000"/>
                    </w14:srgbClr>
                  </w14:solidFill>
                </w14:textFill>
              </w:rPr>
              <w:t xml:space="preserve">　</w:t>
            </w:r>
            <w:r w:rsidR="00CB065F">
              <w:rPr>
                <w:vertAlign w:val="superscript"/>
              </w:rPr>
              <w:t xml:space="preserve"> 3</w:t>
            </w:r>
          </w:p>
        </w:tc>
        <w:tc>
          <w:tcPr>
            <w:tcW w:w="572" w:type="pct"/>
          </w:tcPr>
          <w:p w14:paraId="70E34A3D" w14:textId="1E530C21" w:rsidR="007F52A5" w:rsidRPr="00B162C2" w:rsidRDefault="0069051D" w:rsidP="00BE10F4">
            <w:pPr>
              <w:pStyle w:val="COMTabletext"/>
              <w:jc w:val="center"/>
            </w:pPr>
            <w:r w:rsidRPr="0069051D">
              <w:rPr>
                <w:rFonts w:hint="eastAsia"/>
                <w:color w:val="000000"/>
                <w:w w:val="24"/>
                <w:shd w:val="solid" w:color="000000" w:fill="000000"/>
                <w:fitText w:val="110" w:id="-893204216"/>
                <w14:textFill>
                  <w14:solidFill>
                    <w14:srgbClr w14:val="000000">
                      <w14:alpha w14:val="100000"/>
                    </w14:srgbClr>
                  </w14:solidFill>
                </w14:textFill>
              </w:rPr>
              <w:t xml:space="preserve">　</w:t>
            </w:r>
            <w:r w:rsidRPr="0069051D">
              <w:rPr>
                <w:color w:val="000000"/>
                <w:w w:val="24"/>
                <w:shd w:val="solid" w:color="000000" w:fill="000000"/>
                <w:fitText w:val="110" w:id="-893204216"/>
                <w14:textFill>
                  <w14:solidFill>
                    <w14:srgbClr w14:val="000000">
                      <w14:alpha w14:val="100000"/>
                    </w14:srgbClr>
                  </w14:solidFill>
                </w14:textFill>
              </w:rPr>
              <w:t>|</w:t>
            </w:r>
            <w:r w:rsidRPr="0069051D">
              <w:rPr>
                <w:rFonts w:hint="eastAsia"/>
                <w:color w:val="000000"/>
                <w:spacing w:val="6"/>
                <w:w w:val="24"/>
                <w:shd w:val="solid" w:color="000000" w:fill="000000"/>
                <w:fitText w:val="110" w:id="-893204216"/>
                <w14:textFill>
                  <w14:solidFill>
                    <w14:srgbClr w14:val="000000">
                      <w14:alpha w14:val="100000"/>
                    </w14:srgbClr>
                  </w14:solidFill>
                </w14:textFill>
              </w:rPr>
              <w:t xml:space="preserve">　</w:t>
            </w:r>
            <w:r w:rsidR="00CB065F">
              <w:rPr>
                <w:vertAlign w:val="superscript"/>
              </w:rPr>
              <w:t xml:space="preserve"> 3</w:t>
            </w:r>
          </w:p>
        </w:tc>
        <w:tc>
          <w:tcPr>
            <w:tcW w:w="572" w:type="pct"/>
          </w:tcPr>
          <w:p w14:paraId="5AA3FFC4" w14:textId="2C508778" w:rsidR="007F52A5" w:rsidRPr="00B162C2" w:rsidRDefault="0069051D" w:rsidP="00BE10F4">
            <w:pPr>
              <w:pStyle w:val="COMTabletext"/>
              <w:jc w:val="center"/>
            </w:pPr>
            <w:r w:rsidRPr="0069051D">
              <w:rPr>
                <w:rFonts w:hint="eastAsia"/>
                <w:color w:val="000000"/>
                <w:w w:val="24"/>
                <w:shd w:val="solid" w:color="000000" w:fill="000000"/>
                <w:fitText w:val="110" w:id="-893204215"/>
                <w14:textFill>
                  <w14:solidFill>
                    <w14:srgbClr w14:val="000000">
                      <w14:alpha w14:val="100000"/>
                    </w14:srgbClr>
                  </w14:solidFill>
                </w14:textFill>
              </w:rPr>
              <w:t xml:space="preserve">　</w:t>
            </w:r>
            <w:r w:rsidRPr="0069051D">
              <w:rPr>
                <w:color w:val="000000"/>
                <w:w w:val="24"/>
                <w:shd w:val="solid" w:color="000000" w:fill="000000"/>
                <w:fitText w:val="110" w:id="-893204215"/>
                <w14:textFill>
                  <w14:solidFill>
                    <w14:srgbClr w14:val="000000">
                      <w14:alpha w14:val="100000"/>
                    </w14:srgbClr>
                  </w14:solidFill>
                </w14:textFill>
              </w:rPr>
              <w:t>|</w:t>
            </w:r>
            <w:r w:rsidRPr="0069051D">
              <w:rPr>
                <w:rFonts w:hint="eastAsia"/>
                <w:color w:val="000000"/>
                <w:spacing w:val="6"/>
                <w:w w:val="24"/>
                <w:shd w:val="solid" w:color="000000" w:fill="000000"/>
                <w:fitText w:val="110" w:id="-893204215"/>
                <w14:textFill>
                  <w14:solidFill>
                    <w14:srgbClr w14:val="000000">
                      <w14:alpha w14:val="100000"/>
                    </w14:srgbClr>
                  </w14:solidFill>
                </w14:textFill>
              </w:rPr>
              <w:t xml:space="preserve">　</w:t>
            </w:r>
            <w:r w:rsidR="00CB065F">
              <w:rPr>
                <w:vertAlign w:val="superscript"/>
              </w:rPr>
              <w:t xml:space="preserve"> 3</w:t>
            </w:r>
          </w:p>
        </w:tc>
        <w:tc>
          <w:tcPr>
            <w:tcW w:w="572" w:type="pct"/>
          </w:tcPr>
          <w:p w14:paraId="6097FAE9" w14:textId="0094117C" w:rsidR="007F52A5" w:rsidRPr="00B162C2" w:rsidRDefault="0069051D" w:rsidP="00BE10F4">
            <w:pPr>
              <w:pStyle w:val="COMTabletext"/>
              <w:jc w:val="center"/>
            </w:pPr>
            <w:r w:rsidRPr="0069051D">
              <w:rPr>
                <w:rFonts w:hint="eastAsia"/>
                <w:color w:val="000000"/>
                <w:w w:val="24"/>
                <w:shd w:val="solid" w:color="000000" w:fill="000000"/>
                <w:fitText w:val="110" w:id="-893204214"/>
                <w14:textFill>
                  <w14:solidFill>
                    <w14:srgbClr w14:val="000000">
                      <w14:alpha w14:val="100000"/>
                    </w14:srgbClr>
                  </w14:solidFill>
                </w14:textFill>
              </w:rPr>
              <w:t xml:space="preserve">　</w:t>
            </w:r>
            <w:r w:rsidRPr="0069051D">
              <w:rPr>
                <w:color w:val="000000"/>
                <w:w w:val="24"/>
                <w:shd w:val="solid" w:color="000000" w:fill="000000"/>
                <w:fitText w:val="110" w:id="-893204214"/>
                <w14:textFill>
                  <w14:solidFill>
                    <w14:srgbClr w14:val="000000">
                      <w14:alpha w14:val="100000"/>
                    </w14:srgbClr>
                  </w14:solidFill>
                </w14:textFill>
              </w:rPr>
              <w:t>|</w:t>
            </w:r>
            <w:r w:rsidRPr="0069051D">
              <w:rPr>
                <w:rFonts w:hint="eastAsia"/>
                <w:color w:val="000000"/>
                <w:spacing w:val="6"/>
                <w:w w:val="24"/>
                <w:shd w:val="solid" w:color="000000" w:fill="000000"/>
                <w:fitText w:val="110" w:id="-893204214"/>
                <w14:textFill>
                  <w14:solidFill>
                    <w14:srgbClr w14:val="000000">
                      <w14:alpha w14:val="100000"/>
                    </w14:srgbClr>
                  </w14:solidFill>
                </w14:textFill>
              </w:rPr>
              <w:t xml:space="preserve">　</w:t>
            </w:r>
            <w:r w:rsidR="00CB065F">
              <w:rPr>
                <w:vertAlign w:val="superscript"/>
              </w:rPr>
              <w:t xml:space="preserve"> 3</w:t>
            </w:r>
          </w:p>
        </w:tc>
        <w:tc>
          <w:tcPr>
            <w:tcW w:w="571" w:type="pct"/>
          </w:tcPr>
          <w:p w14:paraId="4181AE63" w14:textId="1BC7DB35" w:rsidR="007F52A5" w:rsidRPr="00B162C2" w:rsidRDefault="0069051D" w:rsidP="00BE10F4">
            <w:pPr>
              <w:pStyle w:val="COMTabletext"/>
              <w:jc w:val="center"/>
            </w:pPr>
            <w:r w:rsidRPr="0069051D">
              <w:rPr>
                <w:rFonts w:hint="eastAsia"/>
                <w:color w:val="000000"/>
                <w:w w:val="24"/>
                <w:shd w:val="solid" w:color="000000" w:fill="000000"/>
                <w:fitText w:val="110" w:id="-893204213"/>
                <w14:textFill>
                  <w14:solidFill>
                    <w14:srgbClr w14:val="000000">
                      <w14:alpha w14:val="100000"/>
                    </w14:srgbClr>
                  </w14:solidFill>
                </w14:textFill>
              </w:rPr>
              <w:t xml:space="preserve">　</w:t>
            </w:r>
            <w:r w:rsidRPr="0069051D">
              <w:rPr>
                <w:color w:val="000000"/>
                <w:w w:val="24"/>
                <w:shd w:val="solid" w:color="000000" w:fill="000000"/>
                <w:fitText w:val="110" w:id="-893204213"/>
                <w14:textFill>
                  <w14:solidFill>
                    <w14:srgbClr w14:val="000000">
                      <w14:alpha w14:val="100000"/>
                    </w14:srgbClr>
                  </w14:solidFill>
                </w14:textFill>
              </w:rPr>
              <w:t>|</w:t>
            </w:r>
            <w:r w:rsidRPr="0069051D">
              <w:rPr>
                <w:rFonts w:hint="eastAsia"/>
                <w:color w:val="000000"/>
                <w:spacing w:val="6"/>
                <w:w w:val="24"/>
                <w:shd w:val="solid" w:color="000000" w:fill="000000"/>
                <w:fitText w:val="110" w:id="-893204213"/>
                <w14:textFill>
                  <w14:solidFill>
                    <w14:srgbClr w14:val="000000">
                      <w14:alpha w14:val="100000"/>
                    </w14:srgbClr>
                  </w14:solidFill>
                </w14:textFill>
              </w:rPr>
              <w:t xml:space="preserve">　</w:t>
            </w:r>
            <w:r w:rsidR="00CB065F">
              <w:rPr>
                <w:vertAlign w:val="superscript"/>
              </w:rPr>
              <w:t xml:space="preserve"> 3</w:t>
            </w:r>
          </w:p>
        </w:tc>
      </w:tr>
      <w:tr w:rsidR="007F52A5" w:rsidRPr="00B162C2" w14:paraId="4F91FCB4" w14:textId="77777777" w:rsidTr="00BE10F4">
        <w:tc>
          <w:tcPr>
            <w:tcW w:w="5000" w:type="pct"/>
            <w:gridSpan w:val="7"/>
            <w:vAlign w:val="center"/>
          </w:tcPr>
          <w:p w14:paraId="0CEF335C" w14:textId="77777777" w:rsidR="007F52A5" w:rsidRPr="00B162C2" w:rsidRDefault="007F52A5" w:rsidP="00BE10F4">
            <w:pPr>
              <w:pStyle w:val="COMTableheadingrow"/>
              <w:rPr>
                <w:lang w:val="en-AU"/>
              </w:rPr>
            </w:pPr>
            <w:r w:rsidRPr="00B162C2">
              <w:rPr>
                <w:lang w:val="en-AU"/>
              </w:rPr>
              <w:t>Estimated financial implications of zilucoplan</w:t>
            </w:r>
          </w:p>
        </w:tc>
      </w:tr>
      <w:tr w:rsidR="007F52A5" w:rsidRPr="00B162C2" w14:paraId="3E491B7B" w14:textId="77777777" w:rsidTr="00BE10F4">
        <w:tc>
          <w:tcPr>
            <w:tcW w:w="1569" w:type="pct"/>
            <w:vAlign w:val="center"/>
          </w:tcPr>
          <w:p w14:paraId="2E986CA5" w14:textId="77777777" w:rsidR="007F52A5" w:rsidRPr="00B162C2" w:rsidRDefault="007F52A5" w:rsidP="00BE10F4">
            <w:pPr>
              <w:pStyle w:val="COMTabletext"/>
              <w:rPr>
                <w:sz w:val="19"/>
                <w:szCs w:val="19"/>
              </w:rPr>
            </w:pPr>
            <w:r w:rsidRPr="00B162C2">
              <w:rPr>
                <w:sz w:val="19"/>
                <w:szCs w:val="19"/>
              </w:rPr>
              <w:t>Cost to PBS/RPBS less copayments</w:t>
            </w:r>
          </w:p>
        </w:tc>
        <w:tc>
          <w:tcPr>
            <w:tcW w:w="572" w:type="pct"/>
          </w:tcPr>
          <w:p w14:paraId="288CB4F5" w14:textId="55605A97" w:rsidR="007F52A5" w:rsidRPr="00B162C2" w:rsidRDefault="007F52A5" w:rsidP="00BE10F4">
            <w:pPr>
              <w:pStyle w:val="COMTabletext"/>
              <w:jc w:val="center"/>
            </w:pPr>
            <w:r w:rsidRPr="00B162C2">
              <w:t>$</w:t>
            </w:r>
            <w:r w:rsidR="0069051D" w:rsidRPr="0069051D">
              <w:rPr>
                <w:rFonts w:hint="eastAsia"/>
                <w:color w:val="000000"/>
                <w:w w:val="33"/>
                <w:shd w:val="solid" w:color="000000" w:fill="000000"/>
                <w:fitText w:val="150" w:id="-893204212"/>
                <w14:textFill>
                  <w14:solidFill>
                    <w14:srgbClr w14:val="000000">
                      <w14:alpha w14:val="100000"/>
                    </w14:srgbClr>
                  </w14:solidFill>
                </w14:textFill>
              </w:rPr>
              <w:t xml:space="preserve">　</w:t>
            </w:r>
            <w:r w:rsidR="0069051D" w:rsidRPr="0069051D">
              <w:rPr>
                <w:color w:val="000000"/>
                <w:w w:val="33"/>
                <w:shd w:val="solid" w:color="000000" w:fill="000000"/>
                <w:fitText w:val="150" w:id="-893204212"/>
                <w14:textFill>
                  <w14:solidFill>
                    <w14:srgbClr w14:val="000000">
                      <w14:alpha w14:val="100000"/>
                    </w14:srgbClr>
                  </w14:solidFill>
                </w14:textFill>
              </w:rPr>
              <w:t>|</w:t>
            </w:r>
            <w:r w:rsidR="0069051D" w:rsidRPr="0069051D">
              <w:rPr>
                <w:rFonts w:hint="eastAsia"/>
                <w:color w:val="000000"/>
                <w:spacing w:val="4"/>
                <w:w w:val="33"/>
                <w:shd w:val="solid" w:color="000000" w:fill="000000"/>
                <w:fitText w:val="150" w:id="-893204212"/>
                <w14:textFill>
                  <w14:solidFill>
                    <w14:srgbClr w14:val="000000">
                      <w14:alpha w14:val="100000"/>
                    </w14:srgbClr>
                  </w14:solidFill>
                </w14:textFill>
              </w:rPr>
              <w:t xml:space="preserve">　</w:t>
            </w:r>
            <w:r w:rsidR="00CB065F">
              <w:rPr>
                <w:vertAlign w:val="superscript"/>
              </w:rPr>
              <w:t xml:space="preserve"> 4</w:t>
            </w:r>
          </w:p>
        </w:tc>
        <w:tc>
          <w:tcPr>
            <w:tcW w:w="572" w:type="pct"/>
          </w:tcPr>
          <w:p w14:paraId="3906EBA1" w14:textId="6082DD65" w:rsidR="007F52A5" w:rsidRPr="00B162C2" w:rsidRDefault="007F52A5" w:rsidP="00BE10F4">
            <w:pPr>
              <w:pStyle w:val="COMTabletext"/>
              <w:jc w:val="center"/>
            </w:pPr>
            <w:r w:rsidRPr="00B162C2">
              <w:t>$</w:t>
            </w:r>
            <w:r w:rsidR="0069051D" w:rsidRPr="0069051D">
              <w:rPr>
                <w:rFonts w:hint="eastAsia"/>
                <w:color w:val="000000"/>
                <w:w w:val="33"/>
                <w:shd w:val="solid" w:color="000000" w:fill="000000"/>
                <w:fitText w:val="150" w:id="-893204211"/>
                <w14:textFill>
                  <w14:solidFill>
                    <w14:srgbClr w14:val="000000">
                      <w14:alpha w14:val="100000"/>
                    </w14:srgbClr>
                  </w14:solidFill>
                </w14:textFill>
              </w:rPr>
              <w:t xml:space="preserve">　</w:t>
            </w:r>
            <w:r w:rsidR="0069051D" w:rsidRPr="0069051D">
              <w:rPr>
                <w:color w:val="000000"/>
                <w:w w:val="33"/>
                <w:shd w:val="solid" w:color="000000" w:fill="000000"/>
                <w:fitText w:val="150" w:id="-893204211"/>
                <w14:textFill>
                  <w14:solidFill>
                    <w14:srgbClr w14:val="000000">
                      <w14:alpha w14:val="100000"/>
                    </w14:srgbClr>
                  </w14:solidFill>
                </w14:textFill>
              </w:rPr>
              <w:t>|</w:t>
            </w:r>
            <w:r w:rsidR="0069051D" w:rsidRPr="0069051D">
              <w:rPr>
                <w:rFonts w:hint="eastAsia"/>
                <w:color w:val="000000"/>
                <w:spacing w:val="4"/>
                <w:w w:val="33"/>
                <w:shd w:val="solid" w:color="000000" w:fill="000000"/>
                <w:fitText w:val="150" w:id="-893204211"/>
                <w14:textFill>
                  <w14:solidFill>
                    <w14:srgbClr w14:val="000000">
                      <w14:alpha w14:val="100000"/>
                    </w14:srgbClr>
                  </w14:solidFill>
                </w14:textFill>
              </w:rPr>
              <w:t xml:space="preserve">　</w:t>
            </w:r>
            <w:r w:rsidR="00CB065F">
              <w:rPr>
                <w:vertAlign w:val="superscript"/>
              </w:rPr>
              <w:t xml:space="preserve"> 5</w:t>
            </w:r>
          </w:p>
        </w:tc>
        <w:tc>
          <w:tcPr>
            <w:tcW w:w="572" w:type="pct"/>
          </w:tcPr>
          <w:p w14:paraId="598A440C" w14:textId="42728295" w:rsidR="007F52A5" w:rsidRPr="00B162C2" w:rsidRDefault="007F52A5" w:rsidP="00BE10F4">
            <w:pPr>
              <w:pStyle w:val="COMTabletext"/>
              <w:jc w:val="center"/>
            </w:pPr>
            <w:r w:rsidRPr="00B162C2">
              <w:t>$</w:t>
            </w:r>
            <w:r w:rsidR="0069051D" w:rsidRPr="0069051D">
              <w:rPr>
                <w:rFonts w:hint="eastAsia"/>
                <w:color w:val="000000"/>
                <w:w w:val="33"/>
                <w:shd w:val="solid" w:color="000000" w:fill="000000"/>
                <w:fitText w:val="150" w:id="-893204210"/>
                <w14:textFill>
                  <w14:solidFill>
                    <w14:srgbClr w14:val="000000">
                      <w14:alpha w14:val="100000"/>
                    </w14:srgbClr>
                  </w14:solidFill>
                </w14:textFill>
              </w:rPr>
              <w:t xml:space="preserve">　</w:t>
            </w:r>
            <w:r w:rsidR="0069051D" w:rsidRPr="0069051D">
              <w:rPr>
                <w:color w:val="000000"/>
                <w:w w:val="33"/>
                <w:shd w:val="solid" w:color="000000" w:fill="000000"/>
                <w:fitText w:val="150" w:id="-893204210"/>
                <w14:textFill>
                  <w14:solidFill>
                    <w14:srgbClr w14:val="000000">
                      <w14:alpha w14:val="100000"/>
                    </w14:srgbClr>
                  </w14:solidFill>
                </w14:textFill>
              </w:rPr>
              <w:t>|</w:t>
            </w:r>
            <w:r w:rsidR="0069051D" w:rsidRPr="0069051D">
              <w:rPr>
                <w:rFonts w:hint="eastAsia"/>
                <w:color w:val="000000"/>
                <w:spacing w:val="4"/>
                <w:w w:val="33"/>
                <w:shd w:val="solid" w:color="000000" w:fill="000000"/>
                <w:fitText w:val="150" w:id="-893204210"/>
                <w14:textFill>
                  <w14:solidFill>
                    <w14:srgbClr w14:val="000000">
                      <w14:alpha w14:val="100000"/>
                    </w14:srgbClr>
                  </w14:solidFill>
                </w14:textFill>
              </w:rPr>
              <w:t xml:space="preserve">　</w:t>
            </w:r>
            <w:r w:rsidR="00CB065F">
              <w:rPr>
                <w:vertAlign w:val="superscript"/>
              </w:rPr>
              <w:t xml:space="preserve"> 5</w:t>
            </w:r>
          </w:p>
        </w:tc>
        <w:tc>
          <w:tcPr>
            <w:tcW w:w="572" w:type="pct"/>
          </w:tcPr>
          <w:p w14:paraId="286161EB" w14:textId="1533A423" w:rsidR="007F52A5" w:rsidRPr="00B162C2" w:rsidRDefault="007F52A5" w:rsidP="00BE10F4">
            <w:pPr>
              <w:pStyle w:val="COMTabletext"/>
              <w:jc w:val="center"/>
            </w:pPr>
            <w:r w:rsidRPr="00B162C2">
              <w:t>$</w:t>
            </w:r>
            <w:r w:rsidR="0069051D" w:rsidRPr="0069051D">
              <w:rPr>
                <w:rFonts w:hint="eastAsia"/>
                <w:color w:val="000000"/>
                <w:w w:val="33"/>
                <w:shd w:val="solid" w:color="000000" w:fill="000000"/>
                <w:fitText w:val="150" w:id="-893204209"/>
                <w14:textFill>
                  <w14:solidFill>
                    <w14:srgbClr w14:val="000000">
                      <w14:alpha w14:val="100000"/>
                    </w14:srgbClr>
                  </w14:solidFill>
                </w14:textFill>
              </w:rPr>
              <w:t xml:space="preserve">　</w:t>
            </w:r>
            <w:r w:rsidR="0069051D" w:rsidRPr="0069051D">
              <w:rPr>
                <w:color w:val="000000"/>
                <w:w w:val="33"/>
                <w:shd w:val="solid" w:color="000000" w:fill="000000"/>
                <w:fitText w:val="150" w:id="-893204209"/>
                <w14:textFill>
                  <w14:solidFill>
                    <w14:srgbClr w14:val="000000">
                      <w14:alpha w14:val="100000"/>
                    </w14:srgbClr>
                  </w14:solidFill>
                </w14:textFill>
              </w:rPr>
              <w:t>|</w:t>
            </w:r>
            <w:r w:rsidR="0069051D" w:rsidRPr="0069051D">
              <w:rPr>
                <w:rFonts w:hint="eastAsia"/>
                <w:color w:val="000000"/>
                <w:spacing w:val="4"/>
                <w:w w:val="33"/>
                <w:shd w:val="solid" w:color="000000" w:fill="000000"/>
                <w:fitText w:val="150" w:id="-893204209"/>
                <w14:textFill>
                  <w14:solidFill>
                    <w14:srgbClr w14:val="000000">
                      <w14:alpha w14:val="100000"/>
                    </w14:srgbClr>
                  </w14:solidFill>
                </w14:textFill>
              </w:rPr>
              <w:t xml:space="preserve">　</w:t>
            </w:r>
            <w:r w:rsidR="00CB065F">
              <w:rPr>
                <w:vertAlign w:val="superscript"/>
              </w:rPr>
              <w:t xml:space="preserve"> 5</w:t>
            </w:r>
          </w:p>
        </w:tc>
        <w:tc>
          <w:tcPr>
            <w:tcW w:w="572" w:type="pct"/>
          </w:tcPr>
          <w:p w14:paraId="3AF63AE1" w14:textId="0709543F" w:rsidR="007F52A5" w:rsidRPr="00B162C2" w:rsidRDefault="007F52A5" w:rsidP="00BE10F4">
            <w:pPr>
              <w:pStyle w:val="COMTabletext"/>
              <w:jc w:val="center"/>
            </w:pPr>
            <w:r w:rsidRPr="00B162C2">
              <w:t>$</w:t>
            </w:r>
            <w:r w:rsidR="0069051D" w:rsidRPr="0069051D">
              <w:rPr>
                <w:rFonts w:hint="eastAsia"/>
                <w:color w:val="000000"/>
                <w:w w:val="33"/>
                <w:shd w:val="solid" w:color="000000" w:fill="000000"/>
                <w:fitText w:val="150" w:id="-893204208"/>
                <w14:textFill>
                  <w14:solidFill>
                    <w14:srgbClr w14:val="000000">
                      <w14:alpha w14:val="100000"/>
                    </w14:srgbClr>
                  </w14:solidFill>
                </w14:textFill>
              </w:rPr>
              <w:t xml:space="preserve">　</w:t>
            </w:r>
            <w:r w:rsidR="0069051D" w:rsidRPr="0069051D">
              <w:rPr>
                <w:color w:val="000000"/>
                <w:w w:val="33"/>
                <w:shd w:val="solid" w:color="000000" w:fill="000000"/>
                <w:fitText w:val="150" w:id="-893204208"/>
                <w14:textFill>
                  <w14:solidFill>
                    <w14:srgbClr w14:val="000000">
                      <w14:alpha w14:val="100000"/>
                    </w14:srgbClr>
                  </w14:solidFill>
                </w14:textFill>
              </w:rPr>
              <w:t>|</w:t>
            </w:r>
            <w:r w:rsidR="0069051D" w:rsidRPr="0069051D">
              <w:rPr>
                <w:rFonts w:hint="eastAsia"/>
                <w:color w:val="000000"/>
                <w:spacing w:val="4"/>
                <w:w w:val="33"/>
                <w:shd w:val="solid" w:color="000000" w:fill="000000"/>
                <w:fitText w:val="150" w:id="-893204208"/>
                <w14:textFill>
                  <w14:solidFill>
                    <w14:srgbClr w14:val="000000">
                      <w14:alpha w14:val="100000"/>
                    </w14:srgbClr>
                  </w14:solidFill>
                </w14:textFill>
              </w:rPr>
              <w:t xml:space="preserve">　</w:t>
            </w:r>
            <w:r w:rsidR="00CB065F">
              <w:rPr>
                <w:vertAlign w:val="superscript"/>
              </w:rPr>
              <w:t xml:space="preserve"> 5</w:t>
            </w:r>
          </w:p>
        </w:tc>
        <w:tc>
          <w:tcPr>
            <w:tcW w:w="571" w:type="pct"/>
          </w:tcPr>
          <w:p w14:paraId="133DA0A8" w14:textId="4BB57C59" w:rsidR="007F52A5" w:rsidRPr="00B162C2" w:rsidRDefault="007F52A5" w:rsidP="00BE10F4">
            <w:pPr>
              <w:pStyle w:val="COMTabletext"/>
              <w:jc w:val="center"/>
            </w:pPr>
            <w:r w:rsidRPr="00B162C2">
              <w:t>$</w:t>
            </w:r>
            <w:r w:rsidR="0069051D" w:rsidRPr="0069051D">
              <w:rPr>
                <w:rFonts w:hint="eastAsia"/>
                <w:color w:val="000000"/>
                <w:w w:val="33"/>
                <w:shd w:val="solid" w:color="000000" w:fill="000000"/>
                <w:fitText w:val="150" w:id="-893204224"/>
                <w14:textFill>
                  <w14:solidFill>
                    <w14:srgbClr w14:val="000000">
                      <w14:alpha w14:val="100000"/>
                    </w14:srgbClr>
                  </w14:solidFill>
                </w14:textFill>
              </w:rPr>
              <w:t xml:space="preserve">　</w:t>
            </w:r>
            <w:r w:rsidR="0069051D" w:rsidRPr="0069051D">
              <w:rPr>
                <w:color w:val="000000"/>
                <w:w w:val="33"/>
                <w:shd w:val="solid" w:color="000000" w:fill="000000"/>
                <w:fitText w:val="150" w:id="-893204224"/>
                <w14:textFill>
                  <w14:solidFill>
                    <w14:srgbClr w14:val="000000">
                      <w14:alpha w14:val="100000"/>
                    </w14:srgbClr>
                  </w14:solidFill>
                </w14:textFill>
              </w:rPr>
              <w:t>|</w:t>
            </w:r>
            <w:r w:rsidR="0069051D" w:rsidRPr="0069051D">
              <w:rPr>
                <w:rFonts w:hint="eastAsia"/>
                <w:color w:val="000000"/>
                <w:spacing w:val="4"/>
                <w:w w:val="33"/>
                <w:shd w:val="solid" w:color="000000" w:fill="000000"/>
                <w:fitText w:val="150" w:id="-893204224"/>
                <w14:textFill>
                  <w14:solidFill>
                    <w14:srgbClr w14:val="000000">
                      <w14:alpha w14:val="100000"/>
                    </w14:srgbClr>
                  </w14:solidFill>
                </w14:textFill>
              </w:rPr>
              <w:t xml:space="preserve">　</w:t>
            </w:r>
            <w:r w:rsidR="00CB065F">
              <w:rPr>
                <w:vertAlign w:val="superscript"/>
              </w:rPr>
              <w:t xml:space="preserve"> 5</w:t>
            </w:r>
          </w:p>
        </w:tc>
      </w:tr>
      <w:tr w:rsidR="007F52A5" w:rsidRPr="00B162C2" w14:paraId="2088D596" w14:textId="77777777" w:rsidTr="00BE10F4">
        <w:tc>
          <w:tcPr>
            <w:tcW w:w="5000" w:type="pct"/>
            <w:gridSpan w:val="7"/>
            <w:vAlign w:val="center"/>
          </w:tcPr>
          <w:p w14:paraId="15B01E58" w14:textId="77777777" w:rsidR="007F52A5" w:rsidRPr="00B162C2" w:rsidRDefault="007F52A5" w:rsidP="00BE10F4">
            <w:pPr>
              <w:pStyle w:val="COMTableheadingrow"/>
              <w:rPr>
                <w:lang w:val="en-AU"/>
              </w:rPr>
            </w:pPr>
            <w:r w:rsidRPr="00B162C2">
              <w:rPr>
                <w:lang w:val="en-AU"/>
              </w:rPr>
              <w:t>Net financial implications</w:t>
            </w:r>
          </w:p>
        </w:tc>
      </w:tr>
      <w:tr w:rsidR="007F52A5" w:rsidRPr="00B162C2" w14:paraId="12E788AB" w14:textId="77777777" w:rsidTr="00BE10F4">
        <w:tc>
          <w:tcPr>
            <w:tcW w:w="1569" w:type="pct"/>
            <w:vAlign w:val="center"/>
          </w:tcPr>
          <w:p w14:paraId="3C769723" w14:textId="77777777" w:rsidR="007F52A5" w:rsidRPr="00101EC9" w:rsidRDefault="007F52A5" w:rsidP="00BE10F4">
            <w:pPr>
              <w:pStyle w:val="COMTabletext"/>
              <w:rPr>
                <w:b/>
                <w:bCs w:val="0"/>
                <w:sz w:val="19"/>
                <w:szCs w:val="19"/>
              </w:rPr>
            </w:pPr>
            <w:r w:rsidRPr="00101EC9">
              <w:rPr>
                <w:b/>
                <w:bCs w:val="0"/>
                <w:sz w:val="19"/>
                <w:szCs w:val="19"/>
              </w:rPr>
              <w:t>Net cost to PBS/RPBS</w:t>
            </w:r>
          </w:p>
        </w:tc>
        <w:tc>
          <w:tcPr>
            <w:tcW w:w="572" w:type="pct"/>
          </w:tcPr>
          <w:p w14:paraId="2C90E3AC" w14:textId="075933DF" w:rsidR="007F52A5" w:rsidRPr="00101EC9" w:rsidRDefault="007F52A5" w:rsidP="00BE10F4">
            <w:pPr>
              <w:pStyle w:val="COMTabletext"/>
              <w:jc w:val="center"/>
              <w:rPr>
                <w:b/>
                <w:bCs w:val="0"/>
              </w:rPr>
            </w:pPr>
            <w:r w:rsidRPr="00101EC9">
              <w:rPr>
                <w:b/>
                <w:bCs w:val="0"/>
              </w:rPr>
              <w:t>$</w:t>
            </w:r>
            <w:r w:rsidR="0069051D" w:rsidRPr="0069051D">
              <w:rPr>
                <w:b/>
                <w:bCs w:val="0"/>
                <w:color w:val="000000"/>
                <w:spacing w:val="108"/>
                <w:shd w:val="solid" w:color="000000" w:fill="000000"/>
                <w:fitText w:val="200" w:id="-893204223"/>
                <w14:textFill>
                  <w14:solidFill>
                    <w14:srgbClr w14:val="000000">
                      <w14:alpha w14:val="100000"/>
                    </w14:srgbClr>
                  </w14:solidFill>
                </w14:textFill>
              </w:rPr>
              <w:t>|</w:t>
            </w:r>
            <w:r w:rsidR="0069051D" w:rsidRPr="0069051D">
              <w:rPr>
                <w:b/>
                <w:bCs w:val="0"/>
                <w:color w:val="000000"/>
                <w:spacing w:val="1"/>
                <w:shd w:val="solid" w:color="000000" w:fill="000000"/>
                <w:fitText w:val="200" w:id="-893204223"/>
                <w14:textFill>
                  <w14:solidFill>
                    <w14:srgbClr w14:val="000000">
                      <w14:alpha w14:val="100000"/>
                    </w14:srgbClr>
                  </w14:solidFill>
                </w14:textFill>
              </w:rPr>
              <w:t>|</w:t>
            </w:r>
            <w:r w:rsidR="00CB065F">
              <w:rPr>
                <w:vertAlign w:val="superscript"/>
              </w:rPr>
              <w:t xml:space="preserve"> 4</w:t>
            </w:r>
          </w:p>
        </w:tc>
        <w:tc>
          <w:tcPr>
            <w:tcW w:w="572" w:type="pct"/>
          </w:tcPr>
          <w:p w14:paraId="4D7AFBAD" w14:textId="3E08A034" w:rsidR="007F52A5" w:rsidRPr="00101EC9" w:rsidRDefault="007F52A5" w:rsidP="00BE10F4">
            <w:pPr>
              <w:pStyle w:val="COMTabletext"/>
              <w:jc w:val="center"/>
              <w:rPr>
                <w:b/>
                <w:bCs w:val="0"/>
              </w:rPr>
            </w:pPr>
            <w:r w:rsidRPr="00101EC9">
              <w:rPr>
                <w:b/>
                <w:bCs w:val="0"/>
              </w:rPr>
              <w:t>$</w:t>
            </w:r>
            <w:r w:rsidR="0069051D" w:rsidRPr="0069051D">
              <w:rPr>
                <w:b/>
                <w:bCs w:val="0"/>
                <w:color w:val="000000"/>
                <w:spacing w:val="108"/>
                <w:shd w:val="solid" w:color="000000" w:fill="000000"/>
                <w:fitText w:val="200" w:id="-893204222"/>
                <w14:textFill>
                  <w14:solidFill>
                    <w14:srgbClr w14:val="000000">
                      <w14:alpha w14:val="100000"/>
                    </w14:srgbClr>
                  </w14:solidFill>
                </w14:textFill>
              </w:rPr>
              <w:t>|</w:t>
            </w:r>
            <w:r w:rsidR="0069051D" w:rsidRPr="0069051D">
              <w:rPr>
                <w:b/>
                <w:bCs w:val="0"/>
                <w:color w:val="000000"/>
                <w:spacing w:val="1"/>
                <w:shd w:val="solid" w:color="000000" w:fill="000000"/>
                <w:fitText w:val="200" w:id="-893204222"/>
                <w14:textFill>
                  <w14:solidFill>
                    <w14:srgbClr w14:val="000000">
                      <w14:alpha w14:val="100000"/>
                    </w14:srgbClr>
                  </w14:solidFill>
                </w14:textFill>
              </w:rPr>
              <w:t>|</w:t>
            </w:r>
            <w:r w:rsidR="00CB065F">
              <w:rPr>
                <w:vertAlign w:val="superscript"/>
              </w:rPr>
              <w:t xml:space="preserve"> 5</w:t>
            </w:r>
          </w:p>
        </w:tc>
        <w:tc>
          <w:tcPr>
            <w:tcW w:w="572" w:type="pct"/>
          </w:tcPr>
          <w:p w14:paraId="0215EC8D" w14:textId="3D4E89EC" w:rsidR="007F52A5" w:rsidRPr="00101EC9" w:rsidRDefault="007F52A5" w:rsidP="00BE10F4">
            <w:pPr>
              <w:pStyle w:val="COMTabletext"/>
              <w:jc w:val="center"/>
              <w:rPr>
                <w:b/>
                <w:bCs w:val="0"/>
              </w:rPr>
            </w:pPr>
            <w:r w:rsidRPr="00101EC9">
              <w:rPr>
                <w:b/>
                <w:bCs w:val="0"/>
              </w:rPr>
              <w:t>$</w:t>
            </w:r>
            <w:r w:rsidR="0069051D" w:rsidRPr="0069051D">
              <w:rPr>
                <w:b/>
                <w:bCs w:val="0"/>
                <w:color w:val="000000"/>
                <w:spacing w:val="108"/>
                <w:shd w:val="solid" w:color="000000" w:fill="000000"/>
                <w:fitText w:val="200" w:id="-893204221"/>
                <w14:textFill>
                  <w14:solidFill>
                    <w14:srgbClr w14:val="000000">
                      <w14:alpha w14:val="100000"/>
                    </w14:srgbClr>
                  </w14:solidFill>
                </w14:textFill>
              </w:rPr>
              <w:t>|</w:t>
            </w:r>
            <w:r w:rsidR="0069051D" w:rsidRPr="0069051D">
              <w:rPr>
                <w:b/>
                <w:bCs w:val="0"/>
                <w:color w:val="000000"/>
                <w:spacing w:val="1"/>
                <w:shd w:val="solid" w:color="000000" w:fill="000000"/>
                <w:fitText w:val="200" w:id="-893204221"/>
                <w14:textFill>
                  <w14:solidFill>
                    <w14:srgbClr w14:val="000000">
                      <w14:alpha w14:val="100000"/>
                    </w14:srgbClr>
                  </w14:solidFill>
                </w14:textFill>
              </w:rPr>
              <w:t>|</w:t>
            </w:r>
            <w:r w:rsidR="00CB065F">
              <w:rPr>
                <w:vertAlign w:val="superscript"/>
              </w:rPr>
              <w:t xml:space="preserve"> 5</w:t>
            </w:r>
          </w:p>
        </w:tc>
        <w:tc>
          <w:tcPr>
            <w:tcW w:w="572" w:type="pct"/>
          </w:tcPr>
          <w:p w14:paraId="1E208264" w14:textId="2048DAE1" w:rsidR="007F52A5" w:rsidRPr="00101EC9" w:rsidRDefault="007F52A5" w:rsidP="00BE10F4">
            <w:pPr>
              <w:pStyle w:val="COMTabletext"/>
              <w:jc w:val="center"/>
              <w:rPr>
                <w:b/>
                <w:bCs w:val="0"/>
              </w:rPr>
            </w:pPr>
            <w:r w:rsidRPr="00101EC9">
              <w:rPr>
                <w:b/>
                <w:bCs w:val="0"/>
              </w:rPr>
              <w:t>$</w:t>
            </w:r>
            <w:r w:rsidR="0069051D" w:rsidRPr="0069051D">
              <w:rPr>
                <w:b/>
                <w:bCs w:val="0"/>
                <w:color w:val="000000"/>
                <w:spacing w:val="108"/>
                <w:shd w:val="solid" w:color="000000" w:fill="000000"/>
                <w:fitText w:val="200" w:id="-893204220"/>
                <w14:textFill>
                  <w14:solidFill>
                    <w14:srgbClr w14:val="000000">
                      <w14:alpha w14:val="100000"/>
                    </w14:srgbClr>
                  </w14:solidFill>
                </w14:textFill>
              </w:rPr>
              <w:t>|</w:t>
            </w:r>
            <w:r w:rsidR="0069051D" w:rsidRPr="0069051D">
              <w:rPr>
                <w:b/>
                <w:bCs w:val="0"/>
                <w:color w:val="000000"/>
                <w:spacing w:val="1"/>
                <w:shd w:val="solid" w:color="000000" w:fill="000000"/>
                <w:fitText w:val="200" w:id="-893204220"/>
                <w14:textFill>
                  <w14:solidFill>
                    <w14:srgbClr w14:val="000000">
                      <w14:alpha w14:val="100000"/>
                    </w14:srgbClr>
                  </w14:solidFill>
                </w14:textFill>
              </w:rPr>
              <w:t>|</w:t>
            </w:r>
            <w:r w:rsidR="00CB065F">
              <w:rPr>
                <w:vertAlign w:val="superscript"/>
              </w:rPr>
              <w:t xml:space="preserve"> 5</w:t>
            </w:r>
          </w:p>
        </w:tc>
        <w:tc>
          <w:tcPr>
            <w:tcW w:w="572" w:type="pct"/>
          </w:tcPr>
          <w:p w14:paraId="6036ED67" w14:textId="5C4B538F" w:rsidR="007F52A5" w:rsidRPr="00101EC9" w:rsidRDefault="007F52A5" w:rsidP="00BE10F4">
            <w:pPr>
              <w:pStyle w:val="COMTabletext"/>
              <w:jc w:val="center"/>
              <w:rPr>
                <w:b/>
                <w:bCs w:val="0"/>
              </w:rPr>
            </w:pPr>
            <w:r w:rsidRPr="00101EC9">
              <w:rPr>
                <w:b/>
                <w:bCs w:val="0"/>
              </w:rPr>
              <w:t>$</w:t>
            </w:r>
            <w:r w:rsidR="0069051D" w:rsidRPr="0069051D">
              <w:rPr>
                <w:b/>
                <w:bCs w:val="0"/>
                <w:color w:val="000000"/>
                <w:spacing w:val="108"/>
                <w:shd w:val="solid" w:color="000000" w:fill="000000"/>
                <w:fitText w:val="200" w:id="-893203968"/>
                <w14:textFill>
                  <w14:solidFill>
                    <w14:srgbClr w14:val="000000">
                      <w14:alpha w14:val="100000"/>
                    </w14:srgbClr>
                  </w14:solidFill>
                </w14:textFill>
              </w:rPr>
              <w:t>|</w:t>
            </w:r>
            <w:r w:rsidR="0069051D" w:rsidRPr="0069051D">
              <w:rPr>
                <w:b/>
                <w:bCs w:val="0"/>
                <w:color w:val="000000"/>
                <w:spacing w:val="1"/>
                <w:shd w:val="solid" w:color="000000" w:fill="000000"/>
                <w:fitText w:val="200" w:id="-893203968"/>
                <w14:textFill>
                  <w14:solidFill>
                    <w14:srgbClr w14:val="000000">
                      <w14:alpha w14:val="100000"/>
                    </w14:srgbClr>
                  </w14:solidFill>
                </w14:textFill>
              </w:rPr>
              <w:t>|</w:t>
            </w:r>
            <w:r w:rsidR="00CB065F">
              <w:rPr>
                <w:vertAlign w:val="superscript"/>
              </w:rPr>
              <w:t xml:space="preserve"> 5</w:t>
            </w:r>
          </w:p>
        </w:tc>
        <w:tc>
          <w:tcPr>
            <w:tcW w:w="571" w:type="pct"/>
          </w:tcPr>
          <w:p w14:paraId="363E664E" w14:textId="0AB2696D" w:rsidR="007F52A5" w:rsidRPr="00101EC9" w:rsidRDefault="007F52A5" w:rsidP="00BE10F4">
            <w:pPr>
              <w:pStyle w:val="COMTabletext"/>
              <w:jc w:val="center"/>
              <w:rPr>
                <w:b/>
                <w:bCs w:val="0"/>
              </w:rPr>
            </w:pPr>
            <w:r w:rsidRPr="00101EC9">
              <w:rPr>
                <w:b/>
                <w:bCs w:val="0"/>
              </w:rPr>
              <w:t>$</w:t>
            </w:r>
            <w:r w:rsidR="0069051D" w:rsidRPr="0069051D">
              <w:rPr>
                <w:b/>
                <w:bCs w:val="0"/>
                <w:color w:val="000000"/>
                <w:spacing w:val="98"/>
                <w:shd w:val="solid" w:color="000000" w:fill="000000"/>
                <w:fitText w:val="190" w:id="-893203967"/>
                <w14:textFill>
                  <w14:solidFill>
                    <w14:srgbClr w14:val="000000">
                      <w14:alpha w14:val="100000"/>
                    </w14:srgbClr>
                  </w14:solidFill>
                </w14:textFill>
              </w:rPr>
              <w:t>|</w:t>
            </w:r>
            <w:r w:rsidR="0069051D" w:rsidRPr="0069051D">
              <w:rPr>
                <w:b/>
                <w:bCs w:val="0"/>
                <w:color w:val="000000"/>
                <w:spacing w:val="1"/>
                <w:shd w:val="solid" w:color="000000" w:fill="000000"/>
                <w:fitText w:val="190" w:id="-893203967"/>
                <w14:textFill>
                  <w14:solidFill>
                    <w14:srgbClr w14:val="000000">
                      <w14:alpha w14:val="100000"/>
                    </w14:srgbClr>
                  </w14:solidFill>
                </w14:textFill>
              </w:rPr>
              <w:t>|</w:t>
            </w:r>
            <w:r w:rsidR="00CB065F">
              <w:rPr>
                <w:vertAlign w:val="superscript"/>
              </w:rPr>
              <w:t xml:space="preserve"> 5</w:t>
            </w:r>
          </w:p>
        </w:tc>
      </w:tr>
      <w:tr w:rsidR="007F52A5" w:rsidRPr="00B162C2" w14:paraId="200F9D03" w14:textId="77777777" w:rsidTr="00BE10F4">
        <w:tc>
          <w:tcPr>
            <w:tcW w:w="1569" w:type="pct"/>
            <w:vAlign w:val="center"/>
          </w:tcPr>
          <w:p w14:paraId="5772C2CA" w14:textId="77777777" w:rsidR="007F52A5" w:rsidRPr="00B162C2" w:rsidRDefault="007F52A5" w:rsidP="00BE10F4">
            <w:pPr>
              <w:pStyle w:val="COMTabletext"/>
              <w:rPr>
                <w:rFonts w:ascii="Times" w:hAnsi="Times"/>
              </w:rPr>
            </w:pPr>
            <w:r w:rsidRPr="00B162C2">
              <w:rPr>
                <w:sz w:val="19"/>
                <w:szCs w:val="19"/>
              </w:rPr>
              <w:t>Net cost to NBA</w:t>
            </w:r>
          </w:p>
        </w:tc>
        <w:tc>
          <w:tcPr>
            <w:tcW w:w="572" w:type="pct"/>
            <w:vAlign w:val="center"/>
          </w:tcPr>
          <w:p w14:paraId="68A7A1D6" w14:textId="01B3CB50" w:rsidR="007F52A5" w:rsidRPr="00B162C2" w:rsidRDefault="007F52A5" w:rsidP="00BE10F4">
            <w:pPr>
              <w:pStyle w:val="COMTabletext"/>
              <w:jc w:val="center"/>
            </w:pPr>
            <w:r w:rsidRPr="00B162C2">
              <w:t>-$</w:t>
            </w:r>
            <w:r w:rsidR="0069051D" w:rsidRPr="0069051D">
              <w:rPr>
                <w:color w:val="000000"/>
                <w:spacing w:val="84"/>
                <w:shd w:val="solid" w:color="000000" w:fill="000000"/>
                <w:fitText w:val="170" w:id="-893203966"/>
                <w14:textFill>
                  <w14:solidFill>
                    <w14:srgbClr w14:val="000000">
                      <w14:alpha w14:val="100000"/>
                    </w14:srgbClr>
                  </w14:solidFill>
                </w14:textFill>
              </w:rPr>
              <w:t>|</w:t>
            </w:r>
            <w:r w:rsidR="0069051D" w:rsidRPr="0069051D">
              <w:rPr>
                <w:color w:val="000000"/>
                <w:spacing w:val="1"/>
                <w:shd w:val="solid" w:color="000000" w:fill="000000"/>
                <w:fitText w:val="170" w:id="-893203966"/>
                <w14:textFill>
                  <w14:solidFill>
                    <w14:srgbClr w14:val="000000">
                      <w14:alpha w14:val="100000"/>
                    </w14:srgbClr>
                  </w14:solidFill>
                </w14:textFill>
              </w:rPr>
              <w:t>|</w:t>
            </w:r>
            <w:r w:rsidR="00CB065F">
              <w:rPr>
                <w:vertAlign w:val="superscript"/>
              </w:rPr>
              <w:t xml:space="preserve"> 6</w:t>
            </w:r>
          </w:p>
        </w:tc>
        <w:tc>
          <w:tcPr>
            <w:tcW w:w="572" w:type="pct"/>
            <w:vAlign w:val="center"/>
          </w:tcPr>
          <w:p w14:paraId="01F88283" w14:textId="0E6DDDD0" w:rsidR="007F52A5" w:rsidRPr="00B162C2" w:rsidRDefault="007F52A5" w:rsidP="00BE10F4">
            <w:pPr>
              <w:pStyle w:val="COMTabletext"/>
              <w:jc w:val="center"/>
            </w:pPr>
            <w:r w:rsidRPr="00B162C2">
              <w:t>-$</w:t>
            </w:r>
            <w:r w:rsidR="0069051D" w:rsidRPr="0069051D">
              <w:rPr>
                <w:color w:val="000000"/>
                <w:spacing w:val="84"/>
                <w:shd w:val="solid" w:color="000000" w:fill="000000"/>
                <w:fitText w:val="170" w:id="-893203965"/>
                <w14:textFill>
                  <w14:solidFill>
                    <w14:srgbClr w14:val="000000">
                      <w14:alpha w14:val="100000"/>
                    </w14:srgbClr>
                  </w14:solidFill>
                </w14:textFill>
              </w:rPr>
              <w:t>|</w:t>
            </w:r>
            <w:r w:rsidR="0069051D" w:rsidRPr="0069051D">
              <w:rPr>
                <w:color w:val="000000"/>
                <w:spacing w:val="1"/>
                <w:shd w:val="solid" w:color="000000" w:fill="000000"/>
                <w:fitText w:val="170" w:id="-893203965"/>
                <w14:textFill>
                  <w14:solidFill>
                    <w14:srgbClr w14:val="000000">
                      <w14:alpha w14:val="100000"/>
                    </w14:srgbClr>
                  </w14:solidFill>
                </w14:textFill>
              </w:rPr>
              <w:t>|</w:t>
            </w:r>
            <w:r w:rsidR="00CB065F">
              <w:rPr>
                <w:vertAlign w:val="superscript"/>
              </w:rPr>
              <w:t xml:space="preserve"> 6</w:t>
            </w:r>
          </w:p>
        </w:tc>
        <w:tc>
          <w:tcPr>
            <w:tcW w:w="572" w:type="pct"/>
            <w:vAlign w:val="center"/>
          </w:tcPr>
          <w:p w14:paraId="35B3810E" w14:textId="5C1F7BC0" w:rsidR="007F52A5" w:rsidRPr="00B162C2" w:rsidRDefault="007F52A5" w:rsidP="00BE10F4">
            <w:pPr>
              <w:pStyle w:val="COMTabletext"/>
              <w:jc w:val="center"/>
            </w:pPr>
            <w:r w:rsidRPr="00B162C2">
              <w:t>-$</w:t>
            </w:r>
            <w:r w:rsidR="0069051D" w:rsidRPr="0069051D">
              <w:rPr>
                <w:color w:val="000000"/>
                <w:spacing w:val="94"/>
                <w:shd w:val="solid" w:color="000000" w:fill="000000"/>
                <w:fitText w:val="180" w:id="-893203964"/>
                <w14:textFill>
                  <w14:solidFill>
                    <w14:srgbClr w14:val="000000">
                      <w14:alpha w14:val="100000"/>
                    </w14:srgbClr>
                  </w14:solidFill>
                </w14:textFill>
              </w:rPr>
              <w:t>|</w:t>
            </w:r>
            <w:r w:rsidR="0069051D" w:rsidRPr="0069051D">
              <w:rPr>
                <w:color w:val="000000"/>
                <w:spacing w:val="1"/>
                <w:shd w:val="solid" w:color="000000" w:fill="000000"/>
                <w:fitText w:val="180" w:id="-893203964"/>
                <w14:textFill>
                  <w14:solidFill>
                    <w14:srgbClr w14:val="000000">
                      <w14:alpha w14:val="100000"/>
                    </w14:srgbClr>
                  </w14:solidFill>
                </w14:textFill>
              </w:rPr>
              <w:t>|</w:t>
            </w:r>
            <w:r w:rsidR="00CB065F">
              <w:rPr>
                <w:vertAlign w:val="superscript"/>
              </w:rPr>
              <w:t xml:space="preserve"> 6</w:t>
            </w:r>
          </w:p>
        </w:tc>
        <w:tc>
          <w:tcPr>
            <w:tcW w:w="572" w:type="pct"/>
            <w:vAlign w:val="center"/>
          </w:tcPr>
          <w:p w14:paraId="426AC909" w14:textId="7AF10687" w:rsidR="007F52A5" w:rsidRPr="00B162C2" w:rsidRDefault="007F52A5" w:rsidP="00BE10F4">
            <w:pPr>
              <w:pStyle w:val="COMTabletext"/>
              <w:jc w:val="center"/>
            </w:pPr>
            <w:r w:rsidRPr="00B162C2">
              <w:t>-$</w:t>
            </w:r>
            <w:r w:rsidR="0069051D" w:rsidRPr="0069051D">
              <w:rPr>
                <w:color w:val="000000"/>
                <w:spacing w:val="94"/>
                <w:shd w:val="solid" w:color="000000" w:fill="000000"/>
                <w:fitText w:val="180" w:id="-893203963"/>
                <w14:textFill>
                  <w14:solidFill>
                    <w14:srgbClr w14:val="000000">
                      <w14:alpha w14:val="100000"/>
                    </w14:srgbClr>
                  </w14:solidFill>
                </w14:textFill>
              </w:rPr>
              <w:t>|</w:t>
            </w:r>
            <w:r w:rsidR="0069051D" w:rsidRPr="0069051D">
              <w:rPr>
                <w:color w:val="000000"/>
                <w:spacing w:val="1"/>
                <w:shd w:val="solid" w:color="000000" w:fill="000000"/>
                <w:fitText w:val="180" w:id="-893203963"/>
                <w14:textFill>
                  <w14:solidFill>
                    <w14:srgbClr w14:val="000000">
                      <w14:alpha w14:val="100000"/>
                    </w14:srgbClr>
                  </w14:solidFill>
                </w14:textFill>
              </w:rPr>
              <w:t>|</w:t>
            </w:r>
            <w:r w:rsidR="00CB065F">
              <w:rPr>
                <w:vertAlign w:val="superscript"/>
              </w:rPr>
              <w:t xml:space="preserve"> 6</w:t>
            </w:r>
          </w:p>
        </w:tc>
        <w:tc>
          <w:tcPr>
            <w:tcW w:w="572" w:type="pct"/>
            <w:vAlign w:val="center"/>
          </w:tcPr>
          <w:p w14:paraId="15AF2BAC" w14:textId="1E7090BF" w:rsidR="007F52A5" w:rsidRPr="00B162C2" w:rsidRDefault="007F52A5" w:rsidP="00BE10F4">
            <w:pPr>
              <w:pStyle w:val="COMTabletext"/>
              <w:jc w:val="center"/>
            </w:pPr>
            <w:r w:rsidRPr="00B162C2">
              <w:t>-$</w:t>
            </w:r>
            <w:r w:rsidR="0069051D" w:rsidRPr="0069051D">
              <w:rPr>
                <w:color w:val="000000"/>
                <w:spacing w:val="94"/>
                <w:shd w:val="solid" w:color="000000" w:fill="000000"/>
                <w:fitText w:val="180" w:id="-893203962"/>
                <w14:textFill>
                  <w14:solidFill>
                    <w14:srgbClr w14:val="000000">
                      <w14:alpha w14:val="100000"/>
                    </w14:srgbClr>
                  </w14:solidFill>
                </w14:textFill>
              </w:rPr>
              <w:t>|</w:t>
            </w:r>
            <w:r w:rsidR="0069051D" w:rsidRPr="0069051D">
              <w:rPr>
                <w:color w:val="000000"/>
                <w:spacing w:val="1"/>
                <w:shd w:val="solid" w:color="000000" w:fill="000000"/>
                <w:fitText w:val="180" w:id="-893203962"/>
                <w14:textFill>
                  <w14:solidFill>
                    <w14:srgbClr w14:val="000000">
                      <w14:alpha w14:val="100000"/>
                    </w14:srgbClr>
                  </w14:solidFill>
                </w14:textFill>
              </w:rPr>
              <w:t>|</w:t>
            </w:r>
            <w:r w:rsidR="00CB065F">
              <w:rPr>
                <w:vertAlign w:val="superscript"/>
              </w:rPr>
              <w:t xml:space="preserve"> 6</w:t>
            </w:r>
          </w:p>
        </w:tc>
        <w:tc>
          <w:tcPr>
            <w:tcW w:w="571" w:type="pct"/>
            <w:vAlign w:val="center"/>
          </w:tcPr>
          <w:p w14:paraId="7C2B314F" w14:textId="03BF9E46" w:rsidR="007F52A5" w:rsidRPr="00B162C2" w:rsidRDefault="007F52A5" w:rsidP="00BE10F4">
            <w:pPr>
              <w:pStyle w:val="COMTabletext"/>
              <w:jc w:val="center"/>
            </w:pPr>
            <w:r w:rsidRPr="00B162C2">
              <w:t>-$</w:t>
            </w:r>
            <w:r w:rsidR="0069051D" w:rsidRPr="0069051D">
              <w:rPr>
                <w:color w:val="000000"/>
                <w:spacing w:val="84"/>
                <w:shd w:val="solid" w:color="000000" w:fill="000000"/>
                <w:fitText w:val="170" w:id="-893203961"/>
                <w14:textFill>
                  <w14:solidFill>
                    <w14:srgbClr w14:val="000000">
                      <w14:alpha w14:val="100000"/>
                    </w14:srgbClr>
                  </w14:solidFill>
                </w14:textFill>
              </w:rPr>
              <w:t>|</w:t>
            </w:r>
            <w:r w:rsidR="0069051D" w:rsidRPr="0069051D">
              <w:rPr>
                <w:color w:val="000000"/>
                <w:spacing w:val="1"/>
                <w:shd w:val="solid" w:color="000000" w:fill="000000"/>
                <w:fitText w:val="170" w:id="-893203961"/>
                <w14:textFill>
                  <w14:solidFill>
                    <w14:srgbClr w14:val="000000">
                      <w14:alpha w14:val="100000"/>
                    </w14:srgbClr>
                  </w14:solidFill>
                </w14:textFill>
              </w:rPr>
              <w:t>|</w:t>
            </w:r>
            <w:r w:rsidR="00CB065F">
              <w:rPr>
                <w:vertAlign w:val="superscript"/>
              </w:rPr>
              <w:t xml:space="preserve"> 6</w:t>
            </w:r>
          </w:p>
        </w:tc>
      </w:tr>
      <w:tr w:rsidR="007F52A5" w:rsidRPr="00B162C2" w14:paraId="4827D839" w14:textId="77777777" w:rsidTr="00BE10F4">
        <w:tc>
          <w:tcPr>
            <w:tcW w:w="1569" w:type="pct"/>
            <w:vAlign w:val="center"/>
          </w:tcPr>
          <w:p w14:paraId="12073291" w14:textId="77777777" w:rsidR="007F52A5" w:rsidRPr="00B162C2" w:rsidRDefault="007F52A5" w:rsidP="00BE10F4">
            <w:pPr>
              <w:pStyle w:val="COMTabletext"/>
              <w:rPr>
                <w:sz w:val="19"/>
                <w:szCs w:val="19"/>
              </w:rPr>
            </w:pPr>
            <w:r w:rsidRPr="00B162C2">
              <w:rPr>
                <w:sz w:val="19"/>
                <w:szCs w:val="19"/>
              </w:rPr>
              <w:t>Net cost to MBS</w:t>
            </w:r>
          </w:p>
        </w:tc>
        <w:tc>
          <w:tcPr>
            <w:tcW w:w="572" w:type="pct"/>
            <w:vAlign w:val="center"/>
          </w:tcPr>
          <w:p w14:paraId="392B9A2D" w14:textId="143B60A2" w:rsidR="007F52A5" w:rsidRPr="00B162C2" w:rsidRDefault="007F52A5" w:rsidP="00BE10F4">
            <w:pPr>
              <w:pStyle w:val="COMTabletext"/>
              <w:jc w:val="center"/>
            </w:pPr>
            <w:r w:rsidRPr="00B162C2">
              <w:t>-$</w:t>
            </w:r>
            <w:r w:rsidR="0069051D" w:rsidRPr="0069051D">
              <w:rPr>
                <w:color w:val="000000"/>
                <w:spacing w:val="84"/>
                <w:shd w:val="solid" w:color="000000" w:fill="000000"/>
                <w:fitText w:val="170" w:id="-893203960"/>
                <w14:textFill>
                  <w14:solidFill>
                    <w14:srgbClr w14:val="000000">
                      <w14:alpha w14:val="100000"/>
                    </w14:srgbClr>
                  </w14:solidFill>
                </w14:textFill>
              </w:rPr>
              <w:t>|</w:t>
            </w:r>
            <w:r w:rsidR="0069051D" w:rsidRPr="0069051D">
              <w:rPr>
                <w:color w:val="000000"/>
                <w:spacing w:val="1"/>
                <w:shd w:val="solid" w:color="000000" w:fill="000000"/>
                <w:fitText w:val="170" w:id="-893203960"/>
                <w14:textFill>
                  <w14:solidFill>
                    <w14:srgbClr w14:val="000000">
                      <w14:alpha w14:val="100000"/>
                    </w14:srgbClr>
                  </w14:solidFill>
                </w14:textFill>
              </w:rPr>
              <w:t>|</w:t>
            </w:r>
            <w:r w:rsidR="00CB065F">
              <w:rPr>
                <w:vertAlign w:val="superscript"/>
              </w:rPr>
              <w:t xml:space="preserve"> 6</w:t>
            </w:r>
          </w:p>
        </w:tc>
        <w:tc>
          <w:tcPr>
            <w:tcW w:w="572" w:type="pct"/>
            <w:vAlign w:val="center"/>
          </w:tcPr>
          <w:p w14:paraId="58C67E59" w14:textId="4A7E5047" w:rsidR="007F52A5" w:rsidRPr="00B162C2" w:rsidRDefault="007F52A5" w:rsidP="00BE10F4">
            <w:pPr>
              <w:pStyle w:val="COMTabletext"/>
              <w:jc w:val="center"/>
            </w:pPr>
            <w:r w:rsidRPr="00B162C2">
              <w:t>-$</w:t>
            </w:r>
            <w:r w:rsidR="0069051D" w:rsidRPr="0069051D">
              <w:rPr>
                <w:color w:val="000000"/>
                <w:spacing w:val="84"/>
                <w:shd w:val="solid" w:color="000000" w:fill="000000"/>
                <w:fitText w:val="170" w:id="-893203959"/>
                <w14:textFill>
                  <w14:solidFill>
                    <w14:srgbClr w14:val="000000">
                      <w14:alpha w14:val="100000"/>
                    </w14:srgbClr>
                  </w14:solidFill>
                </w14:textFill>
              </w:rPr>
              <w:t>|</w:t>
            </w:r>
            <w:r w:rsidR="0069051D" w:rsidRPr="0069051D">
              <w:rPr>
                <w:color w:val="000000"/>
                <w:spacing w:val="1"/>
                <w:shd w:val="solid" w:color="000000" w:fill="000000"/>
                <w:fitText w:val="170" w:id="-893203959"/>
                <w14:textFill>
                  <w14:solidFill>
                    <w14:srgbClr w14:val="000000">
                      <w14:alpha w14:val="100000"/>
                    </w14:srgbClr>
                  </w14:solidFill>
                </w14:textFill>
              </w:rPr>
              <w:t>|</w:t>
            </w:r>
            <w:r w:rsidR="00CB065F">
              <w:rPr>
                <w:vertAlign w:val="superscript"/>
              </w:rPr>
              <w:t xml:space="preserve"> 6</w:t>
            </w:r>
          </w:p>
        </w:tc>
        <w:tc>
          <w:tcPr>
            <w:tcW w:w="572" w:type="pct"/>
            <w:vAlign w:val="center"/>
          </w:tcPr>
          <w:p w14:paraId="51E9F98B" w14:textId="0BAA9CCC" w:rsidR="007F52A5" w:rsidRPr="00B162C2" w:rsidRDefault="007F52A5" w:rsidP="00BE10F4">
            <w:pPr>
              <w:pStyle w:val="COMTabletext"/>
              <w:jc w:val="center"/>
            </w:pPr>
            <w:r w:rsidRPr="00B162C2">
              <w:t>-$</w:t>
            </w:r>
            <w:r w:rsidR="0069051D" w:rsidRPr="0069051D">
              <w:rPr>
                <w:color w:val="000000"/>
                <w:spacing w:val="94"/>
                <w:shd w:val="solid" w:color="000000" w:fill="000000"/>
                <w:fitText w:val="180" w:id="-893203958"/>
                <w14:textFill>
                  <w14:solidFill>
                    <w14:srgbClr w14:val="000000">
                      <w14:alpha w14:val="100000"/>
                    </w14:srgbClr>
                  </w14:solidFill>
                </w14:textFill>
              </w:rPr>
              <w:t>|</w:t>
            </w:r>
            <w:r w:rsidR="0069051D" w:rsidRPr="0069051D">
              <w:rPr>
                <w:color w:val="000000"/>
                <w:spacing w:val="1"/>
                <w:shd w:val="solid" w:color="000000" w:fill="000000"/>
                <w:fitText w:val="180" w:id="-893203958"/>
                <w14:textFill>
                  <w14:solidFill>
                    <w14:srgbClr w14:val="000000">
                      <w14:alpha w14:val="100000"/>
                    </w14:srgbClr>
                  </w14:solidFill>
                </w14:textFill>
              </w:rPr>
              <w:t>|</w:t>
            </w:r>
            <w:r w:rsidR="00CB065F">
              <w:rPr>
                <w:vertAlign w:val="superscript"/>
              </w:rPr>
              <w:t xml:space="preserve"> 6</w:t>
            </w:r>
          </w:p>
        </w:tc>
        <w:tc>
          <w:tcPr>
            <w:tcW w:w="572" w:type="pct"/>
            <w:vAlign w:val="center"/>
          </w:tcPr>
          <w:p w14:paraId="181721D7" w14:textId="2ACEE261" w:rsidR="007F52A5" w:rsidRPr="00B162C2" w:rsidRDefault="007F52A5" w:rsidP="00BE10F4">
            <w:pPr>
              <w:pStyle w:val="COMTabletext"/>
              <w:jc w:val="center"/>
            </w:pPr>
            <w:r w:rsidRPr="00B162C2">
              <w:t>-$</w:t>
            </w:r>
            <w:r w:rsidR="0069051D" w:rsidRPr="0069051D">
              <w:rPr>
                <w:color w:val="000000"/>
                <w:spacing w:val="94"/>
                <w:shd w:val="solid" w:color="000000" w:fill="000000"/>
                <w:fitText w:val="180" w:id="-893203957"/>
                <w14:textFill>
                  <w14:solidFill>
                    <w14:srgbClr w14:val="000000">
                      <w14:alpha w14:val="100000"/>
                    </w14:srgbClr>
                  </w14:solidFill>
                </w14:textFill>
              </w:rPr>
              <w:t>|</w:t>
            </w:r>
            <w:r w:rsidR="0069051D" w:rsidRPr="0069051D">
              <w:rPr>
                <w:color w:val="000000"/>
                <w:spacing w:val="1"/>
                <w:shd w:val="solid" w:color="000000" w:fill="000000"/>
                <w:fitText w:val="180" w:id="-893203957"/>
                <w14:textFill>
                  <w14:solidFill>
                    <w14:srgbClr w14:val="000000">
                      <w14:alpha w14:val="100000"/>
                    </w14:srgbClr>
                  </w14:solidFill>
                </w14:textFill>
              </w:rPr>
              <w:t>|</w:t>
            </w:r>
            <w:r w:rsidR="00CB065F">
              <w:rPr>
                <w:vertAlign w:val="superscript"/>
              </w:rPr>
              <w:t xml:space="preserve"> 6</w:t>
            </w:r>
          </w:p>
        </w:tc>
        <w:tc>
          <w:tcPr>
            <w:tcW w:w="572" w:type="pct"/>
            <w:vAlign w:val="center"/>
          </w:tcPr>
          <w:p w14:paraId="4A79EE80" w14:textId="2ADB4D15" w:rsidR="007F52A5" w:rsidRPr="00B162C2" w:rsidRDefault="007F52A5" w:rsidP="00BE10F4">
            <w:pPr>
              <w:pStyle w:val="COMTabletext"/>
              <w:jc w:val="center"/>
            </w:pPr>
            <w:r w:rsidRPr="00B162C2">
              <w:t>-$</w:t>
            </w:r>
            <w:r w:rsidR="0069051D" w:rsidRPr="0069051D">
              <w:rPr>
                <w:color w:val="000000"/>
                <w:spacing w:val="94"/>
                <w:shd w:val="solid" w:color="000000" w:fill="000000"/>
                <w:fitText w:val="180" w:id="-893203956"/>
                <w14:textFill>
                  <w14:solidFill>
                    <w14:srgbClr w14:val="000000">
                      <w14:alpha w14:val="100000"/>
                    </w14:srgbClr>
                  </w14:solidFill>
                </w14:textFill>
              </w:rPr>
              <w:t>|</w:t>
            </w:r>
            <w:r w:rsidR="0069051D" w:rsidRPr="0069051D">
              <w:rPr>
                <w:color w:val="000000"/>
                <w:spacing w:val="1"/>
                <w:shd w:val="solid" w:color="000000" w:fill="000000"/>
                <w:fitText w:val="180" w:id="-893203956"/>
                <w14:textFill>
                  <w14:solidFill>
                    <w14:srgbClr w14:val="000000">
                      <w14:alpha w14:val="100000"/>
                    </w14:srgbClr>
                  </w14:solidFill>
                </w14:textFill>
              </w:rPr>
              <w:t>|</w:t>
            </w:r>
            <w:r w:rsidR="00CB065F">
              <w:rPr>
                <w:vertAlign w:val="superscript"/>
              </w:rPr>
              <w:t xml:space="preserve"> 6</w:t>
            </w:r>
          </w:p>
        </w:tc>
        <w:tc>
          <w:tcPr>
            <w:tcW w:w="571" w:type="pct"/>
            <w:vAlign w:val="center"/>
          </w:tcPr>
          <w:p w14:paraId="42BF8396" w14:textId="391F25CF" w:rsidR="007F52A5" w:rsidRPr="00B162C2" w:rsidRDefault="007F52A5" w:rsidP="00BE10F4">
            <w:pPr>
              <w:pStyle w:val="COMTabletext"/>
              <w:jc w:val="center"/>
            </w:pPr>
            <w:r w:rsidRPr="00B162C2">
              <w:t>-$</w:t>
            </w:r>
            <w:r w:rsidR="0069051D" w:rsidRPr="0069051D">
              <w:rPr>
                <w:color w:val="000000"/>
                <w:spacing w:val="84"/>
                <w:shd w:val="solid" w:color="000000" w:fill="000000"/>
                <w:fitText w:val="170" w:id="-893203955"/>
                <w14:textFill>
                  <w14:solidFill>
                    <w14:srgbClr w14:val="000000">
                      <w14:alpha w14:val="100000"/>
                    </w14:srgbClr>
                  </w14:solidFill>
                </w14:textFill>
              </w:rPr>
              <w:t>|</w:t>
            </w:r>
            <w:r w:rsidR="0069051D" w:rsidRPr="0069051D">
              <w:rPr>
                <w:color w:val="000000"/>
                <w:spacing w:val="1"/>
                <w:shd w:val="solid" w:color="000000" w:fill="000000"/>
                <w:fitText w:val="170" w:id="-893203955"/>
                <w14:textFill>
                  <w14:solidFill>
                    <w14:srgbClr w14:val="000000">
                      <w14:alpha w14:val="100000"/>
                    </w14:srgbClr>
                  </w14:solidFill>
                </w14:textFill>
              </w:rPr>
              <w:t>|</w:t>
            </w:r>
            <w:r w:rsidR="00CB065F">
              <w:rPr>
                <w:vertAlign w:val="superscript"/>
              </w:rPr>
              <w:t xml:space="preserve"> 6</w:t>
            </w:r>
          </w:p>
        </w:tc>
      </w:tr>
      <w:tr w:rsidR="007F52A5" w:rsidRPr="00B162C2" w14:paraId="54B9966F" w14:textId="77777777" w:rsidTr="00BE10F4">
        <w:trPr>
          <w:trHeight w:val="103"/>
        </w:trPr>
        <w:tc>
          <w:tcPr>
            <w:tcW w:w="1569" w:type="pct"/>
            <w:vAlign w:val="center"/>
          </w:tcPr>
          <w:p w14:paraId="3B9EEE88" w14:textId="77777777" w:rsidR="007F52A5" w:rsidRPr="00B162C2" w:rsidRDefault="007F52A5" w:rsidP="00BE10F4">
            <w:pPr>
              <w:pStyle w:val="COMTabletext"/>
              <w:rPr>
                <w:b/>
                <w:bCs w:val="0"/>
                <w:sz w:val="19"/>
                <w:szCs w:val="19"/>
              </w:rPr>
            </w:pPr>
            <w:r w:rsidRPr="00B162C2">
              <w:rPr>
                <w:b/>
                <w:bCs w:val="0"/>
                <w:sz w:val="19"/>
                <w:szCs w:val="19"/>
              </w:rPr>
              <w:t>Net cost to PBS/RPBS/NBA/MBS</w:t>
            </w:r>
          </w:p>
        </w:tc>
        <w:tc>
          <w:tcPr>
            <w:tcW w:w="572" w:type="pct"/>
          </w:tcPr>
          <w:p w14:paraId="5B31997E" w14:textId="52394615" w:rsidR="007F52A5" w:rsidRPr="00B162C2" w:rsidRDefault="007F52A5" w:rsidP="00BE10F4">
            <w:pPr>
              <w:pStyle w:val="COMTabletext"/>
              <w:jc w:val="center"/>
              <w:rPr>
                <w:b/>
                <w:bCs w:val="0"/>
              </w:rPr>
            </w:pPr>
            <w:r w:rsidRPr="00B162C2">
              <w:rPr>
                <w:b/>
                <w:bCs w:val="0"/>
              </w:rPr>
              <w:t>$</w:t>
            </w:r>
            <w:r w:rsidR="0069051D" w:rsidRPr="0069051D">
              <w:rPr>
                <w:b/>
                <w:bCs w:val="0"/>
                <w:color w:val="000000"/>
                <w:spacing w:val="108"/>
                <w:shd w:val="solid" w:color="000000" w:fill="000000"/>
                <w:fitText w:val="200" w:id="-893203954"/>
                <w14:textFill>
                  <w14:solidFill>
                    <w14:srgbClr w14:val="000000">
                      <w14:alpha w14:val="100000"/>
                    </w14:srgbClr>
                  </w14:solidFill>
                </w14:textFill>
              </w:rPr>
              <w:t>|</w:t>
            </w:r>
            <w:r w:rsidR="0069051D" w:rsidRPr="0069051D">
              <w:rPr>
                <w:b/>
                <w:bCs w:val="0"/>
                <w:color w:val="000000"/>
                <w:spacing w:val="1"/>
                <w:shd w:val="solid" w:color="000000" w:fill="000000"/>
                <w:fitText w:val="200" w:id="-893203954"/>
                <w14:textFill>
                  <w14:solidFill>
                    <w14:srgbClr w14:val="000000">
                      <w14:alpha w14:val="100000"/>
                    </w14:srgbClr>
                  </w14:solidFill>
                </w14:textFill>
              </w:rPr>
              <w:t>|</w:t>
            </w:r>
            <w:r w:rsidR="00CB065F">
              <w:rPr>
                <w:vertAlign w:val="superscript"/>
              </w:rPr>
              <w:t xml:space="preserve"> 7</w:t>
            </w:r>
          </w:p>
        </w:tc>
        <w:tc>
          <w:tcPr>
            <w:tcW w:w="572" w:type="pct"/>
          </w:tcPr>
          <w:p w14:paraId="18DA588F" w14:textId="495C6360" w:rsidR="007F52A5" w:rsidRPr="00B162C2" w:rsidRDefault="007F52A5" w:rsidP="00BE10F4">
            <w:pPr>
              <w:pStyle w:val="COMTabletext"/>
              <w:jc w:val="center"/>
              <w:rPr>
                <w:b/>
                <w:bCs w:val="0"/>
              </w:rPr>
            </w:pPr>
            <w:r w:rsidRPr="00B162C2">
              <w:rPr>
                <w:b/>
                <w:bCs w:val="0"/>
              </w:rPr>
              <w:t>$</w:t>
            </w:r>
            <w:r w:rsidR="0069051D" w:rsidRPr="0069051D">
              <w:rPr>
                <w:b/>
                <w:bCs w:val="0"/>
                <w:color w:val="000000"/>
                <w:spacing w:val="108"/>
                <w:shd w:val="solid" w:color="000000" w:fill="000000"/>
                <w:fitText w:val="200" w:id="-893203953"/>
                <w14:textFill>
                  <w14:solidFill>
                    <w14:srgbClr w14:val="000000">
                      <w14:alpha w14:val="100000"/>
                    </w14:srgbClr>
                  </w14:solidFill>
                </w14:textFill>
              </w:rPr>
              <w:t>|</w:t>
            </w:r>
            <w:r w:rsidR="0069051D" w:rsidRPr="0069051D">
              <w:rPr>
                <w:b/>
                <w:bCs w:val="0"/>
                <w:color w:val="000000"/>
                <w:spacing w:val="1"/>
                <w:shd w:val="solid" w:color="000000" w:fill="000000"/>
                <w:fitText w:val="200" w:id="-893203953"/>
                <w14:textFill>
                  <w14:solidFill>
                    <w14:srgbClr w14:val="000000">
                      <w14:alpha w14:val="100000"/>
                    </w14:srgbClr>
                  </w14:solidFill>
                </w14:textFill>
              </w:rPr>
              <w:t>|</w:t>
            </w:r>
            <w:r w:rsidR="00CB065F">
              <w:rPr>
                <w:vertAlign w:val="superscript"/>
              </w:rPr>
              <w:t xml:space="preserve"> 8</w:t>
            </w:r>
          </w:p>
        </w:tc>
        <w:tc>
          <w:tcPr>
            <w:tcW w:w="572" w:type="pct"/>
          </w:tcPr>
          <w:p w14:paraId="0B841B01" w14:textId="53B4CA65" w:rsidR="007F52A5" w:rsidRPr="00B162C2" w:rsidRDefault="007F52A5" w:rsidP="00BE10F4">
            <w:pPr>
              <w:pStyle w:val="COMTabletext"/>
              <w:jc w:val="center"/>
              <w:rPr>
                <w:b/>
                <w:bCs w:val="0"/>
              </w:rPr>
            </w:pPr>
            <w:r w:rsidRPr="00B162C2">
              <w:rPr>
                <w:b/>
                <w:bCs w:val="0"/>
              </w:rPr>
              <w:t>$</w:t>
            </w:r>
            <w:r w:rsidR="0069051D" w:rsidRPr="0069051D">
              <w:rPr>
                <w:b/>
                <w:bCs w:val="0"/>
                <w:color w:val="000000"/>
                <w:spacing w:val="108"/>
                <w:shd w:val="solid" w:color="000000" w:fill="000000"/>
                <w:fitText w:val="200" w:id="-893203952"/>
                <w14:textFill>
                  <w14:solidFill>
                    <w14:srgbClr w14:val="000000">
                      <w14:alpha w14:val="100000"/>
                    </w14:srgbClr>
                  </w14:solidFill>
                </w14:textFill>
              </w:rPr>
              <w:t>|</w:t>
            </w:r>
            <w:r w:rsidR="0069051D" w:rsidRPr="0069051D">
              <w:rPr>
                <w:b/>
                <w:bCs w:val="0"/>
                <w:color w:val="000000"/>
                <w:spacing w:val="1"/>
                <w:shd w:val="solid" w:color="000000" w:fill="000000"/>
                <w:fitText w:val="200" w:id="-893203952"/>
                <w14:textFill>
                  <w14:solidFill>
                    <w14:srgbClr w14:val="000000">
                      <w14:alpha w14:val="100000"/>
                    </w14:srgbClr>
                  </w14:solidFill>
                </w14:textFill>
              </w:rPr>
              <w:t>|</w:t>
            </w:r>
            <w:r w:rsidR="00CB065F">
              <w:rPr>
                <w:vertAlign w:val="superscript"/>
              </w:rPr>
              <w:t xml:space="preserve"> 8</w:t>
            </w:r>
          </w:p>
        </w:tc>
        <w:tc>
          <w:tcPr>
            <w:tcW w:w="572" w:type="pct"/>
          </w:tcPr>
          <w:p w14:paraId="660C998D" w14:textId="6151C18B" w:rsidR="007F52A5" w:rsidRPr="00B162C2" w:rsidRDefault="007F52A5" w:rsidP="00BE10F4">
            <w:pPr>
              <w:pStyle w:val="COMTabletext"/>
              <w:jc w:val="center"/>
              <w:rPr>
                <w:b/>
                <w:bCs w:val="0"/>
              </w:rPr>
            </w:pPr>
            <w:r w:rsidRPr="00B162C2">
              <w:rPr>
                <w:b/>
                <w:bCs w:val="0"/>
              </w:rPr>
              <w:t>$</w:t>
            </w:r>
            <w:r w:rsidR="0069051D" w:rsidRPr="0069051D">
              <w:rPr>
                <w:b/>
                <w:bCs w:val="0"/>
                <w:color w:val="000000"/>
                <w:spacing w:val="108"/>
                <w:shd w:val="solid" w:color="000000" w:fill="000000"/>
                <w:fitText w:val="200" w:id="-893203968"/>
                <w14:textFill>
                  <w14:solidFill>
                    <w14:srgbClr w14:val="000000">
                      <w14:alpha w14:val="100000"/>
                    </w14:srgbClr>
                  </w14:solidFill>
                </w14:textFill>
              </w:rPr>
              <w:t>|</w:t>
            </w:r>
            <w:r w:rsidR="0069051D" w:rsidRPr="0069051D">
              <w:rPr>
                <w:b/>
                <w:bCs w:val="0"/>
                <w:color w:val="000000"/>
                <w:spacing w:val="1"/>
                <w:shd w:val="solid" w:color="000000" w:fill="000000"/>
                <w:fitText w:val="200" w:id="-893203968"/>
                <w14:textFill>
                  <w14:solidFill>
                    <w14:srgbClr w14:val="000000">
                      <w14:alpha w14:val="100000"/>
                    </w14:srgbClr>
                  </w14:solidFill>
                </w14:textFill>
              </w:rPr>
              <w:t>|</w:t>
            </w:r>
            <w:r w:rsidR="00CB065F">
              <w:rPr>
                <w:vertAlign w:val="superscript"/>
              </w:rPr>
              <w:t xml:space="preserve"> 8</w:t>
            </w:r>
          </w:p>
        </w:tc>
        <w:tc>
          <w:tcPr>
            <w:tcW w:w="572" w:type="pct"/>
          </w:tcPr>
          <w:p w14:paraId="0C6BAC2A" w14:textId="42D58481" w:rsidR="007F52A5" w:rsidRPr="00B162C2" w:rsidRDefault="007F52A5" w:rsidP="00BE10F4">
            <w:pPr>
              <w:pStyle w:val="COMTabletext"/>
              <w:jc w:val="center"/>
              <w:rPr>
                <w:b/>
                <w:bCs w:val="0"/>
              </w:rPr>
            </w:pPr>
            <w:r w:rsidRPr="00B162C2">
              <w:rPr>
                <w:b/>
                <w:bCs w:val="0"/>
              </w:rPr>
              <w:t>$</w:t>
            </w:r>
            <w:r w:rsidR="0069051D" w:rsidRPr="0069051D">
              <w:rPr>
                <w:b/>
                <w:bCs w:val="0"/>
                <w:color w:val="000000"/>
                <w:spacing w:val="108"/>
                <w:shd w:val="solid" w:color="000000" w:fill="000000"/>
                <w:fitText w:val="200" w:id="-893203967"/>
                <w14:textFill>
                  <w14:solidFill>
                    <w14:srgbClr w14:val="000000">
                      <w14:alpha w14:val="100000"/>
                    </w14:srgbClr>
                  </w14:solidFill>
                </w14:textFill>
              </w:rPr>
              <w:t>|</w:t>
            </w:r>
            <w:r w:rsidR="0069051D" w:rsidRPr="0069051D">
              <w:rPr>
                <w:b/>
                <w:bCs w:val="0"/>
                <w:color w:val="000000"/>
                <w:spacing w:val="1"/>
                <w:shd w:val="solid" w:color="000000" w:fill="000000"/>
                <w:fitText w:val="200" w:id="-893203967"/>
                <w14:textFill>
                  <w14:solidFill>
                    <w14:srgbClr w14:val="000000">
                      <w14:alpha w14:val="100000"/>
                    </w14:srgbClr>
                  </w14:solidFill>
                </w14:textFill>
              </w:rPr>
              <w:t>|</w:t>
            </w:r>
            <w:r w:rsidR="00CB065F">
              <w:rPr>
                <w:vertAlign w:val="superscript"/>
              </w:rPr>
              <w:t xml:space="preserve"> 8</w:t>
            </w:r>
          </w:p>
        </w:tc>
        <w:tc>
          <w:tcPr>
            <w:tcW w:w="571" w:type="pct"/>
          </w:tcPr>
          <w:p w14:paraId="19B876FD" w14:textId="3885F16B" w:rsidR="007F52A5" w:rsidRPr="00B162C2" w:rsidRDefault="007F52A5" w:rsidP="00BE10F4">
            <w:pPr>
              <w:pStyle w:val="COMTabletext"/>
              <w:jc w:val="center"/>
              <w:rPr>
                <w:b/>
                <w:bCs w:val="0"/>
              </w:rPr>
            </w:pPr>
            <w:r w:rsidRPr="00B162C2">
              <w:rPr>
                <w:b/>
                <w:bCs w:val="0"/>
              </w:rPr>
              <w:t>$</w:t>
            </w:r>
            <w:r w:rsidR="0069051D" w:rsidRPr="00454549">
              <w:rPr>
                <w:b/>
                <w:bCs w:val="0"/>
                <w:color w:val="000000"/>
                <w:spacing w:val="98"/>
                <w:shd w:val="solid" w:color="000000" w:fill="000000"/>
                <w:fitText w:val="190" w:id="-893203966"/>
                <w14:textFill>
                  <w14:solidFill>
                    <w14:srgbClr w14:val="000000">
                      <w14:alpha w14:val="100000"/>
                    </w14:srgbClr>
                  </w14:solidFill>
                </w14:textFill>
              </w:rPr>
              <w:t>|</w:t>
            </w:r>
            <w:r w:rsidR="0069051D" w:rsidRPr="00454549">
              <w:rPr>
                <w:b/>
                <w:bCs w:val="0"/>
                <w:color w:val="000000"/>
                <w:spacing w:val="1"/>
                <w:shd w:val="solid" w:color="000000" w:fill="000000"/>
                <w:fitText w:val="190" w:id="-893203966"/>
                <w14:textFill>
                  <w14:solidFill>
                    <w14:srgbClr w14:val="000000">
                      <w14:alpha w14:val="100000"/>
                    </w14:srgbClr>
                  </w14:solidFill>
                </w14:textFill>
              </w:rPr>
              <w:t>|</w:t>
            </w:r>
            <w:r w:rsidR="00CB065F">
              <w:rPr>
                <w:vertAlign w:val="superscript"/>
              </w:rPr>
              <w:t xml:space="preserve"> 8</w:t>
            </w:r>
          </w:p>
        </w:tc>
      </w:tr>
    </w:tbl>
    <w:p w14:paraId="6ECD07F3" w14:textId="77777777" w:rsidR="007F52A5" w:rsidRPr="00B162C2" w:rsidRDefault="007F52A5" w:rsidP="007F52A5">
      <w:pPr>
        <w:pStyle w:val="TableFigureFooter"/>
        <w:keepNext/>
      </w:pPr>
      <w:r w:rsidRPr="00B162C2">
        <w:t>Source: Table 4.2-2, p191; Table 4.2-8, p194; Table 4.504, pp197 of the submission; Section 4 utilisation and financial impacts Excel workbook</w:t>
      </w:r>
    </w:p>
    <w:p w14:paraId="4AB6D722" w14:textId="77777777" w:rsidR="007F52A5" w:rsidRDefault="007F52A5" w:rsidP="007F52A5">
      <w:pPr>
        <w:pStyle w:val="TableFigureFooter"/>
        <w:keepNext/>
      </w:pPr>
      <w:r w:rsidRPr="00B162C2">
        <w:t>Abbreviations: MBS, Medicare Benefits Schedule; NBA, National Blood Authority; PBS, Pharmaceutical Benefits Scheme; RPBS, Repatriation Pharmaceutical Benefits Scheme</w:t>
      </w:r>
    </w:p>
    <w:p w14:paraId="636815E1" w14:textId="77777777" w:rsidR="007F52A5" w:rsidRDefault="007F52A5" w:rsidP="007F52A5">
      <w:pPr>
        <w:pStyle w:val="TableFigureFooter"/>
        <w:keepNext/>
      </w:pPr>
      <w:r>
        <w:rPr>
          <w:vertAlign w:val="superscript"/>
        </w:rPr>
        <w:t xml:space="preserve">a </w:t>
      </w:r>
      <w:r w:rsidRPr="00101EC9">
        <w:t>Uptake</w:t>
      </w:r>
      <w:r>
        <w:t xml:space="preserve"> in the prevalent population after accounting for patients who</w:t>
      </w:r>
      <w:r w:rsidRPr="00101EC9">
        <w:t xml:space="preserve"> have initiated zilucoplan in prior years</w:t>
      </w:r>
    </w:p>
    <w:p w14:paraId="2B1C5379" w14:textId="1E19850D" w:rsidR="007F52A5" w:rsidRDefault="007F52A5" w:rsidP="00D50857">
      <w:pPr>
        <w:pStyle w:val="TableFigureFooter"/>
        <w:keepNext/>
        <w:spacing w:after="0"/>
      </w:pPr>
      <w:r w:rsidRPr="00F24261">
        <w:t xml:space="preserve">The submission stated that </w:t>
      </w:r>
      <w:r w:rsidRPr="0050728A">
        <w:t>15</w:t>
      </w:r>
      <w:r w:rsidR="0050728A">
        <w:rPr>
          <w:vertAlign w:val="superscript"/>
        </w:rPr>
        <w:t>2</w:t>
      </w:r>
      <w:r w:rsidRPr="00F24261">
        <w:t xml:space="preserve"> patients receiving zilucoplan under </w:t>
      </w:r>
      <w:r>
        <w:t>the sponsor’s</w:t>
      </w:r>
      <w:r w:rsidRPr="00F24261">
        <w:t xml:space="preserve"> managed access program would require grandfathered treatment. These patients were assumed to be included in the prevalence estimates.</w:t>
      </w:r>
    </w:p>
    <w:p w14:paraId="2AB877DE" w14:textId="77777777" w:rsidR="00D50857" w:rsidRPr="009A6D58" w:rsidRDefault="00D50857" w:rsidP="00D50857">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1DB584B" w14:textId="6EBC256A" w:rsidR="00D50857" w:rsidRPr="009A6D58" w:rsidRDefault="00D50857" w:rsidP="00D50857">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053BA2" w:rsidRPr="00053BA2">
        <w:rPr>
          <w:rFonts w:ascii="Arial Narrow" w:hAnsi="Arial Narrow"/>
          <w:i/>
          <w:sz w:val="18"/>
          <w:szCs w:val="18"/>
        </w:rPr>
        <w:t>500 to &lt; 5,000</w:t>
      </w:r>
    </w:p>
    <w:p w14:paraId="56D6E426" w14:textId="2BB118D1" w:rsidR="00D50857" w:rsidRPr="009A6D58" w:rsidRDefault="00D50857" w:rsidP="00D50857">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B65405" w:rsidRPr="00B65405">
        <w:rPr>
          <w:rFonts w:ascii="Arial Narrow" w:hAnsi="Arial Narrow"/>
          <w:i/>
          <w:sz w:val="18"/>
          <w:szCs w:val="18"/>
        </w:rPr>
        <w:t>&lt; 500</w:t>
      </w:r>
    </w:p>
    <w:p w14:paraId="0CFB7AC6" w14:textId="4603AEAE" w:rsidR="00D50857" w:rsidRDefault="00D50857" w:rsidP="00D50857">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3960A0" w:rsidRPr="003960A0">
        <w:rPr>
          <w:rFonts w:ascii="Arial Narrow" w:hAnsi="Arial Narrow"/>
          <w:i/>
          <w:sz w:val="18"/>
          <w:szCs w:val="18"/>
        </w:rPr>
        <w:t>5,000 to &lt; 10,000</w:t>
      </w:r>
    </w:p>
    <w:p w14:paraId="26A1B6CD" w14:textId="3F4B072D" w:rsidR="00D50857" w:rsidRDefault="00D50857" w:rsidP="00D50857">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725182" w:rsidRPr="00725182">
        <w:rPr>
          <w:rFonts w:ascii="Arial Narrow" w:hAnsi="Arial Narrow"/>
          <w:i/>
          <w:sz w:val="18"/>
          <w:szCs w:val="18"/>
        </w:rPr>
        <w:t>$60 million to &lt; $70 million</w:t>
      </w:r>
    </w:p>
    <w:p w14:paraId="24EEAB25" w14:textId="46456A77" w:rsidR="00D50857" w:rsidRDefault="00D50857" w:rsidP="00D50857">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89506B" w:rsidRPr="0089506B">
        <w:rPr>
          <w:rFonts w:ascii="Arial Narrow" w:hAnsi="Arial Narrow"/>
          <w:i/>
          <w:sz w:val="18"/>
          <w:szCs w:val="18"/>
        </w:rPr>
        <w:t>$70 million to &lt; $80 million</w:t>
      </w:r>
    </w:p>
    <w:p w14:paraId="732867A8" w14:textId="4130472F" w:rsidR="00D50857" w:rsidRDefault="00D50857" w:rsidP="00D50857">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C26BE5" w:rsidRPr="00C26BE5">
        <w:rPr>
          <w:rFonts w:ascii="Arial Narrow" w:hAnsi="Arial Narrow"/>
          <w:i/>
          <w:sz w:val="18"/>
          <w:szCs w:val="18"/>
        </w:rPr>
        <w:t>net cost saving</w:t>
      </w:r>
    </w:p>
    <w:p w14:paraId="701D813A" w14:textId="4D0BD985" w:rsidR="00D50857" w:rsidRPr="009A6D58" w:rsidRDefault="00D50857" w:rsidP="00D50857">
      <w:pPr>
        <w:keepNext/>
        <w:keepLines/>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1B3E26" w:rsidRPr="001B3E26">
        <w:rPr>
          <w:rFonts w:ascii="Arial Narrow" w:hAnsi="Arial Narrow"/>
          <w:i/>
          <w:sz w:val="18"/>
          <w:szCs w:val="18"/>
        </w:rPr>
        <w:t>$30 million to &lt; $40 million</w:t>
      </w:r>
    </w:p>
    <w:p w14:paraId="2F756F3F" w14:textId="3FE3F21C" w:rsidR="00D50857" w:rsidRPr="00D50857" w:rsidRDefault="00D50857" w:rsidP="00D50857">
      <w:pPr>
        <w:spacing w:after="120"/>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CD6059" w:rsidRPr="00CD6059">
        <w:rPr>
          <w:rFonts w:ascii="Arial Narrow" w:hAnsi="Arial Narrow"/>
          <w:i/>
          <w:sz w:val="18"/>
          <w:szCs w:val="18"/>
        </w:rPr>
        <w:t>$40 million to &lt; $50 million</w:t>
      </w:r>
    </w:p>
    <w:p w14:paraId="78BB10A9" w14:textId="7F0E45A1" w:rsidR="007F52A5" w:rsidRPr="00724E7E" w:rsidRDefault="007F52A5" w:rsidP="00624E9F">
      <w:pPr>
        <w:pStyle w:val="3-BodyText"/>
        <w:rPr>
          <w:rFonts w:cstheme="minorHAnsi"/>
          <w:szCs w:val="24"/>
        </w:rPr>
      </w:pPr>
      <w:r w:rsidRPr="00724E7E">
        <w:rPr>
          <w:rFonts w:cstheme="minorHAnsi"/>
          <w:szCs w:val="24"/>
        </w:rPr>
        <w:t xml:space="preserve">The estimated net cost to the PBS/RPBS was </w:t>
      </w:r>
      <w:r w:rsidR="006B20FF" w:rsidRPr="00724E7E">
        <w:rPr>
          <w:rFonts w:cstheme="minorHAnsi"/>
          <w:szCs w:val="24"/>
        </w:rPr>
        <w:t>$60 million to &lt; $70 million</w:t>
      </w:r>
      <w:r w:rsidR="006B20FF" w:rsidRPr="00724E7E" w:rsidDel="006B20FF">
        <w:rPr>
          <w:rFonts w:cstheme="minorHAnsi"/>
          <w:szCs w:val="24"/>
        </w:rPr>
        <w:t xml:space="preserve"> </w:t>
      </w:r>
      <w:r w:rsidRPr="00724E7E">
        <w:rPr>
          <w:rFonts w:cstheme="minorHAnsi"/>
          <w:szCs w:val="24"/>
        </w:rPr>
        <w:t xml:space="preserve">in Year 1, increasing to </w:t>
      </w:r>
      <w:r w:rsidR="00694203" w:rsidRPr="00724E7E">
        <w:rPr>
          <w:rFonts w:cstheme="minorHAnsi"/>
          <w:szCs w:val="24"/>
        </w:rPr>
        <w:t>$70 million to &lt; $80 million</w:t>
      </w:r>
      <w:r w:rsidRPr="00724E7E">
        <w:rPr>
          <w:rFonts w:cstheme="minorHAnsi"/>
          <w:szCs w:val="24"/>
        </w:rPr>
        <w:t xml:space="preserve"> in Year 6, and totalling </w:t>
      </w:r>
      <w:r w:rsidR="00C40910" w:rsidRPr="00724E7E">
        <w:rPr>
          <w:rFonts w:cstheme="minorHAnsi"/>
          <w:szCs w:val="24"/>
        </w:rPr>
        <w:t>$400 million to &lt; $500 million</w:t>
      </w:r>
      <w:r w:rsidRPr="00724E7E">
        <w:rPr>
          <w:rFonts w:cstheme="minorHAnsi"/>
          <w:szCs w:val="24"/>
        </w:rPr>
        <w:t xml:space="preserve"> over the first six years of listing. The estimated net saving to the National Blood Authority due to reduced IVIg and PLEX use was </w:t>
      </w:r>
      <w:r w:rsidR="009D133C" w:rsidRPr="00724E7E">
        <w:rPr>
          <w:rFonts w:eastAsia="Times New Roman" w:cstheme="minorHAnsi"/>
          <w:color w:val="333333"/>
          <w:szCs w:val="24"/>
        </w:rPr>
        <w:t>net cost saving</w:t>
      </w:r>
      <w:r w:rsidR="009D133C" w:rsidRPr="00724E7E" w:rsidDel="009D133C">
        <w:rPr>
          <w:rFonts w:cstheme="minorHAnsi"/>
          <w:szCs w:val="24"/>
        </w:rPr>
        <w:t xml:space="preserve"> </w:t>
      </w:r>
      <w:r w:rsidRPr="00724E7E">
        <w:rPr>
          <w:rFonts w:cstheme="minorHAnsi"/>
          <w:szCs w:val="24"/>
        </w:rPr>
        <w:t xml:space="preserve">in Year 1, decreasing to </w:t>
      </w:r>
      <w:r w:rsidR="009D133C" w:rsidRPr="00724E7E">
        <w:rPr>
          <w:rFonts w:eastAsia="Times New Roman" w:cstheme="minorHAnsi"/>
          <w:color w:val="333333"/>
          <w:szCs w:val="24"/>
        </w:rPr>
        <w:t>net cost saving</w:t>
      </w:r>
      <w:r w:rsidR="009D133C" w:rsidRPr="00724E7E" w:rsidDel="009D133C">
        <w:rPr>
          <w:rFonts w:cstheme="minorHAnsi"/>
          <w:szCs w:val="24"/>
        </w:rPr>
        <w:t xml:space="preserve"> </w:t>
      </w:r>
      <w:r w:rsidRPr="00724E7E">
        <w:rPr>
          <w:rFonts w:cstheme="minorHAnsi"/>
          <w:szCs w:val="24"/>
        </w:rPr>
        <w:t xml:space="preserve">in Year 6, a total saving of </w:t>
      </w:r>
      <w:r w:rsidR="009D133C" w:rsidRPr="00724E7E">
        <w:rPr>
          <w:rFonts w:eastAsia="Times New Roman" w:cstheme="minorHAnsi"/>
          <w:color w:val="333333"/>
          <w:szCs w:val="24"/>
        </w:rPr>
        <w:t>net cost saving</w:t>
      </w:r>
      <w:r w:rsidR="009D133C" w:rsidRPr="00724E7E" w:rsidDel="009D133C">
        <w:rPr>
          <w:rFonts w:cstheme="minorHAnsi"/>
          <w:szCs w:val="24"/>
        </w:rPr>
        <w:t xml:space="preserve"> </w:t>
      </w:r>
      <w:r w:rsidRPr="00724E7E">
        <w:rPr>
          <w:rFonts w:cstheme="minorHAnsi"/>
          <w:szCs w:val="24"/>
        </w:rPr>
        <w:t xml:space="preserve">over the first six years of listing. The estimated net saving to the MBS due to reduced administration costs was </w:t>
      </w:r>
      <w:r w:rsidR="009D133C" w:rsidRPr="00724E7E">
        <w:rPr>
          <w:rFonts w:eastAsia="Times New Roman" w:cstheme="minorHAnsi"/>
          <w:color w:val="333333"/>
          <w:szCs w:val="24"/>
        </w:rPr>
        <w:t>net cost saving</w:t>
      </w:r>
      <w:r w:rsidR="009D133C" w:rsidRPr="00724E7E" w:rsidDel="009D133C">
        <w:rPr>
          <w:rFonts w:cstheme="minorHAnsi"/>
          <w:szCs w:val="24"/>
        </w:rPr>
        <w:t xml:space="preserve"> </w:t>
      </w:r>
      <w:r w:rsidRPr="00724E7E">
        <w:rPr>
          <w:rFonts w:cstheme="minorHAnsi"/>
          <w:szCs w:val="24"/>
        </w:rPr>
        <w:t xml:space="preserve">in Year 1, increasing to </w:t>
      </w:r>
      <w:r w:rsidR="009D133C" w:rsidRPr="00724E7E">
        <w:rPr>
          <w:rFonts w:eastAsia="Times New Roman" w:cstheme="minorHAnsi"/>
          <w:color w:val="333333"/>
          <w:szCs w:val="24"/>
        </w:rPr>
        <w:t>net cost saving</w:t>
      </w:r>
      <w:r w:rsidR="009D133C" w:rsidRPr="00724E7E" w:rsidDel="009D133C">
        <w:rPr>
          <w:rFonts w:cstheme="minorHAnsi"/>
          <w:szCs w:val="24"/>
        </w:rPr>
        <w:t xml:space="preserve"> </w:t>
      </w:r>
      <w:r w:rsidRPr="00724E7E">
        <w:rPr>
          <w:rFonts w:cstheme="minorHAnsi"/>
          <w:szCs w:val="24"/>
        </w:rPr>
        <w:t>in Year</w:t>
      </w:r>
      <w:r w:rsidR="00F70033">
        <w:rPr>
          <w:rFonts w:cstheme="minorHAnsi"/>
          <w:szCs w:val="24"/>
        </w:rPr>
        <w:t> </w:t>
      </w:r>
      <w:r w:rsidRPr="00724E7E">
        <w:rPr>
          <w:rFonts w:cstheme="minorHAnsi"/>
          <w:szCs w:val="24"/>
        </w:rPr>
        <w:t xml:space="preserve">6, a total saving of </w:t>
      </w:r>
      <w:r w:rsidR="009D133C" w:rsidRPr="00724E7E">
        <w:rPr>
          <w:rFonts w:eastAsia="Times New Roman" w:cstheme="minorHAnsi"/>
          <w:color w:val="333333"/>
          <w:szCs w:val="24"/>
        </w:rPr>
        <w:t>net cost saving</w:t>
      </w:r>
      <w:r w:rsidR="009D133C" w:rsidRPr="00724E7E" w:rsidDel="009D133C">
        <w:rPr>
          <w:rFonts w:cstheme="minorHAnsi"/>
          <w:szCs w:val="24"/>
        </w:rPr>
        <w:t xml:space="preserve"> </w:t>
      </w:r>
      <w:r w:rsidRPr="00724E7E">
        <w:rPr>
          <w:rFonts w:cstheme="minorHAnsi"/>
          <w:szCs w:val="24"/>
        </w:rPr>
        <w:t>over the first six years of listing.</w:t>
      </w:r>
    </w:p>
    <w:p w14:paraId="3B7B1D14" w14:textId="432B206A" w:rsidR="007F52A5" w:rsidRPr="00624E9F" w:rsidRDefault="007F52A5" w:rsidP="00624E9F">
      <w:pPr>
        <w:pStyle w:val="3-BodyText"/>
      </w:pPr>
      <w:bookmarkStart w:id="103" w:name="_Ref173760513"/>
      <w:r w:rsidRPr="00624E9F">
        <w:t xml:space="preserve">The </w:t>
      </w:r>
      <w:r w:rsidR="00A05A71" w:rsidRPr="00624E9F">
        <w:t xml:space="preserve">DUSC considered that the </w:t>
      </w:r>
      <w:r w:rsidRPr="00624E9F">
        <w:t>estimated costs to government were uncertain due to the following reasons:</w:t>
      </w:r>
      <w:bookmarkEnd w:id="103"/>
    </w:p>
    <w:p w14:paraId="7D176180" w14:textId="68876962" w:rsidR="007F52A5" w:rsidRPr="007F52A5" w:rsidRDefault="007F52A5" w:rsidP="00624E9F">
      <w:pPr>
        <w:pStyle w:val="ListParagraph"/>
      </w:pPr>
      <w:r w:rsidRPr="007F52A5">
        <w:t xml:space="preserve">The Gattellari (2012) study </w:t>
      </w:r>
      <w:r w:rsidR="0024399A">
        <w:t>wa</w:t>
      </w:r>
      <w:r w:rsidRPr="007F52A5">
        <w:t>s likely to have underestimated the prevalence of myasthenia gravis in Australia, as not all diagnosed patients would have been receiving treatment with pyridostigmine. Additionally, greater awareness of the disease and improvements in diagnostic testing may mean that the current prevalence rate is higher than in 2009. While a systematic review of studies published between 1951 and 2020 (Salari 2021) estimated a global myasthenia gravis prevalence of 12.4 per 100,000, a number of recent studies have suggested a higher prevalence, including 46.5 per 100,000 in France (Keovilayhong 2024), 18.56 per 100,000 in Denmark (Vissing 2024), 20.89 per 100,000 in Finland (Vissing 2024), 23.42 per 100,000 in Sweden (Vissing 2024), 20.37-31.64 per 100,000 in the US (Murdock 2024), and 28.2 per 100,000 in Germany (Wartmann 2023).</w:t>
      </w:r>
    </w:p>
    <w:p w14:paraId="05047885" w14:textId="77777777" w:rsidR="007F52A5" w:rsidRPr="007F52A5" w:rsidRDefault="007F52A5" w:rsidP="00624E9F">
      <w:pPr>
        <w:pStyle w:val="ListParagraph"/>
      </w:pPr>
      <w:r w:rsidRPr="007F52A5">
        <w:t xml:space="preserve">The assumed uptake rates for zilucoplan were uncertain and may be overestimated. </w:t>
      </w:r>
      <w:proofErr w:type="gramStart"/>
      <w:r w:rsidRPr="007F52A5">
        <w:t>In particular, uptake</w:t>
      </w:r>
      <w:proofErr w:type="gramEnd"/>
      <w:r w:rsidRPr="007F52A5">
        <w:t xml:space="preserve"> in the first year of listing and the overall uptake by Year 6 (which assumed that the entire eligible population would have trialled treatment with zilucoplan) appeared overly optimistic.</w:t>
      </w:r>
    </w:p>
    <w:p w14:paraId="122B7C40" w14:textId="19686513" w:rsidR="007F52A5" w:rsidRPr="007F52A5" w:rsidRDefault="007F52A5" w:rsidP="00624E9F">
      <w:pPr>
        <w:pStyle w:val="ListParagraph"/>
      </w:pPr>
      <w:r w:rsidRPr="007F52A5">
        <w:t xml:space="preserve">Zilucoplan persistence rates were derived from the economic </w:t>
      </w:r>
      <w:proofErr w:type="gramStart"/>
      <w:r w:rsidRPr="007F52A5">
        <w:t>model, and</w:t>
      </w:r>
      <w:proofErr w:type="gramEnd"/>
      <w:r w:rsidRPr="007F52A5">
        <w:t xml:space="preserve"> </w:t>
      </w:r>
      <w:proofErr w:type="gramStart"/>
      <w:r w:rsidRPr="007F52A5">
        <w:t>were based on the assumption</w:t>
      </w:r>
      <w:proofErr w:type="gramEnd"/>
      <w:r w:rsidRPr="007F52A5">
        <w:t xml:space="preserve"> that patients experiencing an exacerbation or myasthenic crisis event would discontinue therapy. The submission did not provide any clear clinical rationale for this assumption. Additionally, the submission did not justify limiting treatment discontinuations to these events </w:t>
      </w:r>
      <w:proofErr w:type="gramStart"/>
      <w:r w:rsidR="0024399A">
        <w:t>despite</w:t>
      </w:r>
      <w:r w:rsidRPr="007F52A5">
        <w:t xml:space="preserve"> </w:t>
      </w:r>
      <w:r w:rsidR="0024399A">
        <w:t>the fact that</w:t>
      </w:r>
      <w:proofErr w:type="gramEnd"/>
      <w:r w:rsidR="0024399A">
        <w:t xml:space="preserve"> patients in the key trial discontinued zilucoplan </w:t>
      </w:r>
      <w:r w:rsidRPr="007F52A5">
        <w:t>for other reasons such as adverse events.</w:t>
      </w:r>
    </w:p>
    <w:p w14:paraId="294A5C92" w14:textId="11644F8E" w:rsidR="007F52A5" w:rsidRPr="007F52A5" w:rsidRDefault="007F52A5" w:rsidP="00624E9F">
      <w:pPr>
        <w:pStyle w:val="ListParagraph"/>
      </w:pPr>
      <w:r w:rsidRPr="007F52A5">
        <w:t xml:space="preserve">In the absence of functional impairment criteria, it is unlikely that 50.6% of the proposed PBS population would have treatment refractory disease requiring treatment with IVIg or PLEX. </w:t>
      </w:r>
      <w:r w:rsidR="0024399A">
        <w:t xml:space="preserve">While the pre-PBAC response proposed inclusion of </w:t>
      </w:r>
      <w:r w:rsidR="0024399A" w:rsidRPr="007F52A5">
        <w:t>functional impairment criteria</w:t>
      </w:r>
      <w:r w:rsidR="0024399A">
        <w:t xml:space="preserve"> in the initial restriction (i.e. </w:t>
      </w:r>
      <w:r w:rsidR="0024399A" w:rsidRPr="00C6452A">
        <w:t>MG-ADL score ≥ 6</w:t>
      </w:r>
      <w:r w:rsidR="0024399A">
        <w:t xml:space="preserve">), the proportion of patients in the proposed PBS population who would otherwise receive IVIg or PLEX was unclear. </w:t>
      </w:r>
    </w:p>
    <w:p w14:paraId="24CE2528" w14:textId="77777777" w:rsidR="007F52A5" w:rsidRPr="007F52A5" w:rsidRDefault="007F52A5" w:rsidP="00624E9F">
      <w:pPr>
        <w:pStyle w:val="ListParagraph"/>
      </w:pPr>
      <w:r w:rsidRPr="007F52A5">
        <w:t xml:space="preserve">The submission assumed that IVIg would be used at the maximum subsidised dose and PLEX would be administered using a high intensity regimen. Neither of these assumptions were adequately justified. IVIg use </w:t>
      </w:r>
      <w:proofErr w:type="gramStart"/>
      <w:r w:rsidRPr="007F52A5">
        <w:t>in particular appeared</w:t>
      </w:r>
      <w:proofErr w:type="gramEnd"/>
      <w:r w:rsidRPr="007F52A5">
        <w:t xml:space="preserve"> to be substantially overestimated compared to utilisation data from the National Blood Authority.</w:t>
      </w:r>
    </w:p>
    <w:p w14:paraId="67D75F1B" w14:textId="13743A63" w:rsidR="007F52A5" w:rsidRDefault="007F52A5" w:rsidP="005E3427">
      <w:pPr>
        <w:pStyle w:val="3-BodyText"/>
      </w:pPr>
      <w:r w:rsidRPr="007F52A5">
        <w:t>The application of the same response and persistence rates for IVIg and PLEX as zilucoplan was not adequately justified and inconsistent with the economic model (which assumed these treatments had no effect but were continued until death).</w:t>
      </w:r>
    </w:p>
    <w:p w14:paraId="56A47C26" w14:textId="501FF744" w:rsidR="004E29BB" w:rsidRPr="007F52A5" w:rsidRDefault="004E29BB" w:rsidP="005E3427">
      <w:pPr>
        <w:pStyle w:val="3-BodyText"/>
      </w:pPr>
      <w:r>
        <w:t xml:space="preserve">The pre-PBAC response proposed </w:t>
      </w:r>
      <w:r w:rsidR="00721985">
        <w:t xml:space="preserve">amending the </w:t>
      </w:r>
      <w:r w:rsidR="00381DA7" w:rsidRPr="004E29BB">
        <w:t xml:space="preserve">initial treatment restriction </w:t>
      </w:r>
      <w:r w:rsidR="00721985">
        <w:t xml:space="preserve">to require </w:t>
      </w:r>
      <w:r w:rsidRPr="00721985">
        <w:t>patients to have an MG-ADL score ≥ 6. The</w:t>
      </w:r>
      <w:r w:rsidR="00EE26E7">
        <w:t xml:space="preserve"> PBAC</w:t>
      </w:r>
      <w:r w:rsidRPr="00721985">
        <w:t xml:space="preserve"> </w:t>
      </w:r>
      <w:r w:rsidR="008823F0">
        <w:rPr>
          <w:iCs/>
        </w:rPr>
        <w:t>n</w:t>
      </w:r>
      <w:r w:rsidR="00721985" w:rsidRPr="00721985">
        <w:rPr>
          <w:iCs/>
        </w:rPr>
        <w:t>ot</w:t>
      </w:r>
      <w:r w:rsidR="008823F0">
        <w:rPr>
          <w:iCs/>
        </w:rPr>
        <w:t>ed</w:t>
      </w:r>
      <w:r w:rsidRPr="00721985">
        <w:t xml:space="preserve"> a </w:t>
      </w:r>
      <w:r w:rsidRPr="00721985">
        <w:rPr>
          <w:iCs/>
        </w:rPr>
        <w:t xml:space="preserve">Swedish study </w:t>
      </w:r>
      <w:r w:rsidR="00381DA7" w:rsidRPr="00721985">
        <w:rPr>
          <w:iCs/>
        </w:rPr>
        <w:t>found that fewer than 20% of</w:t>
      </w:r>
      <w:r w:rsidR="00721985">
        <w:rPr>
          <w:iCs/>
        </w:rPr>
        <w:t xml:space="preserve"> the</w:t>
      </w:r>
      <w:r w:rsidR="00381DA7" w:rsidRPr="00721985">
        <w:rPr>
          <w:iCs/>
        </w:rPr>
        <w:t xml:space="preserve"> </w:t>
      </w:r>
      <w:r w:rsidR="00C6340C">
        <w:rPr>
          <w:iCs/>
        </w:rPr>
        <w:t xml:space="preserve">gMG </w:t>
      </w:r>
      <w:r w:rsidR="00381DA7" w:rsidRPr="00721985">
        <w:rPr>
          <w:iCs/>
        </w:rPr>
        <w:t xml:space="preserve">patients included in their cohort </w:t>
      </w:r>
      <w:r w:rsidR="00721985">
        <w:rPr>
          <w:iCs/>
        </w:rPr>
        <w:t>reported</w:t>
      </w:r>
      <w:r w:rsidR="00381DA7" w:rsidRPr="00721985">
        <w:rPr>
          <w:iCs/>
        </w:rPr>
        <w:t xml:space="preserve"> an</w:t>
      </w:r>
      <w:r w:rsidRPr="00721985">
        <w:rPr>
          <w:iCs/>
        </w:rPr>
        <w:t xml:space="preserve"> MG-ADL</w:t>
      </w:r>
      <w:r w:rsidR="00721985" w:rsidRPr="00721985">
        <w:rPr>
          <w:iCs/>
        </w:rPr>
        <w:t xml:space="preserve"> </w:t>
      </w:r>
      <w:r w:rsidR="00381DA7" w:rsidRPr="00721985">
        <w:rPr>
          <w:iCs/>
        </w:rPr>
        <w:t xml:space="preserve">score of </w:t>
      </w:r>
      <w:r w:rsidRPr="00721985">
        <w:rPr>
          <w:rFonts w:cstheme="minorHAnsi"/>
          <w:iCs/>
        </w:rPr>
        <w:t>≥</w:t>
      </w:r>
      <w:r w:rsidR="00381DA7" w:rsidRPr="00721985">
        <w:rPr>
          <w:rFonts w:cstheme="minorHAnsi"/>
          <w:iCs/>
        </w:rPr>
        <w:t xml:space="preserve"> </w:t>
      </w:r>
      <w:r w:rsidRPr="00721985">
        <w:rPr>
          <w:iCs/>
        </w:rPr>
        <w:t>6</w:t>
      </w:r>
      <w:r w:rsidR="00721985" w:rsidRPr="00721985">
        <w:rPr>
          <w:iCs/>
        </w:rPr>
        <w:t>.</w:t>
      </w:r>
      <w:r w:rsidR="00721985">
        <w:rPr>
          <w:rStyle w:val="FootnoteReference"/>
          <w:iCs/>
        </w:rPr>
        <w:footnoteReference w:id="4"/>
      </w:r>
      <w:r>
        <w:rPr>
          <w:iCs/>
        </w:rPr>
        <w:t xml:space="preserve"> </w:t>
      </w:r>
    </w:p>
    <w:p w14:paraId="100BD8C8" w14:textId="168364EC" w:rsidR="007F52A5" w:rsidRPr="007F52A5" w:rsidRDefault="007F52A5" w:rsidP="00A10F29">
      <w:pPr>
        <w:pStyle w:val="COMexecsumnumberedpara"/>
        <w:ind w:left="720"/>
      </w:pPr>
      <w:r w:rsidRPr="007F52A5">
        <w:t>For more detail on PBAC’s view, see section 7 PBAC outcome.</w:t>
      </w:r>
    </w:p>
    <w:p w14:paraId="2F1C040D" w14:textId="77777777" w:rsidR="00B17BAA" w:rsidRPr="005E3427" w:rsidRDefault="00B17BAA" w:rsidP="005E3427">
      <w:pPr>
        <w:pStyle w:val="2-SectionHeading"/>
      </w:pPr>
      <w:bookmarkStart w:id="104" w:name="_Hlk76381249"/>
      <w:bookmarkStart w:id="105" w:name="_Hlk76377955"/>
      <w:r w:rsidRPr="005E3427">
        <w:t>PBAC Outcome</w:t>
      </w:r>
    </w:p>
    <w:p w14:paraId="662F52D9" w14:textId="5473B364" w:rsidR="00E13555" w:rsidRPr="00E13555" w:rsidRDefault="00E13555" w:rsidP="005E3427">
      <w:pPr>
        <w:pStyle w:val="3-BodyText"/>
        <w:rPr>
          <w:snapToGrid w:val="0"/>
          <w:lang w:val="en-GB"/>
        </w:rPr>
      </w:pPr>
      <w:r>
        <w:t xml:space="preserve">The PBAC </w:t>
      </w:r>
      <w:r w:rsidRPr="00E13555">
        <w:t>did not recommend the</w:t>
      </w:r>
      <w:r>
        <w:t xml:space="preserve"> listing of zilucoplan for the treatment of patients with generalised myasthenia gravis </w:t>
      </w:r>
      <w:r w:rsidR="00536C05">
        <w:t xml:space="preserve">(gMG) </w:t>
      </w:r>
      <w:r>
        <w:t xml:space="preserve">who are anti-acetylcholine receptor </w:t>
      </w:r>
      <w:r w:rsidR="00761A2E">
        <w:t xml:space="preserve">(AChR) </w:t>
      </w:r>
      <w:r>
        <w:t xml:space="preserve">antibody positive. </w:t>
      </w:r>
      <w:r w:rsidR="00536C05">
        <w:t xml:space="preserve">The PBAC considered the incremental cost-effectiveness ratio presented in the submission was very high and </w:t>
      </w:r>
      <w:r w:rsidR="00CF43FE">
        <w:t xml:space="preserve">was </w:t>
      </w:r>
      <w:r w:rsidR="00536C05">
        <w:t>likely to have been underestimated</w:t>
      </w:r>
      <w:r w:rsidR="00FE0D57">
        <w:t>,</w:t>
      </w:r>
      <w:r w:rsidR="00FE0D57" w:rsidRPr="00FE0D57">
        <w:t xml:space="preserve"> and the proposed price was very high</w:t>
      </w:r>
      <w:r w:rsidR="0088232E">
        <w:t>.</w:t>
      </w:r>
      <w:r w:rsidR="00536C05">
        <w:t xml:space="preserve"> </w:t>
      </w:r>
      <w:r>
        <w:t>The PBAC considered the claim of superior comparative effectiveness versus placebo was supported but that the incremental benefit shown in the trial was relatively modest</w:t>
      </w:r>
      <w:r w:rsidR="00536C05">
        <w:t xml:space="preserve">. </w:t>
      </w:r>
      <w:r>
        <w:t xml:space="preserve">The PBAC recognised the high clinical need for effective therapies for </w:t>
      </w:r>
      <w:r w:rsidR="006C3CD5">
        <w:t>gMG</w:t>
      </w:r>
      <w:r>
        <w:t xml:space="preserve">, particularly in patients </w:t>
      </w:r>
      <w:r w:rsidR="005D179C" w:rsidRPr="005D179C">
        <w:t>who are not responding to or are unable to use existing therapies, and for those with refractory disease.</w:t>
      </w:r>
    </w:p>
    <w:p w14:paraId="4EF4AD23" w14:textId="299150FB" w:rsidR="00E13555" w:rsidRPr="00E13555" w:rsidRDefault="00E13555" w:rsidP="005E3427">
      <w:pPr>
        <w:pStyle w:val="3-BodyText"/>
        <w:rPr>
          <w:snapToGrid w:val="0"/>
          <w:lang w:val="en-GB"/>
        </w:rPr>
      </w:pPr>
      <w:bookmarkStart w:id="106" w:name="_Hlk172883055"/>
      <w:r w:rsidRPr="00E13555">
        <w:rPr>
          <w:snapToGrid w:val="0"/>
          <w:lang w:val="en-GB"/>
        </w:rPr>
        <w:t>The primary reason for this outcome was the economic evaluation.</w:t>
      </w:r>
    </w:p>
    <w:bookmarkEnd w:id="106"/>
    <w:p w14:paraId="4AB41283" w14:textId="46DE0D30" w:rsidR="00E13555" w:rsidDel="00B44CC5" w:rsidRDefault="00E13555" w:rsidP="005E3427">
      <w:pPr>
        <w:pStyle w:val="3-BodyText"/>
        <w:rPr>
          <w:snapToGrid w:val="0"/>
          <w:lang w:val="en-GB"/>
        </w:rPr>
      </w:pPr>
      <w:r w:rsidRPr="00E13555" w:rsidDel="00B44CC5">
        <w:rPr>
          <w:snapToGrid w:val="0"/>
          <w:lang w:val="en-GB"/>
        </w:rPr>
        <w:t xml:space="preserve">The </w:t>
      </w:r>
      <w:r w:rsidDel="00B44CC5">
        <w:rPr>
          <w:snapToGrid w:val="0"/>
          <w:lang w:val="en-GB"/>
        </w:rPr>
        <w:t xml:space="preserve">PBAC </w:t>
      </w:r>
      <w:r w:rsidR="00C0642F">
        <w:rPr>
          <w:snapToGrid w:val="0"/>
          <w:lang w:val="en-GB"/>
        </w:rPr>
        <w:t xml:space="preserve">noted the strong consumer and clinician support for zilucoplan </w:t>
      </w:r>
      <w:r w:rsidDel="00B44CC5">
        <w:rPr>
          <w:snapToGrid w:val="0"/>
          <w:lang w:val="en-GB"/>
        </w:rPr>
        <w:t>received via the Consumer Comments facility on the PBS website</w:t>
      </w:r>
      <w:r w:rsidR="006C6D78">
        <w:rPr>
          <w:snapToGrid w:val="0"/>
          <w:lang w:val="en-GB"/>
        </w:rPr>
        <w:t xml:space="preserve"> (see paragraphs </w:t>
      </w:r>
      <w:r w:rsidR="006C6D78">
        <w:rPr>
          <w:snapToGrid w:val="0"/>
          <w:lang w:val="en-GB"/>
        </w:rPr>
        <w:fldChar w:fldCharType="begin" w:fldLock="1"/>
      </w:r>
      <w:r w:rsidR="006C6D78">
        <w:rPr>
          <w:snapToGrid w:val="0"/>
          <w:lang w:val="en-GB"/>
        </w:rPr>
        <w:instrText xml:space="preserve"> REF _Ref173847393 \r \h </w:instrText>
      </w:r>
      <w:r w:rsidR="005E3427">
        <w:rPr>
          <w:snapToGrid w:val="0"/>
          <w:lang w:val="en-GB"/>
        </w:rPr>
        <w:instrText xml:space="preserve"> \* MERGEFORMAT </w:instrText>
      </w:r>
      <w:r w:rsidR="006C6D78">
        <w:rPr>
          <w:snapToGrid w:val="0"/>
          <w:lang w:val="en-GB"/>
        </w:rPr>
      </w:r>
      <w:r w:rsidR="006C6D78">
        <w:rPr>
          <w:snapToGrid w:val="0"/>
          <w:lang w:val="en-GB"/>
        </w:rPr>
        <w:fldChar w:fldCharType="separate"/>
      </w:r>
      <w:r w:rsidR="00FC355E">
        <w:rPr>
          <w:snapToGrid w:val="0"/>
          <w:lang w:val="en-GB"/>
        </w:rPr>
        <w:t>6.2</w:t>
      </w:r>
      <w:r w:rsidR="006C6D78">
        <w:rPr>
          <w:snapToGrid w:val="0"/>
          <w:lang w:val="en-GB"/>
        </w:rPr>
        <w:fldChar w:fldCharType="end"/>
      </w:r>
      <w:r w:rsidR="006C6D78">
        <w:rPr>
          <w:snapToGrid w:val="0"/>
          <w:lang w:val="en-GB"/>
        </w:rPr>
        <w:t xml:space="preserve"> to </w:t>
      </w:r>
      <w:r w:rsidR="006C6D78">
        <w:rPr>
          <w:snapToGrid w:val="0"/>
          <w:lang w:val="en-GB"/>
        </w:rPr>
        <w:fldChar w:fldCharType="begin" w:fldLock="1"/>
      </w:r>
      <w:r w:rsidR="006C6D78">
        <w:rPr>
          <w:snapToGrid w:val="0"/>
          <w:lang w:val="en-GB"/>
        </w:rPr>
        <w:instrText xml:space="preserve"> REF _Ref173847395 \r \h </w:instrText>
      </w:r>
      <w:r w:rsidR="005E3427">
        <w:rPr>
          <w:snapToGrid w:val="0"/>
          <w:lang w:val="en-GB"/>
        </w:rPr>
        <w:instrText xml:space="preserve"> \* MERGEFORMAT </w:instrText>
      </w:r>
      <w:r w:rsidR="006C6D78">
        <w:rPr>
          <w:snapToGrid w:val="0"/>
          <w:lang w:val="en-GB"/>
        </w:rPr>
      </w:r>
      <w:r w:rsidR="006C6D78">
        <w:rPr>
          <w:snapToGrid w:val="0"/>
          <w:lang w:val="en-GB"/>
        </w:rPr>
        <w:fldChar w:fldCharType="separate"/>
      </w:r>
      <w:r w:rsidR="00FC355E">
        <w:rPr>
          <w:snapToGrid w:val="0"/>
          <w:lang w:val="en-GB"/>
        </w:rPr>
        <w:t>6.5</w:t>
      </w:r>
      <w:r w:rsidR="006C6D78">
        <w:rPr>
          <w:snapToGrid w:val="0"/>
          <w:lang w:val="en-GB"/>
        </w:rPr>
        <w:fldChar w:fldCharType="end"/>
      </w:r>
      <w:r w:rsidR="006C6D78">
        <w:rPr>
          <w:snapToGrid w:val="0"/>
          <w:lang w:val="en-GB"/>
        </w:rPr>
        <w:t xml:space="preserve">), the sponsor hearing (see paragraph </w:t>
      </w:r>
      <w:r w:rsidR="006C6D78">
        <w:rPr>
          <w:snapToGrid w:val="0"/>
          <w:lang w:val="en-GB"/>
        </w:rPr>
        <w:fldChar w:fldCharType="begin" w:fldLock="1"/>
      </w:r>
      <w:r w:rsidR="006C6D78">
        <w:rPr>
          <w:snapToGrid w:val="0"/>
          <w:lang w:val="en-GB"/>
        </w:rPr>
        <w:instrText xml:space="preserve"> REF _Ref173847324 \r \h </w:instrText>
      </w:r>
      <w:r w:rsidR="005E3427">
        <w:rPr>
          <w:snapToGrid w:val="0"/>
          <w:lang w:val="en-GB"/>
        </w:rPr>
        <w:instrText xml:space="preserve"> \* MERGEFORMAT </w:instrText>
      </w:r>
      <w:r w:rsidR="006C6D78">
        <w:rPr>
          <w:snapToGrid w:val="0"/>
          <w:lang w:val="en-GB"/>
        </w:rPr>
      </w:r>
      <w:r w:rsidR="006C6D78">
        <w:rPr>
          <w:snapToGrid w:val="0"/>
          <w:lang w:val="en-GB"/>
        </w:rPr>
        <w:fldChar w:fldCharType="separate"/>
      </w:r>
      <w:r w:rsidR="00FC355E">
        <w:rPr>
          <w:snapToGrid w:val="0"/>
          <w:lang w:val="en-GB"/>
        </w:rPr>
        <w:t>6.1</w:t>
      </w:r>
      <w:r w:rsidR="006C6D78">
        <w:rPr>
          <w:snapToGrid w:val="0"/>
          <w:lang w:val="en-GB"/>
        </w:rPr>
        <w:fldChar w:fldCharType="end"/>
      </w:r>
      <w:r w:rsidR="006C6D78">
        <w:rPr>
          <w:snapToGrid w:val="0"/>
          <w:lang w:val="en-GB"/>
        </w:rPr>
        <w:t>)</w:t>
      </w:r>
      <w:r w:rsidDel="00B44CC5">
        <w:rPr>
          <w:snapToGrid w:val="0"/>
          <w:lang w:val="en-GB"/>
        </w:rPr>
        <w:t xml:space="preserve"> </w:t>
      </w:r>
      <w:r w:rsidR="00536C05" w:rsidDel="00B44CC5">
        <w:rPr>
          <w:snapToGrid w:val="0"/>
          <w:lang w:val="en-GB"/>
        </w:rPr>
        <w:t>and as part of the stakeholder meeting</w:t>
      </w:r>
      <w:r w:rsidR="008823F0">
        <w:rPr>
          <w:snapToGrid w:val="0"/>
          <w:lang w:val="en-GB"/>
        </w:rPr>
        <w:t xml:space="preserve"> (see </w:t>
      </w:r>
      <w:r w:rsidR="006C6D78">
        <w:rPr>
          <w:snapToGrid w:val="0"/>
          <w:lang w:val="en-GB"/>
        </w:rPr>
        <w:t xml:space="preserve">paragraphs </w:t>
      </w:r>
      <w:r w:rsidR="006C6D78">
        <w:rPr>
          <w:snapToGrid w:val="0"/>
          <w:lang w:val="en-GB"/>
        </w:rPr>
        <w:fldChar w:fldCharType="begin" w:fldLock="1"/>
      </w:r>
      <w:r w:rsidR="006C6D78">
        <w:rPr>
          <w:snapToGrid w:val="0"/>
          <w:lang w:val="en-GB"/>
        </w:rPr>
        <w:instrText xml:space="preserve"> REF _Ref173847455 \r \h </w:instrText>
      </w:r>
      <w:r w:rsidR="005E3427">
        <w:rPr>
          <w:snapToGrid w:val="0"/>
          <w:lang w:val="en-GB"/>
        </w:rPr>
        <w:instrText xml:space="preserve"> \* MERGEFORMAT </w:instrText>
      </w:r>
      <w:r w:rsidR="006C6D78">
        <w:rPr>
          <w:snapToGrid w:val="0"/>
          <w:lang w:val="en-GB"/>
        </w:rPr>
      </w:r>
      <w:r w:rsidR="006C6D78">
        <w:rPr>
          <w:snapToGrid w:val="0"/>
          <w:lang w:val="en-GB"/>
        </w:rPr>
        <w:fldChar w:fldCharType="separate"/>
      </w:r>
      <w:r w:rsidR="00FC355E">
        <w:rPr>
          <w:snapToGrid w:val="0"/>
          <w:lang w:val="en-GB"/>
        </w:rPr>
        <w:t>2.4</w:t>
      </w:r>
      <w:r w:rsidR="006C6D78">
        <w:rPr>
          <w:snapToGrid w:val="0"/>
          <w:lang w:val="en-GB"/>
        </w:rPr>
        <w:fldChar w:fldCharType="end"/>
      </w:r>
      <w:r w:rsidR="006C6D78">
        <w:rPr>
          <w:snapToGrid w:val="0"/>
          <w:lang w:val="en-GB"/>
        </w:rPr>
        <w:t xml:space="preserve"> and </w:t>
      </w:r>
      <w:r w:rsidR="006C6D78">
        <w:rPr>
          <w:snapToGrid w:val="0"/>
          <w:lang w:val="en-GB"/>
        </w:rPr>
        <w:fldChar w:fldCharType="begin" w:fldLock="1"/>
      </w:r>
      <w:r w:rsidR="006C6D78">
        <w:rPr>
          <w:snapToGrid w:val="0"/>
          <w:lang w:val="en-GB"/>
        </w:rPr>
        <w:instrText xml:space="preserve"> REF _Ref169170181 \r \h </w:instrText>
      </w:r>
      <w:r w:rsidR="005E3427">
        <w:rPr>
          <w:snapToGrid w:val="0"/>
          <w:lang w:val="en-GB"/>
        </w:rPr>
        <w:instrText xml:space="preserve"> \* MERGEFORMAT </w:instrText>
      </w:r>
      <w:r w:rsidR="006C6D78">
        <w:rPr>
          <w:snapToGrid w:val="0"/>
          <w:lang w:val="en-GB"/>
        </w:rPr>
      </w:r>
      <w:r w:rsidR="006C6D78">
        <w:rPr>
          <w:snapToGrid w:val="0"/>
          <w:lang w:val="en-GB"/>
        </w:rPr>
        <w:fldChar w:fldCharType="separate"/>
      </w:r>
      <w:r w:rsidR="00FC355E">
        <w:rPr>
          <w:snapToGrid w:val="0"/>
          <w:lang w:val="en-GB"/>
        </w:rPr>
        <w:t>2.5</w:t>
      </w:r>
      <w:r w:rsidR="006C6D78">
        <w:rPr>
          <w:snapToGrid w:val="0"/>
          <w:lang w:val="en-GB"/>
        </w:rPr>
        <w:fldChar w:fldCharType="end"/>
      </w:r>
      <w:r w:rsidR="008823F0">
        <w:rPr>
          <w:snapToGrid w:val="0"/>
          <w:lang w:val="en-GB"/>
        </w:rPr>
        <w:t>)</w:t>
      </w:r>
      <w:r w:rsidDel="00B44CC5">
        <w:rPr>
          <w:snapToGrid w:val="0"/>
          <w:lang w:val="en-GB"/>
        </w:rPr>
        <w:t xml:space="preserve">. </w:t>
      </w:r>
      <w:r w:rsidR="00896F1E">
        <w:rPr>
          <w:snapToGrid w:val="0"/>
          <w:lang w:val="en-GB"/>
        </w:rPr>
        <w:t>The PBAC appreciated</w:t>
      </w:r>
      <w:r w:rsidR="007B20F4">
        <w:rPr>
          <w:snapToGrid w:val="0"/>
          <w:lang w:val="en-GB"/>
        </w:rPr>
        <w:t xml:space="preserve"> the</w:t>
      </w:r>
      <w:r w:rsidR="00896F1E">
        <w:rPr>
          <w:snapToGrid w:val="0"/>
          <w:lang w:val="en-GB"/>
        </w:rPr>
        <w:t xml:space="preserve"> input provided by patients, carers and clinicians in these forums and found the comments very informative </w:t>
      </w:r>
      <w:r w:rsidR="006C3CD5">
        <w:rPr>
          <w:snapToGrid w:val="0"/>
          <w:lang w:val="en-GB"/>
        </w:rPr>
        <w:t>in terms of</w:t>
      </w:r>
      <w:r w:rsidR="00896F1E">
        <w:rPr>
          <w:snapToGrid w:val="0"/>
          <w:lang w:val="en-GB"/>
        </w:rPr>
        <w:t xml:space="preserve"> understanding the </w:t>
      </w:r>
      <w:r w:rsidR="006C6D78">
        <w:rPr>
          <w:snapToGrid w:val="0"/>
          <w:lang w:val="en-GB"/>
        </w:rPr>
        <w:t xml:space="preserve">high and unmet </w:t>
      </w:r>
      <w:r w:rsidR="00896F1E">
        <w:rPr>
          <w:snapToGrid w:val="0"/>
          <w:lang w:val="en-GB"/>
        </w:rPr>
        <w:t xml:space="preserve">clinical need </w:t>
      </w:r>
      <w:r w:rsidR="006C6D78">
        <w:rPr>
          <w:snapToGrid w:val="0"/>
          <w:lang w:val="en-GB"/>
        </w:rPr>
        <w:t xml:space="preserve">for new effective treatments </w:t>
      </w:r>
      <w:r w:rsidR="00896F1E">
        <w:rPr>
          <w:snapToGrid w:val="0"/>
          <w:lang w:val="en-GB"/>
        </w:rPr>
        <w:t xml:space="preserve">and the potential use of </w:t>
      </w:r>
      <w:r w:rsidR="002C55CC">
        <w:rPr>
          <w:snapToGrid w:val="0"/>
          <w:lang w:val="en-GB"/>
        </w:rPr>
        <w:t>complement</w:t>
      </w:r>
      <w:r w:rsidR="00896F1E">
        <w:rPr>
          <w:snapToGrid w:val="0"/>
          <w:lang w:val="en-GB"/>
        </w:rPr>
        <w:t xml:space="preserve"> inhibitors </w:t>
      </w:r>
      <w:r w:rsidR="002C55CC">
        <w:rPr>
          <w:snapToGrid w:val="0"/>
          <w:lang w:val="en-GB"/>
        </w:rPr>
        <w:t>in</w:t>
      </w:r>
      <w:r w:rsidR="00896F1E">
        <w:rPr>
          <w:snapToGrid w:val="0"/>
          <w:lang w:val="en-GB"/>
        </w:rPr>
        <w:t xml:space="preserve"> </w:t>
      </w:r>
      <w:r w:rsidR="002C55CC">
        <w:rPr>
          <w:snapToGrid w:val="0"/>
          <w:lang w:val="en-GB"/>
        </w:rPr>
        <w:t>the management</w:t>
      </w:r>
      <w:r w:rsidR="00896F1E">
        <w:rPr>
          <w:snapToGrid w:val="0"/>
          <w:lang w:val="en-GB"/>
        </w:rPr>
        <w:t xml:space="preserve"> gMG. </w:t>
      </w:r>
      <w:r w:rsidDel="00B44CC5">
        <w:rPr>
          <w:snapToGrid w:val="0"/>
          <w:lang w:val="en-GB"/>
        </w:rPr>
        <w:t xml:space="preserve">The PBAC noted that the comments described the </w:t>
      </w:r>
      <w:r w:rsidR="00C6340C">
        <w:rPr>
          <w:snapToGrid w:val="0"/>
          <w:lang w:val="en-GB"/>
        </w:rPr>
        <w:t xml:space="preserve">substantial adverse effects associated with </w:t>
      </w:r>
      <w:r w:rsidDel="00B44CC5">
        <w:rPr>
          <w:snapToGrid w:val="0"/>
          <w:lang w:val="en-GB"/>
        </w:rPr>
        <w:t xml:space="preserve">current therapies </w:t>
      </w:r>
      <w:r w:rsidR="00E56E8F">
        <w:rPr>
          <w:snapToGrid w:val="0"/>
          <w:lang w:val="en-GB"/>
        </w:rPr>
        <w:t xml:space="preserve">particularly </w:t>
      </w:r>
      <w:r w:rsidDel="00B44CC5">
        <w:rPr>
          <w:snapToGrid w:val="0"/>
          <w:lang w:val="en-GB"/>
        </w:rPr>
        <w:t>corticosteroids,</w:t>
      </w:r>
      <w:r w:rsidR="00EB7850" w:rsidRPr="00EB7850" w:rsidDel="00B44CC5">
        <w:rPr>
          <w:snapToGrid w:val="0"/>
          <w:lang w:val="en-GB"/>
        </w:rPr>
        <w:t xml:space="preserve"> </w:t>
      </w:r>
      <w:r w:rsidR="00EB7850" w:rsidDel="00B44CC5">
        <w:rPr>
          <w:snapToGrid w:val="0"/>
          <w:lang w:val="en-GB"/>
        </w:rPr>
        <w:t xml:space="preserve">and the </w:t>
      </w:r>
      <w:r w:rsidR="001F29B2">
        <w:rPr>
          <w:snapToGrid w:val="0"/>
          <w:lang w:val="en-GB"/>
        </w:rPr>
        <w:t>limited</w:t>
      </w:r>
      <w:r w:rsidR="00EB7850" w:rsidDel="00B44CC5">
        <w:rPr>
          <w:snapToGrid w:val="0"/>
          <w:lang w:val="en-GB"/>
        </w:rPr>
        <w:t xml:space="preserve"> options available for patients who are refractory to available treatments</w:t>
      </w:r>
      <w:r w:rsidR="004D182F">
        <w:rPr>
          <w:snapToGrid w:val="0"/>
          <w:lang w:val="en-GB"/>
        </w:rPr>
        <w:t xml:space="preserve"> or </w:t>
      </w:r>
      <w:r w:rsidR="00C6340C">
        <w:rPr>
          <w:snapToGrid w:val="0"/>
          <w:lang w:val="en-GB"/>
        </w:rPr>
        <w:t xml:space="preserve">who are </w:t>
      </w:r>
      <w:r w:rsidR="000554F5" w:rsidRPr="000D7166">
        <w:t>not responding to or are unable to use existing therapies</w:t>
      </w:r>
      <w:r w:rsidR="00EB7850" w:rsidDel="00B44CC5">
        <w:rPr>
          <w:snapToGrid w:val="0"/>
          <w:lang w:val="en-GB"/>
        </w:rPr>
        <w:t xml:space="preserve">. The input outlined that there are many patients whose condition is not adequately controlled with currently available treatments (e.g. their condition is not stable, or they cannot undertake daily activities including work or family commitments). </w:t>
      </w:r>
      <w:r w:rsidDel="00B44CC5">
        <w:rPr>
          <w:snapToGrid w:val="0"/>
          <w:lang w:val="en-GB"/>
        </w:rPr>
        <w:t xml:space="preserve">The PBAC noted that </w:t>
      </w:r>
      <w:r w:rsidR="00214063">
        <w:rPr>
          <w:snapToGrid w:val="0"/>
          <w:lang w:val="en-GB"/>
        </w:rPr>
        <w:t>many of</w:t>
      </w:r>
      <w:r w:rsidDel="00B44CC5">
        <w:rPr>
          <w:snapToGrid w:val="0"/>
          <w:lang w:val="en-GB"/>
        </w:rPr>
        <w:t xml:space="preserve"> the comments described the hope that zilucoplan would improve quality of life</w:t>
      </w:r>
      <w:r w:rsidR="00293A90" w:rsidDel="00B44CC5">
        <w:rPr>
          <w:snapToGrid w:val="0"/>
          <w:lang w:val="en-GB"/>
        </w:rPr>
        <w:t>,</w:t>
      </w:r>
      <w:r w:rsidDel="00B44CC5">
        <w:rPr>
          <w:snapToGrid w:val="0"/>
          <w:lang w:val="en-GB"/>
        </w:rPr>
        <w:t xml:space="preserve"> and safely and quickly relieve symptoms.</w:t>
      </w:r>
    </w:p>
    <w:p w14:paraId="6BDC54DB" w14:textId="44370564" w:rsidR="00761A2E" w:rsidRDefault="00E13555" w:rsidP="005E3427">
      <w:pPr>
        <w:pStyle w:val="3-BodyText"/>
        <w:rPr>
          <w:snapToGrid w:val="0"/>
          <w:lang w:val="en-GB"/>
        </w:rPr>
      </w:pPr>
      <w:bookmarkStart w:id="107" w:name="_Hlk174015468"/>
      <w:r>
        <w:rPr>
          <w:snapToGrid w:val="0"/>
          <w:lang w:val="en-GB"/>
        </w:rPr>
        <w:t xml:space="preserve">The PBAC noted that the submission </w:t>
      </w:r>
      <w:r w:rsidR="00E26649">
        <w:rPr>
          <w:snapToGrid w:val="0"/>
          <w:lang w:val="en-GB"/>
        </w:rPr>
        <w:t>requested listing of</w:t>
      </w:r>
      <w:r>
        <w:rPr>
          <w:snapToGrid w:val="0"/>
          <w:lang w:val="en-GB"/>
        </w:rPr>
        <w:t xml:space="preserve"> zilucoplan </w:t>
      </w:r>
      <w:r w:rsidR="00E26649">
        <w:rPr>
          <w:snapToGrid w:val="0"/>
          <w:lang w:val="en-GB"/>
        </w:rPr>
        <w:t>in a broad patient population</w:t>
      </w:r>
      <w:r w:rsidR="0088232E">
        <w:rPr>
          <w:snapToGrid w:val="0"/>
          <w:lang w:val="en-GB"/>
        </w:rPr>
        <w:t xml:space="preserve"> which comprised two key, distinct places in therapy:</w:t>
      </w:r>
      <w:r w:rsidR="00626788">
        <w:rPr>
          <w:snapToGrid w:val="0"/>
          <w:lang w:val="en-GB"/>
        </w:rPr>
        <w:t xml:space="preserve"> </w:t>
      </w:r>
    </w:p>
    <w:p w14:paraId="354A0AB9" w14:textId="2A8E3019" w:rsidR="00761A2E" w:rsidRPr="005E3427" w:rsidRDefault="00626788" w:rsidP="005E3427">
      <w:pPr>
        <w:pStyle w:val="ListParagraph"/>
      </w:pPr>
      <w:r w:rsidRPr="005E3427">
        <w:t>early in</w:t>
      </w:r>
      <w:r w:rsidR="00A9102D" w:rsidRPr="005E3427">
        <w:t xml:space="preserve"> the treatment algorithm,</w:t>
      </w:r>
      <w:r w:rsidRPr="005E3427">
        <w:t xml:space="preserve"> </w:t>
      </w:r>
      <w:r w:rsidR="00A9102D" w:rsidRPr="005E3427">
        <w:t>initiated in combination with an acetylcholinesterase inhibitor plus an immunosuppressive therapy</w:t>
      </w:r>
      <w:r w:rsidRPr="005E3427">
        <w:t xml:space="preserve">; and </w:t>
      </w:r>
    </w:p>
    <w:p w14:paraId="79239004" w14:textId="77777777" w:rsidR="00761A2E" w:rsidRPr="005E3427" w:rsidRDefault="00626788" w:rsidP="005E3427">
      <w:pPr>
        <w:pStyle w:val="ListParagraph"/>
      </w:pPr>
      <w:r w:rsidRPr="005E3427">
        <w:t xml:space="preserve">later in the disease course in refractory patients. </w:t>
      </w:r>
    </w:p>
    <w:p w14:paraId="10D361F4" w14:textId="77777777" w:rsidR="003428D1" w:rsidRDefault="003428D1" w:rsidP="003428D1">
      <w:pPr>
        <w:widowControl w:val="0"/>
        <w:spacing w:after="120"/>
        <w:ind w:left="720"/>
        <w:rPr>
          <w:rFonts w:asciiTheme="minorHAnsi" w:hAnsiTheme="minorHAnsi"/>
          <w:snapToGrid w:val="0"/>
          <w:lang w:val="en-GB"/>
        </w:rPr>
      </w:pPr>
      <w:r>
        <w:rPr>
          <w:rFonts w:asciiTheme="minorHAnsi" w:hAnsiTheme="minorHAnsi"/>
          <w:snapToGrid w:val="0"/>
          <w:lang w:val="en-GB"/>
        </w:rPr>
        <w:t xml:space="preserve">While the pre-PBAC response </w:t>
      </w:r>
      <w:r w:rsidRPr="00846CB5">
        <w:rPr>
          <w:rFonts w:asciiTheme="minorHAnsi" w:hAnsiTheme="minorHAnsi"/>
          <w:snapToGrid w:val="0"/>
          <w:lang w:val="en-GB"/>
        </w:rPr>
        <w:t>proposed inclusion of a requirement for patients to have an MG-ADL score ≥ 6</w:t>
      </w:r>
      <w:r>
        <w:rPr>
          <w:rFonts w:asciiTheme="minorHAnsi" w:hAnsiTheme="minorHAnsi"/>
          <w:snapToGrid w:val="0"/>
          <w:lang w:val="en-GB"/>
        </w:rPr>
        <w:t xml:space="preserve"> prior to zilucoplan initiation (in addition to requiring patients to be </w:t>
      </w:r>
      <w:r w:rsidRPr="00082568">
        <w:rPr>
          <w:rFonts w:asciiTheme="minorHAnsi" w:hAnsiTheme="minorHAnsi"/>
          <w:snapToGrid w:val="0"/>
          <w:lang w:val="en-GB"/>
        </w:rPr>
        <w:t xml:space="preserve">receiving concomitant treatment with an acetylcholinesterase inhibitor </w:t>
      </w:r>
      <w:r>
        <w:rPr>
          <w:rFonts w:asciiTheme="minorHAnsi" w:hAnsiTheme="minorHAnsi"/>
          <w:snapToGrid w:val="0"/>
          <w:lang w:val="en-GB"/>
        </w:rPr>
        <w:t xml:space="preserve">plus a </w:t>
      </w:r>
      <w:r w:rsidRPr="00082568">
        <w:rPr>
          <w:rFonts w:asciiTheme="minorHAnsi" w:hAnsiTheme="minorHAnsi"/>
          <w:snapToGrid w:val="0"/>
          <w:lang w:val="en-GB"/>
        </w:rPr>
        <w:t xml:space="preserve">corticosteroid </w:t>
      </w:r>
      <w:r>
        <w:rPr>
          <w:rFonts w:asciiTheme="minorHAnsi" w:hAnsiTheme="minorHAnsi"/>
          <w:snapToGrid w:val="0"/>
          <w:lang w:val="en-GB"/>
        </w:rPr>
        <w:t>and/or an</w:t>
      </w:r>
      <w:r w:rsidRPr="00082568">
        <w:rPr>
          <w:rFonts w:asciiTheme="minorHAnsi" w:hAnsiTheme="minorHAnsi"/>
          <w:snapToGrid w:val="0"/>
          <w:lang w:val="en-GB"/>
        </w:rPr>
        <w:t xml:space="preserve"> </w:t>
      </w:r>
      <w:r>
        <w:rPr>
          <w:rFonts w:asciiTheme="minorHAnsi" w:hAnsiTheme="minorHAnsi"/>
          <w:snapToGrid w:val="0"/>
          <w:lang w:val="en-GB"/>
        </w:rPr>
        <w:t xml:space="preserve">non-steroid </w:t>
      </w:r>
      <w:r w:rsidRPr="00082568">
        <w:rPr>
          <w:rFonts w:asciiTheme="minorHAnsi" w:hAnsiTheme="minorHAnsi"/>
          <w:snapToGrid w:val="0"/>
          <w:lang w:val="en-GB"/>
        </w:rPr>
        <w:t>immunosuppressive therapy</w:t>
      </w:r>
      <w:r>
        <w:rPr>
          <w:rFonts w:asciiTheme="minorHAnsi" w:hAnsiTheme="minorHAnsi"/>
          <w:snapToGrid w:val="0"/>
          <w:lang w:val="en-GB"/>
        </w:rPr>
        <w:t xml:space="preserve">), the PBAC noted this </w:t>
      </w:r>
      <w:r w:rsidRPr="00EB2260">
        <w:rPr>
          <w:rFonts w:asciiTheme="minorHAnsi" w:hAnsiTheme="minorHAnsi"/>
          <w:snapToGrid w:val="0"/>
          <w:lang w:val="en-GB" w:eastAsia="en-US"/>
        </w:rPr>
        <w:t>remained broad given it did not</w:t>
      </w:r>
      <w:r>
        <w:rPr>
          <w:rFonts w:asciiTheme="minorHAnsi" w:hAnsiTheme="minorHAnsi"/>
          <w:snapToGrid w:val="0"/>
          <w:lang w:val="en-GB" w:eastAsia="en-US"/>
        </w:rPr>
        <w:t>:</w:t>
      </w:r>
      <w:r w:rsidRPr="00EB2260">
        <w:rPr>
          <w:rFonts w:asciiTheme="minorHAnsi" w:hAnsiTheme="minorHAnsi"/>
          <w:snapToGrid w:val="0"/>
          <w:lang w:val="en-GB" w:eastAsia="en-US"/>
        </w:rPr>
        <w:t xml:space="preserve"> require the </w:t>
      </w:r>
      <w:r>
        <w:rPr>
          <w:rFonts w:asciiTheme="minorHAnsi" w:hAnsiTheme="minorHAnsi"/>
          <w:snapToGrid w:val="0"/>
          <w:lang w:val="en-GB" w:eastAsia="en-US"/>
        </w:rPr>
        <w:t>corticosteroid/</w:t>
      </w:r>
      <w:r w:rsidRPr="00EB2260">
        <w:rPr>
          <w:rFonts w:asciiTheme="minorHAnsi" w:hAnsiTheme="minorHAnsi"/>
          <w:snapToGrid w:val="0"/>
          <w:lang w:val="en-GB" w:eastAsia="en-US"/>
        </w:rPr>
        <w:t>immunosuppressive therap</w:t>
      </w:r>
      <w:r w:rsidRPr="00EB2260">
        <w:rPr>
          <w:lang w:val="en-GB" w:eastAsia="en-US"/>
        </w:rPr>
        <w:t>y</w:t>
      </w:r>
      <w:r w:rsidRPr="00EB2260">
        <w:rPr>
          <w:rFonts w:asciiTheme="minorHAnsi" w:hAnsiTheme="minorHAnsi"/>
          <w:snapToGrid w:val="0"/>
          <w:lang w:val="en-GB" w:eastAsia="en-US"/>
        </w:rPr>
        <w:t xml:space="preserve"> to have been optimised</w:t>
      </w:r>
      <w:r>
        <w:rPr>
          <w:rFonts w:asciiTheme="minorHAnsi" w:hAnsiTheme="minorHAnsi"/>
          <w:snapToGrid w:val="0"/>
          <w:lang w:val="en-GB" w:eastAsia="en-US"/>
        </w:rPr>
        <w:t>; require combination corticosteroid plus non-steroid immunosuppressive therapy to have been trialled;</w:t>
      </w:r>
      <w:r w:rsidRPr="00EB2260">
        <w:rPr>
          <w:rFonts w:asciiTheme="minorHAnsi" w:hAnsiTheme="minorHAnsi"/>
          <w:snapToGrid w:val="0"/>
          <w:lang w:val="en-GB" w:eastAsia="en-US"/>
        </w:rPr>
        <w:t xml:space="preserve"> nor specify a timeframe for assessing response prior to commencing</w:t>
      </w:r>
      <w:r>
        <w:rPr>
          <w:rFonts w:asciiTheme="minorHAnsi" w:hAnsiTheme="minorHAnsi"/>
          <w:snapToGrid w:val="0"/>
          <w:lang w:val="en-GB" w:eastAsia="en-US"/>
        </w:rPr>
        <w:t xml:space="preserve"> zilucoplan.</w:t>
      </w:r>
    </w:p>
    <w:p w14:paraId="0BFD1417" w14:textId="453CB9EB" w:rsidR="00892FE7" w:rsidRDefault="00626788" w:rsidP="005E3427">
      <w:pPr>
        <w:pStyle w:val="3-BodyText"/>
      </w:pPr>
      <w:r w:rsidRPr="00761A2E">
        <w:rPr>
          <w:snapToGrid w:val="0"/>
          <w:lang w:val="en-GB"/>
        </w:rPr>
        <w:t xml:space="preserve">The PBAC noted this </w:t>
      </w:r>
      <w:r w:rsidR="006949BE">
        <w:rPr>
          <w:snapToGrid w:val="0"/>
          <w:lang w:val="en-GB"/>
        </w:rPr>
        <w:t>broad patient population</w:t>
      </w:r>
      <w:r w:rsidRPr="00761A2E">
        <w:rPr>
          <w:snapToGrid w:val="0"/>
          <w:lang w:val="en-GB"/>
        </w:rPr>
        <w:t xml:space="preserve"> aligned with the </w:t>
      </w:r>
      <w:r w:rsidR="00E72BE4">
        <w:rPr>
          <w:snapToGrid w:val="0"/>
          <w:lang w:val="en-GB"/>
        </w:rPr>
        <w:t xml:space="preserve">feedback received </w:t>
      </w:r>
      <w:r w:rsidR="00B463F2">
        <w:rPr>
          <w:snapToGrid w:val="0"/>
          <w:lang w:val="en-GB"/>
        </w:rPr>
        <w:t xml:space="preserve">both </w:t>
      </w:r>
      <w:r w:rsidR="00AA2403">
        <w:rPr>
          <w:snapToGrid w:val="0"/>
          <w:lang w:val="en-GB"/>
        </w:rPr>
        <w:t xml:space="preserve">at </w:t>
      </w:r>
      <w:r w:rsidR="00E72BE4">
        <w:rPr>
          <w:snapToGrid w:val="0"/>
          <w:lang w:val="en-GB"/>
        </w:rPr>
        <w:t xml:space="preserve">the </w:t>
      </w:r>
      <w:r w:rsidRPr="00761A2E">
        <w:rPr>
          <w:snapToGrid w:val="0"/>
          <w:lang w:val="en-GB"/>
        </w:rPr>
        <w:t xml:space="preserve">stakeholder meeting and </w:t>
      </w:r>
      <w:r w:rsidR="00B463F2">
        <w:rPr>
          <w:snapToGrid w:val="0"/>
          <w:lang w:val="en-GB"/>
        </w:rPr>
        <w:t>through t</w:t>
      </w:r>
      <w:r w:rsidRPr="00761A2E">
        <w:rPr>
          <w:snapToGrid w:val="0"/>
          <w:lang w:val="en-GB"/>
        </w:rPr>
        <w:t>he consumer</w:t>
      </w:r>
      <w:r w:rsidR="00B463F2">
        <w:rPr>
          <w:snapToGrid w:val="0"/>
          <w:lang w:val="en-GB"/>
        </w:rPr>
        <w:t xml:space="preserve"> comment</w:t>
      </w:r>
      <w:r w:rsidRPr="00761A2E">
        <w:rPr>
          <w:snapToGrid w:val="0"/>
          <w:lang w:val="en-GB"/>
        </w:rPr>
        <w:t>s regarding the ideal clinical positioning of the newer agents for gMG</w:t>
      </w:r>
      <w:r w:rsidRPr="00FE0D57">
        <w:rPr>
          <w:snapToGrid w:val="0"/>
          <w:lang w:val="en-GB"/>
        </w:rPr>
        <w:t xml:space="preserve">. </w:t>
      </w:r>
      <w:r w:rsidR="006949BE" w:rsidRPr="00FE0D57">
        <w:rPr>
          <w:snapToGrid w:val="0"/>
          <w:lang w:val="en-GB"/>
        </w:rPr>
        <w:t>As such</w:t>
      </w:r>
      <w:r w:rsidR="00E26649" w:rsidRPr="00FE0D57">
        <w:rPr>
          <w:snapToGrid w:val="0"/>
          <w:lang w:val="en-GB"/>
        </w:rPr>
        <w:t>, t</w:t>
      </w:r>
      <w:r w:rsidR="00F21C0E" w:rsidRPr="00FE0D57">
        <w:rPr>
          <w:snapToGrid w:val="0"/>
          <w:lang w:val="en-GB"/>
        </w:rPr>
        <w:t xml:space="preserve">he PBAC expressed a preference for listing these therapies </w:t>
      </w:r>
      <w:r w:rsidR="00E26649" w:rsidRPr="00FE0D57">
        <w:rPr>
          <w:snapToGrid w:val="0"/>
          <w:lang w:val="en-GB"/>
        </w:rPr>
        <w:t>in</w:t>
      </w:r>
      <w:r w:rsidR="00F21C0E" w:rsidRPr="00FE0D57">
        <w:rPr>
          <w:snapToGrid w:val="0"/>
          <w:lang w:val="en-GB"/>
        </w:rPr>
        <w:t xml:space="preserve"> this broad patient population.</w:t>
      </w:r>
      <w:r w:rsidR="00F21C0E">
        <w:rPr>
          <w:snapToGrid w:val="0"/>
          <w:lang w:val="en-GB"/>
        </w:rPr>
        <w:t xml:space="preserve"> </w:t>
      </w:r>
      <w:r w:rsidR="00D8550D">
        <w:rPr>
          <w:snapToGrid w:val="0"/>
          <w:lang w:val="en-GB"/>
        </w:rPr>
        <w:t>However, g</w:t>
      </w:r>
      <w:r w:rsidR="00D8550D" w:rsidRPr="00D8550D">
        <w:rPr>
          <w:snapToGrid w:val="0"/>
          <w:lang w:val="en-GB"/>
        </w:rPr>
        <w:t>iven the clinical issues associated with the use of zilucoplan in this broad patient population (e.g. the modest clinical efficacy demonstrated in RAISE</w:t>
      </w:r>
      <w:r w:rsidR="00A32DD1">
        <w:rPr>
          <w:snapToGrid w:val="0"/>
          <w:lang w:val="en-GB"/>
        </w:rPr>
        <w:t xml:space="preserve">, </w:t>
      </w:r>
      <w:r w:rsidR="00DD03E3">
        <w:rPr>
          <w:snapToGrid w:val="0"/>
          <w:lang w:val="en-GB"/>
        </w:rPr>
        <w:t xml:space="preserve">potential </w:t>
      </w:r>
      <w:r w:rsidR="00A32DD1">
        <w:rPr>
          <w:snapToGrid w:val="0"/>
          <w:lang w:val="en-GB"/>
        </w:rPr>
        <w:t>variation in efficacy between</w:t>
      </w:r>
      <w:r w:rsidR="00D8550D">
        <w:rPr>
          <w:snapToGrid w:val="0"/>
          <w:lang w:val="en-GB"/>
        </w:rPr>
        <w:t xml:space="preserve"> </w:t>
      </w:r>
      <w:r w:rsidR="00A32DD1" w:rsidRPr="00906ED7">
        <w:t xml:space="preserve">refractory and non-refractory populations </w:t>
      </w:r>
      <w:r w:rsidR="00A32DD1">
        <w:t xml:space="preserve">(see </w:t>
      </w:r>
      <w:r w:rsidR="00A32DD1">
        <w:fldChar w:fldCharType="begin" w:fldLock="1"/>
      </w:r>
      <w:r w:rsidR="00A32DD1">
        <w:instrText xml:space="preserve"> REF _Ref167094656 \h </w:instrText>
      </w:r>
      <w:r w:rsidR="005E3427">
        <w:instrText xml:space="preserve"> \* MERGEFORMAT </w:instrText>
      </w:r>
      <w:r w:rsidR="00A32DD1">
        <w:fldChar w:fldCharType="separate"/>
      </w:r>
      <w:r w:rsidR="00FC355E">
        <w:t xml:space="preserve">Table </w:t>
      </w:r>
      <w:r w:rsidR="00FC355E">
        <w:rPr>
          <w:noProof/>
        </w:rPr>
        <w:t>5</w:t>
      </w:r>
      <w:r w:rsidR="00A32DD1">
        <w:fldChar w:fldCharType="end"/>
      </w:r>
      <w:r w:rsidR="00A32DD1">
        <w:t xml:space="preserve">) </w:t>
      </w:r>
      <w:r w:rsidR="00D8550D">
        <w:rPr>
          <w:snapToGrid w:val="0"/>
          <w:lang w:val="en-GB"/>
        </w:rPr>
        <w:t>and</w:t>
      </w:r>
      <w:r w:rsidR="00D8550D" w:rsidRPr="00D8550D">
        <w:rPr>
          <w:snapToGrid w:val="0"/>
          <w:lang w:val="en-GB"/>
        </w:rPr>
        <w:t xml:space="preserve"> the availability of therapies that are effective for many patients), </w:t>
      </w:r>
      <w:r w:rsidR="006C3CD5">
        <w:rPr>
          <w:snapToGrid w:val="0"/>
          <w:lang w:val="en-GB"/>
        </w:rPr>
        <w:t xml:space="preserve">the PBAC advised that </w:t>
      </w:r>
      <w:r w:rsidR="00D8550D" w:rsidRPr="00D8550D">
        <w:rPr>
          <w:snapToGrid w:val="0"/>
          <w:lang w:val="en-GB"/>
        </w:rPr>
        <w:t xml:space="preserve">a substantially lower ICER (based on a model that incorporates the </w:t>
      </w:r>
      <w:r w:rsidR="00D8550D">
        <w:rPr>
          <w:snapToGrid w:val="0"/>
          <w:lang w:val="en-GB"/>
        </w:rPr>
        <w:t>issues raised in paragraph</w:t>
      </w:r>
      <w:r w:rsidR="00892FE7">
        <w:rPr>
          <w:snapToGrid w:val="0"/>
          <w:lang w:val="en-GB"/>
        </w:rPr>
        <w:t xml:space="preserve">s </w:t>
      </w:r>
      <w:r w:rsidR="00892FE7">
        <w:rPr>
          <w:snapToGrid w:val="0"/>
          <w:lang w:val="en-GB"/>
        </w:rPr>
        <w:fldChar w:fldCharType="begin" w:fldLock="1"/>
      </w:r>
      <w:r w:rsidR="00892FE7">
        <w:rPr>
          <w:snapToGrid w:val="0"/>
          <w:lang w:val="en-GB"/>
        </w:rPr>
        <w:instrText xml:space="preserve"> REF _Ref173830331 \r \h </w:instrText>
      </w:r>
      <w:r w:rsidR="005E3427">
        <w:rPr>
          <w:snapToGrid w:val="0"/>
          <w:lang w:val="en-GB"/>
        </w:rPr>
        <w:instrText xml:space="preserve"> \* MERGEFORMAT </w:instrText>
      </w:r>
      <w:r w:rsidR="00892FE7">
        <w:rPr>
          <w:snapToGrid w:val="0"/>
          <w:lang w:val="en-GB"/>
        </w:rPr>
      </w:r>
      <w:r w:rsidR="00892FE7">
        <w:rPr>
          <w:snapToGrid w:val="0"/>
          <w:lang w:val="en-GB"/>
        </w:rPr>
        <w:fldChar w:fldCharType="separate"/>
      </w:r>
      <w:r w:rsidR="00FC355E">
        <w:rPr>
          <w:snapToGrid w:val="0"/>
          <w:lang w:val="en-GB"/>
        </w:rPr>
        <w:t>7.15</w:t>
      </w:r>
      <w:r w:rsidR="00892FE7">
        <w:rPr>
          <w:snapToGrid w:val="0"/>
          <w:lang w:val="en-GB"/>
        </w:rPr>
        <w:fldChar w:fldCharType="end"/>
      </w:r>
      <w:r w:rsidR="00892FE7">
        <w:rPr>
          <w:snapToGrid w:val="0"/>
          <w:lang w:val="en-GB"/>
        </w:rPr>
        <w:t xml:space="preserve"> to </w:t>
      </w:r>
      <w:r w:rsidR="00892FE7">
        <w:rPr>
          <w:snapToGrid w:val="0"/>
          <w:lang w:val="en-GB"/>
        </w:rPr>
        <w:fldChar w:fldCharType="begin" w:fldLock="1"/>
      </w:r>
      <w:r w:rsidR="00892FE7">
        <w:rPr>
          <w:snapToGrid w:val="0"/>
          <w:lang w:val="en-GB"/>
        </w:rPr>
        <w:instrText xml:space="preserve"> REF _Ref173830334 \r \h </w:instrText>
      </w:r>
      <w:r w:rsidR="005E3427">
        <w:rPr>
          <w:snapToGrid w:val="0"/>
          <w:lang w:val="en-GB"/>
        </w:rPr>
        <w:instrText xml:space="preserve"> \* MERGEFORMAT </w:instrText>
      </w:r>
      <w:r w:rsidR="00892FE7">
        <w:rPr>
          <w:snapToGrid w:val="0"/>
          <w:lang w:val="en-GB"/>
        </w:rPr>
      </w:r>
      <w:r w:rsidR="00892FE7">
        <w:rPr>
          <w:snapToGrid w:val="0"/>
          <w:lang w:val="en-GB"/>
        </w:rPr>
        <w:fldChar w:fldCharType="separate"/>
      </w:r>
      <w:r w:rsidR="00FC355E">
        <w:rPr>
          <w:snapToGrid w:val="0"/>
          <w:lang w:val="en-GB"/>
        </w:rPr>
        <w:t>7.18</w:t>
      </w:r>
      <w:r w:rsidR="00892FE7">
        <w:rPr>
          <w:snapToGrid w:val="0"/>
          <w:lang w:val="en-GB"/>
        </w:rPr>
        <w:fldChar w:fldCharType="end"/>
      </w:r>
      <w:r w:rsidR="00D8550D" w:rsidRPr="00D8550D">
        <w:rPr>
          <w:snapToGrid w:val="0"/>
          <w:lang w:val="en-GB"/>
        </w:rPr>
        <w:t xml:space="preserve">) </w:t>
      </w:r>
      <w:r w:rsidR="00892FE7">
        <w:rPr>
          <w:snapToGrid w:val="0"/>
          <w:lang w:val="en-GB"/>
        </w:rPr>
        <w:t>w</w:t>
      </w:r>
      <w:r w:rsidR="00D8550D" w:rsidRPr="00D8550D">
        <w:rPr>
          <w:snapToGrid w:val="0"/>
          <w:lang w:val="en-GB"/>
        </w:rPr>
        <w:t xml:space="preserve">ould be required for listing in </w:t>
      </w:r>
      <w:r w:rsidR="006C3CD5">
        <w:rPr>
          <w:snapToGrid w:val="0"/>
          <w:lang w:val="en-GB"/>
        </w:rPr>
        <w:t>this</w:t>
      </w:r>
      <w:r w:rsidR="00D8550D" w:rsidRPr="00D8550D">
        <w:rPr>
          <w:snapToGrid w:val="0"/>
          <w:lang w:val="en-GB"/>
        </w:rPr>
        <w:t xml:space="preserve"> broad patient population</w:t>
      </w:r>
      <w:bookmarkEnd w:id="107"/>
      <w:r w:rsidR="00892FE7">
        <w:rPr>
          <w:snapToGrid w:val="0"/>
          <w:lang w:val="en-GB"/>
        </w:rPr>
        <w:t xml:space="preserve">. </w:t>
      </w:r>
    </w:p>
    <w:p w14:paraId="54E64D02" w14:textId="18712502" w:rsidR="00AA2403" w:rsidRPr="00A94641" w:rsidRDefault="00C75E9E" w:rsidP="005E3427">
      <w:pPr>
        <w:pStyle w:val="3-BodyText"/>
      </w:pPr>
      <w:r>
        <w:t>In terms of the restriction</w:t>
      </w:r>
      <w:r w:rsidR="00AA2403">
        <w:t>, t</w:t>
      </w:r>
      <w:r w:rsidR="00626788" w:rsidRPr="0098136B">
        <w:t>he PBAC noted the submission did not request a stopping rule</w:t>
      </w:r>
      <w:r w:rsidR="000F492E">
        <w:t xml:space="preserve"> </w:t>
      </w:r>
      <w:bookmarkStart w:id="108" w:name="_Hlk174264595"/>
      <w:r w:rsidR="006021F5">
        <w:t>(</w:t>
      </w:r>
      <w:r w:rsidR="00961192">
        <w:t xml:space="preserve">i.e. to require cessation in responding patients </w:t>
      </w:r>
      <w:proofErr w:type="gramStart"/>
      <w:r w:rsidR="00961192">
        <w:t>in order to</w:t>
      </w:r>
      <w:proofErr w:type="gramEnd"/>
      <w:r w:rsidR="00961192">
        <w:t xml:space="preserve"> prevent ongoing use</w:t>
      </w:r>
      <w:r w:rsidR="000B4777">
        <w:t xml:space="preserve"> that may be unnecessary</w:t>
      </w:r>
      <w:bookmarkEnd w:id="108"/>
      <w:r w:rsidR="006021F5">
        <w:t>)</w:t>
      </w:r>
      <w:r w:rsidR="00961192">
        <w:t xml:space="preserve">. Further, </w:t>
      </w:r>
      <w:r w:rsidR="000F492E">
        <w:t xml:space="preserve">the </w:t>
      </w:r>
      <w:r w:rsidR="000F492E" w:rsidRPr="000F492E">
        <w:t xml:space="preserve">pre-PBAC response stated there is no clinical evidence </w:t>
      </w:r>
      <w:r w:rsidR="000F492E">
        <w:t xml:space="preserve">regarding therapy cessation. However, </w:t>
      </w:r>
      <w:bookmarkStart w:id="109" w:name="_Hlk174016111"/>
      <w:r w:rsidR="000F492E">
        <w:t>t</w:t>
      </w:r>
      <w:r w:rsidR="000F492E" w:rsidRPr="000F492E">
        <w:t xml:space="preserve">he PBAC agreed with </w:t>
      </w:r>
      <w:r w:rsidR="004E0EAB" w:rsidRPr="000F492E">
        <w:t xml:space="preserve">the </w:t>
      </w:r>
      <w:r w:rsidR="000F492E" w:rsidRPr="000F492E">
        <w:t xml:space="preserve">clinicians present at the </w:t>
      </w:r>
      <w:r w:rsidR="004E0EAB" w:rsidRPr="000F492E">
        <w:t>stakeholder meeting</w:t>
      </w:r>
      <w:r w:rsidR="000F492E" w:rsidRPr="000F492E">
        <w:t xml:space="preserve"> that </w:t>
      </w:r>
      <w:r w:rsidR="00D73B2A" w:rsidRPr="000F492E">
        <w:t xml:space="preserve">there should </w:t>
      </w:r>
      <w:r w:rsidR="00D73B2A" w:rsidRPr="00A94641">
        <w:t xml:space="preserve">be robust stopping rules to prevent ongoing use, noting that it would be harder to cease treatment in </w:t>
      </w:r>
      <w:r w:rsidR="00610C43" w:rsidRPr="00A94641">
        <w:t xml:space="preserve">patients </w:t>
      </w:r>
      <w:r w:rsidR="00610C43">
        <w:t xml:space="preserve">whose condition is </w:t>
      </w:r>
      <w:r w:rsidR="00D73B2A" w:rsidRPr="00A94641">
        <w:t>refractory.</w:t>
      </w:r>
      <w:r w:rsidR="0098136B" w:rsidRPr="00A94641">
        <w:t xml:space="preserve"> </w:t>
      </w:r>
      <w:bookmarkEnd w:id="109"/>
    </w:p>
    <w:p w14:paraId="33B31203" w14:textId="239C324B" w:rsidR="00E6027E" w:rsidRDefault="00AA2403" w:rsidP="005E3427">
      <w:pPr>
        <w:pStyle w:val="3-BodyText"/>
        <w:rPr>
          <w:snapToGrid w:val="0"/>
          <w:lang w:val="en-GB"/>
        </w:rPr>
      </w:pPr>
      <w:bookmarkStart w:id="110" w:name="_Hlk174016148"/>
      <w:r w:rsidRPr="00A94641">
        <w:rPr>
          <w:snapToGrid w:val="0"/>
          <w:lang w:val="en-GB"/>
        </w:rPr>
        <w:t>In</w:t>
      </w:r>
      <w:r w:rsidRPr="00A94641">
        <w:t xml:space="preserve"> terms of </w:t>
      </w:r>
      <w:r w:rsidR="008D78B1" w:rsidRPr="00A94641">
        <w:t xml:space="preserve">the </w:t>
      </w:r>
      <w:r w:rsidRPr="00A94641">
        <w:t xml:space="preserve">continuation criteria for assessing </w:t>
      </w:r>
      <w:r w:rsidR="00FF66CA">
        <w:t xml:space="preserve">treatment </w:t>
      </w:r>
      <w:r w:rsidRPr="00A94641">
        <w:t>response</w:t>
      </w:r>
      <w:r w:rsidR="00961192">
        <w:t xml:space="preserve"> </w:t>
      </w:r>
      <w:bookmarkStart w:id="111" w:name="_Hlk174264636"/>
      <w:r w:rsidR="00961192">
        <w:t>(i.e. t</w:t>
      </w:r>
      <w:r w:rsidR="000B4777">
        <w:t>o require cessation in p</w:t>
      </w:r>
      <w:r w:rsidR="000B4777" w:rsidRPr="000B4777">
        <w:t xml:space="preserve">atients </w:t>
      </w:r>
      <w:r w:rsidR="000B4777">
        <w:t>who experience</w:t>
      </w:r>
      <w:r w:rsidR="000B4777" w:rsidRPr="000B4777">
        <w:t xml:space="preserve"> an inadequate response</w:t>
      </w:r>
      <w:r w:rsidR="000B4777">
        <w:t>)</w:t>
      </w:r>
      <w:bookmarkEnd w:id="111"/>
      <w:r w:rsidRPr="00A94641">
        <w:t xml:space="preserve">, the PBAC </w:t>
      </w:r>
      <w:r w:rsidR="00B76697" w:rsidRPr="00A94641">
        <w:t xml:space="preserve">noted that the pre-PBAC response proposed </w:t>
      </w:r>
      <w:r w:rsidR="00FF66CA">
        <w:t xml:space="preserve">that </w:t>
      </w:r>
      <w:r w:rsidR="00B76697" w:rsidRPr="00A94641">
        <w:t xml:space="preserve">a </w:t>
      </w:r>
      <w:r w:rsidR="006D59C2" w:rsidRPr="00A94641">
        <w:t>3</w:t>
      </w:r>
      <w:r w:rsidR="00267A64">
        <w:t>-</w:t>
      </w:r>
      <w:r w:rsidR="006D59C2" w:rsidRPr="00A94641">
        <w:t xml:space="preserve">point </w:t>
      </w:r>
      <w:r w:rsidR="00B76697" w:rsidRPr="00A94641">
        <w:t xml:space="preserve">reduction in </w:t>
      </w:r>
      <w:r w:rsidR="006D59C2" w:rsidRPr="00A94641">
        <w:t xml:space="preserve">MG-ADL </w:t>
      </w:r>
      <w:r w:rsidR="00B76697" w:rsidRPr="00A94641">
        <w:t>from baseline</w:t>
      </w:r>
      <w:r w:rsidR="00FF66CA">
        <w:t xml:space="preserve"> would be required for on-going treatment</w:t>
      </w:r>
      <w:r w:rsidR="00221EA4">
        <w:t xml:space="preserve"> (assessed every 24 weeks)</w:t>
      </w:r>
      <w:r w:rsidR="00B76697" w:rsidRPr="00A94641">
        <w:t>. However, the PBAC considered</w:t>
      </w:r>
      <w:r w:rsidR="00B76697">
        <w:t xml:space="preserve"> this </w:t>
      </w:r>
      <w:r w:rsidR="00A32DD1">
        <w:t xml:space="preserve">required further consideration as it </w:t>
      </w:r>
      <w:r w:rsidR="00B76697">
        <w:t xml:space="preserve">would mean that almost </w:t>
      </w:r>
      <w:r w:rsidR="008D78B1">
        <w:t>half</w:t>
      </w:r>
      <w:r w:rsidR="00B76697">
        <w:t xml:space="preserve"> of patients would be continuing based on the placebo effect alone, given </w:t>
      </w:r>
      <w:r w:rsidR="00610C43">
        <w:t xml:space="preserve">46.1% of patients in the placebo arm achieved this response level in the RAISE trial (versus </w:t>
      </w:r>
      <w:r w:rsidR="0098136B" w:rsidRPr="00B76697">
        <w:t>73</w:t>
      </w:r>
      <w:r w:rsidR="008D78B1">
        <w:t>.1</w:t>
      </w:r>
      <w:r w:rsidR="0098136B" w:rsidRPr="00B76697">
        <w:t xml:space="preserve">% </w:t>
      </w:r>
      <w:r w:rsidR="00610C43">
        <w:t xml:space="preserve">in </w:t>
      </w:r>
      <w:r w:rsidR="0098136B" w:rsidRPr="00B76697">
        <w:t xml:space="preserve">the </w:t>
      </w:r>
      <w:r w:rsidRPr="00B76697">
        <w:t>z</w:t>
      </w:r>
      <w:r w:rsidR="0098136B" w:rsidRPr="00B76697">
        <w:t>ilu</w:t>
      </w:r>
      <w:r w:rsidR="008D77BB" w:rsidRPr="00B76697">
        <w:t>coplan</w:t>
      </w:r>
      <w:r w:rsidR="0098136B" w:rsidRPr="00B76697">
        <w:t xml:space="preserve"> group</w:t>
      </w:r>
      <w:r w:rsidR="008D78B1">
        <w:t>,</w:t>
      </w:r>
      <w:r w:rsidR="006640CA" w:rsidRPr="00B76697">
        <w:t xml:space="preserve"> </w:t>
      </w:r>
      <w:r w:rsidR="00267A64">
        <w:t xml:space="preserve">based on the proportion of patients with a </w:t>
      </w:r>
      <w:r w:rsidR="00267A64" w:rsidRPr="008D78B1">
        <w:t>≥</w:t>
      </w:r>
      <w:r w:rsidR="00267A64">
        <w:t> </w:t>
      </w:r>
      <w:r w:rsidR="00267A64" w:rsidRPr="008D78B1">
        <w:t>3</w:t>
      </w:r>
      <w:r w:rsidR="00267A64">
        <w:noBreakHyphen/>
      </w:r>
      <w:r w:rsidR="00267A64" w:rsidRPr="008D78B1">
        <w:t>point reduction in MG-ADL score from baseline to Week 12</w:t>
      </w:r>
      <w:r w:rsidR="00267A64">
        <w:t>)</w:t>
      </w:r>
      <w:r w:rsidR="00B76697">
        <w:t>.</w:t>
      </w:r>
      <w:r w:rsidR="00E6027E" w:rsidRPr="007648BF">
        <w:rPr>
          <w:snapToGrid w:val="0"/>
          <w:lang w:val="en-GB"/>
        </w:rPr>
        <w:t xml:space="preserve"> </w:t>
      </w:r>
    </w:p>
    <w:p w14:paraId="12A74DED" w14:textId="57840994" w:rsidR="00A32DD1" w:rsidRPr="007648BF" w:rsidRDefault="00A32DD1" w:rsidP="005E3427">
      <w:pPr>
        <w:pStyle w:val="3-BodyText"/>
        <w:rPr>
          <w:snapToGrid w:val="0"/>
          <w:lang w:val="en-GB"/>
        </w:rPr>
      </w:pPr>
      <w:bookmarkStart w:id="112" w:name="_Hlk174099078"/>
      <w:bookmarkEnd w:id="110"/>
      <w:r>
        <w:rPr>
          <w:snapToGrid w:val="0"/>
          <w:lang w:val="en-GB"/>
        </w:rPr>
        <w:t xml:space="preserve">The PBAC </w:t>
      </w:r>
      <w:r w:rsidR="00F34140">
        <w:rPr>
          <w:snapToGrid w:val="0"/>
          <w:lang w:val="en-GB"/>
        </w:rPr>
        <w:t>advis</w:t>
      </w:r>
      <w:r>
        <w:rPr>
          <w:snapToGrid w:val="0"/>
          <w:lang w:val="en-GB"/>
        </w:rPr>
        <w:t xml:space="preserve">ed a resubmission </w:t>
      </w:r>
      <w:r w:rsidR="00F34140">
        <w:rPr>
          <w:snapToGrid w:val="0"/>
          <w:lang w:val="en-GB"/>
        </w:rPr>
        <w:t>should</w:t>
      </w:r>
      <w:r>
        <w:rPr>
          <w:snapToGrid w:val="0"/>
          <w:lang w:val="en-GB"/>
        </w:rPr>
        <w:t xml:space="preserve"> identify </w:t>
      </w:r>
      <w:r w:rsidR="00F34140">
        <w:rPr>
          <w:snapToGrid w:val="0"/>
          <w:lang w:val="en-GB"/>
        </w:rPr>
        <w:t>how initia</w:t>
      </w:r>
      <w:r w:rsidR="00DD03E3">
        <w:rPr>
          <w:snapToGrid w:val="0"/>
          <w:lang w:val="en-GB"/>
        </w:rPr>
        <w:t>l</w:t>
      </w:r>
      <w:r w:rsidR="00F34140">
        <w:rPr>
          <w:snapToGrid w:val="0"/>
          <w:lang w:val="en-GB"/>
        </w:rPr>
        <w:t xml:space="preserve"> and continuing </w:t>
      </w:r>
      <w:r w:rsidR="00DD03E3">
        <w:rPr>
          <w:snapToGrid w:val="0"/>
          <w:lang w:val="en-GB"/>
        </w:rPr>
        <w:t xml:space="preserve">treatment </w:t>
      </w:r>
      <w:r>
        <w:rPr>
          <w:snapToGrid w:val="0"/>
          <w:lang w:val="en-GB"/>
        </w:rPr>
        <w:t xml:space="preserve">criteria </w:t>
      </w:r>
      <w:r w:rsidR="00F34140">
        <w:rPr>
          <w:snapToGrid w:val="0"/>
          <w:lang w:val="en-GB"/>
        </w:rPr>
        <w:t xml:space="preserve">may differ </w:t>
      </w:r>
      <w:r>
        <w:rPr>
          <w:snapToGrid w:val="0"/>
          <w:lang w:val="en-GB"/>
        </w:rPr>
        <w:t xml:space="preserve">for refractory </w:t>
      </w:r>
      <w:r w:rsidR="00F34140">
        <w:rPr>
          <w:snapToGrid w:val="0"/>
          <w:lang w:val="en-GB"/>
        </w:rPr>
        <w:t>and</w:t>
      </w:r>
      <w:r>
        <w:rPr>
          <w:snapToGrid w:val="0"/>
          <w:lang w:val="en-GB"/>
        </w:rPr>
        <w:t xml:space="preserve"> non-refractory patients</w:t>
      </w:r>
      <w:r w:rsidR="00F34140">
        <w:rPr>
          <w:snapToGrid w:val="0"/>
          <w:lang w:val="en-GB"/>
        </w:rPr>
        <w:t>, and whether there is evidence to support use in gMG exacerbations/crises</w:t>
      </w:r>
      <w:r w:rsidR="00DD03E3">
        <w:rPr>
          <w:snapToGrid w:val="0"/>
          <w:lang w:val="en-GB"/>
        </w:rPr>
        <w:t xml:space="preserve"> or if this setting should be </w:t>
      </w:r>
      <w:r w:rsidR="0090504F">
        <w:rPr>
          <w:snapToGrid w:val="0"/>
          <w:lang w:val="en-GB"/>
        </w:rPr>
        <w:t xml:space="preserve">explicitly </w:t>
      </w:r>
      <w:r w:rsidR="00DD03E3">
        <w:rPr>
          <w:snapToGrid w:val="0"/>
          <w:lang w:val="en-GB"/>
        </w:rPr>
        <w:t>excluded</w:t>
      </w:r>
      <w:r w:rsidR="00F34140">
        <w:rPr>
          <w:snapToGrid w:val="0"/>
          <w:lang w:val="en-GB"/>
        </w:rPr>
        <w:t>.</w:t>
      </w:r>
      <w:r>
        <w:rPr>
          <w:snapToGrid w:val="0"/>
          <w:lang w:val="en-GB"/>
        </w:rPr>
        <w:t xml:space="preserve"> </w:t>
      </w:r>
      <w:r w:rsidR="0090504F">
        <w:rPr>
          <w:snapToGrid w:val="0"/>
          <w:lang w:val="en-GB"/>
        </w:rPr>
        <w:t xml:space="preserve">As discussed in paragraph </w:t>
      </w:r>
      <w:r w:rsidR="0090504F">
        <w:rPr>
          <w:snapToGrid w:val="0"/>
          <w:lang w:val="en-GB"/>
        </w:rPr>
        <w:fldChar w:fldCharType="begin" w:fldLock="1"/>
      </w:r>
      <w:r w:rsidR="0090504F">
        <w:rPr>
          <w:snapToGrid w:val="0"/>
          <w:lang w:val="en-GB"/>
        </w:rPr>
        <w:instrText xml:space="preserve"> REF _Ref174093151 \r \h </w:instrText>
      </w:r>
      <w:r w:rsidR="005E3427">
        <w:rPr>
          <w:snapToGrid w:val="0"/>
          <w:lang w:val="en-GB"/>
        </w:rPr>
        <w:instrText xml:space="preserve"> \* MERGEFORMAT </w:instrText>
      </w:r>
      <w:r w:rsidR="0090504F">
        <w:rPr>
          <w:snapToGrid w:val="0"/>
          <w:lang w:val="en-GB"/>
        </w:rPr>
      </w:r>
      <w:r w:rsidR="0090504F">
        <w:rPr>
          <w:snapToGrid w:val="0"/>
          <w:lang w:val="en-GB"/>
        </w:rPr>
        <w:fldChar w:fldCharType="separate"/>
      </w:r>
      <w:r w:rsidR="00FC355E">
        <w:rPr>
          <w:snapToGrid w:val="0"/>
          <w:lang w:val="en-GB"/>
        </w:rPr>
        <w:t>7.21</w:t>
      </w:r>
      <w:r w:rsidR="0090504F">
        <w:rPr>
          <w:snapToGrid w:val="0"/>
          <w:lang w:val="en-GB"/>
        </w:rPr>
        <w:fldChar w:fldCharType="end"/>
      </w:r>
      <w:r w:rsidR="0090504F">
        <w:rPr>
          <w:snapToGrid w:val="0"/>
          <w:lang w:val="en-GB"/>
        </w:rPr>
        <w:t xml:space="preserve">, a resubmission should give further consideration to the place in therapy, as it was noted that access to chronic IVIg/PLEX </w:t>
      </w:r>
      <w:r w:rsidR="005D179C">
        <w:rPr>
          <w:snapToGrid w:val="0"/>
          <w:lang w:val="en-GB"/>
        </w:rPr>
        <w:t>can be</w:t>
      </w:r>
      <w:r w:rsidR="0090504F">
        <w:rPr>
          <w:snapToGrid w:val="0"/>
          <w:lang w:val="en-GB"/>
        </w:rPr>
        <w:t xml:space="preserve"> difficult and </w:t>
      </w:r>
      <w:r w:rsidR="00F31D45">
        <w:rPr>
          <w:snapToGrid w:val="0"/>
          <w:lang w:val="en-GB"/>
        </w:rPr>
        <w:t xml:space="preserve">thus </w:t>
      </w:r>
      <w:r w:rsidR="0090504F">
        <w:rPr>
          <w:snapToGrid w:val="0"/>
          <w:lang w:val="en-GB"/>
        </w:rPr>
        <w:t xml:space="preserve">there is a higher clinical need for effective therapies </w:t>
      </w:r>
      <w:r w:rsidR="00F31D45">
        <w:rPr>
          <w:snapToGrid w:val="0"/>
          <w:lang w:val="en-GB"/>
        </w:rPr>
        <w:t xml:space="preserve">in </w:t>
      </w:r>
      <w:r w:rsidR="000554F5">
        <w:rPr>
          <w:snapToGrid w:val="0"/>
          <w:lang w:val="en-GB"/>
        </w:rPr>
        <w:t>patients who would otherwise be treated with IVIg/PLEX</w:t>
      </w:r>
      <w:r w:rsidR="00F31D45">
        <w:rPr>
          <w:snapToGrid w:val="0"/>
          <w:lang w:val="en-GB"/>
        </w:rPr>
        <w:t>.</w:t>
      </w:r>
    </w:p>
    <w:bookmarkEnd w:id="112"/>
    <w:p w14:paraId="087B95F5" w14:textId="2B889425" w:rsidR="009E5314" w:rsidRPr="005734E7" w:rsidRDefault="00E13555" w:rsidP="005E3427">
      <w:pPr>
        <w:pStyle w:val="3-BodyText"/>
        <w:rPr>
          <w:snapToGrid w:val="0"/>
          <w:lang w:val="en-GB"/>
        </w:rPr>
      </w:pPr>
      <w:r w:rsidRPr="005734E7">
        <w:rPr>
          <w:snapToGrid w:val="0"/>
          <w:lang w:val="en-GB"/>
        </w:rPr>
        <w:t xml:space="preserve">The PBAC noted that the submission nominated placebo </w:t>
      </w:r>
      <w:r w:rsidR="00C00651" w:rsidRPr="005734E7">
        <w:rPr>
          <w:snapToGrid w:val="0"/>
          <w:lang w:val="en-GB"/>
        </w:rPr>
        <w:t xml:space="preserve">(standard therapy alone) </w:t>
      </w:r>
      <w:r w:rsidRPr="005734E7">
        <w:rPr>
          <w:snapToGrid w:val="0"/>
          <w:lang w:val="en-GB"/>
        </w:rPr>
        <w:t>as the main comparator</w:t>
      </w:r>
      <w:r w:rsidR="001F29B2" w:rsidRPr="005734E7">
        <w:rPr>
          <w:snapToGrid w:val="0"/>
          <w:lang w:val="en-GB"/>
        </w:rPr>
        <w:t xml:space="preserve"> </w:t>
      </w:r>
      <w:r w:rsidR="001F29B2" w:rsidRPr="00BD7A2D">
        <w:t>and chronic IVIg</w:t>
      </w:r>
      <w:r w:rsidR="00DC3590" w:rsidRPr="00BD7A2D">
        <w:t xml:space="preserve"> and </w:t>
      </w:r>
      <w:r w:rsidR="001F29B2" w:rsidRPr="00BD7A2D">
        <w:t>PLEX as secondary comparators</w:t>
      </w:r>
      <w:r w:rsidR="00805DEB" w:rsidRPr="00BD7A2D">
        <w:t xml:space="preserve">. </w:t>
      </w:r>
      <w:r w:rsidR="00F34140">
        <w:t>The PBAC noted the ESC</w:t>
      </w:r>
      <w:r w:rsidR="00C3290C">
        <w:t>’s</w:t>
      </w:r>
      <w:r w:rsidR="00F34140">
        <w:t xml:space="preserve"> concern regarding placebo as a comparator when other </w:t>
      </w:r>
      <w:r w:rsidR="00CC4227">
        <w:t>treatment options and optimisation of existing therapies may not have been tried</w:t>
      </w:r>
      <w:r w:rsidR="00F34140">
        <w:t xml:space="preserve">. </w:t>
      </w:r>
      <w:r w:rsidR="007B20F4">
        <w:t xml:space="preserve">As such, the PBAC considered for the non-refractory group, the comparator should be optimisation of existing therapies. </w:t>
      </w:r>
      <w:bookmarkStart w:id="113" w:name="_Hlk174696947"/>
      <w:r w:rsidR="00CB1370">
        <w:t>For refractory patients</w:t>
      </w:r>
      <w:r w:rsidR="007B20F4">
        <w:t xml:space="preserve"> and those who are unable to use or not responding to existing therapies</w:t>
      </w:r>
      <w:r w:rsidR="00CB1370">
        <w:t xml:space="preserve">, the PBAC acknowledged </w:t>
      </w:r>
      <w:r w:rsidR="00CB1370" w:rsidRPr="005734E7">
        <w:rPr>
          <w:snapToGrid w:val="0"/>
          <w:lang w:val="en-GB"/>
        </w:rPr>
        <w:t>that</w:t>
      </w:r>
      <w:r w:rsidR="00CB1370" w:rsidRPr="005734E7">
        <w:rPr>
          <w:lang w:val="en-GB"/>
        </w:rPr>
        <w:t xml:space="preserve"> there are variations in access to IVIg/PLEX, and that any clinical comparisons may be limited by the lack of evidence for IVIg/PLEX. </w:t>
      </w:r>
      <w:r w:rsidR="00CB1370">
        <w:t>As such</w:t>
      </w:r>
      <w:r w:rsidR="00F34140">
        <w:t xml:space="preserve">, the PBAC considered </w:t>
      </w:r>
      <w:r w:rsidR="00BF43F9">
        <w:t xml:space="preserve">that </w:t>
      </w:r>
      <w:r w:rsidR="005D179C">
        <w:t>placebo may be a reasonable comparator in</w:t>
      </w:r>
      <w:r w:rsidR="00F34140">
        <w:t xml:space="preserve"> </w:t>
      </w:r>
      <w:r w:rsidR="005734E7">
        <w:t>this group</w:t>
      </w:r>
      <w:r w:rsidR="00A9102D">
        <w:t xml:space="preserve">. </w:t>
      </w:r>
      <w:r w:rsidR="00805DEB" w:rsidRPr="005734E7">
        <w:rPr>
          <w:lang w:val="en-GB"/>
        </w:rPr>
        <w:t>However, the PBAC</w:t>
      </w:r>
      <w:r w:rsidR="001F29B2" w:rsidRPr="005734E7">
        <w:rPr>
          <w:lang w:val="en-GB"/>
        </w:rPr>
        <w:t xml:space="preserve"> considered </w:t>
      </w:r>
      <w:r w:rsidR="00805DEB" w:rsidRPr="005734E7">
        <w:rPr>
          <w:lang w:val="en-GB"/>
        </w:rPr>
        <w:t>that</w:t>
      </w:r>
      <w:r w:rsidR="00735BD9" w:rsidRPr="005734E7">
        <w:rPr>
          <w:lang w:val="en-GB"/>
        </w:rPr>
        <w:t xml:space="preserve"> chronic</w:t>
      </w:r>
      <w:r w:rsidR="00805DEB" w:rsidRPr="005734E7">
        <w:rPr>
          <w:lang w:val="en-GB"/>
        </w:rPr>
        <w:t xml:space="preserve"> IVIg/PLEX </w:t>
      </w:r>
      <w:r w:rsidR="00CC4227" w:rsidRPr="005734E7">
        <w:rPr>
          <w:lang w:val="en-GB"/>
        </w:rPr>
        <w:t xml:space="preserve">remained a relevant comparator </w:t>
      </w:r>
      <w:r w:rsidR="00F31D45" w:rsidRPr="005734E7">
        <w:rPr>
          <w:lang w:val="en-GB"/>
        </w:rPr>
        <w:t>for providing</w:t>
      </w:r>
      <w:r w:rsidR="001F29B2" w:rsidRPr="005734E7">
        <w:rPr>
          <w:lang w:val="en-GB"/>
        </w:rPr>
        <w:t xml:space="preserve"> a frame of reference</w:t>
      </w:r>
      <w:r w:rsidR="00805DEB" w:rsidRPr="005734E7">
        <w:rPr>
          <w:lang w:val="en-GB"/>
        </w:rPr>
        <w:t xml:space="preserve"> </w:t>
      </w:r>
      <w:r w:rsidR="00735BD9" w:rsidRPr="005734E7">
        <w:rPr>
          <w:lang w:val="en-GB"/>
        </w:rPr>
        <w:t>for interpreting the cost per patient of zilucoplan</w:t>
      </w:r>
      <w:r w:rsidR="00F34140" w:rsidRPr="005734E7">
        <w:rPr>
          <w:lang w:val="en-GB"/>
        </w:rPr>
        <w:t xml:space="preserve"> in the refractory setting</w:t>
      </w:r>
      <w:r w:rsidR="00735BD9" w:rsidRPr="005734E7">
        <w:rPr>
          <w:lang w:val="en-GB"/>
        </w:rPr>
        <w:t>.</w:t>
      </w:r>
      <w:bookmarkEnd w:id="113"/>
    </w:p>
    <w:p w14:paraId="6F786581" w14:textId="50AD861E" w:rsidR="00B833E9" w:rsidRPr="00B833E9" w:rsidRDefault="00B57C74" w:rsidP="005E3427">
      <w:pPr>
        <w:pStyle w:val="3-BodyText"/>
        <w:rPr>
          <w:lang w:val="en-GB"/>
        </w:rPr>
      </w:pPr>
      <w:r w:rsidRPr="007F0649">
        <w:rPr>
          <w:snapToGrid w:val="0"/>
        </w:rPr>
        <w:t xml:space="preserve">The PBAC considered the clinical claim </w:t>
      </w:r>
      <w:r w:rsidR="00B833E9">
        <w:rPr>
          <w:snapToGrid w:val="0"/>
        </w:rPr>
        <w:t xml:space="preserve">that zilucoplan </w:t>
      </w:r>
      <w:r w:rsidR="003C40A2">
        <w:rPr>
          <w:snapToGrid w:val="0"/>
        </w:rPr>
        <w:t xml:space="preserve">has </w:t>
      </w:r>
      <w:r>
        <w:rPr>
          <w:snapToGrid w:val="0"/>
        </w:rPr>
        <w:t>superior</w:t>
      </w:r>
      <w:r w:rsidR="00B833E9">
        <w:rPr>
          <w:snapToGrid w:val="0"/>
        </w:rPr>
        <w:t xml:space="preserve"> </w:t>
      </w:r>
      <w:r>
        <w:rPr>
          <w:snapToGrid w:val="0"/>
        </w:rPr>
        <w:t xml:space="preserve">efficacy </w:t>
      </w:r>
      <w:r w:rsidR="00B833E9">
        <w:rPr>
          <w:snapToGrid w:val="0"/>
        </w:rPr>
        <w:t>versus</w:t>
      </w:r>
      <w:r w:rsidRPr="007F0649">
        <w:rPr>
          <w:snapToGrid w:val="0"/>
        </w:rPr>
        <w:t xml:space="preserve"> </w:t>
      </w:r>
      <w:r>
        <w:rPr>
          <w:snapToGrid w:val="0"/>
        </w:rPr>
        <w:t>placebo</w:t>
      </w:r>
      <w:r w:rsidRPr="007F0649">
        <w:rPr>
          <w:snapToGrid w:val="0"/>
        </w:rPr>
        <w:t xml:space="preserve"> was reasonable</w:t>
      </w:r>
      <w:r>
        <w:rPr>
          <w:snapToGrid w:val="0"/>
        </w:rPr>
        <w:t>, however the benefit is likely modest</w:t>
      </w:r>
      <w:r w:rsidR="00B833E9">
        <w:rPr>
          <w:snapToGrid w:val="0"/>
        </w:rPr>
        <w:t>.</w:t>
      </w:r>
      <w:r>
        <w:rPr>
          <w:snapToGrid w:val="0"/>
        </w:rPr>
        <w:t xml:space="preserve"> </w:t>
      </w:r>
      <w:r w:rsidR="00C00651" w:rsidRPr="001F4980">
        <w:rPr>
          <w:snapToGrid w:val="0"/>
        </w:rPr>
        <w:t xml:space="preserve">The PBAC noted that the clinical claim was based on the </w:t>
      </w:r>
      <w:r w:rsidR="00C00651">
        <w:rPr>
          <w:snapToGrid w:val="0"/>
        </w:rPr>
        <w:t>RAISE</w:t>
      </w:r>
      <w:r w:rsidR="00C00651" w:rsidRPr="001F4980">
        <w:rPr>
          <w:snapToGrid w:val="0"/>
        </w:rPr>
        <w:t xml:space="preserve"> trial, a randomised, double-blind trial comparing </w:t>
      </w:r>
      <w:r w:rsidR="00C00651">
        <w:rPr>
          <w:snapToGrid w:val="0"/>
        </w:rPr>
        <w:t xml:space="preserve">zilucoplan </w:t>
      </w:r>
      <w:r w:rsidR="00C00651" w:rsidRPr="001F4980">
        <w:rPr>
          <w:snapToGrid w:val="0"/>
        </w:rPr>
        <w:t xml:space="preserve">with placebo for </w:t>
      </w:r>
      <w:r w:rsidR="00C00651">
        <w:rPr>
          <w:snapToGrid w:val="0"/>
        </w:rPr>
        <w:t>12</w:t>
      </w:r>
      <w:r w:rsidR="00C00651" w:rsidRPr="001F4980">
        <w:rPr>
          <w:snapToGrid w:val="0"/>
        </w:rPr>
        <w:t xml:space="preserve"> weeks.</w:t>
      </w:r>
      <w:r w:rsidR="00C00651">
        <w:rPr>
          <w:snapToGrid w:val="0"/>
        </w:rPr>
        <w:t xml:space="preserve"> </w:t>
      </w:r>
      <w:r w:rsidR="00B833E9" w:rsidRPr="007F52A5">
        <w:rPr>
          <w:rFonts w:eastAsia="Calibri"/>
        </w:rPr>
        <w:t>The primary outcome was statistically significant (mean difference in the MG-ADL score of -2.09 (95% CI: -3.24, -0.95)</w:t>
      </w:r>
      <w:r w:rsidR="00C00651" w:rsidRPr="00C00651">
        <w:rPr>
          <w:rFonts w:eastAsia="Calibri"/>
        </w:rPr>
        <w:t xml:space="preserve"> </w:t>
      </w:r>
      <w:r w:rsidR="00C00651" w:rsidRPr="002E6C57">
        <w:rPr>
          <w:rFonts w:eastAsia="Calibri"/>
        </w:rPr>
        <w:t>from baseline to Week 12</w:t>
      </w:r>
      <w:r w:rsidR="00B833E9" w:rsidRPr="007F52A5">
        <w:rPr>
          <w:rFonts w:eastAsia="Calibri"/>
        </w:rPr>
        <w:t xml:space="preserve">), and the mean difference exceeded the MCID in the MG-ADL instrument (which is a ≥ 2-point reduction). However, the </w:t>
      </w:r>
      <w:r w:rsidR="00B833E9">
        <w:rPr>
          <w:rFonts w:eastAsia="Calibri"/>
        </w:rPr>
        <w:t>PBAC</w:t>
      </w:r>
      <w:r w:rsidR="00B833E9" w:rsidRPr="007F52A5">
        <w:rPr>
          <w:rFonts w:eastAsia="Calibri"/>
        </w:rPr>
        <w:t xml:space="preserve"> noted the high placebo response </w:t>
      </w:r>
      <w:r w:rsidR="003C40A2">
        <w:rPr>
          <w:rFonts w:eastAsia="Calibri"/>
        </w:rPr>
        <w:t xml:space="preserve">rate </w:t>
      </w:r>
      <w:r w:rsidR="00B833E9" w:rsidRPr="007F52A5">
        <w:rPr>
          <w:rFonts w:eastAsia="Calibri"/>
        </w:rPr>
        <w:t>and that</w:t>
      </w:r>
      <w:r w:rsidR="00B833E9" w:rsidRPr="007F52A5">
        <w:t xml:space="preserve"> </w:t>
      </w:r>
      <w:r w:rsidR="00B833E9" w:rsidRPr="007F52A5">
        <w:rPr>
          <w:rFonts w:eastAsia="Calibri"/>
        </w:rPr>
        <w:t>zilucoplan was associated with only a 16.</w:t>
      </w:r>
      <w:r w:rsidR="00097178" w:rsidRPr="007F52A5">
        <w:rPr>
          <w:rFonts w:eastAsia="Calibri"/>
        </w:rPr>
        <w:t>5</w:t>
      </w:r>
      <w:r w:rsidR="00097178">
        <w:rPr>
          <w:rFonts w:eastAsia="Calibri"/>
        </w:rPr>
        <w:t> </w:t>
      </w:r>
      <w:r w:rsidR="00B833E9">
        <w:rPr>
          <w:rFonts w:eastAsia="Calibri"/>
        </w:rPr>
        <w:t>percentage point</w:t>
      </w:r>
      <w:r w:rsidR="00B833E9" w:rsidRPr="007F52A5">
        <w:rPr>
          <w:rFonts w:eastAsia="Calibri"/>
        </w:rPr>
        <w:t xml:space="preserve"> increase in the proportion</w:t>
      </w:r>
      <w:r w:rsidR="00B833E9">
        <w:rPr>
          <w:rFonts w:eastAsia="Calibri"/>
        </w:rPr>
        <w:t xml:space="preserve"> of patients achieving the MCID of a</w:t>
      </w:r>
      <w:r w:rsidR="00B833E9" w:rsidRPr="007F52A5">
        <w:rPr>
          <w:rFonts w:eastAsia="Calibri"/>
        </w:rPr>
        <w:t xml:space="preserve"> ≥</w:t>
      </w:r>
      <w:r w:rsidR="00B833E9">
        <w:rPr>
          <w:rFonts w:eastAsia="Calibri"/>
        </w:rPr>
        <w:t> </w:t>
      </w:r>
      <w:r w:rsidR="00B833E9" w:rsidRPr="007F52A5">
        <w:rPr>
          <w:rFonts w:eastAsia="Calibri"/>
        </w:rPr>
        <w:t>2</w:t>
      </w:r>
      <w:r w:rsidR="00B833E9">
        <w:rPr>
          <w:rFonts w:eastAsia="Calibri"/>
        </w:rPr>
        <w:noBreakHyphen/>
      </w:r>
      <w:r w:rsidR="00B833E9" w:rsidRPr="007F52A5">
        <w:rPr>
          <w:rFonts w:eastAsia="Calibri"/>
        </w:rPr>
        <w:t xml:space="preserve">point reduction in MG-ADL scores from baseline to Week 12 (74.4% versus 57.9% </w:t>
      </w:r>
      <w:r w:rsidR="00B833E9">
        <w:rPr>
          <w:rFonts w:eastAsia="Calibri"/>
        </w:rPr>
        <w:t>in the zilucoplan and placebo arms, respectively</w:t>
      </w:r>
      <w:r w:rsidR="00B833E9" w:rsidRPr="007F52A5">
        <w:rPr>
          <w:rFonts w:eastAsia="Calibri"/>
        </w:rPr>
        <w:t>)</w:t>
      </w:r>
      <w:r w:rsidR="00B833E9">
        <w:rPr>
          <w:rFonts w:eastAsia="Calibri"/>
        </w:rPr>
        <w:t xml:space="preserve">. While the incremental difference between the arms increased when the threshold increased to a </w:t>
      </w:r>
      <w:r w:rsidR="00B833E9" w:rsidRPr="00B833E9">
        <w:rPr>
          <w:rFonts w:eastAsia="Calibri"/>
        </w:rPr>
        <w:t xml:space="preserve">≥ </w:t>
      </w:r>
      <w:r w:rsidR="00B833E9">
        <w:rPr>
          <w:rFonts w:eastAsia="Calibri"/>
        </w:rPr>
        <w:t>3</w:t>
      </w:r>
      <w:r w:rsidR="00B833E9" w:rsidRPr="00B833E9">
        <w:rPr>
          <w:rFonts w:eastAsia="Calibri"/>
        </w:rPr>
        <w:t>-point reduction in MG-ADL scores</w:t>
      </w:r>
      <w:r w:rsidR="00B833E9">
        <w:rPr>
          <w:rFonts w:eastAsia="Calibri"/>
        </w:rPr>
        <w:t xml:space="preserve">, the proportion of patients achieving a response in the placebo arm remained high </w:t>
      </w:r>
      <w:r w:rsidR="003C40A2">
        <w:rPr>
          <w:rFonts w:eastAsia="Calibri"/>
        </w:rPr>
        <w:t xml:space="preserve">with 46.1% of patients in the placebo arm responding at this threshold </w:t>
      </w:r>
      <w:r w:rsidR="00B833E9" w:rsidRPr="007F52A5">
        <w:rPr>
          <w:rFonts w:eastAsia="Calibri"/>
        </w:rPr>
        <w:t>(</w:t>
      </w:r>
      <w:r w:rsidR="00B833E9">
        <w:rPr>
          <w:rFonts w:eastAsia="Calibri"/>
        </w:rPr>
        <w:t>73.1</w:t>
      </w:r>
      <w:r w:rsidR="00B833E9" w:rsidRPr="007F52A5">
        <w:rPr>
          <w:rFonts w:eastAsia="Calibri"/>
        </w:rPr>
        <w:t xml:space="preserve">% versus </w:t>
      </w:r>
      <w:r w:rsidR="00B833E9">
        <w:rPr>
          <w:rFonts w:eastAsia="Calibri"/>
        </w:rPr>
        <w:t>46.1</w:t>
      </w:r>
      <w:r w:rsidR="00B833E9" w:rsidRPr="007F52A5">
        <w:rPr>
          <w:rFonts w:eastAsia="Calibri"/>
        </w:rPr>
        <w:t>% at Week 12</w:t>
      </w:r>
      <w:r w:rsidR="003C40A2">
        <w:rPr>
          <w:rFonts w:eastAsia="Calibri"/>
        </w:rPr>
        <w:t xml:space="preserve"> in the zilucoplan and placebo arms</w:t>
      </w:r>
      <w:r w:rsidR="00B833E9" w:rsidRPr="007F52A5">
        <w:rPr>
          <w:rFonts w:eastAsia="Calibri"/>
        </w:rPr>
        <w:t xml:space="preserve">, a difference of </w:t>
      </w:r>
      <w:r w:rsidR="00B833E9">
        <w:rPr>
          <w:rFonts w:eastAsia="Calibri"/>
        </w:rPr>
        <w:t>27.0 percentage points</w:t>
      </w:r>
      <w:r w:rsidR="00B833E9" w:rsidRPr="007F52A5">
        <w:rPr>
          <w:rFonts w:eastAsia="Calibri"/>
        </w:rPr>
        <w:t>)</w:t>
      </w:r>
      <w:r w:rsidR="00B833E9">
        <w:rPr>
          <w:rFonts w:eastAsia="Calibri"/>
        </w:rPr>
        <w:t xml:space="preserve">. </w:t>
      </w:r>
    </w:p>
    <w:p w14:paraId="0272B280" w14:textId="15AD0027" w:rsidR="00F854FF" w:rsidRPr="00631D4E" w:rsidRDefault="004E4A96" w:rsidP="005E3427">
      <w:pPr>
        <w:pStyle w:val="3-BodyText"/>
        <w:rPr>
          <w:lang w:val="en-GB"/>
        </w:rPr>
      </w:pPr>
      <w:r w:rsidRPr="00623439">
        <w:rPr>
          <w:lang w:val="en-GB"/>
        </w:rPr>
        <w:t>The PBAC noted that some patients in the zilucoplan group in the trial still required IVIg or PLEX as rescue therapy</w:t>
      </w:r>
      <w:r>
        <w:rPr>
          <w:lang w:val="en-GB"/>
        </w:rPr>
        <w:t xml:space="preserve">, with </w:t>
      </w:r>
      <w:r w:rsidR="00221EA4">
        <w:t>the RAISE trial f</w:t>
      </w:r>
      <w:r>
        <w:t>inding</w:t>
      </w:r>
      <w:r w:rsidR="00221EA4" w:rsidRPr="00B162C2">
        <w:t xml:space="preserve"> no statistically significant difference in </w:t>
      </w:r>
      <w:r w:rsidR="00CD090E">
        <w:t xml:space="preserve">the </w:t>
      </w:r>
      <w:r>
        <w:t xml:space="preserve">use of </w:t>
      </w:r>
      <w:r w:rsidR="00221EA4" w:rsidRPr="00B162C2">
        <w:t xml:space="preserve">rescue medication </w:t>
      </w:r>
      <w:r w:rsidR="00221EA4">
        <w:t>(</w:t>
      </w:r>
      <w:r>
        <w:t xml:space="preserve">with </w:t>
      </w:r>
      <w:r w:rsidR="00221EA4">
        <w:t xml:space="preserve">IVIg, PLEX or eculizumab) </w:t>
      </w:r>
      <w:r w:rsidR="00221EA4" w:rsidRPr="00B162C2">
        <w:t>between treatment arms although results numerically favoured zilucoplan (</w:t>
      </w:r>
      <w:r w:rsidR="00221EA4">
        <w:t>cumulative p</w:t>
      </w:r>
      <w:r w:rsidR="00221EA4" w:rsidRPr="00E823F3">
        <w:t>roportion of patients receiving rescue therapy</w:t>
      </w:r>
      <w:r w:rsidR="00221EA4">
        <w:t xml:space="preserve"> by week 12,</w:t>
      </w:r>
      <w:r w:rsidR="00221EA4" w:rsidRPr="00E823F3">
        <w:t xml:space="preserve"> </w:t>
      </w:r>
      <w:r w:rsidR="00221EA4">
        <w:t xml:space="preserve">zilucoplan 4.7% versus placebo 11.4%: </w:t>
      </w:r>
      <w:r w:rsidR="00221EA4" w:rsidRPr="00B162C2">
        <w:t>HR 0.42; 95% CI 0.12, 1.20).</w:t>
      </w:r>
      <w:r w:rsidR="00B57C74" w:rsidRPr="00623439">
        <w:rPr>
          <w:lang w:val="en-GB"/>
        </w:rPr>
        <w:t xml:space="preserve"> </w:t>
      </w:r>
      <w:r w:rsidR="00623439" w:rsidRPr="00623439">
        <w:rPr>
          <w:lang w:val="en-GB"/>
        </w:rPr>
        <w:t xml:space="preserve">The </w:t>
      </w:r>
      <w:r>
        <w:rPr>
          <w:lang w:val="en-GB"/>
        </w:rPr>
        <w:t xml:space="preserve">PBAC noted that the </w:t>
      </w:r>
      <w:r w:rsidR="00623439" w:rsidRPr="00623439">
        <w:rPr>
          <w:snapToGrid w:val="0"/>
          <w:lang w:val="en-GB"/>
        </w:rPr>
        <w:t xml:space="preserve">number needed to treat to </w:t>
      </w:r>
      <w:r w:rsidR="00623439" w:rsidRPr="00623439">
        <w:rPr>
          <w:lang w:val="en-GB"/>
        </w:rPr>
        <w:t xml:space="preserve">avoid one patient requiring </w:t>
      </w:r>
      <w:r w:rsidR="00191B08">
        <w:rPr>
          <w:lang w:val="en-GB"/>
        </w:rPr>
        <w:t xml:space="preserve">rescue therapy (with </w:t>
      </w:r>
      <w:r w:rsidR="00623439" w:rsidRPr="00623439">
        <w:rPr>
          <w:lang w:val="en-GB"/>
        </w:rPr>
        <w:t>IVIg</w:t>
      </w:r>
      <w:r w:rsidR="00191B08">
        <w:rPr>
          <w:lang w:val="en-GB"/>
        </w:rPr>
        <w:t>,</w:t>
      </w:r>
      <w:r w:rsidR="00623439" w:rsidRPr="00623439">
        <w:rPr>
          <w:lang w:val="en-GB"/>
        </w:rPr>
        <w:t xml:space="preserve"> PLEX </w:t>
      </w:r>
      <w:r w:rsidR="00191B08">
        <w:rPr>
          <w:lang w:val="en-GB"/>
        </w:rPr>
        <w:t xml:space="preserve">or eculizumab) </w:t>
      </w:r>
      <w:r w:rsidR="00623439" w:rsidRPr="00623439">
        <w:rPr>
          <w:lang w:val="en-GB"/>
        </w:rPr>
        <w:t>was around 1</w:t>
      </w:r>
      <w:r w:rsidR="00191B08">
        <w:rPr>
          <w:lang w:val="en-GB"/>
        </w:rPr>
        <w:t>5</w:t>
      </w:r>
      <w:r w:rsidR="00623439" w:rsidRPr="00623439">
        <w:rPr>
          <w:lang w:val="en-GB"/>
        </w:rPr>
        <w:t xml:space="preserve"> in the total trial population, and 11 in the treatment-refractory subgroup</w:t>
      </w:r>
      <w:r w:rsidR="00CD090E" w:rsidRPr="00CD090E">
        <w:rPr>
          <w:lang w:val="en-GB"/>
        </w:rPr>
        <w:t xml:space="preserve"> </w:t>
      </w:r>
      <w:r w:rsidR="00CD090E">
        <w:rPr>
          <w:lang w:val="en-GB"/>
        </w:rPr>
        <w:t>(</w:t>
      </w:r>
      <w:r w:rsidR="00CD090E" w:rsidRPr="00623439">
        <w:rPr>
          <w:lang w:val="en-GB"/>
        </w:rPr>
        <w:t xml:space="preserve">see paragraph </w:t>
      </w:r>
      <w:r w:rsidR="00CD090E" w:rsidRPr="00623439">
        <w:rPr>
          <w:lang w:val="en-GB"/>
        </w:rPr>
        <w:fldChar w:fldCharType="begin" w:fldLock="1"/>
      </w:r>
      <w:r w:rsidR="00CD090E" w:rsidRPr="00623439">
        <w:rPr>
          <w:lang w:val="en-GB"/>
        </w:rPr>
        <w:instrText xml:space="preserve"> REF _Ref167112456 \r \h </w:instrText>
      </w:r>
      <w:r w:rsidR="005E3427">
        <w:rPr>
          <w:lang w:val="en-GB"/>
        </w:rPr>
        <w:instrText xml:space="preserve"> \* MERGEFORMAT </w:instrText>
      </w:r>
      <w:r w:rsidR="00CD090E" w:rsidRPr="00623439">
        <w:rPr>
          <w:lang w:val="en-GB"/>
        </w:rPr>
      </w:r>
      <w:r w:rsidR="00CD090E" w:rsidRPr="00623439">
        <w:rPr>
          <w:lang w:val="en-GB"/>
        </w:rPr>
        <w:fldChar w:fldCharType="separate"/>
      </w:r>
      <w:r w:rsidR="00FC355E">
        <w:rPr>
          <w:lang w:val="en-GB"/>
        </w:rPr>
        <w:t>6.28</w:t>
      </w:r>
      <w:r w:rsidR="00CD090E" w:rsidRPr="00623439">
        <w:rPr>
          <w:lang w:val="en-GB"/>
        </w:rPr>
        <w:fldChar w:fldCharType="end"/>
      </w:r>
      <w:r w:rsidR="00CD090E">
        <w:rPr>
          <w:lang w:val="en-GB"/>
        </w:rPr>
        <w:t>)</w:t>
      </w:r>
      <w:r w:rsidR="00191B08">
        <w:rPr>
          <w:lang w:val="en-GB"/>
        </w:rPr>
        <w:t xml:space="preserve">, </w:t>
      </w:r>
      <w:r w:rsidR="00191B08" w:rsidRPr="00631D4E">
        <w:rPr>
          <w:lang w:val="en-GB"/>
        </w:rPr>
        <w:t>although the PBAC noted the subgroup analysis was exploratory</w:t>
      </w:r>
      <w:r w:rsidR="00623439" w:rsidRPr="00631D4E">
        <w:rPr>
          <w:lang w:val="en-GB"/>
        </w:rPr>
        <w:t xml:space="preserve">. </w:t>
      </w:r>
    </w:p>
    <w:p w14:paraId="46FE8BE0" w14:textId="633AC69D" w:rsidR="006021F5" w:rsidRPr="00261FDB" w:rsidRDefault="006021F5" w:rsidP="005E3427">
      <w:pPr>
        <w:pStyle w:val="3-BodyText"/>
        <w:rPr>
          <w:lang w:val="en-GB"/>
        </w:rPr>
      </w:pPr>
      <w:r w:rsidRPr="00261FDB">
        <w:rPr>
          <w:lang w:val="en-GB"/>
        </w:rPr>
        <w:t xml:space="preserve">Further, the PBAC noted that clinicians and consumers had stated that the new therapies for gMG have rapid onsets of action and thus could be used </w:t>
      </w:r>
      <w:r>
        <w:t xml:space="preserve">early in combination with standard therapy while waiting for </w:t>
      </w:r>
      <w:r w:rsidRPr="0030537D">
        <w:rPr>
          <w:rFonts w:ascii="Calibri" w:hAnsi="Calibri"/>
        </w:rPr>
        <w:t>non-steroid immunosuppressants to induce</w:t>
      </w:r>
      <w:r>
        <w:rPr>
          <w:rFonts w:ascii="Calibri" w:hAnsi="Calibri"/>
        </w:rPr>
        <w:t xml:space="preserve"> remission. </w:t>
      </w:r>
      <w:r w:rsidRPr="00261FDB">
        <w:rPr>
          <w:lang w:val="en-GB"/>
        </w:rPr>
        <w:t xml:space="preserve">However, the PBAC noted that no evidence had been presented to specifically demonstrate the difference in onset of action between zilucoplan and </w:t>
      </w:r>
      <w:r w:rsidRPr="0030537D">
        <w:rPr>
          <w:rFonts w:ascii="Calibri" w:hAnsi="Calibri"/>
        </w:rPr>
        <w:t>non-steroid immunosuppressants</w:t>
      </w:r>
      <w:r w:rsidR="00484963">
        <w:rPr>
          <w:rFonts w:ascii="Calibri" w:hAnsi="Calibri"/>
        </w:rPr>
        <w:t>.</w:t>
      </w:r>
    </w:p>
    <w:p w14:paraId="0429F5D0" w14:textId="188AF801" w:rsidR="0091110D" w:rsidRPr="005D179C" w:rsidRDefault="0091110D" w:rsidP="005E3427">
      <w:pPr>
        <w:pStyle w:val="3-BodyText"/>
        <w:rPr>
          <w:lang w:val="en-GB"/>
        </w:rPr>
      </w:pPr>
      <w:r w:rsidRPr="00BD7A2D">
        <w:rPr>
          <w:lang w:val="en-GB"/>
        </w:rPr>
        <w:t xml:space="preserve">The PBAC noted that the RAISE trial included a </w:t>
      </w:r>
      <w:r w:rsidRPr="00BD7A2D">
        <w:t xml:space="preserve">prespecified subgroup of patients with refractory gMG. A total of 88 people (51%) in </w:t>
      </w:r>
      <w:r w:rsidR="008766B4">
        <w:t xml:space="preserve">the </w:t>
      </w:r>
      <w:r w:rsidRPr="00BD7A2D">
        <w:t xml:space="preserve">RAISE </w:t>
      </w:r>
      <w:r w:rsidR="008766B4">
        <w:t xml:space="preserve">trial </w:t>
      </w:r>
      <w:r w:rsidRPr="00BD7A2D">
        <w:t>had gMG that met the definition</w:t>
      </w:r>
      <w:r w:rsidR="004A5C59">
        <w:t xml:space="preserve"> of refractory used in the trial (refer to paragraph </w:t>
      </w:r>
      <w:r w:rsidR="004A5C59">
        <w:fldChar w:fldCharType="begin" w:fldLock="1"/>
      </w:r>
      <w:r w:rsidR="004A5C59">
        <w:instrText xml:space="preserve"> REF _Ref174263823 \r \h </w:instrText>
      </w:r>
      <w:r w:rsidR="005E3427">
        <w:instrText xml:space="preserve"> \* MERGEFORMAT </w:instrText>
      </w:r>
      <w:r w:rsidR="004A5C59">
        <w:fldChar w:fldCharType="separate"/>
      </w:r>
      <w:r w:rsidR="00FC355E">
        <w:t>4.12</w:t>
      </w:r>
      <w:r w:rsidR="004A5C59">
        <w:fldChar w:fldCharType="end"/>
      </w:r>
      <w:r w:rsidR="004A5C59">
        <w:t>)</w:t>
      </w:r>
      <w:r w:rsidRPr="00BD7A2D">
        <w:t xml:space="preserve">. </w:t>
      </w:r>
      <w:r w:rsidR="008766B4">
        <w:t>T</w:t>
      </w:r>
      <w:r w:rsidR="008766B4" w:rsidRPr="00BD7A2D">
        <w:t xml:space="preserve">he pre-PBAC response stated that ‘a formal test for interaction </w:t>
      </w:r>
      <w:r w:rsidR="00631D4E">
        <w:t>was</w:t>
      </w:r>
      <w:r w:rsidR="008766B4" w:rsidRPr="00BD7A2D">
        <w:t xml:space="preserve"> conducted </w:t>
      </w:r>
      <w:r w:rsidR="00631D4E">
        <w:t xml:space="preserve">for the pre-PBAC response </w:t>
      </w:r>
      <w:r w:rsidR="008766B4" w:rsidRPr="00BD7A2D">
        <w:t>showing that refractory status is not a treatment effect modifier</w:t>
      </w:r>
      <w:r w:rsidR="00631D4E">
        <w:t>’</w:t>
      </w:r>
      <w:r w:rsidR="008766B4">
        <w:t>, however the PBA</w:t>
      </w:r>
      <w:r w:rsidR="00631D4E">
        <w:t>C</w:t>
      </w:r>
      <w:r w:rsidR="008766B4">
        <w:t xml:space="preserve"> noted that it </w:t>
      </w:r>
      <w:r w:rsidR="008766B4" w:rsidRPr="008766B4">
        <w:t>was unclear whether there was a sufficient sample size to detect a significant difference for this subgroup analysis</w:t>
      </w:r>
      <w:r w:rsidR="008766B4">
        <w:t>. Overall, t</w:t>
      </w:r>
      <w:r w:rsidRPr="00BD7A2D">
        <w:t xml:space="preserve">he PBAC considered that the outcomes for </w:t>
      </w:r>
      <w:r w:rsidR="00267A64">
        <w:t xml:space="preserve">the </w:t>
      </w:r>
      <w:r w:rsidRPr="00BD7A2D">
        <w:t>refractory and non-refractory subgroups were difficult to interpret</w:t>
      </w:r>
      <w:r w:rsidR="00BD7A2D">
        <w:t xml:space="preserve"> based on the information provided</w:t>
      </w:r>
      <w:r w:rsidRPr="00BD7A2D">
        <w:t xml:space="preserve">, </w:t>
      </w:r>
      <w:r w:rsidR="00CD090E">
        <w:t>but</w:t>
      </w:r>
      <w:r w:rsidR="00735BD9" w:rsidRPr="00BD7A2D">
        <w:t xml:space="preserve"> </w:t>
      </w:r>
      <w:r w:rsidR="00BF43F9">
        <w:t xml:space="preserve">the high placebo response rates presented in the responder analyses in </w:t>
      </w:r>
      <w:r w:rsidR="00BF43F9">
        <w:fldChar w:fldCharType="begin" w:fldLock="1"/>
      </w:r>
      <w:r w:rsidR="00BF43F9">
        <w:instrText xml:space="preserve"> REF _Ref167095059 \h </w:instrText>
      </w:r>
      <w:r w:rsidR="005E3427">
        <w:instrText xml:space="preserve"> \* MERGEFORMAT </w:instrText>
      </w:r>
      <w:r w:rsidR="00BF43F9">
        <w:fldChar w:fldCharType="separate"/>
      </w:r>
      <w:r w:rsidR="00FC355E">
        <w:t xml:space="preserve">Table </w:t>
      </w:r>
      <w:r w:rsidR="00FC355E">
        <w:rPr>
          <w:noProof/>
        </w:rPr>
        <w:t>7</w:t>
      </w:r>
      <w:r w:rsidR="00BF43F9">
        <w:fldChar w:fldCharType="end"/>
      </w:r>
      <w:r w:rsidR="00BF43F9">
        <w:t xml:space="preserve"> </w:t>
      </w:r>
      <w:r w:rsidRPr="00BD7A2D">
        <w:t>indicated that standard therapies are effective for many patients</w:t>
      </w:r>
      <w:r w:rsidR="005D179C">
        <w:t>, particularly those in the non-refractory group</w:t>
      </w:r>
      <w:r w:rsidRPr="00BD7A2D">
        <w:t>.</w:t>
      </w:r>
      <w:r w:rsidR="00BF43F9">
        <w:t xml:space="preserve"> </w:t>
      </w:r>
      <w:r w:rsidR="00923931">
        <w:t xml:space="preserve">The PBAC considered the </w:t>
      </w:r>
      <w:r w:rsidR="00923931" w:rsidRPr="005D179C">
        <w:t xml:space="preserve">treatment effect versus placebo for the refractory </w:t>
      </w:r>
      <w:r w:rsidR="00D22B56" w:rsidRPr="005D179C">
        <w:t xml:space="preserve">group </w:t>
      </w:r>
      <w:r w:rsidR="00923931" w:rsidRPr="005D179C">
        <w:t xml:space="preserve">may be informative for </w:t>
      </w:r>
      <w:r w:rsidR="00D22B56" w:rsidRPr="005D179C">
        <w:t>patients</w:t>
      </w:r>
      <w:r w:rsidR="00923931" w:rsidRPr="005D179C">
        <w:t xml:space="preserve"> who </w:t>
      </w:r>
      <w:r w:rsidR="00D22B56" w:rsidRPr="005D179C">
        <w:t>would n</w:t>
      </w:r>
      <w:r w:rsidR="00923931" w:rsidRPr="005D179C">
        <w:t xml:space="preserve">ot otherwise be able </w:t>
      </w:r>
      <w:r w:rsidR="00D22B56" w:rsidRPr="005D179C">
        <w:t>to access chronic IVIg/PLEX; however, for the non-refractory group, optimisation of existing therapies would have been a more relevant comparison.</w:t>
      </w:r>
    </w:p>
    <w:p w14:paraId="4BE9B3E4" w14:textId="6AB53FBE" w:rsidR="00E6027E" w:rsidRPr="005D179C" w:rsidRDefault="00E56E8F" w:rsidP="005E3427">
      <w:pPr>
        <w:pStyle w:val="3-BodyText"/>
        <w:rPr>
          <w:lang w:val="en-GB"/>
        </w:rPr>
      </w:pPr>
      <w:r w:rsidRPr="005D179C">
        <w:t xml:space="preserve">The PBAC considered that, while zilucoplan appeared well-tolerated, the claim of non-inferior comparative safety versus placebo was not adequately supported </w:t>
      </w:r>
      <w:r w:rsidRPr="005D179C">
        <w:rPr>
          <w:rFonts w:eastAsia="Calibri"/>
        </w:rPr>
        <w:t>given the limited safety data and the requirement for patients to receive meningococcal vaccinations</w:t>
      </w:r>
      <w:r w:rsidR="007B4115" w:rsidRPr="005D179C">
        <w:rPr>
          <w:rFonts w:eastAsia="Calibri"/>
        </w:rPr>
        <w:t>.</w:t>
      </w:r>
    </w:p>
    <w:p w14:paraId="5F6D1955" w14:textId="77AF7E43" w:rsidR="001D6616" w:rsidRPr="001D6616" w:rsidRDefault="007509E9" w:rsidP="005E3427">
      <w:pPr>
        <w:pStyle w:val="3-BodyText"/>
        <w:rPr>
          <w:lang w:val="en-GB"/>
        </w:rPr>
      </w:pPr>
      <w:bookmarkStart w:id="114" w:name="_Ref173830331"/>
      <w:r w:rsidRPr="00C6340C">
        <w:rPr>
          <w:lang w:val="en-GB"/>
        </w:rPr>
        <w:t xml:space="preserve">The PBAC noted that the base case ICER was </w:t>
      </w:r>
      <w:r w:rsidR="00456A7C" w:rsidRPr="00456A7C">
        <w:t>$255,000 to &lt; $355,000</w:t>
      </w:r>
      <w:r w:rsidRPr="00C6340C">
        <w:rPr>
          <w:lang w:val="en-GB"/>
        </w:rPr>
        <w:t>/QALY</w:t>
      </w:r>
      <w:r w:rsidR="00B5362D">
        <w:rPr>
          <w:lang w:val="en-GB"/>
        </w:rPr>
        <w:t xml:space="preserve"> </w:t>
      </w:r>
      <w:r w:rsidRPr="00C6340C">
        <w:rPr>
          <w:lang w:val="en-GB"/>
        </w:rPr>
        <w:t xml:space="preserve">and </w:t>
      </w:r>
      <w:r w:rsidR="00381200" w:rsidRPr="00C6340C">
        <w:rPr>
          <w:lang w:val="en-GB"/>
        </w:rPr>
        <w:t>agreed with</w:t>
      </w:r>
      <w:r w:rsidR="00FC2492" w:rsidRPr="00C6340C">
        <w:rPr>
          <w:lang w:val="en-GB"/>
        </w:rPr>
        <w:t xml:space="preserve"> the</w:t>
      </w:r>
      <w:r w:rsidR="00381200" w:rsidRPr="00C6340C">
        <w:rPr>
          <w:lang w:val="en-GB"/>
        </w:rPr>
        <w:t xml:space="preserve"> ESC that it was </w:t>
      </w:r>
      <w:r w:rsidRPr="00C6340C">
        <w:rPr>
          <w:lang w:val="en-GB"/>
        </w:rPr>
        <w:t>highly likely to have been underestimated</w:t>
      </w:r>
      <w:r w:rsidR="00381200" w:rsidRPr="00C6340C">
        <w:rPr>
          <w:lang w:val="en-GB"/>
        </w:rPr>
        <w:t xml:space="preserve"> due to the key issues</w:t>
      </w:r>
      <w:r w:rsidR="00FC2492" w:rsidRPr="00C6340C">
        <w:rPr>
          <w:lang w:val="en-GB"/>
        </w:rPr>
        <w:t xml:space="preserve"> raised in paragraph </w:t>
      </w:r>
      <w:r w:rsidR="00FC2492" w:rsidRPr="00C6340C">
        <w:rPr>
          <w:lang w:val="en-GB"/>
        </w:rPr>
        <w:fldChar w:fldCharType="begin" w:fldLock="1"/>
      </w:r>
      <w:r w:rsidR="00FC2492" w:rsidRPr="00C6340C">
        <w:rPr>
          <w:lang w:val="en-GB"/>
        </w:rPr>
        <w:instrText xml:space="preserve"> REF _Ref169260979 \r \h </w:instrText>
      </w:r>
      <w:r w:rsidR="005E3427">
        <w:rPr>
          <w:lang w:val="en-GB"/>
        </w:rPr>
        <w:instrText xml:space="preserve"> \* MERGEFORMAT </w:instrText>
      </w:r>
      <w:r w:rsidR="00FC2492" w:rsidRPr="00C6340C">
        <w:rPr>
          <w:lang w:val="en-GB"/>
        </w:rPr>
      </w:r>
      <w:r w:rsidR="00FC2492" w:rsidRPr="00C6340C">
        <w:rPr>
          <w:lang w:val="en-GB"/>
        </w:rPr>
        <w:fldChar w:fldCharType="separate"/>
      </w:r>
      <w:r w:rsidR="00FC355E">
        <w:rPr>
          <w:lang w:val="en-GB"/>
        </w:rPr>
        <w:t>6.77</w:t>
      </w:r>
      <w:r w:rsidR="00FC2492" w:rsidRPr="00C6340C">
        <w:rPr>
          <w:lang w:val="en-GB"/>
        </w:rPr>
        <w:fldChar w:fldCharType="end"/>
      </w:r>
      <w:r w:rsidR="001D6616">
        <w:rPr>
          <w:lang w:val="en-GB"/>
        </w:rPr>
        <w:t>,</w:t>
      </w:r>
      <w:r w:rsidR="00C6340C" w:rsidRPr="00C6340C">
        <w:rPr>
          <w:lang w:val="en-GB"/>
        </w:rPr>
        <w:t xml:space="preserve"> </w:t>
      </w:r>
      <w:r w:rsidR="001D6616" w:rsidRPr="001D6616">
        <w:rPr>
          <w:lang w:val="en-GB"/>
        </w:rPr>
        <w:t>which were that the model assumed that:</w:t>
      </w:r>
    </w:p>
    <w:p w14:paraId="7771AD37" w14:textId="1FFFF438" w:rsidR="001D6616" w:rsidRPr="001D6616" w:rsidRDefault="001D6616" w:rsidP="005E3427">
      <w:pPr>
        <w:pStyle w:val="ListParagraph"/>
        <w:rPr>
          <w:lang w:val="en-GB"/>
        </w:rPr>
      </w:pPr>
      <w:r>
        <w:rPr>
          <w:lang w:val="en-GB"/>
        </w:rPr>
        <w:t>r</w:t>
      </w:r>
      <w:r w:rsidRPr="001D6616">
        <w:rPr>
          <w:lang w:val="en-GB"/>
        </w:rPr>
        <w:t>esponders in the zilucoplan arm have larger improvements in MG-ADL scores than responders in the placebo arm which was inconsistent with the clinical trial data.</w:t>
      </w:r>
    </w:p>
    <w:p w14:paraId="5F0F00ED" w14:textId="77777777" w:rsidR="001D6616" w:rsidRPr="001D6616" w:rsidRDefault="001D6616" w:rsidP="005E3427">
      <w:pPr>
        <w:pStyle w:val="ListParagraph"/>
        <w:rPr>
          <w:lang w:val="en-GB"/>
        </w:rPr>
      </w:pPr>
      <w:r w:rsidRPr="001D6616">
        <w:rPr>
          <w:lang w:val="en-GB"/>
        </w:rPr>
        <w:t xml:space="preserve">non-responders in the treatment-refractory setting switch to chronic IVIg/PLEX and escalated standard-of-care therapies and remain fully adherent for the remainder of the model, despite gaining no improvement in clinical outcomes with treatment. </w:t>
      </w:r>
    </w:p>
    <w:p w14:paraId="5DA37E4E" w14:textId="3B1D0221" w:rsidR="001D6616" w:rsidRPr="005D179C" w:rsidRDefault="001D6616" w:rsidP="005E3427">
      <w:pPr>
        <w:pStyle w:val="ListParagraph"/>
        <w:rPr>
          <w:lang w:val="en-GB"/>
        </w:rPr>
      </w:pPr>
      <w:r>
        <w:rPr>
          <w:lang w:val="en-GB"/>
        </w:rPr>
        <w:t>p</w:t>
      </w:r>
      <w:r w:rsidRPr="001D6616">
        <w:rPr>
          <w:lang w:val="en-GB"/>
        </w:rPr>
        <w:t xml:space="preserve">atients experiencing an exacerbation or myasthenic crisis discontinue therapy with zilucoplan and placebo despite no clear clinical rationale for this assumption. Additionally, </w:t>
      </w:r>
      <w:r w:rsidRPr="005D179C">
        <w:rPr>
          <w:lang w:val="en-GB"/>
        </w:rPr>
        <w:t>the calculation of event rates was poorly justified and was likely to have substantially overestimated the risk of events.</w:t>
      </w:r>
    </w:p>
    <w:p w14:paraId="05D7A0DE" w14:textId="1D9BF200" w:rsidR="001D6616" w:rsidRPr="005D179C" w:rsidRDefault="001D6616" w:rsidP="005E3427">
      <w:pPr>
        <w:pStyle w:val="ListParagraph"/>
        <w:rPr>
          <w:rFonts w:ascii="Calibri" w:hAnsi="Calibri"/>
          <w:snapToGrid/>
        </w:rPr>
      </w:pPr>
      <w:r w:rsidRPr="005D179C">
        <w:rPr>
          <w:lang w:val="en-GB"/>
        </w:rPr>
        <w:t>corticosteroid users who respond to treatment would no longer require high dose corticosteroids, while corticosteroid users who fail to achieve a response will require high dose corticosteroids. This assumption was not adequately supported by the available clinical data. Additionally, the disutility applied for high dose corticosteroids was likely to have substantially overestimated the disutility attributable to corticosteroid use.</w:t>
      </w:r>
    </w:p>
    <w:p w14:paraId="270A20B1" w14:textId="51C112E7" w:rsidR="007B4115" w:rsidRPr="005D179C" w:rsidRDefault="00381200" w:rsidP="005E3427">
      <w:pPr>
        <w:pStyle w:val="3-BodyText"/>
      </w:pPr>
      <w:r w:rsidRPr="005D179C">
        <w:rPr>
          <w:snapToGrid w:val="0"/>
          <w:lang w:val="en-GB"/>
        </w:rPr>
        <w:t>The PBAC noted that</w:t>
      </w:r>
      <w:r w:rsidR="00C07098" w:rsidRPr="005D179C">
        <w:rPr>
          <w:snapToGrid w:val="0"/>
          <w:lang w:val="en-GB"/>
        </w:rPr>
        <w:t xml:space="preserve"> multivariate sensitivity analyses </w:t>
      </w:r>
      <w:r w:rsidR="001337B8" w:rsidRPr="005D179C">
        <w:rPr>
          <w:snapToGrid w:val="0"/>
          <w:lang w:val="en-GB"/>
        </w:rPr>
        <w:t>address</w:t>
      </w:r>
      <w:r w:rsidR="00C07098" w:rsidRPr="005D179C">
        <w:rPr>
          <w:snapToGrid w:val="0"/>
          <w:lang w:val="en-GB"/>
        </w:rPr>
        <w:t xml:space="preserve">ing </w:t>
      </w:r>
      <w:r w:rsidRPr="005D179C">
        <w:rPr>
          <w:snapToGrid w:val="0"/>
          <w:lang w:val="en-GB"/>
        </w:rPr>
        <w:t>some of the</w:t>
      </w:r>
      <w:r w:rsidR="001D6616" w:rsidRPr="005D179C">
        <w:rPr>
          <w:snapToGrid w:val="0"/>
          <w:lang w:val="en-GB"/>
        </w:rPr>
        <w:t>se</w:t>
      </w:r>
      <w:r w:rsidR="007B4115" w:rsidRPr="005D179C">
        <w:rPr>
          <w:snapToGrid w:val="0"/>
          <w:lang w:val="en-GB"/>
        </w:rPr>
        <w:t xml:space="preserve"> key</w:t>
      </w:r>
      <w:r w:rsidRPr="005D179C">
        <w:rPr>
          <w:snapToGrid w:val="0"/>
          <w:lang w:val="en-GB"/>
        </w:rPr>
        <w:t xml:space="preserve"> issues increase</w:t>
      </w:r>
      <w:r w:rsidR="00C6340C" w:rsidRPr="005D179C">
        <w:rPr>
          <w:snapToGrid w:val="0"/>
          <w:lang w:val="en-GB"/>
        </w:rPr>
        <w:t>d</w:t>
      </w:r>
      <w:r w:rsidR="00FC2492" w:rsidRPr="005D179C">
        <w:rPr>
          <w:snapToGrid w:val="0"/>
          <w:lang w:val="en-GB"/>
        </w:rPr>
        <w:t xml:space="preserve"> the ICER to around </w:t>
      </w:r>
      <w:r w:rsidR="0053026C" w:rsidRPr="0053026C">
        <w:rPr>
          <w:snapToGrid w:val="0"/>
        </w:rPr>
        <w:t>$555,000 to &lt; $655,000</w:t>
      </w:r>
      <w:r w:rsidR="00FC2492" w:rsidRPr="005D179C">
        <w:rPr>
          <w:snapToGrid w:val="0"/>
          <w:lang w:val="en-GB"/>
        </w:rPr>
        <w:t>/QALY</w:t>
      </w:r>
      <w:r w:rsidR="00C07098" w:rsidRPr="005D179C">
        <w:rPr>
          <w:snapToGrid w:val="0"/>
          <w:lang w:val="en-GB"/>
        </w:rPr>
        <w:t>.</w:t>
      </w:r>
      <w:r w:rsidR="00961192">
        <w:rPr>
          <w:snapToGrid w:val="0"/>
          <w:lang w:val="en-GB"/>
        </w:rPr>
        <w:t xml:space="preserve"> Some of these key issues could not be adequately addressed based on the information available due to a lack of plausible inputs (e.g. to inform the average duration of chronic IVIg/PLEX or the</w:t>
      </w:r>
      <w:r w:rsidR="00961192" w:rsidRPr="00961192">
        <w:rPr>
          <w:snapToGrid w:val="0"/>
          <w:lang w:val="en-GB"/>
        </w:rPr>
        <w:t xml:space="preserve"> proportion of patients who would continue treatment following an exacerbation or crisis event in clinical practice</w:t>
      </w:r>
      <w:r w:rsidR="00583AE9">
        <w:rPr>
          <w:snapToGrid w:val="0"/>
          <w:lang w:val="en-GB"/>
        </w:rPr>
        <w:t>)</w:t>
      </w:r>
      <w:r w:rsidR="00961192">
        <w:rPr>
          <w:snapToGrid w:val="0"/>
          <w:lang w:val="en-GB"/>
        </w:rPr>
        <w:t xml:space="preserve"> </w:t>
      </w:r>
      <w:r w:rsidR="001337B8" w:rsidRPr="005D179C">
        <w:rPr>
          <w:snapToGrid w:val="0"/>
          <w:lang w:val="en-GB"/>
        </w:rPr>
        <w:t xml:space="preserve">as outlined in paragraphs </w:t>
      </w:r>
      <w:r w:rsidR="001337B8" w:rsidRPr="005D179C">
        <w:rPr>
          <w:snapToGrid w:val="0"/>
          <w:lang w:val="en-GB"/>
        </w:rPr>
        <w:fldChar w:fldCharType="begin" w:fldLock="1"/>
      </w:r>
      <w:r w:rsidR="001337B8" w:rsidRPr="005D179C">
        <w:rPr>
          <w:snapToGrid w:val="0"/>
          <w:lang w:val="en-GB"/>
        </w:rPr>
        <w:instrText xml:space="preserve"> REF _Ref173418157 \r \h </w:instrText>
      </w:r>
      <w:r w:rsidR="005D179C">
        <w:rPr>
          <w:snapToGrid w:val="0"/>
          <w:lang w:val="en-GB"/>
        </w:rPr>
        <w:instrText xml:space="preserve"> \* MERGEFORMAT </w:instrText>
      </w:r>
      <w:r w:rsidR="001337B8" w:rsidRPr="005D179C">
        <w:rPr>
          <w:snapToGrid w:val="0"/>
          <w:lang w:val="en-GB"/>
        </w:rPr>
      </w:r>
      <w:r w:rsidR="001337B8" w:rsidRPr="005D179C">
        <w:rPr>
          <w:snapToGrid w:val="0"/>
          <w:lang w:val="en-GB"/>
        </w:rPr>
        <w:fldChar w:fldCharType="separate"/>
      </w:r>
      <w:r w:rsidR="00FC355E">
        <w:rPr>
          <w:snapToGrid w:val="0"/>
          <w:lang w:val="en-GB"/>
        </w:rPr>
        <w:t>6.78</w:t>
      </w:r>
      <w:r w:rsidR="001337B8" w:rsidRPr="005D179C">
        <w:rPr>
          <w:snapToGrid w:val="0"/>
          <w:lang w:val="en-GB"/>
        </w:rPr>
        <w:fldChar w:fldCharType="end"/>
      </w:r>
      <w:r w:rsidR="001337B8" w:rsidRPr="005D179C">
        <w:rPr>
          <w:snapToGrid w:val="0"/>
          <w:lang w:val="en-GB"/>
        </w:rPr>
        <w:t xml:space="preserve"> to </w:t>
      </w:r>
      <w:r w:rsidR="001337B8" w:rsidRPr="005D179C">
        <w:rPr>
          <w:snapToGrid w:val="0"/>
          <w:lang w:val="en-GB"/>
        </w:rPr>
        <w:fldChar w:fldCharType="begin" w:fldLock="1"/>
      </w:r>
      <w:r w:rsidR="001337B8" w:rsidRPr="005D179C">
        <w:rPr>
          <w:snapToGrid w:val="0"/>
          <w:lang w:val="en-GB"/>
        </w:rPr>
        <w:instrText xml:space="preserve"> REF _Ref173418158 \r \h </w:instrText>
      </w:r>
      <w:r w:rsidR="005D179C">
        <w:rPr>
          <w:snapToGrid w:val="0"/>
          <w:lang w:val="en-GB"/>
        </w:rPr>
        <w:instrText xml:space="preserve"> \* MERGEFORMAT </w:instrText>
      </w:r>
      <w:r w:rsidR="001337B8" w:rsidRPr="005D179C">
        <w:rPr>
          <w:snapToGrid w:val="0"/>
          <w:lang w:val="en-GB"/>
        </w:rPr>
      </w:r>
      <w:r w:rsidR="001337B8" w:rsidRPr="005D179C">
        <w:rPr>
          <w:snapToGrid w:val="0"/>
          <w:lang w:val="en-GB"/>
        </w:rPr>
        <w:fldChar w:fldCharType="separate"/>
      </w:r>
      <w:r w:rsidR="00FC355E">
        <w:rPr>
          <w:snapToGrid w:val="0"/>
          <w:lang w:val="en-GB"/>
        </w:rPr>
        <w:t>6.79</w:t>
      </w:r>
      <w:r w:rsidR="001337B8" w:rsidRPr="005D179C">
        <w:rPr>
          <w:snapToGrid w:val="0"/>
          <w:lang w:val="en-GB"/>
        </w:rPr>
        <w:fldChar w:fldCharType="end"/>
      </w:r>
      <w:r w:rsidR="001337B8" w:rsidRPr="005D179C">
        <w:rPr>
          <w:snapToGrid w:val="0"/>
          <w:lang w:val="en-GB"/>
        </w:rPr>
        <w:t xml:space="preserve"> and </w:t>
      </w:r>
      <w:r w:rsidR="001337B8" w:rsidRPr="005D179C">
        <w:fldChar w:fldCharType="begin" w:fldLock="1"/>
      </w:r>
      <w:r w:rsidR="001337B8" w:rsidRPr="005D179C">
        <w:instrText xml:space="preserve"> REF _Ref164673996 \h  \* MERGEFORMAT </w:instrText>
      </w:r>
      <w:r w:rsidR="001337B8" w:rsidRPr="005D179C">
        <w:fldChar w:fldCharType="separate"/>
      </w:r>
      <w:r w:rsidR="00FC355E" w:rsidRPr="00B162C2">
        <w:t xml:space="preserve">Table </w:t>
      </w:r>
      <w:r w:rsidR="00FC355E">
        <w:rPr>
          <w:noProof/>
        </w:rPr>
        <w:t>14</w:t>
      </w:r>
      <w:r w:rsidR="001337B8" w:rsidRPr="005D179C">
        <w:fldChar w:fldCharType="end"/>
      </w:r>
      <w:r w:rsidR="001337B8" w:rsidRPr="005D179C">
        <w:rPr>
          <w:snapToGrid w:val="0"/>
          <w:lang w:val="en-GB"/>
        </w:rPr>
        <w:t>)</w:t>
      </w:r>
      <w:r w:rsidR="007B4115" w:rsidRPr="005D179C">
        <w:t>, and would be likely to further increase the ICER.</w:t>
      </w:r>
      <w:bookmarkEnd w:id="114"/>
      <w:r w:rsidR="007B4115" w:rsidRPr="005D179C">
        <w:t xml:space="preserve"> </w:t>
      </w:r>
    </w:p>
    <w:p w14:paraId="3FD12409" w14:textId="5E0AF0E0" w:rsidR="00E6027E" w:rsidRPr="00E6027E" w:rsidRDefault="00381200" w:rsidP="005E3427">
      <w:pPr>
        <w:pStyle w:val="3-BodyText"/>
      </w:pPr>
      <w:r w:rsidRPr="005D179C">
        <w:t xml:space="preserve">On the other hand, the PBAC noted that the ICER/QALY may substantially </w:t>
      </w:r>
      <w:r w:rsidR="00C6340C" w:rsidRPr="005D179C">
        <w:t xml:space="preserve">reduce </w:t>
      </w:r>
      <w:r w:rsidRPr="005D179C">
        <w:t xml:space="preserve">if the impact of a stopping rule were included in the economic model. However, the PBAC </w:t>
      </w:r>
      <w:r w:rsidR="007B4115" w:rsidRPr="005D179C">
        <w:t xml:space="preserve">acknowledged the impact on efficacy was unknown. Further, the PBAC acknowledged that assumptions would be required around the </w:t>
      </w:r>
      <w:r w:rsidR="000E429B" w:rsidRPr="005D179C">
        <w:t xml:space="preserve">average duration of therapy and the </w:t>
      </w:r>
      <w:r w:rsidR="007B4115" w:rsidRPr="005D179C">
        <w:t>proportion of patients who would</w:t>
      </w:r>
      <w:r w:rsidR="007B4115" w:rsidRPr="007B4115">
        <w:t xml:space="preserve"> discontinue and recommence</w:t>
      </w:r>
      <w:r w:rsidR="007B4115">
        <w:t xml:space="preserve"> </w:t>
      </w:r>
      <w:r w:rsidR="000E429B">
        <w:t>therapy</w:t>
      </w:r>
      <w:r w:rsidR="007B4115">
        <w:t xml:space="preserve">. </w:t>
      </w:r>
      <w:r w:rsidR="000E429B">
        <w:t>The</w:t>
      </w:r>
      <w:r w:rsidR="007B4115">
        <w:t xml:space="preserve"> PBAC </w:t>
      </w:r>
      <w:r w:rsidR="00A94641">
        <w:t>considered</w:t>
      </w:r>
      <w:r w:rsidR="007B4115">
        <w:t xml:space="preserve"> that there would be a high risk of </w:t>
      </w:r>
      <w:r w:rsidR="000E429B">
        <w:t>patients continuing therapy for longer than intended under the proposed stopping rules, which would need to be mitigated through an RSA.</w:t>
      </w:r>
    </w:p>
    <w:p w14:paraId="3CD0A435" w14:textId="42B2E52E" w:rsidR="00C07098" w:rsidRPr="00895173" w:rsidRDefault="00C07098" w:rsidP="005E3427">
      <w:pPr>
        <w:pStyle w:val="3-BodyText"/>
        <w:rPr>
          <w:lang w:val="en-GB"/>
        </w:rPr>
      </w:pPr>
      <w:bookmarkStart w:id="115" w:name="_Ref173830334"/>
      <w:r>
        <w:rPr>
          <w:lang w:val="en-GB"/>
        </w:rPr>
        <w:t>Further, t</w:t>
      </w:r>
      <w:r w:rsidRPr="00C07098">
        <w:rPr>
          <w:lang w:val="en-GB"/>
        </w:rPr>
        <w:t xml:space="preserve">he </w:t>
      </w:r>
      <w:r>
        <w:rPr>
          <w:lang w:val="en-GB"/>
        </w:rPr>
        <w:t>PBAC</w:t>
      </w:r>
      <w:r w:rsidRPr="00C07098">
        <w:rPr>
          <w:lang w:val="en-GB"/>
        </w:rPr>
        <w:t xml:space="preserve"> considered </w:t>
      </w:r>
      <w:r>
        <w:rPr>
          <w:lang w:val="en-GB"/>
        </w:rPr>
        <w:t>that</w:t>
      </w:r>
      <w:r w:rsidRPr="00C07098">
        <w:rPr>
          <w:lang w:val="en-GB"/>
        </w:rPr>
        <w:t xml:space="preserve"> separate economic analyses for each of the </w:t>
      </w:r>
      <w:r w:rsidRPr="00895173">
        <w:rPr>
          <w:lang w:val="en-GB"/>
        </w:rPr>
        <w:t>proposed places in therapy (second-line</w:t>
      </w:r>
      <w:r w:rsidR="00E66F22">
        <w:rPr>
          <w:lang w:val="en-GB"/>
        </w:rPr>
        <w:t xml:space="preserve"> non-refractory</w:t>
      </w:r>
      <w:r w:rsidRPr="00895173">
        <w:rPr>
          <w:lang w:val="en-GB"/>
        </w:rPr>
        <w:t>, treatment-refractory) may have been more appropriate given the differences in patient populations, treatment options and likely cost-effectiveness.</w:t>
      </w:r>
      <w:bookmarkEnd w:id="115"/>
      <w:r w:rsidRPr="00895173">
        <w:rPr>
          <w:lang w:val="en-GB"/>
        </w:rPr>
        <w:t xml:space="preserve"> </w:t>
      </w:r>
    </w:p>
    <w:p w14:paraId="36C7E242" w14:textId="4B8513B0" w:rsidR="00A94641" w:rsidRPr="00895173" w:rsidRDefault="00A94641" w:rsidP="005E3427">
      <w:pPr>
        <w:pStyle w:val="3-BodyText"/>
        <w:rPr>
          <w:snapToGrid w:val="0"/>
          <w:lang w:val="en-GB"/>
        </w:rPr>
      </w:pPr>
      <w:r w:rsidRPr="00895173">
        <w:rPr>
          <w:lang w:val="en-GB"/>
        </w:rPr>
        <w:t xml:space="preserve">The PBAC agreed with the issues with the </w:t>
      </w:r>
      <w:r w:rsidR="00381200" w:rsidRPr="00895173">
        <w:rPr>
          <w:lang w:val="en-GB"/>
        </w:rPr>
        <w:t>financial</w:t>
      </w:r>
      <w:r w:rsidRPr="00895173">
        <w:rPr>
          <w:lang w:val="en-GB"/>
        </w:rPr>
        <w:t xml:space="preserve"> estimates that were raised by DUSC as outlined in paragraph </w:t>
      </w:r>
      <w:r w:rsidRPr="00895173">
        <w:rPr>
          <w:lang w:val="en-GB"/>
        </w:rPr>
        <w:fldChar w:fldCharType="begin" w:fldLock="1"/>
      </w:r>
      <w:r w:rsidRPr="00895173">
        <w:rPr>
          <w:lang w:val="en-GB"/>
        </w:rPr>
        <w:instrText xml:space="preserve"> REF _Ref173760513 \r \h </w:instrText>
      </w:r>
      <w:r w:rsidR="00895173">
        <w:rPr>
          <w:lang w:val="en-GB"/>
        </w:rPr>
        <w:instrText xml:space="preserve"> \* MERGEFORMAT </w:instrText>
      </w:r>
      <w:r w:rsidRPr="00895173">
        <w:rPr>
          <w:lang w:val="en-GB"/>
        </w:rPr>
      </w:r>
      <w:r w:rsidRPr="00895173">
        <w:rPr>
          <w:lang w:val="en-GB"/>
        </w:rPr>
        <w:fldChar w:fldCharType="separate"/>
      </w:r>
      <w:r w:rsidR="00FC355E">
        <w:rPr>
          <w:lang w:val="en-GB"/>
        </w:rPr>
        <w:t>6.91</w:t>
      </w:r>
      <w:r w:rsidRPr="00895173">
        <w:rPr>
          <w:lang w:val="en-GB"/>
        </w:rPr>
        <w:fldChar w:fldCharType="end"/>
      </w:r>
      <w:r w:rsidR="00A06CC6">
        <w:rPr>
          <w:lang w:val="en-GB"/>
        </w:rPr>
        <w:t xml:space="preserve"> and </w:t>
      </w:r>
      <w:r w:rsidR="00A06CC6">
        <w:rPr>
          <w:lang w:val="en-GB"/>
        </w:rPr>
        <w:fldChar w:fldCharType="begin" w:fldLock="1"/>
      </w:r>
      <w:r w:rsidR="00A06CC6">
        <w:rPr>
          <w:lang w:val="en-GB"/>
        </w:rPr>
        <w:instrText xml:space="preserve"> REF _Ref164685047 \h </w:instrText>
      </w:r>
      <w:r w:rsidR="005E3427">
        <w:rPr>
          <w:lang w:val="en-GB"/>
        </w:rPr>
        <w:instrText xml:space="preserve"> \* MERGEFORMAT </w:instrText>
      </w:r>
      <w:r w:rsidR="00A06CC6">
        <w:rPr>
          <w:lang w:val="en-GB"/>
        </w:rPr>
      </w:r>
      <w:r w:rsidR="00A06CC6">
        <w:rPr>
          <w:lang w:val="en-GB"/>
        </w:rPr>
        <w:fldChar w:fldCharType="separate"/>
      </w:r>
      <w:r w:rsidR="00FC355E" w:rsidRPr="00B162C2">
        <w:t xml:space="preserve">Table </w:t>
      </w:r>
      <w:r w:rsidR="00FC355E">
        <w:rPr>
          <w:noProof/>
        </w:rPr>
        <w:t>17</w:t>
      </w:r>
      <w:r w:rsidR="00A06CC6">
        <w:rPr>
          <w:lang w:val="en-GB"/>
        </w:rPr>
        <w:fldChar w:fldCharType="end"/>
      </w:r>
      <w:r w:rsidR="00D517F0">
        <w:rPr>
          <w:lang w:val="en-GB"/>
        </w:rPr>
        <w:t xml:space="preserve">, including the </w:t>
      </w:r>
      <w:r w:rsidR="00D517F0" w:rsidRPr="00D517F0">
        <w:rPr>
          <w:lang w:val="en-GB"/>
        </w:rPr>
        <w:t>significant uncertainties regarding the prevalence of myasthenia gravis</w:t>
      </w:r>
      <w:r w:rsidR="00D517F0">
        <w:rPr>
          <w:lang w:val="en-GB"/>
        </w:rPr>
        <w:t xml:space="preserve"> (likely underestimated)</w:t>
      </w:r>
      <w:r w:rsidR="00D517F0" w:rsidRPr="00D517F0">
        <w:rPr>
          <w:lang w:val="en-GB"/>
        </w:rPr>
        <w:t>, the expected uptake of zilucoplan</w:t>
      </w:r>
      <w:r w:rsidR="00D517F0">
        <w:rPr>
          <w:lang w:val="en-GB"/>
        </w:rPr>
        <w:t xml:space="preserve"> (</w:t>
      </w:r>
      <w:r w:rsidR="00B97549">
        <w:rPr>
          <w:lang w:val="en-GB"/>
        </w:rPr>
        <w:t>potentially</w:t>
      </w:r>
      <w:r w:rsidR="00D517F0">
        <w:rPr>
          <w:lang w:val="en-GB"/>
        </w:rPr>
        <w:t xml:space="preserve"> overestimated)</w:t>
      </w:r>
      <w:r w:rsidR="00D517F0" w:rsidRPr="00D517F0">
        <w:rPr>
          <w:lang w:val="en-GB"/>
        </w:rPr>
        <w:t xml:space="preserve">, the likely duration of zilucoplan treatment </w:t>
      </w:r>
      <w:r w:rsidR="00D517F0">
        <w:rPr>
          <w:lang w:val="en-GB"/>
        </w:rPr>
        <w:t xml:space="preserve">(as the impact of a stopping rule needs to be accounted for) </w:t>
      </w:r>
      <w:r w:rsidR="00D517F0" w:rsidRPr="00D517F0">
        <w:rPr>
          <w:lang w:val="en-GB"/>
        </w:rPr>
        <w:t xml:space="preserve">and the potential </w:t>
      </w:r>
      <w:r w:rsidR="00D517F0">
        <w:rPr>
          <w:lang w:val="en-GB"/>
        </w:rPr>
        <w:t xml:space="preserve">reduction in utilisation </w:t>
      </w:r>
      <w:r w:rsidR="00D517F0" w:rsidRPr="00D517F0">
        <w:rPr>
          <w:lang w:val="en-GB"/>
        </w:rPr>
        <w:t>of existing therapies such as chronic IVIg</w:t>
      </w:r>
      <w:r w:rsidR="00D517F0">
        <w:rPr>
          <w:lang w:val="en-GB"/>
        </w:rPr>
        <w:t xml:space="preserve"> and</w:t>
      </w:r>
      <w:r w:rsidR="00D517F0" w:rsidRPr="00D517F0">
        <w:rPr>
          <w:lang w:val="en-GB"/>
        </w:rPr>
        <w:t xml:space="preserve"> PLEX</w:t>
      </w:r>
      <w:r w:rsidR="00D517F0">
        <w:rPr>
          <w:lang w:val="en-GB"/>
        </w:rPr>
        <w:t xml:space="preserve"> (likely overestimated)</w:t>
      </w:r>
      <w:r w:rsidRPr="00895173">
        <w:rPr>
          <w:lang w:val="en-GB"/>
        </w:rPr>
        <w:t xml:space="preserve">. Further, the </w:t>
      </w:r>
      <w:r w:rsidRPr="00895173">
        <w:rPr>
          <w:snapToGrid w:val="0"/>
          <w:lang w:val="en-GB"/>
        </w:rPr>
        <w:t xml:space="preserve">PBAC noted that </w:t>
      </w:r>
      <w:r w:rsidR="001D6616">
        <w:rPr>
          <w:snapToGrid w:val="0"/>
          <w:lang w:val="en-GB"/>
        </w:rPr>
        <w:t xml:space="preserve">the </w:t>
      </w:r>
      <w:r w:rsidRPr="00895173">
        <w:rPr>
          <w:lang w:val="en-GB"/>
        </w:rPr>
        <w:t xml:space="preserve">pre-PBAC response </w:t>
      </w:r>
      <w:r w:rsidRPr="00895173">
        <w:rPr>
          <w:snapToGrid w:val="0"/>
          <w:lang w:val="en-GB"/>
        </w:rPr>
        <w:t xml:space="preserve">proposed </w:t>
      </w:r>
      <w:r w:rsidR="001D6616">
        <w:rPr>
          <w:snapToGrid w:val="0"/>
          <w:lang w:val="en-GB"/>
        </w:rPr>
        <w:t xml:space="preserve">amending the requested </w:t>
      </w:r>
      <w:r w:rsidRPr="00895173">
        <w:rPr>
          <w:snapToGrid w:val="0"/>
          <w:lang w:val="en-GB"/>
        </w:rPr>
        <w:t xml:space="preserve">restriction </w:t>
      </w:r>
      <w:r w:rsidR="001D6616">
        <w:rPr>
          <w:snapToGrid w:val="0"/>
          <w:lang w:val="en-GB"/>
        </w:rPr>
        <w:t>to require patients to have</w:t>
      </w:r>
      <w:r w:rsidRPr="00895173">
        <w:t xml:space="preserve"> an </w:t>
      </w:r>
      <w:r w:rsidRPr="00895173">
        <w:rPr>
          <w:snapToGrid w:val="0"/>
          <w:lang w:val="en-GB"/>
        </w:rPr>
        <w:t>MG-ADL score ≥</w:t>
      </w:r>
      <w:r w:rsidR="00A404D7">
        <w:rPr>
          <w:snapToGrid w:val="0"/>
          <w:lang w:val="en-GB"/>
        </w:rPr>
        <w:t> </w:t>
      </w:r>
      <w:r w:rsidRPr="00895173">
        <w:rPr>
          <w:snapToGrid w:val="0"/>
          <w:lang w:val="en-GB"/>
        </w:rPr>
        <w:t xml:space="preserve">6 </w:t>
      </w:r>
      <w:proofErr w:type="gramStart"/>
      <w:r w:rsidR="001D6616">
        <w:rPr>
          <w:snapToGrid w:val="0"/>
          <w:lang w:val="en-GB"/>
        </w:rPr>
        <w:t>in order to</w:t>
      </w:r>
      <w:proofErr w:type="gramEnd"/>
      <w:r w:rsidR="001D6616">
        <w:rPr>
          <w:snapToGrid w:val="0"/>
          <w:lang w:val="en-GB"/>
        </w:rPr>
        <w:t xml:space="preserve"> initiate zilucoplan</w:t>
      </w:r>
      <w:r w:rsidRPr="00895173">
        <w:rPr>
          <w:snapToGrid w:val="0"/>
          <w:lang w:val="en-GB"/>
        </w:rPr>
        <w:t xml:space="preserve">. The PBAC considered that </w:t>
      </w:r>
      <w:r w:rsidR="001D6616">
        <w:rPr>
          <w:snapToGrid w:val="0"/>
          <w:lang w:val="en-GB"/>
        </w:rPr>
        <w:t>this initiation criterion</w:t>
      </w:r>
      <w:r w:rsidRPr="00895173">
        <w:rPr>
          <w:snapToGrid w:val="0"/>
          <w:lang w:val="en-GB"/>
        </w:rPr>
        <w:t xml:space="preserve"> would substantially reduce the eligible patient population, noting a Swedish study found that fewer than 20% of patients</w:t>
      </w:r>
      <w:r w:rsidR="00C00651">
        <w:rPr>
          <w:snapToGrid w:val="0"/>
          <w:lang w:val="en-GB"/>
        </w:rPr>
        <w:t xml:space="preserve"> with gMG</w:t>
      </w:r>
      <w:r w:rsidRPr="00895173">
        <w:rPr>
          <w:snapToGrid w:val="0"/>
          <w:lang w:val="en-GB"/>
        </w:rPr>
        <w:t xml:space="preserve"> included in their cohort reported an MG-ADL score of ≥ 6.</w:t>
      </w:r>
    </w:p>
    <w:p w14:paraId="38B6A9C3" w14:textId="6B5280B5" w:rsidR="00B17BAA" w:rsidRPr="00895173" w:rsidRDefault="00B17BAA" w:rsidP="005E3427">
      <w:pPr>
        <w:pStyle w:val="3-BodyText"/>
        <w:rPr>
          <w:lang w:val="en-GB"/>
        </w:rPr>
      </w:pPr>
      <w:r w:rsidRPr="00895173">
        <w:rPr>
          <w:bCs/>
          <w:snapToGrid w:val="0"/>
          <w:lang w:val="en-GB"/>
        </w:rPr>
        <w:t xml:space="preserve">The PBAC considered a resubmission for </w:t>
      </w:r>
      <w:r w:rsidR="001E3BCA" w:rsidRPr="00895173">
        <w:rPr>
          <w:bCs/>
          <w:snapToGrid w:val="0"/>
          <w:lang w:val="en-GB"/>
        </w:rPr>
        <w:t xml:space="preserve">zilucoplan </w:t>
      </w:r>
      <w:r w:rsidRPr="00895173">
        <w:rPr>
          <w:bCs/>
          <w:snapToGrid w:val="0"/>
          <w:lang w:val="en-GB"/>
        </w:rPr>
        <w:t>should address the following issues:</w:t>
      </w:r>
    </w:p>
    <w:p w14:paraId="60680B09" w14:textId="001E9E18" w:rsidR="008D5FDE" w:rsidRPr="005E3427" w:rsidRDefault="00A06CC6" w:rsidP="005E3427">
      <w:pPr>
        <w:pStyle w:val="ListParagraph"/>
      </w:pPr>
      <w:r w:rsidRPr="005E3427">
        <w:t>i</w:t>
      </w:r>
      <w:r w:rsidR="00895173" w:rsidRPr="005E3427">
        <w:t>nclude a s</w:t>
      </w:r>
      <w:r w:rsidR="008D5FDE" w:rsidRPr="005E3427">
        <w:t>topping rule</w:t>
      </w:r>
      <w:r w:rsidR="00895173" w:rsidRPr="005E3427">
        <w:t xml:space="preserve">, noting the advice provided at the stakeholder meeting (per paragraph </w:t>
      </w:r>
      <w:r w:rsidR="00895173" w:rsidRPr="005E3427">
        <w:fldChar w:fldCharType="begin" w:fldLock="1"/>
      </w:r>
      <w:r w:rsidR="00895173" w:rsidRPr="005E3427">
        <w:instrText xml:space="preserve"> REF _Ref169170181 \r \h  \* MERGEFORMAT </w:instrText>
      </w:r>
      <w:r w:rsidR="00895173" w:rsidRPr="005E3427">
        <w:fldChar w:fldCharType="separate"/>
      </w:r>
      <w:r w:rsidR="00FC355E">
        <w:t>2.5</w:t>
      </w:r>
      <w:r w:rsidR="00895173" w:rsidRPr="005E3427">
        <w:fldChar w:fldCharType="end"/>
      </w:r>
      <w:r w:rsidR="00895173" w:rsidRPr="005E3427">
        <w:t>)</w:t>
      </w:r>
    </w:p>
    <w:p w14:paraId="1AE98DE3" w14:textId="5B428D61" w:rsidR="00BD7A2D" w:rsidRPr="005E3427" w:rsidRDefault="00B5362D" w:rsidP="005E3427">
      <w:pPr>
        <w:pStyle w:val="ListParagraph"/>
      </w:pPr>
      <w:r w:rsidRPr="005E3427">
        <w:t>a</w:t>
      </w:r>
      <w:r w:rsidR="001E3BCA" w:rsidRPr="005E3427">
        <w:t xml:space="preserve">ddress </w:t>
      </w:r>
      <w:r w:rsidR="00A06CC6" w:rsidRPr="005E3427">
        <w:t xml:space="preserve">the </w:t>
      </w:r>
      <w:r w:rsidR="001E3BCA" w:rsidRPr="005E3427">
        <w:t xml:space="preserve">issues with </w:t>
      </w:r>
      <w:r w:rsidR="00A06CC6" w:rsidRPr="005E3427">
        <w:t xml:space="preserve">the economic </w:t>
      </w:r>
      <w:r w:rsidR="001E3BCA" w:rsidRPr="005E3427">
        <w:t xml:space="preserve">model </w:t>
      </w:r>
      <w:r w:rsidR="00A06CC6" w:rsidRPr="005E3427">
        <w:t xml:space="preserve">raised in paragraphs </w:t>
      </w:r>
      <w:r w:rsidR="00A06CC6" w:rsidRPr="005E3427">
        <w:fldChar w:fldCharType="begin" w:fldLock="1"/>
      </w:r>
      <w:r w:rsidR="00A06CC6" w:rsidRPr="005E3427">
        <w:instrText xml:space="preserve"> REF _Ref173830331 \r \h </w:instrText>
      </w:r>
      <w:r w:rsidR="005E3427">
        <w:instrText xml:space="preserve"> \* MERGEFORMAT </w:instrText>
      </w:r>
      <w:r w:rsidR="00A06CC6" w:rsidRPr="005E3427">
        <w:fldChar w:fldCharType="separate"/>
      </w:r>
      <w:r w:rsidR="00FC355E">
        <w:t>7.15</w:t>
      </w:r>
      <w:r w:rsidR="00A06CC6" w:rsidRPr="005E3427">
        <w:fldChar w:fldCharType="end"/>
      </w:r>
      <w:r w:rsidR="00A06CC6" w:rsidRPr="005E3427">
        <w:t xml:space="preserve"> to </w:t>
      </w:r>
      <w:r w:rsidR="00A06CC6" w:rsidRPr="005E3427">
        <w:fldChar w:fldCharType="begin" w:fldLock="1"/>
      </w:r>
      <w:r w:rsidR="00A06CC6" w:rsidRPr="005E3427">
        <w:instrText xml:space="preserve"> REF _Ref173830334 \r \h </w:instrText>
      </w:r>
      <w:r w:rsidR="005E3427">
        <w:instrText xml:space="preserve"> \* MERGEFORMAT </w:instrText>
      </w:r>
      <w:r w:rsidR="00A06CC6" w:rsidRPr="005E3427">
        <w:fldChar w:fldCharType="separate"/>
      </w:r>
      <w:r w:rsidR="00FC355E">
        <w:t>7.18</w:t>
      </w:r>
      <w:r w:rsidR="00A06CC6" w:rsidRPr="005E3427">
        <w:fldChar w:fldCharType="end"/>
      </w:r>
      <w:r w:rsidR="00A06CC6" w:rsidRPr="005E3427">
        <w:t>, along with a</w:t>
      </w:r>
      <w:r w:rsidR="001E3BCA" w:rsidRPr="005E3427">
        <w:t xml:space="preserve"> reduction in</w:t>
      </w:r>
      <w:r w:rsidR="00A06CC6" w:rsidRPr="005E3427">
        <w:t xml:space="preserve"> the</w:t>
      </w:r>
      <w:r w:rsidR="001E3BCA" w:rsidRPr="005E3427">
        <w:t xml:space="preserve"> ICER</w:t>
      </w:r>
      <w:r w:rsidR="00A06CC6" w:rsidRPr="005E3427">
        <w:t xml:space="preserve">/QALY. </w:t>
      </w:r>
      <w:r w:rsidR="00961192" w:rsidRPr="005E3427">
        <w:t>The PBAC noted that the proposed price was very high and was a driver of the ICER/QALY, and thus a substantial price reduction would be required to achieve an acceptable ICER.</w:t>
      </w:r>
    </w:p>
    <w:p w14:paraId="0E066218" w14:textId="2C236D16" w:rsidR="00B5362D" w:rsidRPr="005E3427" w:rsidRDefault="00895173" w:rsidP="005E3427">
      <w:pPr>
        <w:pStyle w:val="ListParagraph"/>
      </w:pPr>
      <w:r w:rsidRPr="005E3427">
        <w:t xml:space="preserve">revise the </w:t>
      </w:r>
      <w:r w:rsidR="008D5FDE" w:rsidRPr="005E3427">
        <w:t>financial estimates</w:t>
      </w:r>
      <w:r w:rsidR="00423571" w:rsidRPr="005E3427">
        <w:t xml:space="preserve"> </w:t>
      </w:r>
      <w:r w:rsidR="00A06CC6" w:rsidRPr="005E3427">
        <w:t xml:space="preserve">to reflect the issues </w:t>
      </w:r>
      <w:r w:rsidR="00423571" w:rsidRPr="005E3427">
        <w:t>raised by DUSC</w:t>
      </w:r>
      <w:r w:rsidR="00A06CC6" w:rsidRPr="005E3427">
        <w:t xml:space="preserve">. The PBAC advised the </w:t>
      </w:r>
      <w:r w:rsidR="006021F5" w:rsidRPr="005E3427">
        <w:t>estimated patient numbers</w:t>
      </w:r>
      <w:r w:rsidR="00A06CC6" w:rsidRPr="005E3427">
        <w:t xml:space="preserve"> should be substantially</w:t>
      </w:r>
      <w:r w:rsidR="008D5FDE" w:rsidRPr="005E3427">
        <w:t xml:space="preserve"> lower</w:t>
      </w:r>
      <w:r w:rsidR="00A06CC6" w:rsidRPr="005E3427">
        <w:t xml:space="preserve"> to reflect the requirement for patients to have an MG-ADL score ≥ 6 prior to initiation. </w:t>
      </w:r>
    </w:p>
    <w:p w14:paraId="19FAFF67" w14:textId="661CB610" w:rsidR="008D5FDE" w:rsidRDefault="008D5FDE" w:rsidP="005E3427">
      <w:pPr>
        <w:pStyle w:val="3-BodyText"/>
        <w:rPr>
          <w:lang w:val="en-GB"/>
        </w:rPr>
      </w:pPr>
      <w:bookmarkStart w:id="116" w:name="_Ref174093151"/>
      <w:r>
        <w:rPr>
          <w:lang w:val="en-GB"/>
        </w:rPr>
        <w:t xml:space="preserve">Alternatively, the PBAC considered that a resubmission could </w:t>
      </w:r>
      <w:proofErr w:type="gramStart"/>
      <w:r>
        <w:rPr>
          <w:lang w:val="en-GB"/>
        </w:rPr>
        <w:t>give f</w:t>
      </w:r>
      <w:r w:rsidRPr="008D5FDE">
        <w:rPr>
          <w:lang w:val="en-GB"/>
        </w:rPr>
        <w:t xml:space="preserve">urther consideration </w:t>
      </w:r>
      <w:r w:rsidR="00895173">
        <w:rPr>
          <w:lang w:val="en-GB"/>
        </w:rPr>
        <w:t>to</w:t>
      </w:r>
      <w:proofErr w:type="gramEnd"/>
      <w:r w:rsidRPr="008D5FDE">
        <w:rPr>
          <w:lang w:val="en-GB"/>
        </w:rPr>
        <w:t xml:space="preserve"> the place in therapy, which could include consideration of listing in a </w:t>
      </w:r>
      <w:proofErr w:type="gramStart"/>
      <w:r w:rsidR="004A5C59">
        <w:t>patients</w:t>
      </w:r>
      <w:proofErr w:type="gramEnd"/>
      <w:r w:rsidR="004A5C59">
        <w:t xml:space="preserve"> </w:t>
      </w:r>
      <w:r w:rsidR="004A5C59" w:rsidRPr="005D179C">
        <w:t>who are not responding to or are unable to use existing therapies, and for those with refractory disease</w:t>
      </w:r>
      <w:r w:rsidR="00895173">
        <w:rPr>
          <w:lang w:val="en-GB"/>
        </w:rPr>
        <w:t>,</w:t>
      </w:r>
      <w:r w:rsidRPr="008D5FDE">
        <w:rPr>
          <w:lang w:val="en-GB"/>
        </w:rPr>
        <w:t xml:space="preserve"> if</w:t>
      </w:r>
      <w:r>
        <w:rPr>
          <w:lang w:val="en-GB"/>
        </w:rPr>
        <w:t xml:space="preserve"> this </w:t>
      </w:r>
      <w:r w:rsidR="00895173">
        <w:rPr>
          <w:lang w:val="en-GB"/>
        </w:rPr>
        <w:t>were</w:t>
      </w:r>
      <w:r>
        <w:rPr>
          <w:lang w:val="en-GB"/>
        </w:rPr>
        <w:t xml:space="preserve"> supported by clinical</w:t>
      </w:r>
      <w:r w:rsidRPr="008D5FDE">
        <w:rPr>
          <w:lang w:val="en-GB"/>
        </w:rPr>
        <w:t xml:space="preserve"> evidence</w:t>
      </w:r>
      <w:r>
        <w:rPr>
          <w:lang w:val="en-GB"/>
        </w:rPr>
        <w:t>.</w:t>
      </w:r>
      <w:r w:rsidRPr="008D5FDE">
        <w:rPr>
          <w:lang w:val="en-GB"/>
        </w:rPr>
        <w:t xml:space="preserve"> </w:t>
      </w:r>
      <w:r w:rsidRPr="00B5362D">
        <w:rPr>
          <w:lang w:val="en-GB"/>
        </w:rPr>
        <w:t xml:space="preserve">However, the PBAC noted the consumer and clinician preference for use in </w:t>
      </w:r>
      <w:r w:rsidR="00423571">
        <w:rPr>
          <w:lang w:val="en-GB"/>
        </w:rPr>
        <w:t xml:space="preserve">a broader </w:t>
      </w:r>
      <w:proofErr w:type="gramStart"/>
      <w:r w:rsidR="00423571">
        <w:rPr>
          <w:lang w:val="en-GB"/>
        </w:rPr>
        <w:t>setting</w:t>
      </w:r>
      <w:r w:rsidRPr="00B5362D">
        <w:rPr>
          <w:lang w:val="en-GB"/>
        </w:rPr>
        <w:t>, and</w:t>
      </w:r>
      <w:proofErr w:type="gramEnd"/>
      <w:r w:rsidRPr="00B5362D">
        <w:rPr>
          <w:lang w:val="en-GB"/>
        </w:rPr>
        <w:t xml:space="preserve"> considered that any proposal to list </w:t>
      </w:r>
      <w:r w:rsidR="004A5C59">
        <w:rPr>
          <w:lang w:val="en-GB"/>
        </w:rPr>
        <w:t>in this narrower population</w:t>
      </w:r>
      <w:r w:rsidRPr="00B5362D">
        <w:rPr>
          <w:lang w:val="en-GB"/>
        </w:rPr>
        <w:t xml:space="preserve"> would need </w:t>
      </w:r>
      <w:r w:rsidR="00895173">
        <w:rPr>
          <w:lang w:val="en-GB"/>
        </w:rPr>
        <w:t xml:space="preserve">to include an RSA proposal </w:t>
      </w:r>
      <w:r w:rsidRPr="00B5362D">
        <w:rPr>
          <w:lang w:val="en-GB"/>
        </w:rPr>
        <w:t xml:space="preserve">to </w:t>
      </w:r>
      <w:r w:rsidR="001C57AD" w:rsidRPr="00B5362D">
        <w:rPr>
          <w:lang w:val="en-GB"/>
        </w:rPr>
        <w:t>m</w:t>
      </w:r>
      <w:r w:rsidR="001C57AD">
        <w:rPr>
          <w:lang w:val="en-GB"/>
        </w:rPr>
        <w:t>anage</w:t>
      </w:r>
      <w:r w:rsidR="001C57AD" w:rsidRPr="00B5362D">
        <w:rPr>
          <w:lang w:val="en-GB"/>
        </w:rPr>
        <w:t xml:space="preserve"> </w:t>
      </w:r>
      <w:r w:rsidRPr="00B5362D">
        <w:rPr>
          <w:lang w:val="en-GB"/>
        </w:rPr>
        <w:t xml:space="preserve">the risk of use outside the intended listing. </w:t>
      </w:r>
      <w:r>
        <w:rPr>
          <w:lang w:val="en-GB"/>
        </w:rPr>
        <w:t xml:space="preserve">The PBAC considered that in this narrower population, </w:t>
      </w:r>
      <w:r w:rsidRPr="008D5FDE">
        <w:rPr>
          <w:lang w:val="en-GB"/>
        </w:rPr>
        <w:t>chronic IVIg/PLEX could provide a frame of reference for interpreting the cost per patient of zilucoplan</w:t>
      </w:r>
      <w:r>
        <w:rPr>
          <w:lang w:val="en-GB"/>
        </w:rPr>
        <w:t>.</w:t>
      </w:r>
      <w:bookmarkEnd w:id="116"/>
    </w:p>
    <w:p w14:paraId="65329522" w14:textId="0E25757A" w:rsidR="003A2A6B" w:rsidRPr="008D5FDE" w:rsidRDefault="003A2A6B" w:rsidP="005E3427">
      <w:pPr>
        <w:pStyle w:val="3-BodyText"/>
        <w:rPr>
          <w:lang w:val="en-GB"/>
        </w:rPr>
      </w:pPr>
      <w:r w:rsidRPr="00A2714D">
        <w:rPr>
          <w:bCs/>
          <w:snapToGrid w:val="0"/>
          <w:lang w:val="en-GB" w:eastAsia="en-US"/>
        </w:rPr>
        <w:t>The resubmission may be lodged at any future standard due date for PBAC submissions using the standard re-entry pathway</w:t>
      </w:r>
      <w:r>
        <w:rPr>
          <w:bCs/>
          <w:snapToGrid w:val="0"/>
          <w:lang w:val="en-GB" w:eastAsia="en-US"/>
        </w:rPr>
        <w:t>.</w:t>
      </w:r>
    </w:p>
    <w:p w14:paraId="4F980577" w14:textId="1A4040CA" w:rsidR="00B17BAA" w:rsidRPr="005E3427" w:rsidRDefault="00B17BAA" w:rsidP="005E3427">
      <w:pPr>
        <w:pStyle w:val="3-BodyText"/>
        <w:rPr>
          <w:bCs/>
          <w:snapToGrid w:val="0"/>
          <w:lang w:val="en-GB"/>
        </w:rPr>
      </w:pPr>
      <w:r w:rsidRPr="00536C05">
        <w:rPr>
          <w:bCs/>
          <w:snapToGrid w:val="0"/>
          <w:lang w:val="en-GB"/>
        </w:rPr>
        <w:t xml:space="preserve">The PBAC noted that this submission is eligible for an Independent Review. </w:t>
      </w:r>
    </w:p>
    <w:p w14:paraId="1616925B" w14:textId="77777777" w:rsidR="00B17BAA" w:rsidRPr="00536C05" w:rsidRDefault="00B17BAA" w:rsidP="00B17BAA">
      <w:pPr>
        <w:spacing w:before="240"/>
        <w:rPr>
          <w:rFonts w:asciiTheme="minorHAnsi" w:hAnsiTheme="minorHAnsi"/>
          <w:b/>
          <w:bCs/>
          <w:snapToGrid w:val="0"/>
          <w:lang w:val="en-GB"/>
        </w:rPr>
      </w:pPr>
      <w:r w:rsidRPr="00536C05">
        <w:rPr>
          <w:rFonts w:asciiTheme="minorHAnsi" w:hAnsiTheme="minorHAnsi"/>
          <w:b/>
          <w:bCs/>
          <w:snapToGrid w:val="0"/>
          <w:lang w:val="en-GB"/>
        </w:rPr>
        <w:t>Outcome:</w:t>
      </w:r>
    </w:p>
    <w:p w14:paraId="7AF964A7" w14:textId="0EFC4510" w:rsidR="00B17BAA" w:rsidRDefault="00B17BAA" w:rsidP="00B17BAA">
      <w:pPr>
        <w:rPr>
          <w:rFonts w:asciiTheme="minorHAnsi" w:hAnsiTheme="minorHAnsi"/>
          <w:bCs/>
          <w:snapToGrid w:val="0"/>
          <w:lang w:val="en-GB"/>
        </w:rPr>
      </w:pPr>
      <w:r w:rsidRPr="00536C05">
        <w:rPr>
          <w:rFonts w:asciiTheme="minorHAnsi" w:hAnsiTheme="minorHAnsi"/>
          <w:bCs/>
          <w:snapToGrid w:val="0"/>
          <w:lang w:val="en-GB"/>
        </w:rPr>
        <w:t xml:space="preserve">Not recommended </w:t>
      </w:r>
      <w:bookmarkEnd w:id="104"/>
      <w:bookmarkEnd w:id="105"/>
    </w:p>
    <w:p w14:paraId="03B7D689" w14:textId="77777777" w:rsidR="00B80FE1" w:rsidRDefault="00B80FE1" w:rsidP="00B80FE1">
      <w:pPr>
        <w:pStyle w:val="2-SectionHeading"/>
        <w:numPr>
          <w:ilvl w:val="0"/>
          <w:numId w:val="1"/>
        </w:numPr>
        <w:rPr>
          <w:bCs/>
          <w:lang w:val="en-GB"/>
        </w:rPr>
      </w:pPr>
      <w:r w:rsidRPr="00C07617">
        <w:t>Context for Decision</w:t>
      </w:r>
    </w:p>
    <w:p w14:paraId="3EADFC65" w14:textId="77777777" w:rsidR="00B80FE1" w:rsidRPr="00311EEF" w:rsidRDefault="00B80FE1" w:rsidP="00B80FE1">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3B87FC9" w14:textId="77777777" w:rsidR="00B80FE1" w:rsidRPr="00311EEF" w:rsidRDefault="00B80FE1" w:rsidP="00B80FE1">
      <w:pPr>
        <w:pStyle w:val="2-SectionHeading"/>
        <w:numPr>
          <w:ilvl w:val="0"/>
          <w:numId w:val="1"/>
        </w:numPr>
      </w:pPr>
      <w:r w:rsidRPr="00311EEF">
        <w:t>Sponsor’s Comment</w:t>
      </w:r>
    </w:p>
    <w:p w14:paraId="001C8DF4" w14:textId="6C5EF822" w:rsidR="00B80FE1" w:rsidRPr="00525B39" w:rsidRDefault="00B80FE1" w:rsidP="0069051D">
      <w:pPr>
        <w:spacing w:after="120"/>
        <w:ind w:left="720"/>
        <w:rPr>
          <w:rFonts w:asciiTheme="minorHAnsi" w:hAnsiTheme="minorHAnsi"/>
          <w:bCs/>
          <w:snapToGrid w:val="0"/>
          <w:lang w:val="en-GB"/>
        </w:rPr>
      </w:pPr>
      <w:r w:rsidRPr="00C07617">
        <w:rPr>
          <w:rFonts w:asciiTheme="minorHAnsi" w:hAnsiTheme="minorHAnsi"/>
          <w:bCs/>
        </w:rPr>
        <w:t>The sponsor had no comment.</w:t>
      </w:r>
    </w:p>
    <w:sectPr w:rsidR="00B80FE1" w:rsidRPr="00525B39" w:rsidSect="00E50C51">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63A2" w14:textId="77777777" w:rsidR="00793569" w:rsidRDefault="00793569" w:rsidP="00124A51">
      <w:r>
        <w:separator/>
      </w:r>
    </w:p>
    <w:p w14:paraId="61CA05EE" w14:textId="77777777" w:rsidR="00793569" w:rsidRDefault="00793569"/>
    <w:p w14:paraId="1E5271A0" w14:textId="77777777" w:rsidR="00793569" w:rsidRDefault="00793569"/>
  </w:endnote>
  <w:endnote w:type="continuationSeparator" w:id="0">
    <w:p w14:paraId="66DEBA00" w14:textId="77777777" w:rsidR="00793569" w:rsidRDefault="00793569" w:rsidP="00124A51">
      <w:r>
        <w:continuationSeparator/>
      </w:r>
    </w:p>
    <w:p w14:paraId="09927AC1" w14:textId="77777777" w:rsidR="00793569" w:rsidRDefault="00793569"/>
    <w:p w14:paraId="537BEF0A" w14:textId="77777777" w:rsidR="00793569" w:rsidRDefault="00793569"/>
  </w:endnote>
  <w:endnote w:type="continuationNotice" w:id="1">
    <w:p w14:paraId="70D0A726" w14:textId="77777777" w:rsidR="00793569" w:rsidRDefault="00793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4CE8" w14:textId="3F099FD1" w:rsidR="009D5C79" w:rsidRDefault="009D5C79">
    <w:pPr>
      <w:pStyle w:val="Footer"/>
    </w:pPr>
    <w:r>
      <w:rPr>
        <w:noProof/>
      </w:rPr>
      <mc:AlternateContent>
        <mc:Choice Requires="wps">
          <w:drawing>
            <wp:anchor distT="0" distB="0" distL="0" distR="0" simplePos="0" relativeHeight="251662336" behindDoc="0" locked="0" layoutInCell="1" allowOverlap="1" wp14:anchorId="6F44FDAC" wp14:editId="60345B3F">
              <wp:simplePos x="635" y="635"/>
              <wp:positionH relativeFrom="page">
                <wp:align>center</wp:align>
              </wp:positionH>
              <wp:positionV relativeFrom="page">
                <wp:align>bottom</wp:align>
              </wp:positionV>
              <wp:extent cx="622300" cy="376555"/>
              <wp:effectExtent l="0" t="0" r="6350" b="0"/>
              <wp:wrapNone/>
              <wp:docPr id="4998526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F03DA6" w14:textId="6379ED08"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4FDAC"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8F03DA6" w14:textId="6379ED08"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81D5402" w:rsidR="0079023C" w:rsidRDefault="009D5C79" w:rsidP="00753B29">
    <w:pPr>
      <w:jc w:val="center"/>
    </w:pPr>
    <w:r>
      <w:rPr>
        <w:noProof/>
      </w:rPr>
      <mc:AlternateContent>
        <mc:Choice Requires="wps">
          <w:drawing>
            <wp:anchor distT="0" distB="0" distL="0" distR="0" simplePos="0" relativeHeight="251663360" behindDoc="0" locked="0" layoutInCell="1" allowOverlap="1" wp14:anchorId="782CA47E" wp14:editId="2B129F9C">
              <wp:simplePos x="914400" y="9410700"/>
              <wp:positionH relativeFrom="page">
                <wp:align>center</wp:align>
              </wp:positionH>
              <wp:positionV relativeFrom="page">
                <wp:align>bottom</wp:align>
              </wp:positionV>
              <wp:extent cx="622300" cy="376555"/>
              <wp:effectExtent l="0" t="0" r="6350" b="0"/>
              <wp:wrapNone/>
              <wp:docPr id="2428970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AE57E0" w14:textId="3D6E2B14"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CA47E"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AAE57E0" w14:textId="3D6E2B14"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v:textbox>
              <w10:wrap anchorx="page" anchory="page"/>
            </v:shape>
          </w:pict>
        </mc:Fallback>
      </mc:AlternateContent>
    </w:r>
  </w:p>
  <w:p w14:paraId="37484CD3" w14:textId="2CA38911" w:rsidR="0079023C" w:rsidRPr="007C1CD9" w:rsidRDefault="00BD6FFA" w:rsidP="00753B29">
    <w:pPr>
      <w:jc w:val="center"/>
    </w:pPr>
    <w:sdt>
      <w:sdtPr>
        <w:id w:val="1036156457"/>
        <w:docPartObj>
          <w:docPartGallery w:val="Page Numbers (Bottom of Page)"/>
          <w:docPartUnique/>
        </w:docPartObj>
      </w:sdtPr>
      <w:sdtEndPr>
        <w:rPr>
          <w:noProof/>
        </w:rPr>
      </w:sdtEndPr>
      <w:sdtContent>
        <w:r w:rsidR="0079023C" w:rsidRPr="007F52A5">
          <w:rPr>
            <w:b/>
            <w:bCs/>
          </w:rPr>
          <w:fldChar w:fldCharType="begin"/>
        </w:r>
        <w:r w:rsidR="0079023C" w:rsidRPr="007F52A5">
          <w:rPr>
            <w:b/>
            <w:bCs/>
          </w:rPr>
          <w:instrText xml:space="preserve"> PAGE   \* MERGEFORMAT </w:instrText>
        </w:r>
        <w:r w:rsidR="0079023C" w:rsidRPr="007F52A5">
          <w:rPr>
            <w:b/>
            <w:bCs/>
          </w:rPr>
          <w:fldChar w:fldCharType="separate"/>
        </w:r>
        <w:r w:rsidR="00101EC9" w:rsidRPr="007F52A5">
          <w:rPr>
            <w:b/>
            <w:bCs/>
            <w:noProof/>
          </w:rPr>
          <w:t>15</w:t>
        </w:r>
        <w:r w:rsidR="0079023C" w:rsidRPr="007F52A5">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434E" w14:textId="565D0550" w:rsidR="009D5C79" w:rsidRDefault="009D5C79">
    <w:pPr>
      <w:pStyle w:val="Footer"/>
    </w:pPr>
    <w:r>
      <w:rPr>
        <w:noProof/>
      </w:rPr>
      <mc:AlternateContent>
        <mc:Choice Requires="wps">
          <w:drawing>
            <wp:anchor distT="0" distB="0" distL="0" distR="0" simplePos="0" relativeHeight="251661312" behindDoc="0" locked="0" layoutInCell="1" allowOverlap="1" wp14:anchorId="49A1A728" wp14:editId="24AFBD69">
              <wp:simplePos x="635" y="635"/>
              <wp:positionH relativeFrom="page">
                <wp:align>center</wp:align>
              </wp:positionH>
              <wp:positionV relativeFrom="page">
                <wp:align>bottom</wp:align>
              </wp:positionV>
              <wp:extent cx="622300" cy="376555"/>
              <wp:effectExtent l="0" t="0" r="6350" b="0"/>
              <wp:wrapNone/>
              <wp:docPr id="21406175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5CD584" w14:textId="127817ED"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A1A728"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65CD584" w14:textId="127817ED"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0D4B" w14:textId="77777777" w:rsidR="00793569" w:rsidRDefault="00793569" w:rsidP="00124A51">
      <w:r>
        <w:separator/>
      </w:r>
    </w:p>
    <w:p w14:paraId="3896C4C6" w14:textId="77777777" w:rsidR="00793569" w:rsidRDefault="00793569"/>
    <w:p w14:paraId="0B07A132" w14:textId="77777777" w:rsidR="00793569" w:rsidRDefault="00793569"/>
  </w:footnote>
  <w:footnote w:type="continuationSeparator" w:id="0">
    <w:p w14:paraId="5BCF2D69" w14:textId="77777777" w:rsidR="00793569" w:rsidRDefault="00793569" w:rsidP="00124A51">
      <w:r>
        <w:continuationSeparator/>
      </w:r>
    </w:p>
    <w:p w14:paraId="360E01F1" w14:textId="77777777" w:rsidR="00793569" w:rsidRDefault="00793569"/>
    <w:p w14:paraId="526D4A80" w14:textId="77777777" w:rsidR="00793569" w:rsidRDefault="00793569"/>
  </w:footnote>
  <w:footnote w:type="continuationNotice" w:id="1">
    <w:p w14:paraId="534709D2" w14:textId="77777777" w:rsidR="00793569" w:rsidRDefault="00793569"/>
  </w:footnote>
  <w:footnote w:id="2">
    <w:p w14:paraId="7496904B" w14:textId="77777777" w:rsidR="00C2433B" w:rsidRPr="003814C6" w:rsidRDefault="00C2433B" w:rsidP="00C2433B">
      <w:pPr>
        <w:pStyle w:val="FootnoteText"/>
        <w:rPr>
          <w:rFonts w:ascii="Arial Narrow" w:hAnsi="Arial Narrow"/>
        </w:rPr>
      </w:pPr>
      <w:r w:rsidRPr="003814C6">
        <w:rPr>
          <w:rStyle w:val="FootnoteReference"/>
          <w:rFonts w:ascii="Arial Narrow" w:hAnsi="Arial Narrow"/>
        </w:rPr>
        <w:footnoteRef/>
      </w:r>
      <w:r w:rsidRPr="003814C6">
        <w:rPr>
          <w:rFonts w:ascii="Arial Narrow" w:hAnsi="Arial Narrow"/>
        </w:rPr>
        <w:t xml:space="preserve"> Regnault A, et al. Measuring Overall Severity of Myasthenia Gravis (MG): Evidence for the Added Value of the MG Symptoms PRO. Neurol Ther. 2023 Oct;12(5):1573-1590. doi: 10.1007/s40120-023-00464-x.</w:t>
      </w:r>
    </w:p>
  </w:footnote>
  <w:footnote w:id="3">
    <w:p w14:paraId="4F2A8AC0" w14:textId="77777777" w:rsidR="00C2433B" w:rsidRPr="003814C6" w:rsidRDefault="00C2433B" w:rsidP="00C2433B">
      <w:pPr>
        <w:pStyle w:val="FootnoteText"/>
        <w:rPr>
          <w:rFonts w:ascii="Arial Narrow" w:hAnsi="Arial Narrow"/>
        </w:rPr>
      </w:pPr>
      <w:r w:rsidRPr="003814C6">
        <w:rPr>
          <w:rStyle w:val="FootnoteReference"/>
          <w:rFonts w:ascii="Arial Narrow" w:hAnsi="Arial Narrow"/>
        </w:rPr>
        <w:footnoteRef/>
      </w:r>
      <w:r w:rsidRPr="003814C6">
        <w:rPr>
          <w:rFonts w:ascii="Arial Narrow" w:hAnsi="Arial Narrow"/>
        </w:rPr>
        <w:t xml:space="preserve"> Thomsen JLS, Andersen H. Outcome Measures in Clinical Trials of Patients With Myasthenia Gravis. Front Neurol. 2020 Dec 23;11:596382. doi: 10.3389/fneur.2020.596382. PMID: 33424747; PMCID: PMC7793650</w:t>
      </w:r>
    </w:p>
  </w:footnote>
  <w:footnote w:id="4">
    <w:p w14:paraId="481AFAED" w14:textId="769B7320" w:rsidR="00721985" w:rsidRPr="00721985" w:rsidRDefault="00721985">
      <w:pPr>
        <w:pStyle w:val="FootnoteText"/>
        <w:rPr>
          <w:rFonts w:ascii="Arial Narrow" w:hAnsi="Arial Narrow"/>
        </w:rPr>
      </w:pPr>
      <w:r w:rsidRPr="00721985">
        <w:rPr>
          <w:rStyle w:val="FootnoteReference"/>
          <w:rFonts w:ascii="Arial Narrow" w:hAnsi="Arial Narrow"/>
        </w:rPr>
        <w:footnoteRef/>
      </w:r>
      <w:r w:rsidRPr="00721985">
        <w:rPr>
          <w:rFonts w:ascii="Arial Narrow" w:hAnsi="Arial Narrow"/>
        </w:rPr>
        <w:t xml:space="preserve"> Petersson M, Feresiadou A, Jons D, et al. Patient-Reported Symptom Severity in a Nationwide Myasthenia Gravis Cohort: Cross-sectional Analysis of the Swedish GEMG Study. Neurology. 2021 Oct 4;97(14):e1382-e1391. Available at https://www.ncbi.nlm.nih.gov/pmc/articles/PMC8520390/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1F2E" w14:textId="47269E51" w:rsidR="009D5C79" w:rsidRDefault="009D5C79">
    <w:pPr>
      <w:pStyle w:val="Header"/>
    </w:pPr>
    <w:r>
      <w:rPr>
        <w:noProof/>
      </w:rPr>
      <mc:AlternateContent>
        <mc:Choice Requires="wps">
          <w:drawing>
            <wp:anchor distT="0" distB="0" distL="0" distR="0" simplePos="0" relativeHeight="251659264" behindDoc="0" locked="0" layoutInCell="1" allowOverlap="1" wp14:anchorId="2F946058" wp14:editId="4E46FE7D">
              <wp:simplePos x="635" y="635"/>
              <wp:positionH relativeFrom="page">
                <wp:align>center</wp:align>
              </wp:positionH>
              <wp:positionV relativeFrom="page">
                <wp:align>top</wp:align>
              </wp:positionV>
              <wp:extent cx="622300" cy="376555"/>
              <wp:effectExtent l="0" t="0" r="6350" b="4445"/>
              <wp:wrapNone/>
              <wp:docPr id="670679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0C1406" w14:textId="1468E5D3"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946058"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20C1406" w14:textId="1468E5D3"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05F9C30C" w:rsidR="0079023C" w:rsidRPr="00195452" w:rsidRDefault="009D5C79" w:rsidP="003C2DE2">
    <w:pPr>
      <w:jc w:val="center"/>
      <w:rPr>
        <w:rFonts w:asciiTheme="minorHAnsi" w:hAnsiTheme="minorHAnsi"/>
        <w:i/>
        <w:color w:val="808080"/>
      </w:rPr>
    </w:pPr>
    <w:r>
      <w:rPr>
        <w:rFonts w:asciiTheme="minorHAnsi" w:hAnsiTheme="minorHAnsi"/>
        <w:i/>
        <w:noProof/>
      </w:rPr>
      <mc:AlternateContent>
        <mc:Choice Requires="wps">
          <w:drawing>
            <wp:anchor distT="0" distB="0" distL="0" distR="0" simplePos="0" relativeHeight="251660288" behindDoc="0" locked="0" layoutInCell="1" allowOverlap="1" wp14:anchorId="59BC5F87" wp14:editId="36404E6C">
              <wp:simplePos x="914400" y="914400"/>
              <wp:positionH relativeFrom="page">
                <wp:align>center</wp:align>
              </wp:positionH>
              <wp:positionV relativeFrom="page">
                <wp:align>top</wp:align>
              </wp:positionV>
              <wp:extent cx="622300" cy="376555"/>
              <wp:effectExtent l="0" t="0" r="6350" b="4445"/>
              <wp:wrapNone/>
              <wp:docPr id="663782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3A8754D" w14:textId="00A8E437"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C5F87"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3A8754D" w14:textId="00A8E437"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v:textbox>
              <w10:wrap anchorx="page" anchory="page"/>
            </v:shape>
          </w:pict>
        </mc:Fallback>
      </mc:AlternateContent>
    </w:r>
    <w:r w:rsidR="0000386C" w:rsidRPr="005747E9">
      <w:rPr>
        <w:rFonts w:asciiTheme="minorHAnsi" w:hAnsiTheme="minorHAnsi"/>
        <w:i/>
      </w:rPr>
      <w:t>Public Summary Document</w:t>
    </w:r>
    <w:r w:rsidR="007F52A5" w:rsidRPr="005747E9">
      <w:rPr>
        <w:rFonts w:asciiTheme="minorHAnsi" w:hAnsiTheme="minorHAnsi"/>
        <w:i/>
      </w:rPr>
      <w:t xml:space="preserve"> - </w:t>
    </w:r>
    <w:r w:rsidR="00861CB6" w:rsidRPr="005747E9">
      <w:rPr>
        <w:rFonts w:asciiTheme="minorHAnsi" w:hAnsiTheme="minorHAnsi"/>
        <w:i/>
      </w:rPr>
      <w:t>July 2024</w:t>
    </w:r>
    <w:r w:rsidR="0079023C">
      <w:rPr>
        <w:rFonts w:asciiTheme="minorHAnsi" w:hAnsiTheme="minorHAnsi"/>
        <w:i/>
        <w:color w:val="808080"/>
      </w:rPr>
      <w:t xml:space="preserve"> </w:t>
    </w:r>
    <w:r w:rsidR="0079023C" w:rsidRPr="005747E9">
      <w:rPr>
        <w:rFonts w:asciiTheme="minorHAnsi" w:hAnsiTheme="minorHAnsi"/>
        <w:i/>
      </w:rPr>
      <w:t>PBAC Meeting</w:t>
    </w:r>
  </w:p>
  <w:p w14:paraId="03AF943B" w14:textId="77777777" w:rsidR="0079023C" w:rsidRPr="008C7ECB" w:rsidRDefault="007902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89B3" w14:textId="463682BF" w:rsidR="009D5C79" w:rsidRDefault="009D5C79">
    <w:pPr>
      <w:pStyle w:val="Header"/>
    </w:pPr>
    <w:r>
      <w:rPr>
        <w:noProof/>
      </w:rPr>
      <mc:AlternateContent>
        <mc:Choice Requires="wps">
          <w:drawing>
            <wp:anchor distT="0" distB="0" distL="0" distR="0" simplePos="0" relativeHeight="251658240" behindDoc="0" locked="0" layoutInCell="1" allowOverlap="1" wp14:anchorId="3442C489" wp14:editId="617483FC">
              <wp:simplePos x="635" y="635"/>
              <wp:positionH relativeFrom="page">
                <wp:align>center</wp:align>
              </wp:positionH>
              <wp:positionV relativeFrom="page">
                <wp:align>top</wp:align>
              </wp:positionV>
              <wp:extent cx="622300" cy="376555"/>
              <wp:effectExtent l="0" t="0" r="6350" b="4445"/>
              <wp:wrapNone/>
              <wp:docPr id="2319792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2A6A92" w14:textId="104758E8"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2C489"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22A6A92" w14:textId="104758E8" w:rsidR="009D5C79" w:rsidRPr="009D5C79" w:rsidRDefault="009D5C79" w:rsidP="009D5C79">
                    <w:pPr>
                      <w:rPr>
                        <w:rFonts w:ascii="Aptos" w:eastAsia="Aptos" w:hAnsi="Aptos" w:cs="Aptos"/>
                        <w:noProof/>
                        <w:color w:val="FF0000"/>
                      </w:rPr>
                    </w:pPr>
                    <w:r w:rsidRPr="009D5C7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92F0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219F8"/>
    <w:multiLevelType w:val="hybridMultilevel"/>
    <w:tmpl w:val="24F09860"/>
    <w:lvl w:ilvl="0" w:tplc="47D4F4DA">
      <w:start w:val="1"/>
      <w:numFmt w:val="bullet"/>
      <w:pStyle w:val="COMexecsummmainissuesbullets"/>
      <w:lvlText w:val=""/>
      <w:lvlJc w:val="left"/>
      <w:pPr>
        <w:ind w:left="-360" w:hanging="360"/>
      </w:pPr>
      <w:rPr>
        <w:rFonts w:ascii="Symbol" w:hAnsi="Symbol" w:hint="default"/>
        <w:color w:val="auto"/>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 w15:restartNumberingAfterBreak="0">
    <w:nsid w:val="30346AD7"/>
    <w:multiLevelType w:val="hybridMultilevel"/>
    <w:tmpl w:val="A26EF948"/>
    <w:lvl w:ilvl="0" w:tplc="0B88C21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AF22346"/>
    <w:multiLevelType w:val="hybridMultilevel"/>
    <w:tmpl w:val="4B64B9A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750CA8"/>
    <w:multiLevelType w:val="hybridMultilevel"/>
    <w:tmpl w:val="CC602F9E"/>
    <w:lvl w:ilvl="0" w:tplc="427AA6C6">
      <w:start w:val="1"/>
      <w:numFmt w:val="bullet"/>
      <w:pStyle w:val="Intablebulle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4D033C"/>
    <w:multiLevelType w:val="multilevel"/>
    <w:tmpl w:val="4044E9B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6919690">
    <w:abstractNumId w:val="6"/>
  </w:num>
  <w:num w:numId="2" w16cid:durableId="1222324807">
    <w:abstractNumId w:val="4"/>
  </w:num>
  <w:num w:numId="3" w16cid:durableId="462621321">
    <w:abstractNumId w:val="0"/>
  </w:num>
  <w:num w:numId="4" w16cid:durableId="241062059">
    <w:abstractNumId w:val="1"/>
  </w:num>
  <w:num w:numId="5" w16cid:durableId="151261743">
    <w:abstractNumId w:val="3"/>
  </w:num>
  <w:num w:numId="6" w16cid:durableId="1945918701">
    <w:abstractNumId w:val="5"/>
  </w:num>
  <w:num w:numId="7" w16cid:durableId="840237198">
    <w:abstractNumId w:val="2"/>
  </w:num>
  <w:num w:numId="8" w16cid:durableId="76141255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51"/>
    <w:rsid w:val="0000074F"/>
    <w:rsid w:val="00000790"/>
    <w:rsid w:val="00000C51"/>
    <w:rsid w:val="0000110B"/>
    <w:rsid w:val="00002394"/>
    <w:rsid w:val="00003499"/>
    <w:rsid w:val="0000386C"/>
    <w:rsid w:val="000039B7"/>
    <w:rsid w:val="000041D5"/>
    <w:rsid w:val="000043B8"/>
    <w:rsid w:val="000056B9"/>
    <w:rsid w:val="000057E7"/>
    <w:rsid w:val="0000587B"/>
    <w:rsid w:val="00005CBE"/>
    <w:rsid w:val="00006275"/>
    <w:rsid w:val="0000639A"/>
    <w:rsid w:val="00006617"/>
    <w:rsid w:val="00010B40"/>
    <w:rsid w:val="00011733"/>
    <w:rsid w:val="00011DB0"/>
    <w:rsid w:val="00012F1A"/>
    <w:rsid w:val="00013247"/>
    <w:rsid w:val="00013376"/>
    <w:rsid w:val="000148CC"/>
    <w:rsid w:val="00014EFE"/>
    <w:rsid w:val="00015886"/>
    <w:rsid w:val="000162EF"/>
    <w:rsid w:val="00017A07"/>
    <w:rsid w:val="00017BAE"/>
    <w:rsid w:val="000207C9"/>
    <w:rsid w:val="00020985"/>
    <w:rsid w:val="00020CFA"/>
    <w:rsid w:val="0002225F"/>
    <w:rsid w:val="000230F3"/>
    <w:rsid w:val="00023763"/>
    <w:rsid w:val="00023AB6"/>
    <w:rsid w:val="00024B03"/>
    <w:rsid w:val="00024EB5"/>
    <w:rsid w:val="00024F10"/>
    <w:rsid w:val="0002623C"/>
    <w:rsid w:val="000263EE"/>
    <w:rsid w:val="000274B8"/>
    <w:rsid w:val="0003123F"/>
    <w:rsid w:val="00031BC9"/>
    <w:rsid w:val="000336DE"/>
    <w:rsid w:val="00033863"/>
    <w:rsid w:val="00034131"/>
    <w:rsid w:val="00035D26"/>
    <w:rsid w:val="00035DC0"/>
    <w:rsid w:val="000367DC"/>
    <w:rsid w:val="00036829"/>
    <w:rsid w:val="00036B8E"/>
    <w:rsid w:val="00040089"/>
    <w:rsid w:val="000402CE"/>
    <w:rsid w:val="00040895"/>
    <w:rsid w:val="00040D09"/>
    <w:rsid w:val="00040D57"/>
    <w:rsid w:val="00040E98"/>
    <w:rsid w:val="000410A0"/>
    <w:rsid w:val="00042389"/>
    <w:rsid w:val="00042E82"/>
    <w:rsid w:val="000435EE"/>
    <w:rsid w:val="00043663"/>
    <w:rsid w:val="000438A2"/>
    <w:rsid w:val="00043A51"/>
    <w:rsid w:val="00043C37"/>
    <w:rsid w:val="00043EF9"/>
    <w:rsid w:val="00044FB4"/>
    <w:rsid w:val="00045017"/>
    <w:rsid w:val="00045A2B"/>
    <w:rsid w:val="00046467"/>
    <w:rsid w:val="0004698F"/>
    <w:rsid w:val="00046D64"/>
    <w:rsid w:val="00047B30"/>
    <w:rsid w:val="0005056A"/>
    <w:rsid w:val="000508C2"/>
    <w:rsid w:val="000516D7"/>
    <w:rsid w:val="000524B3"/>
    <w:rsid w:val="000539D0"/>
    <w:rsid w:val="00053BA2"/>
    <w:rsid w:val="00054621"/>
    <w:rsid w:val="000546D7"/>
    <w:rsid w:val="00054A8D"/>
    <w:rsid w:val="00054D3B"/>
    <w:rsid w:val="000554F5"/>
    <w:rsid w:val="00055673"/>
    <w:rsid w:val="00056A2D"/>
    <w:rsid w:val="00056ECF"/>
    <w:rsid w:val="000604DF"/>
    <w:rsid w:val="000607EC"/>
    <w:rsid w:val="00062324"/>
    <w:rsid w:val="00062878"/>
    <w:rsid w:val="00063D01"/>
    <w:rsid w:val="00064058"/>
    <w:rsid w:val="00064591"/>
    <w:rsid w:val="000648F9"/>
    <w:rsid w:val="000653B5"/>
    <w:rsid w:val="00066360"/>
    <w:rsid w:val="000665EC"/>
    <w:rsid w:val="00066AF8"/>
    <w:rsid w:val="000671CD"/>
    <w:rsid w:val="00067B8E"/>
    <w:rsid w:val="00067BF3"/>
    <w:rsid w:val="00067DF7"/>
    <w:rsid w:val="00067E4D"/>
    <w:rsid w:val="00071248"/>
    <w:rsid w:val="00071AA6"/>
    <w:rsid w:val="00071C77"/>
    <w:rsid w:val="000720B9"/>
    <w:rsid w:val="0007246D"/>
    <w:rsid w:val="00072F1F"/>
    <w:rsid w:val="000730AF"/>
    <w:rsid w:val="000737F7"/>
    <w:rsid w:val="00074510"/>
    <w:rsid w:val="00074E6F"/>
    <w:rsid w:val="00074FCE"/>
    <w:rsid w:val="0007672F"/>
    <w:rsid w:val="00076B54"/>
    <w:rsid w:val="00076B5A"/>
    <w:rsid w:val="000774F0"/>
    <w:rsid w:val="000806E9"/>
    <w:rsid w:val="00080909"/>
    <w:rsid w:val="00080CC7"/>
    <w:rsid w:val="000812CA"/>
    <w:rsid w:val="00081E63"/>
    <w:rsid w:val="000823C2"/>
    <w:rsid w:val="0008258D"/>
    <w:rsid w:val="000834B0"/>
    <w:rsid w:val="00083E99"/>
    <w:rsid w:val="000849AB"/>
    <w:rsid w:val="00084FA8"/>
    <w:rsid w:val="00084FD3"/>
    <w:rsid w:val="000856C5"/>
    <w:rsid w:val="00085A99"/>
    <w:rsid w:val="00085C31"/>
    <w:rsid w:val="0008715E"/>
    <w:rsid w:val="0008737C"/>
    <w:rsid w:val="000902D9"/>
    <w:rsid w:val="0009065A"/>
    <w:rsid w:val="00090C7E"/>
    <w:rsid w:val="00090F7A"/>
    <w:rsid w:val="000911AC"/>
    <w:rsid w:val="00091C70"/>
    <w:rsid w:val="00092600"/>
    <w:rsid w:val="0009262B"/>
    <w:rsid w:val="00093310"/>
    <w:rsid w:val="000939E1"/>
    <w:rsid w:val="00093C47"/>
    <w:rsid w:val="00093E62"/>
    <w:rsid w:val="0009445C"/>
    <w:rsid w:val="00094EC7"/>
    <w:rsid w:val="00095200"/>
    <w:rsid w:val="00095FE5"/>
    <w:rsid w:val="00096284"/>
    <w:rsid w:val="00096FA1"/>
    <w:rsid w:val="00097178"/>
    <w:rsid w:val="00097633"/>
    <w:rsid w:val="000A11B2"/>
    <w:rsid w:val="000A1422"/>
    <w:rsid w:val="000A1BC0"/>
    <w:rsid w:val="000A2F9E"/>
    <w:rsid w:val="000A3E47"/>
    <w:rsid w:val="000A40AB"/>
    <w:rsid w:val="000A4543"/>
    <w:rsid w:val="000A522B"/>
    <w:rsid w:val="000A536E"/>
    <w:rsid w:val="000A5540"/>
    <w:rsid w:val="000A5E7E"/>
    <w:rsid w:val="000A6039"/>
    <w:rsid w:val="000A6063"/>
    <w:rsid w:val="000A60F4"/>
    <w:rsid w:val="000A6170"/>
    <w:rsid w:val="000A639F"/>
    <w:rsid w:val="000A6A74"/>
    <w:rsid w:val="000A73FC"/>
    <w:rsid w:val="000A7453"/>
    <w:rsid w:val="000A7D08"/>
    <w:rsid w:val="000A7D21"/>
    <w:rsid w:val="000B003F"/>
    <w:rsid w:val="000B0121"/>
    <w:rsid w:val="000B0670"/>
    <w:rsid w:val="000B0E75"/>
    <w:rsid w:val="000B247A"/>
    <w:rsid w:val="000B2DCB"/>
    <w:rsid w:val="000B36C2"/>
    <w:rsid w:val="000B4777"/>
    <w:rsid w:val="000B527C"/>
    <w:rsid w:val="000B53C2"/>
    <w:rsid w:val="000B5CE0"/>
    <w:rsid w:val="000B6CAC"/>
    <w:rsid w:val="000B7612"/>
    <w:rsid w:val="000B78AE"/>
    <w:rsid w:val="000B7926"/>
    <w:rsid w:val="000C17AD"/>
    <w:rsid w:val="000C1E1F"/>
    <w:rsid w:val="000C3DF9"/>
    <w:rsid w:val="000C4CF2"/>
    <w:rsid w:val="000C6713"/>
    <w:rsid w:val="000D06ED"/>
    <w:rsid w:val="000D1BFC"/>
    <w:rsid w:val="000D1D5D"/>
    <w:rsid w:val="000D281A"/>
    <w:rsid w:val="000D2848"/>
    <w:rsid w:val="000D29B0"/>
    <w:rsid w:val="000D2C80"/>
    <w:rsid w:val="000D326A"/>
    <w:rsid w:val="000D51FB"/>
    <w:rsid w:val="000D5368"/>
    <w:rsid w:val="000D5990"/>
    <w:rsid w:val="000D5A3F"/>
    <w:rsid w:val="000D5B93"/>
    <w:rsid w:val="000D78EA"/>
    <w:rsid w:val="000E00D4"/>
    <w:rsid w:val="000E0141"/>
    <w:rsid w:val="000E0640"/>
    <w:rsid w:val="000E135D"/>
    <w:rsid w:val="000E34B9"/>
    <w:rsid w:val="000E429B"/>
    <w:rsid w:val="000E4BD0"/>
    <w:rsid w:val="000F00BA"/>
    <w:rsid w:val="000F316A"/>
    <w:rsid w:val="000F3C74"/>
    <w:rsid w:val="000F43DE"/>
    <w:rsid w:val="000F492E"/>
    <w:rsid w:val="000F4BB8"/>
    <w:rsid w:val="000F4FA9"/>
    <w:rsid w:val="000F53FB"/>
    <w:rsid w:val="000F5ABC"/>
    <w:rsid w:val="000F6088"/>
    <w:rsid w:val="000F7127"/>
    <w:rsid w:val="000F78C5"/>
    <w:rsid w:val="000F7B54"/>
    <w:rsid w:val="001000B3"/>
    <w:rsid w:val="00100F8A"/>
    <w:rsid w:val="00101EC9"/>
    <w:rsid w:val="001038AC"/>
    <w:rsid w:val="00103D01"/>
    <w:rsid w:val="001041E1"/>
    <w:rsid w:val="0010452E"/>
    <w:rsid w:val="001059C6"/>
    <w:rsid w:val="00105AE2"/>
    <w:rsid w:val="00105AE5"/>
    <w:rsid w:val="00105CF7"/>
    <w:rsid w:val="001060C6"/>
    <w:rsid w:val="00106B80"/>
    <w:rsid w:val="00106BF5"/>
    <w:rsid w:val="0011032E"/>
    <w:rsid w:val="00111929"/>
    <w:rsid w:val="00112225"/>
    <w:rsid w:val="0011249F"/>
    <w:rsid w:val="0011348B"/>
    <w:rsid w:val="001136C7"/>
    <w:rsid w:val="001158A8"/>
    <w:rsid w:val="00115982"/>
    <w:rsid w:val="001169AA"/>
    <w:rsid w:val="00116C53"/>
    <w:rsid w:val="00116F5F"/>
    <w:rsid w:val="0011794D"/>
    <w:rsid w:val="0011799B"/>
    <w:rsid w:val="00121799"/>
    <w:rsid w:val="001222FC"/>
    <w:rsid w:val="00123902"/>
    <w:rsid w:val="00123BF7"/>
    <w:rsid w:val="00124A51"/>
    <w:rsid w:val="001254CD"/>
    <w:rsid w:val="0012555F"/>
    <w:rsid w:val="00126621"/>
    <w:rsid w:val="00126B1D"/>
    <w:rsid w:val="00126B95"/>
    <w:rsid w:val="00126D2A"/>
    <w:rsid w:val="00126E5D"/>
    <w:rsid w:val="0012753A"/>
    <w:rsid w:val="00127990"/>
    <w:rsid w:val="001301E9"/>
    <w:rsid w:val="0013115A"/>
    <w:rsid w:val="00131D82"/>
    <w:rsid w:val="00132B22"/>
    <w:rsid w:val="001337B8"/>
    <w:rsid w:val="00133CA8"/>
    <w:rsid w:val="00133D36"/>
    <w:rsid w:val="001367F1"/>
    <w:rsid w:val="00136F49"/>
    <w:rsid w:val="00137645"/>
    <w:rsid w:val="00137786"/>
    <w:rsid w:val="00137C23"/>
    <w:rsid w:val="0014015A"/>
    <w:rsid w:val="00140623"/>
    <w:rsid w:val="00140E99"/>
    <w:rsid w:val="00141133"/>
    <w:rsid w:val="00141311"/>
    <w:rsid w:val="001414DB"/>
    <w:rsid w:val="00142DD6"/>
    <w:rsid w:val="00143F67"/>
    <w:rsid w:val="00145234"/>
    <w:rsid w:val="00145540"/>
    <w:rsid w:val="001456B0"/>
    <w:rsid w:val="0014749D"/>
    <w:rsid w:val="00147738"/>
    <w:rsid w:val="00147C8D"/>
    <w:rsid w:val="001502C7"/>
    <w:rsid w:val="00150E5D"/>
    <w:rsid w:val="00153D44"/>
    <w:rsid w:val="001547AB"/>
    <w:rsid w:val="00154A2D"/>
    <w:rsid w:val="00154E51"/>
    <w:rsid w:val="00156F8F"/>
    <w:rsid w:val="00157130"/>
    <w:rsid w:val="001576B1"/>
    <w:rsid w:val="00157DF8"/>
    <w:rsid w:val="0016047B"/>
    <w:rsid w:val="00160A4C"/>
    <w:rsid w:val="00161274"/>
    <w:rsid w:val="00162873"/>
    <w:rsid w:val="00162913"/>
    <w:rsid w:val="00163E81"/>
    <w:rsid w:val="00163EFF"/>
    <w:rsid w:val="00163F66"/>
    <w:rsid w:val="0016478E"/>
    <w:rsid w:val="00164E34"/>
    <w:rsid w:val="00165088"/>
    <w:rsid w:val="00165EC4"/>
    <w:rsid w:val="001661FB"/>
    <w:rsid w:val="00166F1F"/>
    <w:rsid w:val="00166FB6"/>
    <w:rsid w:val="00166FFC"/>
    <w:rsid w:val="001671A0"/>
    <w:rsid w:val="0016766C"/>
    <w:rsid w:val="0016767F"/>
    <w:rsid w:val="001706DA"/>
    <w:rsid w:val="00171728"/>
    <w:rsid w:val="0017174D"/>
    <w:rsid w:val="00171C17"/>
    <w:rsid w:val="001724E9"/>
    <w:rsid w:val="00172633"/>
    <w:rsid w:val="00173315"/>
    <w:rsid w:val="00173565"/>
    <w:rsid w:val="00173B07"/>
    <w:rsid w:val="001744D8"/>
    <w:rsid w:val="0017486E"/>
    <w:rsid w:val="001751FA"/>
    <w:rsid w:val="00175200"/>
    <w:rsid w:val="00175881"/>
    <w:rsid w:val="0017607C"/>
    <w:rsid w:val="00181C10"/>
    <w:rsid w:val="00181D9C"/>
    <w:rsid w:val="00182BDE"/>
    <w:rsid w:val="0018331B"/>
    <w:rsid w:val="001837FF"/>
    <w:rsid w:val="00184704"/>
    <w:rsid w:val="0018497E"/>
    <w:rsid w:val="00184B0E"/>
    <w:rsid w:val="0018646A"/>
    <w:rsid w:val="0018752F"/>
    <w:rsid w:val="0019136B"/>
    <w:rsid w:val="00191B08"/>
    <w:rsid w:val="00192462"/>
    <w:rsid w:val="00192B17"/>
    <w:rsid w:val="00192B83"/>
    <w:rsid w:val="00193107"/>
    <w:rsid w:val="00193838"/>
    <w:rsid w:val="00194483"/>
    <w:rsid w:val="00194AD8"/>
    <w:rsid w:val="00194BB4"/>
    <w:rsid w:val="00195058"/>
    <w:rsid w:val="00195222"/>
    <w:rsid w:val="00195424"/>
    <w:rsid w:val="00195452"/>
    <w:rsid w:val="001961DD"/>
    <w:rsid w:val="00196787"/>
    <w:rsid w:val="001975D8"/>
    <w:rsid w:val="001A178E"/>
    <w:rsid w:val="001A23A4"/>
    <w:rsid w:val="001A3C17"/>
    <w:rsid w:val="001A43FA"/>
    <w:rsid w:val="001A47C5"/>
    <w:rsid w:val="001A482C"/>
    <w:rsid w:val="001A53A9"/>
    <w:rsid w:val="001A59FB"/>
    <w:rsid w:val="001A5E9E"/>
    <w:rsid w:val="001A6354"/>
    <w:rsid w:val="001A6366"/>
    <w:rsid w:val="001A7AE8"/>
    <w:rsid w:val="001A7B8B"/>
    <w:rsid w:val="001B07C1"/>
    <w:rsid w:val="001B1532"/>
    <w:rsid w:val="001B204E"/>
    <w:rsid w:val="001B2372"/>
    <w:rsid w:val="001B28A2"/>
    <w:rsid w:val="001B2DE7"/>
    <w:rsid w:val="001B3443"/>
    <w:rsid w:val="001B3E26"/>
    <w:rsid w:val="001B4D20"/>
    <w:rsid w:val="001B5764"/>
    <w:rsid w:val="001B5984"/>
    <w:rsid w:val="001B69F3"/>
    <w:rsid w:val="001B6F91"/>
    <w:rsid w:val="001B79A5"/>
    <w:rsid w:val="001B7F84"/>
    <w:rsid w:val="001C0477"/>
    <w:rsid w:val="001C1AFC"/>
    <w:rsid w:val="001C1C37"/>
    <w:rsid w:val="001C1D5F"/>
    <w:rsid w:val="001C2A9B"/>
    <w:rsid w:val="001C3DD6"/>
    <w:rsid w:val="001C4299"/>
    <w:rsid w:val="001C4874"/>
    <w:rsid w:val="001C55E5"/>
    <w:rsid w:val="001C57AD"/>
    <w:rsid w:val="001C5F94"/>
    <w:rsid w:val="001C6223"/>
    <w:rsid w:val="001C6E66"/>
    <w:rsid w:val="001D0589"/>
    <w:rsid w:val="001D09CA"/>
    <w:rsid w:val="001D1100"/>
    <w:rsid w:val="001D1391"/>
    <w:rsid w:val="001D25D7"/>
    <w:rsid w:val="001D4323"/>
    <w:rsid w:val="001D4542"/>
    <w:rsid w:val="001D4C46"/>
    <w:rsid w:val="001D50B2"/>
    <w:rsid w:val="001D5105"/>
    <w:rsid w:val="001D541F"/>
    <w:rsid w:val="001D60CD"/>
    <w:rsid w:val="001D6616"/>
    <w:rsid w:val="001D71F4"/>
    <w:rsid w:val="001D7645"/>
    <w:rsid w:val="001E048C"/>
    <w:rsid w:val="001E1E86"/>
    <w:rsid w:val="001E238E"/>
    <w:rsid w:val="001E2483"/>
    <w:rsid w:val="001E2B1E"/>
    <w:rsid w:val="001E2CFF"/>
    <w:rsid w:val="001E2F24"/>
    <w:rsid w:val="001E3070"/>
    <w:rsid w:val="001E30D4"/>
    <w:rsid w:val="001E34DF"/>
    <w:rsid w:val="001E3BCA"/>
    <w:rsid w:val="001E52EB"/>
    <w:rsid w:val="001E61D2"/>
    <w:rsid w:val="001E740C"/>
    <w:rsid w:val="001E79FB"/>
    <w:rsid w:val="001F0E1A"/>
    <w:rsid w:val="001F1235"/>
    <w:rsid w:val="001F14A4"/>
    <w:rsid w:val="001F1CB3"/>
    <w:rsid w:val="001F1EB4"/>
    <w:rsid w:val="001F29B2"/>
    <w:rsid w:val="001F2A09"/>
    <w:rsid w:val="001F2AC6"/>
    <w:rsid w:val="001F36C9"/>
    <w:rsid w:val="001F38B5"/>
    <w:rsid w:val="001F4081"/>
    <w:rsid w:val="001F4155"/>
    <w:rsid w:val="001F425F"/>
    <w:rsid w:val="001F67E4"/>
    <w:rsid w:val="001F7361"/>
    <w:rsid w:val="00200103"/>
    <w:rsid w:val="002011B0"/>
    <w:rsid w:val="00202562"/>
    <w:rsid w:val="00202CE9"/>
    <w:rsid w:val="00203181"/>
    <w:rsid w:val="00203783"/>
    <w:rsid w:val="0020385F"/>
    <w:rsid w:val="00205993"/>
    <w:rsid w:val="002068A0"/>
    <w:rsid w:val="002069D7"/>
    <w:rsid w:val="00207021"/>
    <w:rsid w:val="00207093"/>
    <w:rsid w:val="0020732F"/>
    <w:rsid w:val="002076DE"/>
    <w:rsid w:val="00207BE8"/>
    <w:rsid w:val="00207D00"/>
    <w:rsid w:val="002105C1"/>
    <w:rsid w:val="00210D9A"/>
    <w:rsid w:val="002116FD"/>
    <w:rsid w:val="00211AB5"/>
    <w:rsid w:val="00213EF5"/>
    <w:rsid w:val="00214063"/>
    <w:rsid w:val="00214307"/>
    <w:rsid w:val="00214ECB"/>
    <w:rsid w:val="00215B8D"/>
    <w:rsid w:val="00216931"/>
    <w:rsid w:val="00216BF5"/>
    <w:rsid w:val="002212AF"/>
    <w:rsid w:val="00221503"/>
    <w:rsid w:val="002215DC"/>
    <w:rsid w:val="00221EA4"/>
    <w:rsid w:val="002229E2"/>
    <w:rsid w:val="00222C17"/>
    <w:rsid w:val="00223B49"/>
    <w:rsid w:val="00223CF5"/>
    <w:rsid w:val="00223D5A"/>
    <w:rsid w:val="00224DD4"/>
    <w:rsid w:val="002278A0"/>
    <w:rsid w:val="00227CE0"/>
    <w:rsid w:val="002309CC"/>
    <w:rsid w:val="00230C3D"/>
    <w:rsid w:val="00231BA9"/>
    <w:rsid w:val="00231E24"/>
    <w:rsid w:val="0023209F"/>
    <w:rsid w:val="002328B7"/>
    <w:rsid w:val="00232E44"/>
    <w:rsid w:val="00233C01"/>
    <w:rsid w:val="0023413C"/>
    <w:rsid w:val="002346F0"/>
    <w:rsid w:val="0023484D"/>
    <w:rsid w:val="00234D08"/>
    <w:rsid w:val="0023581C"/>
    <w:rsid w:val="0023629D"/>
    <w:rsid w:val="00237255"/>
    <w:rsid w:val="00240573"/>
    <w:rsid w:val="00241C7F"/>
    <w:rsid w:val="002421D1"/>
    <w:rsid w:val="002424AF"/>
    <w:rsid w:val="0024399A"/>
    <w:rsid w:val="002439DC"/>
    <w:rsid w:val="00243AE3"/>
    <w:rsid w:val="002441D2"/>
    <w:rsid w:val="00244DC8"/>
    <w:rsid w:val="002458BA"/>
    <w:rsid w:val="00245CE9"/>
    <w:rsid w:val="00245FCD"/>
    <w:rsid w:val="0024636C"/>
    <w:rsid w:val="00247925"/>
    <w:rsid w:val="00251006"/>
    <w:rsid w:val="002519AD"/>
    <w:rsid w:val="00251B06"/>
    <w:rsid w:val="002524D5"/>
    <w:rsid w:val="002528EF"/>
    <w:rsid w:val="00252E77"/>
    <w:rsid w:val="00253B1D"/>
    <w:rsid w:val="00254287"/>
    <w:rsid w:val="00254DCF"/>
    <w:rsid w:val="00255041"/>
    <w:rsid w:val="0025534B"/>
    <w:rsid w:val="00255BB7"/>
    <w:rsid w:val="002572B6"/>
    <w:rsid w:val="00257541"/>
    <w:rsid w:val="00257A39"/>
    <w:rsid w:val="00257AC4"/>
    <w:rsid w:val="00257BBE"/>
    <w:rsid w:val="00257E16"/>
    <w:rsid w:val="00261108"/>
    <w:rsid w:val="00261EEF"/>
    <w:rsid w:val="00261FDB"/>
    <w:rsid w:val="002622EC"/>
    <w:rsid w:val="00262481"/>
    <w:rsid w:val="00262A1A"/>
    <w:rsid w:val="00262A87"/>
    <w:rsid w:val="00263692"/>
    <w:rsid w:val="00264D26"/>
    <w:rsid w:val="00266E90"/>
    <w:rsid w:val="0026727B"/>
    <w:rsid w:val="00267355"/>
    <w:rsid w:val="00267642"/>
    <w:rsid w:val="00267A64"/>
    <w:rsid w:val="00267AEA"/>
    <w:rsid w:val="002700E6"/>
    <w:rsid w:val="00270340"/>
    <w:rsid w:val="00270ABB"/>
    <w:rsid w:val="00271620"/>
    <w:rsid w:val="00272743"/>
    <w:rsid w:val="0027294B"/>
    <w:rsid w:val="00273E9E"/>
    <w:rsid w:val="00273EB4"/>
    <w:rsid w:val="00274682"/>
    <w:rsid w:val="00274AC5"/>
    <w:rsid w:val="00275158"/>
    <w:rsid w:val="002753AC"/>
    <w:rsid w:val="00275BE7"/>
    <w:rsid w:val="00275C5A"/>
    <w:rsid w:val="0027707D"/>
    <w:rsid w:val="0027762C"/>
    <w:rsid w:val="002803A9"/>
    <w:rsid w:val="00280B31"/>
    <w:rsid w:val="00281014"/>
    <w:rsid w:val="0028223F"/>
    <w:rsid w:val="002834D6"/>
    <w:rsid w:val="00283E95"/>
    <w:rsid w:val="0028568A"/>
    <w:rsid w:val="00285A00"/>
    <w:rsid w:val="00285BCE"/>
    <w:rsid w:val="00285EE6"/>
    <w:rsid w:val="0028665D"/>
    <w:rsid w:val="00286EFE"/>
    <w:rsid w:val="00287400"/>
    <w:rsid w:val="002878BE"/>
    <w:rsid w:val="00292732"/>
    <w:rsid w:val="00292DB0"/>
    <w:rsid w:val="00293A90"/>
    <w:rsid w:val="00293DF4"/>
    <w:rsid w:val="002964B9"/>
    <w:rsid w:val="00296DF2"/>
    <w:rsid w:val="002A14AB"/>
    <w:rsid w:val="002A29A6"/>
    <w:rsid w:val="002A2ADE"/>
    <w:rsid w:val="002A2ED5"/>
    <w:rsid w:val="002A2F50"/>
    <w:rsid w:val="002A3776"/>
    <w:rsid w:val="002A3CC1"/>
    <w:rsid w:val="002A7943"/>
    <w:rsid w:val="002B05A1"/>
    <w:rsid w:val="002B09A4"/>
    <w:rsid w:val="002B1A86"/>
    <w:rsid w:val="002B1C1F"/>
    <w:rsid w:val="002B203F"/>
    <w:rsid w:val="002B24C3"/>
    <w:rsid w:val="002B40E1"/>
    <w:rsid w:val="002B432F"/>
    <w:rsid w:val="002B48F6"/>
    <w:rsid w:val="002B4D15"/>
    <w:rsid w:val="002B54D1"/>
    <w:rsid w:val="002B62B3"/>
    <w:rsid w:val="002B6754"/>
    <w:rsid w:val="002B6CCE"/>
    <w:rsid w:val="002B6DA4"/>
    <w:rsid w:val="002C059F"/>
    <w:rsid w:val="002C1817"/>
    <w:rsid w:val="002C1960"/>
    <w:rsid w:val="002C2510"/>
    <w:rsid w:val="002C2775"/>
    <w:rsid w:val="002C27C1"/>
    <w:rsid w:val="002C2F91"/>
    <w:rsid w:val="002C36E3"/>
    <w:rsid w:val="002C4334"/>
    <w:rsid w:val="002C5099"/>
    <w:rsid w:val="002C55CC"/>
    <w:rsid w:val="002C5889"/>
    <w:rsid w:val="002C6E04"/>
    <w:rsid w:val="002C71CE"/>
    <w:rsid w:val="002C728C"/>
    <w:rsid w:val="002D08F8"/>
    <w:rsid w:val="002D0D6B"/>
    <w:rsid w:val="002D1371"/>
    <w:rsid w:val="002D4132"/>
    <w:rsid w:val="002D577C"/>
    <w:rsid w:val="002D60F3"/>
    <w:rsid w:val="002D7832"/>
    <w:rsid w:val="002E0512"/>
    <w:rsid w:val="002E091B"/>
    <w:rsid w:val="002E1071"/>
    <w:rsid w:val="002E14D3"/>
    <w:rsid w:val="002E15B9"/>
    <w:rsid w:val="002E2158"/>
    <w:rsid w:val="002E23C4"/>
    <w:rsid w:val="002E308C"/>
    <w:rsid w:val="002E4C39"/>
    <w:rsid w:val="002E4F02"/>
    <w:rsid w:val="002E5375"/>
    <w:rsid w:val="002E61FB"/>
    <w:rsid w:val="002E7367"/>
    <w:rsid w:val="002E739F"/>
    <w:rsid w:val="002E7722"/>
    <w:rsid w:val="002F04AC"/>
    <w:rsid w:val="002F07BA"/>
    <w:rsid w:val="002F0DA9"/>
    <w:rsid w:val="002F1014"/>
    <w:rsid w:val="002F1E3B"/>
    <w:rsid w:val="002F23E8"/>
    <w:rsid w:val="002F2426"/>
    <w:rsid w:val="002F28F1"/>
    <w:rsid w:val="002F552D"/>
    <w:rsid w:val="002F563C"/>
    <w:rsid w:val="002F643C"/>
    <w:rsid w:val="002F6B3D"/>
    <w:rsid w:val="002F7015"/>
    <w:rsid w:val="002F71C0"/>
    <w:rsid w:val="002F74F1"/>
    <w:rsid w:val="00300C89"/>
    <w:rsid w:val="00301017"/>
    <w:rsid w:val="0030155F"/>
    <w:rsid w:val="0030286A"/>
    <w:rsid w:val="00302945"/>
    <w:rsid w:val="003040C1"/>
    <w:rsid w:val="00304BCB"/>
    <w:rsid w:val="0030587B"/>
    <w:rsid w:val="003062D6"/>
    <w:rsid w:val="00306D98"/>
    <w:rsid w:val="00307489"/>
    <w:rsid w:val="0030786C"/>
    <w:rsid w:val="0031031A"/>
    <w:rsid w:val="0031096E"/>
    <w:rsid w:val="00310981"/>
    <w:rsid w:val="00311D9B"/>
    <w:rsid w:val="003122F3"/>
    <w:rsid w:val="003124D9"/>
    <w:rsid w:val="00312594"/>
    <w:rsid w:val="0031409C"/>
    <w:rsid w:val="00314EAA"/>
    <w:rsid w:val="00315493"/>
    <w:rsid w:val="00315498"/>
    <w:rsid w:val="00316474"/>
    <w:rsid w:val="003179EF"/>
    <w:rsid w:val="003206CD"/>
    <w:rsid w:val="003207D6"/>
    <w:rsid w:val="00322107"/>
    <w:rsid w:val="00322355"/>
    <w:rsid w:val="00322846"/>
    <w:rsid w:val="00323CCC"/>
    <w:rsid w:val="00325489"/>
    <w:rsid w:val="00326DA7"/>
    <w:rsid w:val="003270E4"/>
    <w:rsid w:val="00330DAA"/>
    <w:rsid w:val="00330F5C"/>
    <w:rsid w:val="00332834"/>
    <w:rsid w:val="00335B85"/>
    <w:rsid w:val="003366C9"/>
    <w:rsid w:val="003371B0"/>
    <w:rsid w:val="00337D1B"/>
    <w:rsid w:val="00340DF1"/>
    <w:rsid w:val="003428D1"/>
    <w:rsid w:val="003443F3"/>
    <w:rsid w:val="003456A0"/>
    <w:rsid w:val="003459B0"/>
    <w:rsid w:val="00346B49"/>
    <w:rsid w:val="00346ED7"/>
    <w:rsid w:val="003517F9"/>
    <w:rsid w:val="003519D8"/>
    <w:rsid w:val="00351BA9"/>
    <w:rsid w:val="003522EE"/>
    <w:rsid w:val="00352EEF"/>
    <w:rsid w:val="00353764"/>
    <w:rsid w:val="003540BF"/>
    <w:rsid w:val="00354825"/>
    <w:rsid w:val="00354F64"/>
    <w:rsid w:val="00355DA1"/>
    <w:rsid w:val="0035620E"/>
    <w:rsid w:val="003562FA"/>
    <w:rsid w:val="003570A0"/>
    <w:rsid w:val="003573B2"/>
    <w:rsid w:val="0035750A"/>
    <w:rsid w:val="003575BE"/>
    <w:rsid w:val="00360304"/>
    <w:rsid w:val="00360345"/>
    <w:rsid w:val="003604C4"/>
    <w:rsid w:val="00361A05"/>
    <w:rsid w:val="003624C4"/>
    <w:rsid w:val="00363B00"/>
    <w:rsid w:val="00363CDA"/>
    <w:rsid w:val="003654AC"/>
    <w:rsid w:val="003663C0"/>
    <w:rsid w:val="003710CF"/>
    <w:rsid w:val="00371BD7"/>
    <w:rsid w:val="00372314"/>
    <w:rsid w:val="00372CB4"/>
    <w:rsid w:val="0037358A"/>
    <w:rsid w:val="00374DB4"/>
    <w:rsid w:val="003750F6"/>
    <w:rsid w:val="00375BE5"/>
    <w:rsid w:val="00375EB1"/>
    <w:rsid w:val="003760FC"/>
    <w:rsid w:val="003801B5"/>
    <w:rsid w:val="003808B8"/>
    <w:rsid w:val="00380F84"/>
    <w:rsid w:val="00381200"/>
    <w:rsid w:val="003814C6"/>
    <w:rsid w:val="00381DA7"/>
    <w:rsid w:val="00382A2F"/>
    <w:rsid w:val="00383656"/>
    <w:rsid w:val="0038365C"/>
    <w:rsid w:val="0038369B"/>
    <w:rsid w:val="00383AF0"/>
    <w:rsid w:val="00383B78"/>
    <w:rsid w:val="00385141"/>
    <w:rsid w:val="00385A9D"/>
    <w:rsid w:val="00385B6A"/>
    <w:rsid w:val="00385FD4"/>
    <w:rsid w:val="0038617E"/>
    <w:rsid w:val="00386C5D"/>
    <w:rsid w:val="00386E46"/>
    <w:rsid w:val="00387121"/>
    <w:rsid w:val="00387349"/>
    <w:rsid w:val="003875D4"/>
    <w:rsid w:val="003902B1"/>
    <w:rsid w:val="0039179C"/>
    <w:rsid w:val="003917CB"/>
    <w:rsid w:val="003923E5"/>
    <w:rsid w:val="00392624"/>
    <w:rsid w:val="00392D26"/>
    <w:rsid w:val="003937F1"/>
    <w:rsid w:val="00393B53"/>
    <w:rsid w:val="00393CA8"/>
    <w:rsid w:val="0039555B"/>
    <w:rsid w:val="00395739"/>
    <w:rsid w:val="00395983"/>
    <w:rsid w:val="00395B9F"/>
    <w:rsid w:val="003960A0"/>
    <w:rsid w:val="0039678A"/>
    <w:rsid w:val="00396892"/>
    <w:rsid w:val="00396896"/>
    <w:rsid w:val="00396FD0"/>
    <w:rsid w:val="003A0130"/>
    <w:rsid w:val="003A1A7A"/>
    <w:rsid w:val="003A2392"/>
    <w:rsid w:val="003A26F4"/>
    <w:rsid w:val="003A2831"/>
    <w:rsid w:val="003A2A6B"/>
    <w:rsid w:val="003A2C17"/>
    <w:rsid w:val="003A3538"/>
    <w:rsid w:val="003A3B80"/>
    <w:rsid w:val="003A3CB6"/>
    <w:rsid w:val="003A3ED1"/>
    <w:rsid w:val="003A42B0"/>
    <w:rsid w:val="003A4498"/>
    <w:rsid w:val="003A44DB"/>
    <w:rsid w:val="003A4C14"/>
    <w:rsid w:val="003A4EB4"/>
    <w:rsid w:val="003B0E1B"/>
    <w:rsid w:val="003B113E"/>
    <w:rsid w:val="003B1E86"/>
    <w:rsid w:val="003B21F5"/>
    <w:rsid w:val="003B304C"/>
    <w:rsid w:val="003B3971"/>
    <w:rsid w:val="003B3BA7"/>
    <w:rsid w:val="003B5189"/>
    <w:rsid w:val="003B55D1"/>
    <w:rsid w:val="003B5ADB"/>
    <w:rsid w:val="003B5B61"/>
    <w:rsid w:val="003B70BF"/>
    <w:rsid w:val="003B786A"/>
    <w:rsid w:val="003C05B8"/>
    <w:rsid w:val="003C1654"/>
    <w:rsid w:val="003C1F5E"/>
    <w:rsid w:val="003C2DE2"/>
    <w:rsid w:val="003C40A2"/>
    <w:rsid w:val="003C49D3"/>
    <w:rsid w:val="003C4D97"/>
    <w:rsid w:val="003C53A8"/>
    <w:rsid w:val="003C5542"/>
    <w:rsid w:val="003C5663"/>
    <w:rsid w:val="003C5709"/>
    <w:rsid w:val="003C58C8"/>
    <w:rsid w:val="003C7C15"/>
    <w:rsid w:val="003C7D19"/>
    <w:rsid w:val="003C7D2F"/>
    <w:rsid w:val="003D002A"/>
    <w:rsid w:val="003D0492"/>
    <w:rsid w:val="003D0C5A"/>
    <w:rsid w:val="003D0E59"/>
    <w:rsid w:val="003D1828"/>
    <w:rsid w:val="003D1DE4"/>
    <w:rsid w:val="003D1E9A"/>
    <w:rsid w:val="003D2422"/>
    <w:rsid w:val="003D244A"/>
    <w:rsid w:val="003D2A03"/>
    <w:rsid w:val="003D39A1"/>
    <w:rsid w:val="003D3F39"/>
    <w:rsid w:val="003D3FBF"/>
    <w:rsid w:val="003D404F"/>
    <w:rsid w:val="003D46F9"/>
    <w:rsid w:val="003D4A30"/>
    <w:rsid w:val="003D5742"/>
    <w:rsid w:val="003D5A80"/>
    <w:rsid w:val="003D5D6F"/>
    <w:rsid w:val="003D6F8C"/>
    <w:rsid w:val="003D7452"/>
    <w:rsid w:val="003D79BB"/>
    <w:rsid w:val="003D7C98"/>
    <w:rsid w:val="003D7D9D"/>
    <w:rsid w:val="003E0543"/>
    <w:rsid w:val="003E10BA"/>
    <w:rsid w:val="003E1406"/>
    <w:rsid w:val="003E1455"/>
    <w:rsid w:val="003E17B7"/>
    <w:rsid w:val="003E17D0"/>
    <w:rsid w:val="003E22D4"/>
    <w:rsid w:val="003E2684"/>
    <w:rsid w:val="003E33EA"/>
    <w:rsid w:val="003E51C9"/>
    <w:rsid w:val="003E5603"/>
    <w:rsid w:val="003E5E7B"/>
    <w:rsid w:val="003E6063"/>
    <w:rsid w:val="003E6735"/>
    <w:rsid w:val="003E688E"/>
    <w:rsid w:val="003E749E"/>
    <w:rsid w:val="003F064C"/>
    <w:rsid w:val="003F1A72"/>
    <w:rsid w:val="003F3C89"/>
    <w:rsid w:val="003F4156"/>
    <w:rsid w:val="003F4BAD"/>
    <w:rsid w:val="003F542D"/>
    <w:rsid w:val="003F5ADF"/>
    <w:rsid w:val="003F69E0"/>
    <w:rsid w:val="003F7B4A"/>
    <w:rsid w:val="003F7FE4"/>
    <w:rsid w:val="00400B29"/>
    <w:rsid w:val="00400BD5"/>
    <w:rsid w:val="00402119"/>
    <w:rsid w:val="00402812"/>
    <w:rsid w:val="00402912"/>
    <w:rsid w:val="0040504B"/>
    <w:rsid w:val="004059F4"/>
    <w:rsid w:val="004071D1"/>
    <w:rsid w:val="00407FE5"/>
    <w:rsid w:val="004101B0"/>
    <w:rsid w:val="00410326"/>
    <w:rsid w:val="0041042D"/>
    <w:rsid w:val="00410708"/>
    <w:rsid w:val="00410DC2"/>
    <w:rsid w:val="00410EC7"/>
    <w:rsid w:val="00410EEF"/>
    <w:rsid w:val="00411B39"/>
    <w:rsid w:val="004126EE"/>
    <w:rsid w:val="004127A7"/>
    <w:rsid w:val="00413A1E"/>
    <w:rsid w:val="00414476"/>
    <w:rsid w:val="00414C2E"/>
    <w:rsid w:val="004151CF"/>
    <w:rsid w:val="00415E60"/>
    <w:rsid w:val="00416364"/>
    <w:rsid w:val="004171A9"/>
    <w:rsid w:val="004178AB"/>
    <w:rsid w:val="0042047F"/>
    <w:rsid w:val="00420AA6"/>
    <w:rsid w:val="00420B9F"/>
    <w:rsid w:val="0042192C"/>
    <w:rsid w:val="00421989"/>
    <w:rsid w:val="00422260"/>
    <w:rsid w:val="00423571"/>
    <w:rsid w:val="0042413F"/>
    <w:rsid w:val="00424463"/>
    <w:rsid w:val="00424550"/>
    <w:rsid w:val="00424AC2"/>
    <w:rsid w:val="004259FD"/>
    <w:rsid w:val="004265C5"/>
    <w:rsid w:val="00426DB0"/>
    <w:rsid w:val="00427B87"/>
    <w:rsid w:val="004319F8"/>
    <w:rsid w:val="00431E55"/>
    <w:rsid w:val="004321F6"/>
    <w:rsid w:val="0043299D"/>
    <w:rsid w:val="00433044"/>
    <w:rsid w:val="00433244"/>
    <w:rsid w:val="004334EB"/>
    <w:rsid w:val="00434088"/>
    <w:rsid w:val="00434511"/>
    <w:rsid w:val="004360BD"/>
    <w:rsid w:val="004375B9"/>
    <w:rsid w:val="004419C0"/>
    <w:rsid w:val="00441FFD"/>
    <w:rsid w:val="004428D0"/>
    <w:rsid w:val="00443F2D"/>
    <w:rsid w:val="00443F36"/>
    <w:rsid w:val="00444185"/>
    <w:rsid w:val="004443A7"/>
    <w:rsid w:val="0044442C"/>
    <w:rsid w:val="0044566E"/>
    <w:rsid w:val="00445941"/>
    <w:rsid w:val="004464EB"/>
    <w:rsid w:val="004466D9"/>
    <w:rsid w:val="00446790"/>
    <w:rsid w:val="0044686F"/>
    <w:rsid w:val="0044794D"/>
    <w:rsid w:val="004479E8"/>
    <w:rsid w:val="00447D26"/>
    <w:rsid w:val="00447DFC"/>
    <w:rsid w:val="00450555"/>
    <w:rsid w:val="004505DD"/>
    <w:rsid w:val="00450DD5"/>
    <w:rsid w:val="00451D7F"/>
    <w:rsid w:val="0045314C"/>
    <w:rsid w:val="004537F1"/>
    <w:rsid w:val="00454549"/>
    <w:rsid w:val="0045486F"/>
    <w:rsid w:val="00454F92"/>
    <w:rsid w:val="00455D45"/>
    <w:rsid w:val="00456A7C"/>
    <w:rsid w:val="0045707B"/>
    <w:rsid w:val="004577AF"/>
    <w:rsid w:val="00457D7D"/>
    <w:rsid w:val="004610F4"/>
    <w:rsid w:val="0046396A"/>
    <w:rsid w:val="004639AB"/>
    <w:rsid w:val="004643CF"/>
    <w:rsid w:val="00464595"/>
    <w:rsid w:val="00465794"/>
    <w:rsid w:val="004658B5"/>
    <w:rsid w:val="00465C25"/>
    <w:rsid w:val="00465C75"/>
    <w:rsid w:val="004707CA"/>
    <w:rsid w:val="00471EA5"/>
    <w:rsid w:val="00472A79"/>
    <w:rsid w:val="00472CC2"/>
    <w:rsid w:val="004735A0"/>
    <w:rsid w:val="00473ADC"/>
    <w:rsid w:val="00473F19"/>
    <w:rsid w:val="00473F84"/>
    <w:rsid w:val="00475E22"/>
    <w:rsid w:val="00476E6B"/>
    <w:rsid w:val="004806DD"/>
    <w:rsid w:val="0048088E"/>
    <w:rsid w:val="00480F2B"/>
    <w:rsid w:val="0048203D"/>
    <w:rsid w:val="00482720"/>
    <w:rsid w:val="004830B1"/>
    <w:rsid w:val="0048350C"/>
    <w:rsid w:val="004835E7"/>
    <w:rsid w:val="00483C02"/>
    <w:rsid w:val="00484963"/>
    <w:rsid w:val="004859E1"/>
    <w:rsid w:val="004867E2"/>
    <w:rsid w:val="00486B89"/>
    <w:rsid w:val="00487451"/>
    <w:rsid w:val="004902A1"/>
    <w:rsid w:val="00490B17"/>
    <w:rsid w:val="00490FBF"/>
    <w:rsid w:val="00491B3A"/>
    <w:rsid w:val="00491ECA"/>
    <w:rsid w:val="00492CFD"/>
    <w:rsid w:val="00494207"/>
    <w:rsid w:val="00494259"/>
    <w:rsid w:val="00494B6E"/>
    <w:rsid w:val="00494DD5"/>
    <w:rsid w:val="004950B8"/>
    <w:rsid w:val="004955BA"/>
    <w:rsid w:val="00495F0E"/>
    <w:rsid w:val="004962D2"/>
    <w:rsid w:val="0049640B"/>
    <w:rsid w:val="00496FF4"/>
    <w:rsid w:val="00497A12"/>
    <w:rsid w:val="004A0406"/>
    <w:rsid w:val="004A071E"/>
    <w:rsid w:val="004A0DA1"/>
    <w:rsid w:val="004A13D6"/>
    <w:rsid w:val="004A14E4"/>
    <w:rsid w:val="004A2580"/>
    <w:rsid w:val="004A2F7A"/>
    <w:rsid w:val="004A3D65"/>
    <w:rsid w:val="004A5267"/>
    <w:rsid w:val="004A52E9"/>
    <w:rsid w:val="004A5C59"/>
    <w:rsid w:val="004A6040"/>
    <w:rsid w:val="004A6597"/>
    <w:rsid w:val="004A67EC"/>
    <w:rsid w:val="004A6D16"/>
    <w:rsid w:val="004A7848"/>
    <w:rsid w:val="004A793B"/>
    <w:rsid w:val="004A79FF"/>
    <w:rsid w:val="004A7BCB"/>
    <w:rsid w:val="004B07F9"/>
    <w:rsid w:val="004B1CB4"/>
    <w:rsid w:val="004B2F18"/>
    <w:rsid w:val="004B3DDB"/>
    <w:rsid w:val="004B44FD"/>
    <w:rsid w:val="004B5007"/>
    <w:rsid w:val="004B52AE"/>
    <w:rsid w:val="004B5CFC"/>
    <w:rsid w:val="004B67FA"/>
    <w:rsid w:val="004B6EDE"/>
    <w:rsid w:val="004B6F79"/>
    <w:rsid w:val="004B774D"/>
    <w:rsid w:val="004C0102"/>
    <w:rsid w:val="004C2AC2"/>
    <w:rsid w:val="004C2BED"/>
    <w:rsid w:val="004C2E3D"/>
    <w:rsid w:val="004C39A7"/>
    <w:rsid w:val="004C439E"/>
    <w:rsid w:val="004C46B0"/>
    <w:rsid w:val="004C4AED"/>
    <w:rsid w:val="004C72EF"/>
    <w:rsid w:val="004D182F"/>
    <w:rsid w:val="004D1E1F"/>
    <w:rsid w:val="004D261B"/>
    <w:rsid w:val="004D2A2F"/>
    <w:rsid w:val="004D2C2D"/>
    <w:rsid w:val="004D3A38"/>
    <w:rsid w:val="004D3FB2"/>
    <w:rsid w:val="004D55F5"/>
    <w:rsid w:val="004D69B5"/>
    <w:rsid w:val="004D7227"/>
    <w:rsid w:val="004D7AD4"/>
    <w:rsid w:val="004D7B5E"/>
    <w:rsid w:val="004D7CA2"/>
    <w:rsid w:val="004E083D"/>
    <w:rsid w:val="004E0E7F"/>
    <w:rsid w:val="004E0EAB"/>
    <w:rsid w:val="004E0EB8"/>
    <w:rsid w:val="004E18E9"/>
    <w:rsid w:val="004E1D44"/>
    <w:rsid w:val="004E2923"/>
    <w:rsid w:val="004E29BB"/>
    <w:rsid w:val="004E2ADC"/>
    <w:rsid w:val="004E3D39"/>
    <w:rsid w:val="004E43B2"/>
    <w:rsid w:val="004E4A96"/>
    <w:rsid w:val="004E4F30"/>
    <w:rsid w:val="004E599E"/>
    <w:rsid w:val="004E5BA5"/>
    <w:rsid w:val="004F08A9"/>
    <w:rsid w:val="004F1D02"/>
    <w:rsid w:val="004F2679"/>
    <w:rsid w:val="004F2F21"/>
    <w:rsid w:val="004F3131"/>
    <w:rsid w:val="004F3565"/>
    <w:rsid w:val="004F3DE5"/>
    <w:rsid w:val="004F4788"/>
    <w:rsid w:val="004F4BF1"/>
    <w:rsid w:val="004F4C13"/>
    <w:rsid w:val="004F6913"/>
    <w:rsid w:val="004F75BB"/>
    <w:rsid w:val="004F7865"/>
    <w:rsid w:val="0050174E"/>
    <w:rsid w:val="00501854"/>
    <w:rsid w:val="0050219B"/>
    <w:rsid w:val="005021B6"/>
    <w:rsid w:val="00503F17"/>
    <w:rsid w:val="00503F3A"/>
    <w:rsid w:val="00505499"/>
    <w:rsid w:val="00505863"/>
    <w:rsid w:val="00506928"/>
    <w:rsid w:val="00506EB9"/>
    <w:rsid w:val="0050728A"/>
    <w:rsid w:val="005077EF"/>
    <w:rsid w:val="00511AD5"/>
    <w:rsid w:val="00511DC7"/>
    <w:rsid w:val="00512A17"/>
    <w:rsid w:val="00513FCE"/>
    <w:rsid w:val="005142C5"/>
    <w:rsid w:val="00514795"/>
    <w:rsid w:val="0051501B"/>
    <w:rsid w:val="005152B5"/>
    <w:rsid w:val="00515886"/>
    <w:rsid w:val="005159CD"/>
    <w:rsid w:val="005165AB"/>
    <w:rsid w:val="0051664C"/>
    <w:rsid w:val="005166BC"/>
    <w:rsid w:val="005174A1"/>
    <w:rsid w:val="00520B7C"/>
    <w:rsid w:val="00520D79"/>
    <w:rsid w:val="00520F57"/>
    <w:rsid w:val="0052123C"/>
    <w:rsid w:val="00521319"/>
    <w:rsid w:val="00522BC8"/>
    <w:rsid w:val="00523C28"/>
    <w:rsid w:val="00524C4F"/>
    <w:rsid w:val="0052545C"/>
    <w:rsid w:val="0052550D"/>
    <w:rsid w:val="00526458"/>
    <w:rsid w:val="00526FB2"/>
    <w:rsid w:val="0053026C"/>
    <w:rsid w:val="005305FF"/>
    <w:rsid w:val="00530E4C"/>
    <w:rsid w:val="0053176B"/>
    <w:rsid w:val="00532A32"/>
    <w:rsid w:val="00532C20"/>
    <w:rsid w:val="00534048"/>
    <w:rsid w:val="005341B3"/>
    <w:rsid w:val="00536C05"/>
    <w:rsid w:val="00536F42"/>
    <w:rsid w:val="00537182"/>
    <w:rsid w:val="005378A4"/>
    <w:rsid w:val="00541C2E"/>
    <w:rsid w:val="00541CDC"/>
    <w:rsid w:val="00541EDD"/>
    <w:rsid w:val="00541FAA"/>
    <w:rsid w:val="00542743"/>
    <w:rsid w:val="00542775"/>
    <w:rsid w:val="00542C2D"/>
    <w:rsid w:val="005446AE"/>
    <w:rsid w:val="00544A50"/>
    <w:rsid w:val="0054542A"/>
    <w:rsid w:val="005459AB"/>
    <w:rsid w:val="00545F2F"/>
    <w:rsid w:val="00546AC0"/>
    <w:rsid w:val="005478BD"/>
    <w:rsid w:val="005479E3"/>
    <w:rsid w:val="00550963"/>
    <w:rsid w:val="00551985"/>
    <w:rsid w:val="00551F4A"/>
    <w:rsid w:val="00552BD3"/>
    <w:rsid w:val="00552D66"/>
    <w:rsid w:val="005532A0"/>
    <w:rsid w:val="00555109"/>
    <w:rsid w:val="005561C5"/>
    <w:rsid w:val="00556B35"/>
    <w:rsid w:val="0055741A"/>
    <w:rsid w:val="00557AFD"/>
    <w:rsid w:val="005611B7"/>
    <w:rsid w:val="005611E7"/>
    <w:rsid w:val="005618D4"/>
    <w:rsid w:val="00562237"/>
    <w:rsid w:val="00562C48"/>
    <w:rsid w:val="00563314"/>
    <w:rsid w:val="00563411"/>
    <w:rsid w:val="0056396C"/>
    <w:rsid w:val="00564867"/>
    <w:rsid w:val="00565946"/>
    <w:rsid w:val="00565C79"/>
    <w:rsid w:val="00565DF0"/>
    <w:rsid w:val="0056696F"/>
    <w:rsid w:val="00572269"/>
    <w:rsid w:val="0057244A"/>
    <w:rsid w:val="00572905"/>
    <w:rsid w:val="00572F26"/>
    <w:rsid w:val="0057338C"/>
    <w:rsid w:val="005734E7"/>
    <w:rsid w:val="0057386C"/>
    <w:rsid w:val="005747E9"/>
    <w:rsid w:val="005750C5"/>
    <w:rsid w:val="005752DE"/>
    <w:rsid w:val="00575B91"/>
    <w:rsid w:val="00575D60"/>
    <w:rsid w:val="00575D8D"/>
    <w:rsid w:val="00576593"/>
    <w:rsid w:val="00576972"/>
    <w:rsid w:val="00576DDB"/>
    <w:rsid w:val="00577248"/>
    <w:rsid w:val="005773EF"/>
    <w:rsid w:val="0057741B"/>
    <w:rsid w:val="00580613"/>
    <w:rsid w:val="00581798"/>
    <w:rsid w:val="0058197B"/>
    <w:rsid w:val="005834CE"/>
    <w:rsid w:val="00583699"/>
    <w:rsid w:val="00583AE9"/>
    <w:rsid w:val="00585CDD"/>
    <w:rsid w:val="00587058"/>
    <w:rsid w:val="005872B8"/>
    <w:rsid w:val="00587C6E"/>
    <w:rsid w:val="0059035A"/>
    <w:rsid w:val="00590F16"/>
    <w:rsid w:val="0059149F"/>
    <w:rsid w:val="005916CE"/>
    <w:rsid w:val="00591957"/>
    <w:rsid w:val="00591C73"/>
    <w:rsid w:val="00593A62"/>
    <w:rsid w:val="0059466A"/>
    <w:rsid w:val="005962B4"/>
    <w:rsid w:val="0059662F"/>
    <w:rsid w:val="00597BF9"/>
    <w:rsid w:val="005A0C11"/>
    <w:rsid w:val="005A0E16"/>
    <w:rsid w:val="005A2D84"/>
    <w:rsid w:val="005A309A"/>
    <w:rsid w:val="005A373D"/>
    <w:rsid w:val="005A3BE3"/>
    <w:rsid w:val="005A44D0"/>
    <w:rsid w:val="005A459D"/>
    <w:rsid w:val="005A4870"/>
    <w:rsid w:val="005A4A75"/>
    <w:rsid w:val="005A4E3A"/>
    <w:rsid w:val="005A5E0A"/>
    <w:rsid w:val="005A6F32"/>
    <w:rsid w:val="005B0B58"/>
    <w:rsid w:val="005B27FB"/>
    <w:rsid w:val="005B38D6"/>
    <w:rsid w:val="005B4E53"/>
    <w:rsid w:val="005B54E7"/>
    <w:rsid w:val="005B5857"/>
    <w:rsid w:val="005B59FA"/>
    <w:rsid w:val="005B6703"/>
    <w:rsid w:val="005B7FF5"/>
    <w:rsid w:val="005C06BA"/>
    <w:rsid w:val="005C070F"/>
    <w:rsid w:val="005C19C4"/>
    <w:rsid w:val="005C1B3B"/>
    <w:rsid w:val="005C1B83"/>
    <w:rsid w:val="005C25FF"/>
    <w:rsid w:val="005C2D55"/>
    <w:rsid w:val="005C346B"/>
    <w:rsid w:val="005C4BD1"/>
    <w:rsid w:val="005C5177"/>
    <w:rsid w:val="005C5ABC"/>
    <w:rsid w:val="005C5B1C"/>
    <w:rsid w:val="005C630E"/>
    <w:rsid w:val="005C7684"/>
    <w:rsid w:val="005C7CFD"/>
    <w:rsid w:val="005D044D"/>
    <w:rsid w:val="005D0ABD"/>
    <w:rsid w:val="005D179C"/>
    <w:rsid w:val="005D18AD"/>
    <w:rsid w:val="005D26B4"/>
    <w:rsid w:val="005D682F"/>
    <w:rsid w:val="005E01A3"/>
    <w:rsid w:val="005E1418"/>
    <w:rsid w:val="005E1995"/>
    <w:rsid w:val="005E19C5"/>
    <w:rsid w:val="005E1C7F"/>
    <w:rsid w:val="005E3427"/>
    <w:rsid w:val="005E3C51"/>
    <w:rsid w:val="005E4D13"/>
    <w:rsid w:val="005E594F"/>
    <w:rsid w:val="005E6CBC"/>
    <w:rsid w:val="005E72FF"/>
    <w:rsid w:val="005E735D"/>
    <w:rsid w:val="005E73C0"/>
    <w:rsid w:val="005E7875"/>
    <w:rsid w:val="005E7B1D"/>
    <w:rsid w:val="005E7FEB"/>
    <w:rsid w:val="005F07ED"/>
    <w:rsid w:val="005F0B24"/>
    <w:rsid w:val="005F1AC5"/>
    <w:rsid w:val="005F1DFE"/>
    <w:rsid w:val="005F1E1D"/>
    <w:rsid w:val="005F2706"/>
    <w:rsid w:val="005F4412"/>
    <w:rsid w:val="005F47FB"/>
    <w:rsid w:val="005F6A8F"/>
    <w:rsid w:val="005F6BB7"/>
    <w:rsid w:val="005F706B"/>
    <w:rsid w:val="005F7588"/>
    <w:rsid w:val="00601624"/>
    <w:rsid w:val="006021F5"/>
    <w:rsid w:val="006025FB"/>
    <w:rsid w:val="006028FA"/>
    <w:rsid w:val="00603248"/>
    <w:rsid w:val="00603DB9"/>
    <w:rsid w:val="00606FBA"/>
    <w:rsid w:val="00607669"/>
    <w:rsid w:val="006076F4"/>
    <w:rsid w:val="006079BC"/>
    <w:rsid w:val="00607AFD"/>
    <w:rsid w:val="00610C43"/>
    <w:rsid w:val="006110FC"/>
    <w:rsid w:val="006113D8"/>
    <w:rsid w:val="0061184C"/>
    <w:rsid w:val="00611B12"/>
    <w:rsid w:val="00612496"/>
    <w:rsid w:val="00612F08"/>
    <w:rsid w:val="00612F97"/>
    <w:rsid w:val="0061345D"/>
    <w:rsid w:val="0061549B"/>
    <w:rsid w:val="00615F31"/>
    <w:rsid w:val="00616802"/>
    <w:rsid w:val="006178F0"/>
    <w:rsid w:val="00617E12"/>
    <w:rsid w:val="00620059"/>
    <w:rsid w:val="00620BEB"/>
    <w:rsid w:val="00620C25"/>
    <w:rsid w:val="00620E9E"/>
    <w:rsid w:val="00620FC4"/>
    <w:rsid w:val="00621477"/>
    <w:rsid w:val="00621ADA"/>
    <w:rsid w:val="0062218E"/>
    <w:rsid w:val="00622895"/>
    <w:rsid w:val="00623439"/>
    <w:rsid w:val="00623EA4"/>
    <w:rsid w:val="00623F7B"/>
    <w:rsid w:val="00624BD4"/>
    <w:rsid w:val="00624E9F"/>
    <w:rsid w:val="00625BEF"/>
    <w:rsid w:val="00626788"/>
    <w:rsid w:val="006270A3"/>
    <w:rsid w:val="006273AA"/>
    <w:rsid w:val="0063158F"/>
    <w:rsid w:val="00631AAB"/>
    <w:rsid w:val="00631D4E"/>
    <w:rsid w:val="00631D6B"/>
    <w:rsid w:val="00631ED7"/>
    <w:rsid w:val="00631F91"/>
    <w:rsid w:val="00632183"/>
    <w:rsid w:val="006330A1"/>
    <w:rsid w:val="0063341D"/>
    <w:rsid w:val="0063479F"/>
    <w:rsid w:val="006348A4"/>
    <w:rsid w:val="006353F0"/>
    <w:rsid w:val="006357B5"/>
    <w:rsid w:val="006364A1"/>
    <w:rsid w:val="0063678E"/>
    <w:rsid w:val="00637BFD"/>
    <w:rsid w:val="00637C5C"/>
    <w:rsid w:val="00641C4E"/>
    <w:rsid w:val="00641FB3"/>
    <w:rsid w:val="00642D4C"/>
    <w:rsid w:val="0064434C"/>
    <w:rsid w:val="00646451"/>
    <w:rsid w:val="00646F4E"/>
    <w:rsid w:val="006471CC"/>
    <w:rsid w:val="006472FE"/>
    <w:rsid w:val="006478F6"/>
    <w:rsid w:val="00647A29"/>
    <w:rsid w:val="0065079F"/>
    <w:rsid w:val="00650A45"/>
    <w:rsid w:val="00651967"/>
    <w:rsid w:val="00652930"/>
    <w:rsid w:val="00652A28"/>
    <w:rsid w:val="0065379F"/>
    <w:rsid w:val="0065533B"/>
    <w:rsid w:val="00656188"/>
    <w:rsid w:val="0065715A"/>
    <w:rsid w:val="006610F1"/>
    <w:rsid w:val="00661C6B"/>
    <w:rsid w:val="00661C7B"/>
    <w:rsid w:val="00662D3E"/>
    <w:rsid w:val="006640CA"/>
    <w:rsid w:val="00664379"/>
    <w:rsid w:val="00664F4C"/>
    <w:rsid w:val="00665B5A"/>
    <w:rsid w:val="00666498"/>
    <w:rsid w:val="00666DE7"/>
    <w:rsid w:val="00666E1E"/>
    <w:rsid w:val="00667BE3"/>
    <w:rsid w:val="00671004"/>
    <w:rsid w:val="00672646"/>
    <w:rsid w:val="006727EF"/>
    <w:rsid w:val="00672A70"/>
    <w:rsid w:val="00672AC4"/>
    <w:rsid w:val="0067311F"/>
    <w:rsid w:val="0067386C"/>
    <w:rsid w:val="00673CBD"/>
    <w:rsid w:val="00674DD9"/>
    <w:rsid w:val="00674E42"/>
    <w:rsid w:val="006754B8"/>
    <w:rsid w:val="00676563"/>
    <w:rsid w:val="00680113"/>
    <w:rsid w:val="006813F8"/>
    <w:rsid w:val="00682112"/>
    <w:rsid w:val="006822BD"/>
    <w:rsid w:val="00682AF5"/>
    <w:rsid w:val="00682BA6"/>
    <w:rsid w:val="00683253"/>
    <w:rsid w:val="00683384"/>
    <w:rsid w:val="00684C1A"/>
    <w:rsid w:val="00684CCE"/>
    <w:rsid w:val="00685081"/>
    <w:rsid w:val="006867CD"/>
    <w:rsid w:val="00686957"/>
    <w:rsid w:val="006872BA"/>
    <w:rsid w:val="00687412"/>
    <w:rsid w:val="0069051D"/>
    <w:rsid w:val="00690795"/>
    <w:rsid w:val="00691648"/>
    <w:rsid w:val="006917D7"/>
    <w:rsid w:val="006931A8"/>
    <w:rsid w:val="0069364A"/>
    <w:rsid w:val="006937D0"/>
    <w:rsid w:val="00694203"/>
    <w:rsid w:val="0069434C"/>
    <w:rsid w:val="006949BE"/>
    <w:rsid w:val="00694F44"/>
    <w:rsid w:val="0069512B"/>
    <w:rsid w:val="006953AE"/>
    <w:rsid w:val="00695F03"/>
    <w:rsid w:val="00696EF9"/>
    <w:rsid w:val="00696F33"/>
    <w:rsid w:val="00696F51"/>
    <w:rsid w:val="006979A5"/>
    <w:rsid w:val="006A016F"/>
    <w:rsid w:val="006A0DF7"/>
    <w:rsid w:val="006A1301"/>
    <w:rsid w:val="006A3799"/>
    <w:rsid w:val="006A4321"/>
    <w:rsid w:val="006A43D9"/>
    <w:rsid w:val="006A55AE"/>
    <w:rsid w:val="006A6B99"/>
    <w:rsid w:val="006A74CB"/>
    <w:rsid w:val="006A7E5F"/>
    <w:rsid w:val="006B0188"/>
    <w:rsid w:val="006B20FF"/>
    <w:rsid w:val="006B261B"/>
    <w:rsid w:val="006B2C90"/>
    <w:rsid w:val="006B3368"/>
    <w:rsid w:val="006B35E6"/>
    <w:rsid w:val="006B3CE7"/>
    <w:rsid w:val="006B465A"/>
    <w:rsid w:val="006B4908"/>
    <w:rsid w:val="006B4C42"/>
    <w:rsid w:val="006B6222"/>
    <w:rsid w:val="006B6422"/>
    <w:rsid w:val="006B6DD0"/>
    <w:rsid w:val="006B765D"/>
    <w:rsid w:val="006B784A"/>
    <w:rsid w:val="006B7FE8"/>
    <w:rsid w:val="006C01EC"/>
    <w:rsid w:val="006C0399"/>
    <w:rsid w:val="006C14A9"/>
    <w:rsid w:val="006C16F3"/>
    <w:rsid w:val="006C2A8E"/>
    <w:rsid w:val="006C3255"/>
    <w:rsid w:val="006C3CD5"/>
    <w:rsid w:val="006C3F26"/>
    <w:rsid w:val="006C49A5"/>
    <w:rsid w:val="006C4EC6"/>
    <w:rsid w:val="006C50D9"/>
    <w:rsid w:val="006C6B55"/>
    <w:rsid w:val="006C6D78"/>
    <w:rsid w:val="006C769F"/>
    <w:rsid w:val="006C7C38"/>
    <w:rsid w:val="006D0D17"/>
    <w:rsid w:val="006D15B9"/>
    <w:rsid w:val="006D189B"/>
    <w:rsid w:val="006D2101"/>
    <w:rsid w:val="006D28AA"/>
    <w:rsid w:val="006D328B"/>
    <w:rsid w:val="006D3C5E"/>
    <w:rsid w:val="006D3C7D"/>
    <w:rsid w:val="006D4659"/>
    <w:rsid w:val="006D59C2"/>
    <w:rsid w:val="006D5D5F"/>
    <w:rsid w:val="006D5F87"/>
    <w:rsid w:val="006D68FB"/>
    <w:rsid w:val="006D6AC6"/>
    <w:rsid w:val="006E0C29"/>
    <w:rsid w:val="006E2868"/>
    <w:rsid w:val="006E33F4"/>
    <w:rsid w:val="006E4561"/>
    <w:rsid w:val="006E4FEC"/>
    <w:rsid w:val="006E6D79"/>
    <w:rsid w:val="006E75BA"/>
    <w:rsid w:val="006E76FD"/>
    <w:rsid w:val="006E79E9"/>
    <w:rsid w:val="006E7FFB"/>
    <w:rsid w:val="006F185C"/>
    <w:rsid w:val="006F2F02"/>
    <w:rsid w:val="006F306C"/>
    <w:rsid w:val="006F32C9"/>
    <w:rsid w:val="006F34FC"/>
    <w:rsid w:val="006F506F"/>
    <w:rsid w:val="006F51EE"/>
    <w:rsid w:val="006F63A5"/>
    <w:rsid w:val="006F7228"/>
    <w:rsid w:val="006F73C2"/>
    <w:rsid w:val="007005E3"/>
    <w:rsid w:val="0070142B"/>
    <w:rsid w:val="0070276E"/>
    <w:rsid w:val="00702BD9"/>
    <w:rsid w:val="00702CD6"/>
    <w:rsid w:val="00702F8F"/>
    <w:rsid w:val="007032F6"/>
    <w:rsid w:val="00704BF3"/>
    <w:rsid w:val="007059FD"/>
    <w:rsid w:val="00706975"/>
    <w:rsid w:val="007079FC"/>
    <w:rsid w:val="0071058E"/>
    <w:rsid w:val="007106F4"/>
    <w:rsid w:val="0071181B"/>
    <w:rsid w:val="00711A36"/>
    <w:rsid w:val="007125D3"/>
    <w:rsid w:val="00714C26"/>
    <w:rsid w:val="0071529C"/>
    <w:rsid w:val="007157F8"/>
    <w:rsid w:val="0071625F"/>
    <w:rsid w:val="00716869"/>
    <w:rsid w:val="0071694F"/>
    <w:rsid w:val="007170DA"/>
    <w:rsid w:val="007171DF"/>
    <w:rsid w:val="007172AD"/>
    <w:rsid w:val="00717546"/>
    <w:rsid w:val="0072049F"/>
    <w:rsid w:val="00720801"/>
    <w:rsid w:val="00721985"/>
    <w:rsid w:val="007219AA"/>
    <w:rsid w:val="00721EA3"/>
    <w:rsid w:val="00722B1B"/>
    <w:rsid w:val="00722C9E"/>
    <w:rsid w:val="0072416F"/>
    <w:rsid w:val="00724E7E"/>
    <w:rsid w:val="00725182"/>
    <w:rsid w:val="007251F7"/>
    <w:rsid w:val="00727298"/>
    <w:rsid w:val="00727C94"/>
    <w:rsid w:val="00730011"/>
    <w:rsid w:val="00730C5D"/>
    <w:rsid w:val="00731B0A"/>
    <w:rsid w:val="00731EAE"/>
    <w:rsid w:val="00733073"/>
    <w:rsid w:val="00734024"/>
    <w:rsid w:val="00735033"/>
    <w:rsid w:val="00735328"/>
    <w:rsid w:val="00735BD9"/>
    <w:rsid w:val="007365AF"/>
    <w:rsid w:val="0073685B"/>
    <w:rsid w:val="007368AF"/>
    <w:rsid w:val="00740F46"/>
    <w:rsid w:val="007449BF"/>
    <w:rsid w:val="00745805"/>
    <w:rsid w:val="00745F45"/>
    <w:rsid w:val="007463FE"/>
    <w:rsid w:val="00746BC0"/>
    <w:rsid w:val="00746D33"/>
    <w:rsid w:val="00747795"/>
    <w:rsid w:val="00750861"/>
    <w:rsid w:val="007509E9"/>
    <w:rsid w:val="007510B4"/>
    <w:rsid w:val="00751AA8"/>
    <w:rsid w:val="00752142"/>
    <w:rsid w:val="007523F9"/>
    <w:rsid w:val="00752727"/>
    <w:rsid w:val="00752C7E"/>
    <w:rsid w:val="0075357E"/>
    <w:rsid w:val="00753B29"/>
    <w:rsid w:val="00753E43"/>
    <w:rsid w:val="007545FB"/>
    <w:rsid w:val="007552E3"/>
    <w:rsid w:val="007555F2"/>
    <w:rsid w:val="007573E8"/>
    <w:rsid w:val="00760C4E"/>
    <w:rsid w:val="00760F9E"/>
    <w:rsid w:val="00760FC5"/>
    <w:rsid w:val="007616E6"/>
    <w:rsid w:val="00761A2E"/>
    <w:rsid w:val="007627BE"/>
    <w:rsid w:val="00763D70"/>
    <w:rsid w:val="00763EB8"/>
    <w:rsid w:val="007648BF"/>
    <w:rsid w:val="00764F03"/>
    <w:rsid w:val="0076590E"/>
    <w:rsid w:val="00765B1A"/>
    <w:rsid w:val="00765DC1"/>
    <w:rsid w:val="00765E82"/>
    <w:rsid w:val="0077106A"/>
    <w:rsid w:val="007727B6"/>
    <w:rsid w:val="00773CA0"/>
    <w:rsid w:val="00775B2E"/>
    <w:rsid w:val="00776730"/>
    <w:rsid w:val="00777335"/>
    <w:rsid w:val="00777DDC"/>
    <w:rsid w:val="00784308"/>
    <w:rsid w:val="007843F2"/>
    <w:rsid w:val="007846FA"/>
    <w:rsid w:val="00784EC4"/>
    <w:rsid w:val="0078521A"/>
    <w:rsid w:val="00785A9F"/>
    <w:rsid w:val="0078688E"/>
    <w:rsid w:val="007871FF"/>
    <w:rsid w:val="0079023C"/>
    <w:rsid w:val="007903F4"/>
    <w:rsid w:val="007925DF"/>
    <w:rsid w:val="00793569"/>
    <w:rsid w:val="007939A5"/>
    <w:rsid w:val="00793E36"/>
    <w:rsid w:val="00795BD3"/>
    <w:rsid w:val="00795F62"/>
    <w:rsid w:val="0079607F"/>
    <w:rsid w:val="007976B1"/>
    <w:rsid w:val="007A08AA"/>
    <w:rsid w:val="007A0A12"/>
    <w:rsid w:val="007A132D"/>
    <w:rsid w:val="007A1345"/>
    <w:rsid w:val="007A2B64"/>
    <w:rsid w:val="007A2BC6"/>
    <w:rsid w:val="007A2DDB"/>
    <w:rsid w:val="007A38FE"/>
    <w:rsid w:val="007A3C4E"/>
    <w:rsid w:val="007A41BE"/>
    <w:rsid w:val="007A464A"/>
    <w:rsid w:val="007A4DBD"/>
    <w:rsid w:val="007A4ECF"/>
    <w:rsid w:val="007A50C1"/>
    <w:rsid w:val="007A5161"/>
    <w:rsid w:val="007A5FB4"/>
    <w:rsid w:val="007A60D2"/>
    <w:rsid w:val="007A6840"/>
    <w:rsid w:val="007A6B8E"/>
    <w:rsid w:val="007A6E4D"/>
    <w:rsid w:val="007A70BA"/>
    <w:rsid w:val="007B0842"/>
    <w:rsid w:val="007B0D68"/>
    <w:rsid w:val="007B20F4"/>
    <w:rsid w:val="007B251D"/>
    <w:rsid w:val="007B2DC0"/>
    <w:rsid w:val="007B3108"/>
    <w:rsid w:val="007B3533"/>
    <w:rsid w:val="007B3C5E"/>
    <w:rsid w:val="007B4115"/>
    <w:rsid w:val="007B4F58"/>
    <w:rsid w:val="007B528D"/>
    <w:rsid w:val="007B63CA"/>
    <w:rsid w:val="007B71EC"/>
    <w:rsid w:val="007B77D1"/>
    <w:rsid w:val="007B7889"/>
    <w:rsid w:val="007B7C25"/>
    <w:rsid w:val="007C07C7"/>
    <w:rsid w:val="007C1CD9"/>
    <w:rsid w:val="007C2735"/>
    <w:rsid w:val="007C32EF"/>
    <w:rsid w:val="007C361D"/>
    <w:rsid w:val="007C3E4A"/>
    <w:rsid w:val="007C4B84"/>
    <w:rsid w:val="007C505A"/>
    <w:rsid w:val="007C70FF"/>
    <w:rsid w:val="007C7C25"/>
    <w:rsid w:val="007D004F"/>
    <w:rsid w:val="007D0269"/>
    <w:rsid w:val="007D035F"/>
    <w:rsid w:val="007D038E"/>
    <w:rsid w:val="007D0650"/>
    <w:rsid w:val="007D06B2"/>
    <w:rsid w:val="007D0717"/>
    <w:rsid w:val="007D0B38"/>
    <w:rsid w:val="007D5440"/>
    <w:rsid w:val="007D57DE"/>
    <w:rsid w:val="007D5F52"/>
    <w:rsid w:val="007D63F3"/>
    <w:rsid w:val="007D64F8"/>
    <w:rsid w:val="007D69EB"/>
    <w:rsid w:val="007D6C30"/>
    <w:rsid w:val="007D6E6A"/>
    <w:rsid w:val="007E03F9"/>
    <w:rsid w:val="007E0E0F"/>
    <w:rsid w:val="007E1111"/>
    <w:rsid w:val="007E128F"/>
    <w:rsid w:val="007E1597"/>
    <w:rsid w:val="007E3BF3"/>
    <w:rsid w:val="007E3EB0"/>
    <w:rsid w:val="007E437D"/>
    <w:rsid w:val="007E4D34"/>
    <w:rsid w:val="007E59D9"/>
    <w:rsid w:val="007E5FE1"/>
    <w:rsid w:val="007F0065"/>
    <w:rsid w:val="007F0EAC"/>
    <w:rsid w:val="007F1017"/>
    <w:rsid w:val="007F3B8C"/>
    <w:rsid w:val="007F417D"/>
    <w:rsid w:val="007F4A3F"/>
    <w:rsid w:val="007F4A61"/>
    <w:rsid w:val="007F5255"/>
    <w:rsid w:val="007F52A5"/>
    <w:rsid w:val="007F56CC"/>
    <w:rsid w:val="007F61C2"/>
    <w:rsid w:val="007F63D3"/>
    <w:rsid w:val="008001CB"/>
    <w:rsid w:val="008008D6"/>
    <w:rsid w:val="00800A01"/>
    <w:rsid w:val="00801F88"/>
    <w:rsid w:val="008021B6"/>
    <w:rsid w:val="00803057"/>
    <w:rsid w:val="00804A75"/>
    <w:rsid w:val="00805142"/>
    <w:rsid w:val="00805DEB"/>
    <w:rsid w:val="00805F51"/>
    <w:rsid w:val="00805FCE"/>
    <w:rsid w:val="008072CD"/>
    <w:rsid w:val="0080762B"/>
    <w:rsid w:val="00807A8B"/>
    <w:rsid w:val="00807AF3"/>
    <w:rsid w:val="00811383"/>
    <w:rsid w:val="00812149"/>
    <w:rsid w:val="00812CAC"/>
    <w:rsid w:val="0081305C"/>
    <w:rsid w:val="0081376F"/>
    <w:rsid w:val="00814430"/>
    <w:rsid w:val="00816361"/>
    <w:rsid w:val="00816615"/>
    <w:rsid w:val="008166EF"/>
    <w:rsid w:val="00816D1B"/>
    <w:rsid w:val="00816FEF"/>
    <w:rsid w:val="00817722"/>
    <w:rsid w:val="00820060"/>
    <w:rsid w:val="00820293"/>
    <w:rsid w:val="00820A8C"/>
    <w:rsid w:val="008215FB"/>
    <w:rsid w:val="008220CC"/>
    <w:rsid w:val="008225BC"/>
    <w:rsid w:val="00822E01"/>
    <w:rsid w:val="00823174"/>
    <w:rsid w:val="00823B1B"/>
    <w:rsid w:val="00824C79"/>
    <w:rsid w:val="00824C97"/>
    <w:rsid w:val="00825751"/>
    <w:rsid w:val="00825EA0"/>
    <w:rsid w:val="008264EB"/>
    <w:rsid w:val="008268CE"/>
    <w:rsid w:val="00827931"/>
    <w:rsid w:val="00827C23"/>
    <w:rsid w:val="00830093"/>
    <w:rsid w:val="00830AB9"/>
    <w:rsid w:val="00830EC1"/>
    <w:rsid w:val="008310F3"/>
    <w:rsid w:val="00833B05"/>
    <w:rsid w:val="008344B9"/>
    <w:rsid w:val="00835856"/>
    <w:rsid w:val="00836133"/>
    <w:rsid w:val="00836166"/>
    <w:rsid w:val="008362B4"/>
    <w:rsid w:val="0083676E"/>
    <w:rsid w:val="00837978"/>
    <w:rsid w:val="00840CA2"/>
    <w:rsid w:val="008418DF"/>
    <w:rsid w:val="00842230"/>
    <w:rsid w:val="00842566"/>
    <w:rsid w:val="0084374F"/>
    <w:rsid w:val="0084392E"/>
    <w:rsid w:val="00844A22"/>
    <w:rsid w:val="00844C39"/>
    <w:rsid w:val="00845762"/>
    <w:rsid w:val="00847703"/>
    <w:rsid w:val="00847A21"/>
    <w:rsid w:val="00847DF5"/>
    <w:rsid w:val="00850121"/>
    <w:rsid w:val="0085097E"/>
    <w:rsid w:val="00850B81"/>
    <w:rsid w:val="00852D4D"/>
    <w:rsid w:val="0085309D"/>
    <w:rsid w:val="008533BC"/>
    <w:rsid w:val="0085421C"/>
    <w:rsid w:val="00854682"/>
    <w:rsid w:val="00856897"/>
    <w:rsid w:val="00856E9A"/>
    <w:rsid w:val="00856F16"/>
    <w:rsid w:val="008571C6"/>
    <w:rsid w:val="008579C9"/>
    <w:rsid w:val="0086075D"/>
    <w:rsid w:val="0086130D"/>
    <w:rsid w:val="0086193E"/>
    <w:rsid w:val="008619E7"/>
    <w:rsid w:val="00861CB6"/>
    <w:rsid w:val="00862502"/>
    <w:rsid w:val="008625DB"/>
    <w:rsid w:val="00862CC1"/>
    <w:rsid w:val="008642A7"/>
    <w:rsid w:val="008660D4"/>
    <w:rsid w:val="00866252"/>
    <w:rsid w:val="008662BE"/>
    <w:rsid w:val="0086792A"/>
    <w:rsid w:val="00867BFD"/>
    <w:rsid w:val="008719E7"/>
    <w:rsid w:val="00871FA9"/>
    <w:rsid w:val="00872452"/>
    <w:rsid w:val="008727C0"/>
    <w:rsid w:val="008728E9"/>
    <w:rsid w:val="00874261"/>
    <w:rsid w:val="008749FA"/>
    <w:rsid w:val="00874C95"/>
    <w:rsid w:val="00874D22"/>
    <w:rsid w:val="00874F39"/>
    <w:rsid w:val="008766B4"/>
    <w:rsid w:val="008771BD"/>
    <w:rsid w:val="0087748F"/>
    <w:rsid w:val="0087799C"/>
    <w:rsid w:val="00882295"/>
    <w:rsid w:val="0088232E"/>
    <w:rsid w:val="008823F0"/>
    <w:rsid w:val="00882874"/>
    <w:rsid w:val="00882E3C"/>
    <w:rsid w:val="0088308A"/>
    <w:rsid w:val="008833E9"/>
    <w:rsid w:val="00883637"/>
    <w:rsid w:val="00883787"/>
    <w:rsid w:val="008844A3"/>
    <w:rsid w:val="008855E4"/>
    <w:rsid w:val="0088616D"/>
    <w:rsid w:val="0088697A"/>
    <w:rsid w:val="00886CD2"/>
    <w:rsid w:val="00887733"/>
    <w:rsid w:val="00887883"/>
    <w:rsid w:val="0089087A"/>
    <w:rsid w:val="00891C81"/>
    <w:rsid w:val="00891E6F"/>
    <w:rsid w:val="0089275D"/>
    <w:rsid w:val="00892A36"/>
    <w:rsid w:val="00892FE7"/>
    <w:rsid w:val="00893239"/>
    <w:rsid w:val="00894489"/>
    <w:rsid w:val="00894CD6"/>
    <w:rsid w:val="00894E87"/>
    <w:rsid w:val="0089506B"/>
    <w:rsid w:val="00895173"/>
    <w:rsid w:val="008954DB"/>
    <w:rsid w:val="008963A5"/>
    <w:rsid w:val="00896D5D"/>
    <w:rsid w:val="00896F1E"/>
    <w:rsid w:val="008A3158"/>
    <w:rsid w:val="008A3363"/>
    <w:rsid w:val="008A3371"/>
    <w:rsid w:val="008A3382"/>
    <w:rsid w:val="008A3561"/>
    <w:rsid w:val="008A3C3E"/>
    <w:rsid w:val="008A4D0C"/>
    <w:rsid w:val="008A6835"/>
    <w:rsid w:val="008A6A70"/>
    <w:rsid w:val="008A7296"/>
    <w:rsid w:val="008A79DE"/>
    <w:rsid w:val="008B0187"/>
    <w:rsid w:val="008B02EB"/>
    <w:rsid w:val="008B0C35"/>
    <w:rsid w:val="008B1297"/>
    <w:rsid w:val="008B1757"/>
    <w:rsid w:val="008B1C33"/>
    <w:rsid w:val="008B33E2"/>
    <w:rsid w:val="008B47CE"/>
    <w:rsid w:val="008B4B6F"/>
    <w:rsid w:val="008B5360"/>
    <w:rsid w:val="008B5889"/>
    <w:rsid w:val="008B604D"/>
    <w:rsid w:val="008B66D7"/>
    <w:rsid w:val="008B7992"/>
    <w:rsid w:val="008B7D7E"/>
    <w:rsid w:val="008C12BB"/>
    <w:rsid w:val="008C13C2"/>
    <w:rsid w:val="008C2C3C"/>
    <w:rsid w:val="008C2CB1"/>
    <w:rsid w:val="008C4669"/>
    <w:rsid w:val="008C5610"/>
    <w:rsid w:val="008C5739"/>
    <w:rsid w:val="008C5D9D"/>
    <w:rsid w:val="008C7282"/>
    <w:rsid w:val="008C7C09"/>
    <w:rsid w:val="008C7ECB"/>
    <w:rsid w:val="008D0173"/>
    <w:rsid w:val="008D05A5"/>
    <w:rsid w:val="008D32CE"/>
    <w:rsid w:val="008D3A0E"/>
    <w:rsid w:val="008D3B86"/>
    <w:rsid w:val="008D43FD"/>
    <w:rsid w:val="008D4755"/>
    <w:rsid w:val="008D4C3D"/>
    <w:rsid w:val="008D5FDE"/>
    <w:rsid w:val="008D743C"/>
    <w:rsid w:val="008D77BB"/>
    <w:rsid w:val="008D78B1"/>
    <w:rsid w:val="008E0D3C"/>
    <w:rsid w:val="008E1A43"/>
    <w:rsid w:val="008E1B9E"/>
    <w:rsid w:val="008E2E10"/>
    <w:rsid w:val="008E323B"/>
    <w:rsid w:val="008E39F6"/>
    <w:rsid w:val="008E55AB"/>
    <w:rsid w:val="008E6593"/>
    <w:rsid w:val="008E774E"/>
    <w:rsid w:val="008F0EC8"/>
    <w:rsid w:val="008F120A"/>
    <w:rsid w:val="008F22F6"/>
    <w:rsid w:val="008F27E0"/>
    <w:rsid w:val="008F3172"/>
    <w:rsid w:val="008F40FD"/>
    <w:rsid w:val="008F48EB"/>
    <w:rsid w:val="008F4F0B"/>
    <w:rsid w:val="008F527E"/>
    <w:rsid w:val="008F53C9"/>
    <w:rsid w:val="008F5889"/>
    <w:rsid w:val="008F76B1"/>
    <w:rsid w:val="008F7DB8"/>
    <w:rsid w:val="009029CD"/>
    <w:rsid w:val="00902CB9"/>
    <w:rsid w:val="00903166"/>
    <w:rsid w:val="009031E8"/>
    <w:rsid w:val="00903B8C"/>
    <w:rsid w:val="00903CC8"/>
    <w:rsid w:val="009046C4"/>
    <w:rsid w:val="00905035"/>
    <w:rsid w:val="0090504F"/>
    <w:rsid w:val="00905DC8"/>
    <w:rsid w:val="00905F32"/>
    <w:rsid w:val="009062A5"/>
    <w:rsid w:val="00906BF9"/>
    <w:rsid w:val="00906ED7"/>
    <w:rsid w:val="00907699"/>
    <w:rsid w:val="009101AF"/>
    <w:rsid w:val="009101C2"/>
    <w:rsid w:val="00910C13"/>
    <w:rsid w:val="00910CFD"/>
    <w:rsid w:val="00910FA7"/>
    <w:rsid w:val="0091110D"/>
    <w:rsid w:val="00911272"/>
    <w:rsid w:val="00911339"/>
    <w:rsid w:val="009135D6"/>
    <w:rsid w:val="009136EA"/>
    <w:rsid w:val="009147C9"/>
    <w:rsid w:val="00914BF2"/>
    <w:rsid w:val="00914C77"/>
    <w:rsid w:val="0091706D"/>
    <w:rsid w:val="009171E1"/>
    <w:rsid w:val="00921ACB"/>
    <w:rsid w:val="00921F6C"/>
    <w:rsid w:val="00922297"/>
    <w:rsid w:val="0092369B"/>
    <w:rsid w:val="00923931"/>
    <w:rsid w:val="00923B2E"/>
    <w:rsid w:val="0092602D"/>
    <w:rsid w:val="00926695"/>
    <w:rsid w:val="00926B2A"/>
    <w:rsid w:val="0093483E"/>
    <w:rsid w:val="00934988"/>
    <w:rsid w:val="00937089"/>
    <w:rsid w:val="00937390"/>
    <w:rsid w:val="00944F8A"/>
    <w:rsid w:val="0094515D"/>
    <w:rsid w:val="00947315"/>
    <w:rsid w:val="00947EA0"/>
    <w:rsid w:val="0095010D"/>
    <w:rsid w:val="009510A2"/>
    <w:rsid w:val="00953257"/>
    <w:rsid w:val="00953DF1"/>
    <w:rsid w:val="0095474C"/>
    <w:rsid w:val="009549FE"/>
    <w:rsid w:val="00954CFF"/>
    <w:rsid w:val="00954F07"/>
    <w:rsid w:val="009552E5"/>
    <w:rsid w:val="00955F30"/>
    <w:rsid w:val="009562AD"/>
    <w:rsid w:val="009569F6"/>
    <w:rsid w:val="00956DF9"/>
    <w:rsid w:val="00957D92"/>
    <w:rsid w:val="00960713"/>
    <w:rsid w:val="00960949"/>
    <w:rsid w:val="00960FD8"/>
    <w:rsid w:val="00961192"/>
    <w:rsid w:val="0096125D"/>
    <w:rsid w:val="0096168F"/>
    <w:rsid w:val="009623FD"/>
    <w:rsid w:val="00962CB9"/>
    <w:rsid w:val="00963FDA"/>
    <w:rsid w:val="00964172"/>
    <w:rsid w:val="00964312"/>
    <w:rsid w:val="009645F2"/>
    <w:rsid w:val="00964D50"/>
    <w:rsid w:val="00965B8A"/>
    <w:rsid w:val="0096677C"/>
    <w:rsid w:val="0096701A"/>
    <w:rsid w:val="009702C3"/>
    <w:rsid w:val="0097060F"/>
    <w:rsid w:val="0097071F"/>
    <w:rsid w:val="009709E4"/>
    <w:rsid w:val="00970A9A"/>
    <w:rsid w:val="009717AC"/>
    <w:rsid w:val="00971C24"/>
    <w:rsid w:val="00971C6F"/>
    <w:rsid w:val="009736A1"/>
    <w:rsid w:val="00973C37"/>
    <w:rsid w:val="009751C1"/>
    <w:rsid w:val="00975718"/>
    <w:rsid w:val="0097639E"/>
    <w:rsid w:val="00980D91"/>
    <w:rsid w:val="009811F1"/>
    <w:rsid w:val="0098136B"/>
    <w:rsid w:val="00982521"/>
    <w:rsid w:val="0098350F"/>
    <w:rsid w:val="00983E57"/>
    <w:rsid w:val="0098459D"/>
    <w:rsid w:val="009846B1"/>
    <w:rsid w:val="00984FF0"/>
    <w:rsid w:val="009853AC"/>
    <w:rsid w:val="00985DE2"/>
    <w:rsid w:val="00985F73"/>
    <w:rsid w:val="009864BF"/>
    <w:rsid w:val="0098675D"/>
    <w:rsid w:val="00987BA4"/>
    <w:rsid w:val="009926E0"/>
    <w:rsid w:val="00992FEB"/>
    <w:rsid w:val="0099451E"/>
    <w:rsid w:val="009952B5"/>
    <w:rsid w:val="00996B1A"/>
    <w:rsid w:val="00996E54"/>
    <w:rsid w:val="00996EAA"/>
    <w:rsid w:val="009A04FF"/>
    <w:rsid w:val="009A051E"/>
    <w:rsid w:val="009A18F6"/>
    <w:rsid w:val="009A1934"/>
    <w:rsid w:val="009A2DCC"/>
    <w:rsid w:val="009A30E3"/>
    <w:rsid w:val="009A483D"/>
    <w:rsid w:val="009A5ABC"/>
    <w:rsid w:val="009A6D0E"/>
    <w:rsid w:val="009A7F10"/>
    <w:rsid w:val="009B1514"/>
    <w:rsid w:val="009B18AD"/>
    <w:rsid w:val="009B2D3F"/>
    <w:rsid w:val="009B2D9D"/>
    <w:rsid w:val="009B3E26"/>
    <w:rsid w:val="009B4B61"/>
    <w:rsid w:val="009C1271"/>
    <w:rsid w:val="009C2146"/>
    <w:rsid w:val="009C2660"/>
    <w:rsid w:val="009C3706"/>
    <w:rsid w:val="009C3A3A"/>
    <w:rsid w:val="009C412E"/>
    <w:rsid w:val="009C55A7"/>
    <w:rsid w:val="009C693D"/>
    <w:rsid w:val="009C6CEA"/>
    <w:rsid w:val="009C7B85"/>
    <w:rsid w:val="009D0254"/>
    <w:rsid w:val="009D0458"/>
    <w:rsid w:val="009D133C"/>
    <w:rsid w:val="009D1A64"/>
    <w:rsid w:val="009D3434"/>
    <w:rsid w:val="009D4897"/>
    <w:rsid w:val="009D4A17"/>
    <w:rsid w:val="009D4BF4"/>
    <w:rsid w:val="009D5029"/>
    <w:rsid w:val="009D56FF"/>
    <w:rsid w:val="009D5991"/>
    <w:rsid w:val="009D5B91"/>
    <w:rsid w:val="009D5C79"/>
    <w:rsid w:val="009D6123"/>
    <w:rsid w:val="009D62DE"/>
    <w:rsid w:val="009D6F31"/>
    <w:rsid w:val="009D792E"/>
    <w:rsid w:val="009D7F4B"/>
    <w:rsid w:val="009E04AD"/>
    <w:rsid w:val="009E0DFE"/>
    <w:rsid w:val="009E1006"/>
    <w:rsid w:val="009E16D3"/>
    <w:rsid w:val="009E1822"/>
    <w:rsid w:val="009E1AC9"/>
    <w:rsid w:val="009E1D36"/>
    <w:rsid w:val="009E1E90"/>
    <w:rsid w:val="009E31F6"/>
    <w:rsid w:val="009E3265"/>
    <w:rsid w:val="009E3352"/>
    <w:rsid w:val="009E4345"/>
    <w:rsid w:val="009E4C07"/>
    <w:rsid w:val="009E5314"/>
    <w:rsid w:val="009E533E"/>
    <w:rsid w:val="009E6364"/>
    <w:rsid w:val="009E75AF"/>
    <w:rsid w:val="009E777F"/>
    <w:rsid w:val="009F1284"/>
    <w:rsid w:val="009F2447"/>
    <w:rsid w:val="009F276C"/>
    <w:rsid w:val="009F395D"/>
    <w:rsid w:val="009F397B"/>
    <w:rsid w:val="009F566E"/>
    <w:rsid w:val="009F5D50"/>
    <w:rsid w:val="009F6120"/>
    <w:rsid w:val="009F6402"/>
    <w:rsid w:val="009F685C"/>
    <w:rsid w:val="009F6E79"/>
    <w:rsid w:val="00A00D76"/>
    <w:rsid w:val="00A01184"/>
    <w:rsid w:val="00A01449"/>
    <w:rsid w:val="00A01919"/>
    <w:rsid w:val="00A02493"/>
    <w:rsid w:val="00A037C2"/>
    <w:rsid w:val="00A03D43"/>
    <w:rsid w:val="00A04380"/>
    <w:rsid w:val="00A04786"/>
    <w:rsid w:val="00A04848"/>
    <w:rsid w:val="00A05429"/>
    <w:rsid w:val="00A05472"/>
    <w:rsid w:val="00A057EC"/>
    <w:rsid w:val="00A05A71"/>
    <w:rsid w:val="00A05C32"/>
    <w:rsid w:val="00A0653F"/>
    <w:rsid w:val="00A06CC6"/>
    <w:rsid w:val="00A103AB"/>
    <w:rsid w:val="00A10F29"/>
    <w:rsid w:val="00A11CD0"/>
    <w:rsid w:val="00A12DF5"/>
    <w:rsid w:val="00A13948"/>
    <w:rsid w:val="00A1418F"/>
    <w:rsid w:val="00A14C27"/>
    <w:rsid w:val="00A1555B"/>
    <w:rsid w:val="00A155C5"/>
    <w:rsid w:val="00A1634C"/>
    <w:rsid w:val="00A16AD8"/>
    <w:rsid w:val="00A1795F"/>
    <w:rsid w:val="00A2017F"/>
    <w:rsid w:val="00A2021E"/>
    <w:rsid w:val="00A21AE2"/>
    <w:rsid w:val="00A21C95"/>
    <w:rsid w:val="00A21CF3"/>
    <w:rsid w:val="00A22653"/>
    <w:rsid w:val="00A22905"/>
    <w:rsid w:val="00A22AA5"/>
    <w:rsid w:val="00A22D0E"/>
    <w:rsid w:val="00A23518"/>
    <w:rsid w:val="00A24813"/>
    <w:rsid w:val="00A252CC"/>
    <w:rsid w:val="00A277B6"/>
    <w:rsid w:val="00A27A72"/>
    <w:rsid w:val="00A27AEC"/>
    <w:rsid w:val="00A320DB"/>
    <w:rsid w:val="00A32DD1"/>
    <w:rsid w:val="00A33A79"/>
    <w:rsid w:val="00A34F27"/>
    <w:rsid w:val="00A3551E"/>
    <w:rsid w:val="00A357C7"/>
    <w:rsid w:val="00A35D16"/>
    <w:rsid w:val="00A35EDC"/>
    <w:rsid w:val="00A36E6A"/>
    <w:rsid w:val="00A377EF"/>
    <w:rsid w:val="00A37BCD"/>
    <w:rsid w:val="00A37FE8"/>
    <w:rsid w:val="00A404D7"/>
    <w:rsid w:val="00A41689"/>
    <w:rsid w:val="00A4169B"/>
    <w:rsid w:val="00A422B6"/>
    <w:rsid w:val="00A42592"/>
    <w:rsid w:val="00A42936"/>
    <w:rsid w:val="00A4296C"/>
    <w:rsid w:val="00A43C59"/>
    <w:rsid w:val="00A50ECD"/>
    <w:rsid w:val="00A518F3"/>
    <w:rsid w:val="00A52729"/>
    <w:rsid w:val="00A5309D"/>
    <w:rsid w:val="00A53675"/>
    <w:rsid w:val="00A54BCD"/>
    <w:rsid w:val="00A55562"/>
    <w:rsid w:val="00A564D7"/>
    <w:rsid w:val="00A56B6A"/>
    <w:rsid w:val="00A56D5D"/>
    <w:rsid w:val="00A576BC"/>
    <w:rsid w:val="00A578DC"/>
    <w:rsid w:val="00A57990"/>
    <w:rsid w:val="00A60C65"/>
    <w:rsid w:val="00A62865"/>
    <w:rsid w:val="00A640E2"/>
    <w:rsid w:val="00A64524"/>
    <w:rsid w:val="00A64D65"/>
    <w:rsid w:val="00A664CF"/>
    <w:rsid w:val="00A668B6"/>
    <w:rsid w:val="00A6725B"/>
    <w:rsid w:val="00A70605"/>
    <w:rsid w:val="00A708DE"/>
    <w:rsid w:val="00A71041"/>
    <w:rsid w:val="00A72FC6"/>
    <w:rsid w:val="00A73134"/>
    <w:rsid w:val="00A7365A"/>
    <w:rsid w:val="00A741D5"/>
    <w:rsid w:val="00A76001"/>
    <w:rsid w:val="00A76306"/>
    <w:rsid w:val="00A76B67"/>
    <w:rsid w:val="00A76E82"/>
    <w:rsid w:val="00A777B2"/>
    <w:rsid w:val="00A809E8"/>
    <w:rsid w:val="00A80C15"/>
    <w:rsid w:val="00A825D4"/>
    <w:rsid w:val="00A828F6"/>
    <w:rsid w:val="00A82A93"/>
    <w:rsid w:val="00A82B73"/>
    <w:rsid w:val="00A83190"/>
    <w:rsid w:val="00A834C1"/>
    <w:rsid w:val="00A83641"/>
    <w:rsid w:val="00A83814"/>
    <w:rsid w:val="00A83C83"/>
    <w:rsid w:val="00A86E8B"/>
    <w:rsid w:val="00A87164"/>
    <w:rsid w:val="00A871A9"/>
    <w:rsid w:val="00A90559"/>
    <w:rsid w:val="00A9102D"/>
    <w:rsid w:val="00A91166"/>
    <w:rsid w:val="00A91958"/>
    <w:rsid w:val="00A92CD0"/>
    <w:rsid w:val="00A93072"/>
    <w:rsid w:val="00A938BD"/>
    <w:rsid w:val="00A93953"/>
    <w:rsid w:val="00A939B3"/>
    <w:rsid w:val="00A9413F"/>
    <w:rsid w:val="00A94641"/>
    <w:rsid w:val="00A9484A"/>
    <w:rsid w:val="00A95440"/>
    <w:rsid w:val="00A959D8"/>
    <w:rsid w:val="00A97573"/>
    <w:rsid w:val="00AA0368"/>
    <w:rsid w:val="00AA113D"/>
    <w:rsid w:val="00AA1FCE"/>
    <w:rsid w:val="00AA2403"/>
    <w:rsid w:val="00AA2E56"/>
    <w:rsid w:val="00AA35F6"/>
    <w:rsid w:val="00AA3788"/>
    <w:rsid w:val="00AA5153"/>
    <w:rsid w:val="00AA5DE6"/>
    <w:rsid w:val="00AA6BD5"/>
    <w:rsid w:val="00AA6BD8"/>
    <w:rsid w:val="00AA6C7D"/>
    <w:rsid w:val="00AA7222"/>
    <w:rsid w:val="00AA7FD6"/>
    <w:rsid w:val="00AB042A"/>
    <w:rsid w:val="00AB11AD"/>
    <w:rsid w:val="00AB19EF"/>
    <w:rsid w:val="00AB2495"/>
    <w:rsid w:val="00AB2946"/>
    <w:rsid w:val="00AB2D34"/>
    <w:rsid w:val="00AB3430"/>
    <w:rsid w:val="00AB37B9"/>
    <w:rsid w:val="00AB3944"/>
    <w:rsid w:val="00AB3D42"/>
    <w:rsid w:val="00AB4230"/>
    <w:rsid w:val="00AB448D"/>
    <w:rsid w:val="00AB48F6"/>
    <w:rsid w:val="00AB4AD1"/>
    <w:rsid w:val="00AB4CE8"/>
    <w:rsid w:val="00AB5E07"/>
    <w:rsid w:val="00AB7C25"/>
    <w:rsid w:val="00AB7CFA"/>
    <w:rsid w:val="00AC236C"/>
    <w:rsid w:val="00AC24D2"/>
    <w:rsid w:val="00AC2F75"/>
    <w:rsid w:val="00AC3C02"/>
    <w:rsid w:val="00AC5B42"/>
    <w:rsid w:val="00AC5B48"/>
    <w:rsid w:val="00AC68EF"/>
    <w:rsid w:val="00AD09FC"/>
    <w:rsid w:val="00AD1450"/>
    <w:rsid w:val="00AD15E8"/>
    <w:rsid w:val="00AD24AE"/>
    <w:rsid w:val="00AD2997"/>
    <w:rsid w:val="00AD356D"/>
    <w:rsid w:val="00AD3C41"/>
    <w:rsid w:val="00AD570A"/>
    <w:rsid w:val="00AD60EF"/>
    <w:rsid w:val="00AD6502"/>
    <w:rsid w:val="00AD672B"/>
    <w:rsid w:val="00AD6CE6"/>
    <w:rsid w:val="00AE0695"/>
    <w:rsid w:val="00AE19FB"/>
    <w:rsid w:val="00AE279F"/>
    <w:rsid w:val="00AE2DA4"/>
    <w:rsid w:val="00AE2EFA"/>
    <w:rsid w:val="00AE3E7E"/>
    <w:rsid w:val="00AE591C"/>
    <w:rsid w:val="00AE6BE9"/>
    <w:rsid w:val="00AE6D87"/>
    <w:rsid w:val="00AE712C"/>
    <w:rsid w:val="00AE7197"/>
    <w:rsid w:val="00AE7E53"/>
    <w:rsid w:val="00AE7EED"/>
    <w:rsid w:val="00AF130E"/>
    <w:rsid w:val="00AF1315"/>
    <w:rsid w:val="00AF19BF"/>
    <w:rsid w:val="00AF2DC3"/>
    <w:rsid w:val="00AF3677"/>
    <w:rsid w:val="00AF39EA"/>
    <w:rsid w:val="00AF3E0F"/>
    <w:rsid w:val="00AF4410"/>
    <w:rsid w:val="00AF5085"/>
    <w:rsid w:val="00AF6209"/>
    <w:rsid w:val="00AF663D"/>
    <w:rsid w:val="00AF76B5"/>
    <w:rsid w:val="00AF7DF6"/>
    <w:rsid w:val="00B00D30"/>
    <w:rsid w:val="00B0105E"/>
    <w:rsid w:val="00B01444"/>
    <w:rsid w:val="00B030F3"/>
    <w:rsid w:val="00B033E5"/>
    <w:rsid w:val="00B03A63"/>
    <w:rsid w:val="00B0566D"/>
    <w:rsid w:val="00B06A8B"/>
    <w:rsid w:val="00B0730F"/>
    <w:rsid w:val="00B11415"/>
    <w:rsid w:val="00B114B7"/>
    <w:rsid w:val="00B11A82"/>
    <w:rsid w:val="00B129A4"/>
    <w:rsid w:val="00B162C2"/>
    <w:rsid w:val="00B17BAA"/>
    <w:rsid w:val="00B201A4"/>
    <w:rsid w:val="00B201D1"/>
    <w:rsid w:val="00B210AA"/>
    <w:rsid w:val="00B211A4"/>
    <w:rsid w:val="00B213A6"/>
    <w:rsid w:val="00B235B0"/>
    <w:rsid w:val="00B23775"/>
    <w:rsid w:val="00B237DA"/>
    <w:rsid w:val="00B2401E"/>
    <w:rsid w:val="00B24570"/>
    <w:rsid w:val="00B2476A"/>
    <w:rsid w:val="00B24DF6"/>
    <w:rsid w:val="00B25027"/>
    <w:rsid w:val="00B25D63"/>
    <w:rsid w:val="00B26C0A"/>
    <w:rsid w:val="00B27A61"/>
    <w:rsid w:val="00B27FF9"/>
    <w:rsid w:val="00B31A2E"/>
    <w:rsid w:val="00B3280B"/>
    <w:rsid w:val="00B34016"/>
    <w:rsid w:val="00B349AB"/>
    <w:rsid w:val="00B34FE2"/>
    <w:rsid w:val="00B35166"/>
    <w:rsid w:val="00B357D8"/>
    <w:rsid w:val="00B360F4"/>
    <w:rsid w:val="00B36A00"/>
    <w:rsid w:val="00B370CC"/>
    <w:rsid w:val="00B3792B"/>
    <w:rsid w:val="00B37BFC"/>
    <w:rsid w:val="00B40358"/>
    <w:rsid w:val="00B406D8"/>
    <w:rsid w:val="00B410BB"/>
    <w:rsid w:val="00B41614"/>
    <w:rsid w:val="00B42851"/>
    <w:rsid w:val="00B42F80"/>
    <w:rsid w:val="00B433E6"/>
    <w:rsid w:val="00B435CB"/>
    <w:rsid w:val="00B44CC5"/>
    <w:rsid w:val="00B45360"/>
    <w:rsid w:val="00B45CFF"/>
    <w:rsid w:val="00B463F2"/>
    <w:rsid w:val="00B465EC"/>
    <w:rsid w:val="00B46DF8"/>
    <w:rsid w:val="00B47AE7"/>
    <w:rsid w:val="00B47C56"/>
    <w:rsid w:val="00B505C8"/>
    <w:rsid w:val="00B50DB8"/>
    <w:rsid w:val="00B52441"/>
    <w:rsid w:val="00B526B7"/>
    <w:rsid w:val="00B53409"/>
    <w:rsid w:val="00B5362D"/>
    <w:rsid w:val="00B53654"/>
    <w:rsid w:val="00B5370E"/>
    <w:rsid w:val="00B53905"/>
    <w:rsid w:val="00B53B26"/>
    <w:rsid w:val="00B546DB"/>
    <w:rsid w:val="00B54967"/>
    <w:rsid w:val="00B54B5B"/>
    <w:rsid w:val="00B5562E"/>
    <w:rsid w:val="00B5577C"/>
    <w:rsid w:val="00B55862"/>
    <w:rsid w:val="00B55B57"/>
    <w:rsid w:val="00B55D65"/>
    <w:rsid w:val="00B56305"/>
    <w:rsid w:val="00B57000"/>
    <w:rsid w:val="00B57C22"/>
    <w:rsid w:val="00B57C74"/>
    <w:rsid w:val="00B60939"/>
    <w:rsid w:val="00B60AFD"/>
    <w:rsid w:val="00B62715"/>
    <w:rsid w:val="00B63261"/>
    <w:rsid w:val="00B65405"/>
    <w:rsid w:val="00B65611"/>
    <w:rsid w:val="00B661F2"/>
    <w:rsid w:val="00B66250"/>
    <w:rsid w:val="00B66646"/>
    <w:rsid w:val="00B703A5"/>
    <w:rsid w:val="00B70E8E"/>
    <w:rsid w:val="00B71947"/>
    <w:rsid w:val="00B72D81"/>
    <w:rsid w:val="00B74C5E"/>
    <w:rsid w:val="00B76697"/>
    <w:rsid w:val="00B76C92"/>
    <w:rsid w:val="00B77398"/>
    <w:rsid w:val="00B80EFD"/>
    <w:rsid w:val="00B80FE1"/>
    <w:rsid w:val="00B818A4"/>
    <w:rsid w:val="00B822EA"/>
    <w:rsid w:val="00B82FFA"/>
    <w:rsid w:val="00B833E9"/>
    <w:rsid w:val="00B83739"/>
    <w:rsid w:val="00B83878"/>
    <w:rsid w:val="00B83977"/>
    <w:rsid w:val="00B84117"/>
    <w:rsid w:val="00B858F0"/>
    <w:rsid w:val="00B85AA2"/>
    <w:rsid w:val="00B8649C"/>
    <w:rsid w:val="00B8695D"/>
    <w:rsid w:val="00B86E7E"/>
    <w:rsid w:val="00B87F0A"/>
    <w:rsid w:val="00B90E59"/>
    <w:rsid w:val="00B92D0B"/>
    <w:rsid w:val="00B935ED"/>
    <w:rsid w:val="00B94945"/>
    <w:rsid w:val="00B94DD6"/>
    <w:rsid w:val="00B95886"/>
    <w:rsid w:val="00B969B8"/>
    <w:rsid w:val="00B9751B"/>
    <w:rsid w:val="00B97549"/>
    <w:rsid w:val="00B97CE4"/>
    <w:rsid w:val="00BA0BAE"/>
    <w:rsid w:val="00BA2044"/>
    <w:rsid w:val="00BA322D"/>
    <w:rsid w:val="00BA3C0F"/>
    <w:rsid w:val="00BA5253"/>
    <w:rsid w:val="00BA63FA"/>
    <w:rsid w:val="00BA7150"/>
    <w:rsid w:val="00BB00B3"/>
    <w:rsid w:val="00BB02E4"/>
    <w:rsid w:val="00BB0BDD"/>
    <w:rsid w:val="00BB0E8D"/>
    <w:rsid w:val="00BB176C"/>
    <w:rsid w:val="00BB17A7"/>
    <w:rsid w:val="00BB17E0"/>
    <w:rsid w:val="00BB2A73"/>
    <w:rsid w:val="00BB3A45"/>
    <w:rsid w:val="00BB3AB1"/>
    <w:rsid w:val="00BB49EE"/>
    <w:rsid w:val="00BB4ACC"/>
    <w:rsid w:val="00BB575A"/>
    <w:rsid w:val="00BB6DFA"/>
    <w:rsid w:val="00BB6E89"/>
    <w:rsid w:val="00BB703E"/>
    <w:rsid w:val="00BB732D"/>
    <w:rsid w:val="00BB7405"/>
    <w:rsid w:val="00BB7C26"/>
    <w:rsid w:val="00BC0A02"/>
    <w:rsid w:val="00BC3631"/>
    <w:rsid w:val="00BC4248"/>
    <w:rsid w:val="00BC591F"/>
    <w:rsid w:val="00BC6084"/>
    <w:rsid w:val="00BC6DE4"/>
    <w:rsid w:val="00BC76E3"/>
    <w:rsid w:val="00BC79F7"/>
    <w:rsid w:val="00BC7D6D"/>
    <w:rsid w:val="00BD2001"/>
    <w:rsid w:val="00BD2108"/>
    <w:rsid w:val="00BD258B"/>
    <w:rsid w:val="00BD31C0"/>
    <w:rsid w:val="00BD3A4A"/>
    <w:rsid w:val="00BD3BC6"/>
    <w:rsid w:val="00BD401D"/>
    <w:rsid w:val="00BD5FE1"/>
    <w:rsid w:val="00BD68A3"/>
    <w:rsid w:val="00BD6938"/>
    <w:rsid w:val="00BD6CF3"/>
    <w:rsid w:val="00BD6FFA"/>
    <w:rsid w:val="00BD771F"/>
    <w:rsid w:val="00BD7A2D"/>
    <w:rsid w:val="00BD7F72"/>
    <w:rsid w:val="00BE0579"/>
    <w:rsid w:val="00BE0ECA"/>
    <w:rsid w:val="00BE10F4"/>
    <w:rsid w:val="00BE15AE"/>
    <w:rsid w:val="00BE2180"/>
    <w:rsid w:val="00BE21F2"/>
    <w:rsid w:val="00BE2234"/>
    <w:rsid w:val="00BE24CE"/>
    <w:rsid w:val="00BE2550"/>
    <w:rsid w:val="00BE2F86"/>
    <w:rsid w:val="00BE3294"/>
    <w:rsid w:val="00BE4275"/>
    <w:rsid w:val="00BE466A"/>
    <w:rsid w:val="00BE54B7"/>
    <w:rsid w:val="00BE5ACA"/>
    <w:rsid w:val="00BE6580"/>
    <w:rsid w:val="00BE7508"/>
    <w:rsid w:val="00BF03E1"/>
    <w:rsid w:val="00BF06AE"/>
    <w:rsid w:val="00BF0F95"/>
    <w:rsid w:val="00BF1A3B"/>
    <w:rsid w:val="00BF2433"/>
    <w:rsid w:val="00BF2E6E"/>
    <w:rsid w:val="00BF43F9"/>
    <w:rsid w:val="00BF4405"/>
    <w:rsid w:val="00BF55BB"/>
    <w:rsid w:val="00BF61C9"/>
    <w:rsid w:val="00BF6C94"/>
    <w:rsid w:val="00BF7E23"/>
    <w:rsid w:val="00C00424"/>
    <w:rsid w:val="00C00651"/>
    <w:rsid w:val="00C00BB0"/>
    <w:rsid w:val="00C041C9"/>
    <w:rsid w:val="00C042D3"/>
    <w:rsid w:val="00C053E7"/>
    <w:rsid w:val="00C05FAA"/>
    <w:rsid w:val="00C0642F"/>
    <w:rsid w:val="00C069DB"/>
    <w:rsid w:val="00C07098"/>
    <w:rsid w:val="00C07CC6"/>
    <w:rsid w:val="00C11161"/>
    <w:rsid w:val="00C1179F"/>
    <w:rsid w:val="00C122B6"/>
    <w:rsid w:val="00C127B9"/>
    <w:rsid w:val="00C128FA"/>
    <w:rsid w:val="00C12989"/>
    <w:rsid w:val="00C12C14"/>
    <w:rsid w:val="00C1317F"/>
    <w:rsid w:val="00C136E7"/>
    <w:rsid w:val="00C13A30"/>
    <w:rsid w:val="00C15F04"/>
    <w:rsid w:val="00C16D79"/>
    <w:rsid w:val="00C1796B"/>
    <w:rsid w:val="00C179B3"/>
    <w:rsid w:val="00C17E3F"/>
    <w:rsid w:val="00C17F4C"/>
    <w:rsid w:val="00C200AA"/>
    <w:rsid w:val="00C213F5"/>
    <w:rsid w:val="00C22090"/>
    <w:rsid w:val="00C221B6"/>
    <w:rsid w:val="00C237ED"/>
    <w:rsid w:val="00C2386B"/>
    <w:rsid w:val="00C2433B"/>
    <w:rsid w:val="00C24632"/>
    <w:rsid w:val="00C25418"/>
    <w:rsid w:val="00C2595B"/>
    <w:rsid w:val="00C25D9C"/>
    <w:rsid w:val="00C26884"/>
    <w:rsid w:val="00C26BE5"/>
    <w:rsid w:val="00C2778B"/>
    <w:rsid w:val="00C311B4"/>
    <w:rsid w:val="00C31649"/>
    <w:rsid w:val="00C3290C"/>
    <w:rsid w:val="00C3434C"/>
    <w:rsid w:val="00C364EE"/>
    <w:rsid w:val="00C37380"/>
    <w:rsid w:val="00C40385"/>
    <w:rsid w:val="00C40910"/>
    <w:rsid w:val="00C41768"/>
    <w:rsid w:val="00C435D3"/>
    <w:rsid w:val="00C43BD7"/>
    <w:rsid w:val="00C43F55"/>
    <w:rsid w:val="00C446EC"/>
    <w:rsid w:val="00C450FF"/>
    <w:rsid w:val="00C4513A"/>
    <w:rsid w:val="00C475AA"/>
    <w:rsid w:val="00C5031B"/>
    <w:rsid w:val="00C51AF8"/>
    <w:rsid w:val="00C527C7"/>
    <w:rsid w:val="00C5349D"/>
    <w:rsid w:val="00C53C6D"/>
    <w:rsid w:val="00C53C98"/>
    <w:rsid w:val="00C54438"/>
    <w:rsid w:val="00C5543B"/>
    <w:rsid w:val="00C557D1"/>
    <w:rsid w:val="00C559F2"/>
    <w:rsid w:val="00C565ED"/>
    <w:rsid w:val="00C56FCF"/>
    <w:rsid w:val="00C57B6C"/>
    <w:rsid w:val="00C61A59"/>
    <w:rsid w:val="00C628A6"/>
    <w:rsid w:val="00C62E32"/>
    <w:rsid w:val="00C631EE"/>
    <w:rsid w:val="00C6340C"/>
    <w:rsid w:val="00C64344"/>
    <w:rsid w:val="00C64424"/>
    <w:rsid w:val="00C6452A"/>
    <w:rsid w:val="00C65108"/>
    <w:rsid w:val="00C6544B"/>
    <w:rsid w:val="00C654EA"/>
    <w:rsid w:val="00C65576"/>
    <w:rsid w:val="00C66165"/>
    <w:rsid w:val="00C6647C"/>
    <w:rsid w:val="00C7060A"/>
    <w:rsid w:val="00C7151A"/>
    <w:rsid w:val="00C717E3"/>
    <w:rsid w:val="00C71F60"/>
    <w:rsid w:val="00C72241"/>
    <w:rsid w:val="00C73D6D"/>
    <w:rsid w:val="00C750C8"/>
    <w:rsid w:val="00C750CB"/>
    <w:rsid w:val="00C7560F"/>
    <w:rsid w:val="00C75E9E"/>
    <w:rsid w:val="00C766B2"/>
    <w:rsid w:val="00C76F54"/>
    <w:rsid w:val="00C80A0E"/>
    <w:rsid w:val="00C80A74"/>
    <w:rsid w:val="00C80DF8"/>
    <w:rsid w:val="00C81D86"/>
    <w:rsid w:val="00C8213F"/>
    <w:rsid w:val="00C8303F"/>
    <w:rsid w:val="00C85154"/>
    <w:rsid w:val="00C85A70"/>
    <w:rsid w:val="00C86C7E"/>
    <w:rsid w:val="00C87113"/>
    <w:rsid w:val="00C877F5"/>
    <w:rsid w:val="00C8797A"/>
    <w:rsid w:val="00C900B8"/>
    <w:rsid w:val="00C90197"/>
    <w:rsid w:val="00C90A7E"/>
    <w:rsid w:val="00C90C71"/>
    <w:rsid w:val="00C91189"/>
    <w:rsid w:val="00C91E3E"/>
    <w:rsid w:val="00C91FD1"/>
    <w:rsid w:val="00C931CF"/>
    <w:rsid w:val="00C938CF"/>
    <w:rsid w:val="00C93E59"/>
    <w:rsid w:val="00C94053"/>
    <w:rsid w:val="00C94ECA"/>
    <w:rsid w:val="00C9624D"/>
    <w:rsid w:val="00C96479"/>
    <w:rsid w:val="00C969DA"/>
    <w:rsid w:val="00C97EDB"/>
    <w:rsid w:val="00CA2C77"/>
    <w:rsid w:val="00CA3EEC"/>
    <w:rsid w:val="00CA4262"/>
    <w:rsid w:val="00CA444F"/>
    <w:rsid w:val="00CA4B17"/>
    <w:rsid w:val="00CA4F6B"/>
    <w:rsid w:val="00CA5245"/>
    <w:rsid w:val="00CA554A"/>
    <w:rsid w:val="00CA5ADF"/>
    <w:rsid w:val="00CA6777"/>
    <w:rsid w:val="00CA71F4"/>
    <w:rsid w:val="00CA72B1"/>
    <w:rsid w:val="00CA7AD4"/>
    <w:rsid w:val="00CA7B09"/>
    <w:rsid w:val="00CB01DF"/>
    <w:rsid w:val="00CB065F"/>
    <w:rsid w:val="00CB12A5"/>
    <w:rsid w:val="00CB1370"/>
    <w:rsid w:val="00CB1416"/>
    <w:rsid w:val="00CB1CAC"/>
    <w:rsid w:val="00CB2F2A"/>
    <w:rsid w:val="00CB550E"/>
    <w:rsid w:val="00CB5B1A"/>
    <w:rsid w:val="00CB6814"/>
    <w:rsid w:val="00CB6B22"/>
    <w:rsid w:val="00CB7F5F"/>
    <w:rsid w:val="00CC0EE6"/>
    <w:rsid w:val="00CC19E6"/>
    <w:rsid w:val="00CC1B39"/>
    <w:rsid w:val="00CC1BFA"/>
    <w:rsid w:val="00CC2E9F"/>
    <w:rsid w:val="00CC35EA"/>
    <w:rsid w:val="00CC36B4"/>
    <w:rsid w:val="00CC3848"/>
    <w:rsid w:val="00CC4227"/>
    <w:rsid w:val="00CC5B90"/>
    <w:rsid w:val="00CC67E7"/>
    <w:rsid w:val="00CC6D1B"/>
    <w:rsid w:val="00CC6D5E"/>
    <w:rsid w:val="00CC73F5"/>
    <w:rsid w:val="00CC759F"/>
    <w:rsid w:val="00CC7B4D"/>
    <w:rsid w:val="00CD0200"/>
    <w:rsid w:val="00CD02F5"/>
    <w:rsid w:val="00CD090E"/>
    <w:rsid w:val="00CD0F68"/>
    <w:rsid w:val="00CD10EB"/>
    <w:rsid w:val="00CD1690"/>
    <w:rsid w:val="00CD291B"/>
    <w:rsid w:val="00CD3F77"/>
    <w:rsid w:val="00CD48B1"/>
    <w:rsid w:val="00CD6059"/>
    <w:rsid w:val="00CD6ADC"/>
    <w:rsid w:val="00CD7193"/>
    <w:rsid w:val="00CD793C"/>
    <w:rsid w:val="00CD797B"/>
    <w:rsid w:val="00CE1439"/>
    <w:rsid w:val="00CE25F1"/>
    <w:rsid w:val="00CE38C8"/>
    <w:rsid w:val="00CE4F12"/>
    <w:rsid w:val="00CE524F"/>
    <w:rsid w:val="00CE58CC"/>
    <w:rsid w:val="00CE6274"/>
    <w:rsid w:val="00CE77B6"/>
    <w:rsid w:val="00CF0DD9"/>
    <w:rsid w:val="00CF1E03"/>
    <w:rsid w:val="00CF26C5"/>
    <w:rsid w:val="00CF2B8D"/>
    <w:rsid w:val="00CF3657"/>
    <w:rsid w:val="00CF3A1B"/>
    <w:rsid w:val="00CF43FE"/>
    <w:rsid w:val="00CF456B"/>
    <w:rsid w:val="00CF4654"/>
    <w:rsid w:val="00CF57E4"/>
    <w:rsid w:val="00CF5A22"/>
    <w:rsid w:val="00CF71B8"/>
    <w:rsid w:val="00CF7C42"/>
    <w:rsid w:val="00D018F8"/>
    <w:rsid w:val="00D019D2"/>
    <w:rsid w:val="00D0262E"/>
    <w:rsid w:val="00D02C21"/>
    <w:rsid w:val="00D03679"/>
    <w:rsid w:val="00D05AEA"/>
    <w:rsid w:val="00D05E3D"/>
    <w:rsid w:val="00D05E7C"/>
    <w:rsid w:val="00D06139"/>
    <w:rsid w:val="00D064EA"/>
    <w:rsid w:val="00D100C5"/>
    <w:rsid w:val="00D1032A"/>
    <w:rsid w:val="00D10548"/>
    <w:rsid w:val="00D105F3"/>
    <w:rsid w:val="00D110BD"/>
    <w:rsid w:val="00D13675"/>
    <w:rsid w:val="00D13D17"/>
    <w:rsid w:val="00D141E1"/>
    <w:rsid w:val="00D15314"/>
    <w:rsid w:val="00D15B48"/>
    <w:rsid w:val="00D15DDB"/>
    <w:rsid w:val="00D17D6C"/>
    <w:rsid w:val="00D21500"/>
    <w:rsid w:val="00D2155B"/>
    <w:rsid w:val="00D22B56"/>
    <w:rsid w:val="00D23D11"/>
    <w:rsid w:val="00D2409C"/>
    <w:rsid w:val="00D244B6"/>
    <w:rsid w:val="00D25CB0"/>
    <w:rsid w:val="00D2754D"/>
    <w:rsid w:val="00D2787C"/>
    <w:rsid w:val="00D27B27"/>
    <w:rsid w:val="00D30B2E"/>
    <w:rsid w:val="00D30D5B"/>
    <w:rsid w:val="00D321D0"/>
    <w:rsid w:val="00D33BE9"/>
    <w:rsid w:val="00D33F93"/>
    <w:rsid w:val="00D355F0"/>
    <w:rsid w:val="00D357FF"/>
    <w:rsid w:val="00D37339"/>
    <w:rsid w:val="00D40FA4"/>
    <w:rsid w:val="00D410E4"/>
    <w:rsid w:val="00D424C7"/>
    <w:rsid w:val="00D4348B"/>
    <w:rsid w:val="00D438C1"/>
    <w:rsid w:val="00D43B2A"/>
    <w:rsid w:val="00D43CF1"/>
    <w:rsid w:val="00D43D83"/>
    <w:rsid w:val="00D45C74"/>
    <w:rsid w:val="00D45DFC"/>
    <w:rsid w:val="00D46F01"/>
    <w:rsid w:val="00D47575"/>
    <w:rsid w:val="00D50857"/>
    <w:rsid w:val="00D50E19"/>
    <w:rsid w:val="00D517F0"/>
    <w:rsid w:val="00D5243B"/>
    <w:rsid w:val="00D53109"/>
    <w:rsid w:val="00D533EC"/>
    <w:rsid w:val="00D54509"/>
    <w:rsid w:val="00D5557D"/>
    <w:rsid w:val="00D55F2D"/>
    <w:rsid w:val="00D56A95"/>
    <w:rsid w:val="00D578ED"/>
    <w:rsid w:val="00D57EAE"/>
    <w:rsid w:val="00D604FE"/>
    <w:rsid w:val="00D6076E"/>
    <w:rsid w:val="00D61155"/>
    <w:rsid w:val="00D626AD"/>
    <w:rsid w:val="00D639D8"/>
    <w:rsid w:val="00D63B8E"/>
    <w:rsid w:val="00D63CC3"/>
    <w:rsid w:val="00D649F3"/>
    <w:rsid w:val="00D70F16"/>
    <w:rsid w:val="00D72147"/>
    <w:rsid w:val="00D72506"/>
    <w:rsid w:val="00D72617"/>
    <w:rsid w:val="00D72A42"/>
    <w:rsid w:val="00D72CA5"/>
    <w:rsid w:val="00D72F57"/>
    <w:rsid w:val="00D735E5"/>
    <w:rsid w:val="00D73B2A"/>
    <w:rsid w:val="00D73E8C"/>
    <w:rsid w:val="00D73FC6"/>
    <w:rsid w:val="00D74A96"/>
    <w:rsid w:val="00D75B5A"/>
    <w:rsid w:val="00D7675E"/>
    <w:rsid w:val="00D76A44"/>
    <w:rsid w:val="00D80210"/>
    <w:rsid w:val="00D8046E"/>
    <w:rsid w:val="00D809D3"/>
    <w:rsid w:val="00D815EF"/>
    <w:rsid w:val="00D81949"/>
    <w:rsid w:val="00D81F26"/>
    <w:rsid w:val="00D822E2"/>
    <w:rsid w:val="00D83838"/>
    <w:rsid w:val="00D838FA"/>
    <w:rsid w:val="00D84359"/>
    <w:rsid w:val="00D843F2"/>
    <w:rsid w:val="00D85161"/>
    <w:rsid w:val="00D8550D"/>
    <w:rsid w:val="00D85900"/>
    <w:rsid w:val="00D85E70"/>
    <w:rsid w:val="00D86231"/>
    <w:rsid w:val="00D87072"/>
    <w:rsid w:val="00D87FEB"/>
    <w:rsid w:val="00D912AB"/>
    <w:rsid w:val="00D91923"/>
    <w:rsid w:val="00D9195E"/>
    <w:rsid w:val="00D93753"/>
    <w:rsid w:val="00D943AA"/>
    <w:rsid w:val="00D9463A"/>
    <w:rsid w:val="00D947D6"/>
    <w:rsid w:val="00D949E0"/>
    <w:rsid w:val="00D9567D"/>
    <w:rsid w:val="00D9629C"/>
    <w:rsid w:val="00D96679"/>
    <w:rsid w:val="00D96761"/>
    <w:rsid w:val="00D96E04"/>
    <w:rsid w:val="00DA068B"/>
    <w:rsid w:val="00DA0ABB"/>
    <w:rsid w:val="00DA1466"/>
    <w:rsid w:val="00DA3167"/>
    <w:rsid w:val="00DA4DC3"/>
    <w:rsid w:val="00DA545C"/>
    <w:rsid w:val="00DA6B6C"/>
    <w:rsid w:val="00DA77A5"/>
    <w:rsid w:val="00DB0020"/>
    <w:rsid w:val="00DB0673"/>
    <w:rsid w:val="00DB0E36"/>
    <w:rsid w:val="00DB2022"/>
    <w:rsid w:val="00DB23DC"/>
    <w:rsid w:val="00DB3696"/>
    <w:rsid w:val="00DB3921"/>
    <w:rsid w:val="00DB3DBF"/>
    <w:rsid w:val="00DB484F"/>
    <w:rsid w:val="00DB6569"/>
    <w:rsid w:val="00DB6AAB"/>
    <w:rsid w:val="00DB71A2"/>
    <w:rsid w:val="00DB7FCF"/>
    <w:rsid w:val="00DC04F6"/>
    <w:rsid w:val="00DC0690"/>
    <w:rsid w:val="00DC09C9"/>
    <w:rsid w:val="00DC1249"/>
    <w:rsid w:val="00DC1332"/>
    <w:rsid w:val="00DC1D65"/>
    <w:rsid w:val="00DC2F67"/>
    <w:rsid w:val="00DC34A1"/>
    <w:rsid w:val="00DC3590"/>
    <w:rsid w:val="00DC3C57"/>
    <w:rsid w:val="00DC41EC"/>
    <w:rsid w:val="00DC52DD"/>
    <w:rsid w:val="00DC5501"/>
    <w:rsid w:val="00DC5DE4"/>
    <w:rsid w:val="00DC7154"/>
    <w:rsid w:val="00DC7541"/>
    <w:rsid w:val="00DC7E8A"/>
    <w:rsid w:val="00DD03E3"/>
    <w:rsid w:val="00DD0F78"/>
    <w:rsid w:val="00DD1091"/>
    <w:rsid w:val="00DD1817"/>
    <w:rsid w:val="00DD1A5F"/>
    <w:rsid w:val="00DD1D47"/>
    <w:rsid w:val="00DD273C"/>
    <w:rsid w:val="00DD3F28"/>
    <w:rsid w:val="00DD3F35"/>
    <w:rsid w:val="00DD4446"/>
    <w:rsid w:val="00DD4537"/>
    <w:rsid w:val="00DD4E15"/>
    <w:rsid w:val="00DD5199"/>
    <w:rsid w:val="00DD6066"/>
    <w:rsid w:val="00DD62E0"/>
    <w:rsid w:val="00DD6D66"/>
    <w:rsid w:val="00DD6F57"/>
    <w:rsid w:val="00DE1626"/>
    <w:rsid w:val="00DE2304"/>
    <w:rsid w:val="00DE25E7"/>
    <w:rsid w:val="00DE3138"/>
    <w:rsid w:val="00DE3730"/>
    <w:rsid w:val="00DE37B9"/>
    <w:rsid w:val="00DE37F8"/>
    <w:rsid w:val="00DE38E9"/>
    <w:rsid w:val="00DE4273"/>
    <w:rsid w:val="00DE4FCB"/>
    <w:rsid w:val="00DE5D07"/>
    <w:rsid w:val="00DE7140"/>
    <w:rsid w:val="00DE72A7"/>
    <w:rsid w:val="00DE7832"/>
    <w:rsid w:val="00DE7B0F"/>
    <w:rsid w:val="00DE7E71"/>
    <w:rsid w:val="00DF14A5"/>
    <w:rsid w:val="00DF1778"/>
    <w:rsid w:val="00DF18FC"/>
    <w:rsid w:val="00DF1C3D"/>
    <w:rsid w:val="00DF2E5E"/>
    <w:rsid w:val="00DF3330"/>
    <w:rsid w:val="00DF3552"/>
    <w:rsid w:val="00DF4F82"/>
    <w:rsid w:val="00DF56D9"/>
    <w:rsid w:val="00DF5D2B"/>
    <w:rsid w:val="00DF6276"/>
    <w:rsid w:val="00DF6341"/>
    <w:rsid w:val="00DF767C"/>
    <w:rsid w:val="00E00E8E"/>
    <w:rsid w:val="00E01C07"/>
    <w:rsid w:val="00E023A5"/>
    <w:rsid w:val="00E031DF"/>
    <w:rsid w:val="00E03266"/>
    <w:rsid w:val="00E03EF7"/>
    <w:rsid w:val="00E04A50"/>
    <w:rsid w:val="00E05630"/>
    <w:rsid w:val="00E05A1C"/>
    <w:rsid w:val="00E05CDE"/>
    <w:rsid w:val="00E06061"/>
    <w:rsid w:val="00E06A05"/>
    <w:rsid w:val="00E06DBB"/>
    <w:rsid w:val="00E06FEC"/>
    <w:rsid w:val="00E0725E"/>
    <w:rsid w:val="00E07A55"/>
    <w:rsid w:val="00E10149"/>
    <w:rsid w:val="00E11340"/>
    <w:rsid w:val="00E122A1"/>
    <w:rsid w:val="00E131F4"/>
    <w:rsid w:val="00E13555"/>
    <w:rsid w:val="00E13F92"/>
    <w:rsid w:val="00E15BFB"/>
    <w:rsid w:val="00E16372"/>
    <w:rsid w:val="00E1686F"/>
    <w:rsid w:val="00E16AD8"/>
    <w:rsid w:val="00E1771A"/>
    <w:rsid w:val="00E17954"/>
    <w:rsid w:val="00E17FFA"/>
    <w:rsid w:val="00E20037"/>
    <w:rsid w:val="00E20E4D"/>
    <w:rsid w:val="00E20ED6"/>
    <w:rsid w:val="00E21358"/>
    <w:rsid w:val="00E2249B"/>
    <w:rsid w:val="00E22A0D"/>
    <w:rsid w:val="00E23496"/>
    <w:rsid w:val="00E244F6"/>
    <w:rsid w:val="00E258DB"/>
    <w:rsid w:val="00E26649"/>
    <w:rsid w:val="00E26CFF"/>
    <w:rsid w:val="00E2747A"/>
    <w:rsid w:val="00E2771E"/>
    <w:rsid w:val="00E27F18"/>
    <w:rsid w:val="00E311EF"/>
    <w:rsid w:val="00E314A5"/>
    <w:rsid w:val="00E32180"/>
    <w:rsid w:val="00E321A4"/>
    <w:rsid w:val="00E32429"/>
    <w:rsid w:val="00E32F0A"/>
    <w:rsid w:val="00E3369E"/>
    <w:rsid w:val="00E33AB7"/>
    <w:rsid w:val="00E34834"/>
    <w:rsid w:val="00E34948"/>
    <w:rsid w:val="00E3675E"/>
    <w:rsid w:val="00E36EF3"/>
    <w:rsid w:val="00E3732C"/>
    <w:rsid w:val="00E37569"/>
    <w:rsid w:val="00E37845"/>
    <w:rsid w:val="00E401B2"/>
    <w:rsid w:val="00E41377"/>
    <w:rsid w:val="00E41E30"/>
    <w:rsid w:val="00E429BB"/>
    <w:rsid w:val="00E42F73"/>
    <w:rsid w:val="00E43633"/>
    <w:rsid w:val="00E43D70"/>
    <w:rsid w:val="00E450C2"/>
    <w:rsid w:val="00E45230"/>
    <w:rsid w:val="00E452FB"/>
    <w:rsid w:val="00E45F75"/>
    <w:rsid w:val="00E4603B"/>
    <w:rsid w:val="00E466F3"/>
    <w:rsid w:val="00E46D09"/>
    <w:rsid w:val="00E47B2C"/>
    <w:rsid w:val="00E50C51"/>
    <w:rsid w:val="00E51560"/>
    <w:rsid w:val="00E51719"/>
    <w:rsid w:val="00E51821"/>
    <w:rsid w:val="00E53735"/>
    <w:rsid w:val="00E53C50"/>
    <w:rsid w:val="00E53FC8"/>
    <w:rsid w:val="00E54347"/>
    <w:rsid w:val="00E545DE"/>
    <w:rsid w:val="00E553B7"/>
    <w:rsid w:val="00E55424"/>
    <w:rsid w:val="00E55915"/>
    <w:rsid w:val="00E55BB5"/>
    <w:rsid w:val="00E56408"/>
    <w:rsid w:val="00E5663D"/>
    <w:rsid w:val="00E56E8F"/>
    <w:rsid w:val="00E6027E"/>
    <w:rsid w:val="00E611DF"/>
    <w:rsid w:val="00E65E79"/>
    <w:rsid w:val="00E66BA2"/>
    <w:rsid w:val="00E66F22"/>
    <w:rsid w:val="00E67346"/>
    <w:rsid w:val="00E67416"/>
    <w:rsid w:val="00E7019D"/>
    <w:rsid w:val="00E7062D"/>
    <w:rsid w:val="00E70832"/>
    <w:rsid w:val="00E70B63"/>
    <w:rsid w:val="00E70EC0"/>
    <w:rsid w:val="00E715DE"/>
    <w:rsid w:val="00E718B6"/>
    <w:rsid w:val="00E723BA"/>
    <w:rsid w:val="00E72BE4"/>
    <w:rsid w:val="00E73581"/>
    <w:rsid w:val="00E82123"/>
    <w:rsid w:val="00E823F3"/>
    <w:rsid w:val="00E833F7"/>
    <w:rsid w:val="00E8340C"/>
    <w:rsid w:val="00E83BDF"/>
    <w:rsid w:val="00E83DB4"/>
    <w:rsid w:val="00E84A98"/>
    <w:rsid w:val="00E85204"/>
    <w:rsid w:val="00E86BA8"/>
    <w:rsid w:val="00E86FCC"/>
    <w:rsid w:val="00E87173"/>
    <w:rsid w:val="00E87A1D"/>
    <w:rsid w:val="00E87BB3"/>
    <w:rsid w:val="00E907BD"/>
    <w:rsid w:val="00E9094A"/>
    <w:rsid w:val="00E91D35"/>
    <w:rsid w:val="00E9233C"/>
    <w:rsid w:val="00E926A5"/>
    <w:rsid w:val="00E962CC"/>
    <w:rsid w:val="00E96376"/>
    <w:rsid w:val="00E96A0E"/>
    <w:rsid w:val="00EA17C3"/>
    <w:rsid w:val="00EA2249"/>
    <w:rsid w:val="00EA2CAA"/>
    <w:rsid w:val="00EA3143"/>
    <w:rsid w:val="00EA332F"/>
    <w:rsid w:val="00EA3864"/>
    <w:rsid w:val="00EA3D3A"/>
    <w:rsid w:val="00EA4249"/>
    <w:rsid w:val="00EA6296"/>
    <w:rsid w:val="00EA6B97"/>
    <w:rsid w:val="00EA74F5"/>
    <w:rsid w:val="00EA7F1C"/>
    <w:rsid w:val="00EB15B6"/>
    <w:rsid w:val="00EB2010"/>
    <w:rsid w:val="00EB2407"/>
    <w:rsid w:val="00EB3D06"/>
    <w:rsid w:val="00EB4916"/>
    <w:rsid w:val="00EB538F"/>
    <w:rsid w:val="00EB5C17"/>
    <w:rsid w:val="00EB6518"/>
    <w:rsid w:val="00EB7850"/>
    <w:rsid w:val="00EB7F0E"/>
    <w:rsid w:val="00EC00C9"/>
    <w:rsid w:val="00EC0DD9"/>
    <w:rsid w:val="00EC0F97"/>
    <w:rsid w:val="00EC2649"/>
    <w:rsid w:val="00EC29A8"/>
    <w:rsid w:val="00EC31ED"/>
    <w:rsid w:val="00EC37B6"/>
    <w:rsid w:val="00EC4AC6"/>
    <w:rsid w:val="00EC5836"/>
    <w:rsid w:val="00EC688C"/>
    <w:rsid w:val="00EC73DE"/>
    <w:rsid w:val="00EC7FEF"/>
    <w:rsid w:val="00ED05C2"/>
    <w:rsid w:val="00ED0CA5"/>
    <w:rsid w:val="00ED12E3"/>
    <w:rsid w:val="00ED19D0"/>
    <w:rsid w:val="00ED27E2"/>
    <w:rsid w:val="00ED4390"/>
    <w:rsid w:val="00ED4B04"/>
    <w:rsid w:val="00ED57EA"/>
    <w:rsid w:val="00ED5BD4"/>
    <w:rsid w:val="00ED5D90"/>
    <w:rsid w:val="00ED7C60"/>
    <w:rsid w:val="00EE07D3"/>
    <w:rsid w:val="00EE0CD0"/>
    <w:rsid w:val="00EE12A9"/>
    <w:rsid w:val="00EE1996"/>
    <w:rsid w:val="00EE1C01"/>
    <w:rsid w:val="00EE1CC9"/>
    <w:rsid w:val="00EE22AF"/>
    <w:rsid w:val="00EE2673"/>
    <w:rsid w:val="00EE26AC"/>
    <w:rsid w:val="00EE26E7"/>
    <w:rsid w:val="00EE45AE"/>
    <w:rsid w:val="00EE4E6D"/>
    <w:rsid w:val="00EE4EFB"/>
    <w:rsid w:val="00EE67DE"/>
    <w:rsid w:val="00EF0171"/>
    <w:rsid w:val="00EF0A16"/>
    <w:rsid w:val="00EF1B25"/>
    <w:rsid w:val="00EF1DA0"/>
    <w:rsid w:val="00EF45C5"/>
    <w:rsid w:val="00EF4747"/>
    <w:rsid w:val="00EF4803"/>
    <w:rsid w:val="00EF4BF8"/>
    <w:rsid w:val="00EF5FA2"/>
    <w:rsid w:val="00EF5FD0"/>
    <w:rsid w:val="00EF7812"/>
    <w:rsid w:val="00F00EA5"/>
    <w:rsid w:val="00F02253"/>
    <w:rsid w:val="00F0247F"/>
    <w:rsid w:val="00F03530"/>
    <w:rsid w:val="00F03C2E"/>
    <w:rsid w:val="00F03F4C"/>
    <w:rsid w:val="00F04A66"/>
    <w:rsid w:val="00F04B4B"/>
    <w:rsid w:val="00F0516C"/>
    <w:rsid w:val="00F05906"/>
    <w:rsid w:val="00F05AA3"/>
    <w:rsid w:val="00F063C7"/>
    <w:rsid w:val="00F067A2"/>
    <w:rsid w:val="00F0765B"/>
    <w:rsid w:val="00F07B9E"/>
    <w:rsid w:val="00F1116F"/>
    <w:rsid w:val="00F115C5"/>
    <w:rsid w:val="00F1263A"/>
    <w:rsid w:val="00F139C5"/>
    <w:rsid w:val="00F15B77"/>
    <w:rsid w:val="00F16347"/>
    <w:rsid w:val="00F209A9"/>
    <w:rsid w:val="00F21236"/>
    <w:rsid w:val="00F21C0E"/>
    <w:rsid w:val="00F225DF"/>
    <w:rsid w:val="00F23020"/>
    <w:rsid w:val="00F233C7"/>
    <w:rsid w:val="00F239DF"/>
    <w:rsid w:val="00F24204"/>
    <w:rsid w:val="00F24261"/>
    <w:rsid w:val="00F24837"/>
    <w:rsid w:val="00F24BFA"/>
    <w:rsid w:val="00F2575F"/>
    <w:rsid w:val="00F26DA3"/>
    <w:rsid w:val="00F27565"/>
    <w:rsid w:val="00F27EFE"/>
    <w:rsid w:val="00F310D4"/>
    <w:rsid w:val="00F314AF"/>
    <w:rsid w:val="00F31BE6"/>
    <w:rsid w:val="00F31D45"/>
    <w:rsid w:val="00F31D5A"/>
    <w:rsid w:val="00F324B0"/>
    <w:rsid w:val="00F33940"/>
    <w:rsid w:val="00F33975"/>
    <w:rsid w:val="00F33DE9"/>
    <w:rsid w:val="00F33EC3"/>
    <w:rsid w:val="00F34140"/>
    <w:rsid w:val="00F34C8D"/>
    <w:rsid w:val="00F34F0D"/>
    <w:rsid w:val="00F35E6D"/>
    <w:rsid w:val="00F3619A"/>
    <w:rsid w:val="00F37172"/>
    <w:rsid w:val="00F375DF"/>
    <w:rsid w:val="00F40342"/>
    <w:rsid w:val="00F40AAA"/>
    <w:rsid w:val="00F40BA7"/>
    <w:rsid w:val="00F40F9D"/>
    <w:rsid w:val="00F41ACD"/>
    <w:rsid w:val="00F42708"/>
    <w:rsid w:val="00F42C4C"/>
    <w:rsid w:val="00F436CE"/>
    <w:rsid w:val="00F448FD"/>
    <w:rsid w:val="00F464E6"/>
    <w:rsid w:val="00F46530"/>
    <w:rsid w:val="00F465A3"/>
    <w:rsid w:val="00F46CB6"/>
    <w:rsid w:val="00F4756D"/>
    <w:rsid w:val="00F47DE8"/>
    <w:rsid w:val="00F50188"/>
    <w:rsid w:val="00F51514"/>
    <w:rsid w:val="00F516A3"/>
    <w:rsid w:val="00F51E46"/>
    <w:rsid w:val="00F53462"/>
    <w:rsid w:val="00F53B81"/>
    <w:rsid w:val="00F542C1"/>
    <w:rsid w:val="00F548E3"/>
    <w:rsid w:val="00F54BA0"/>
    <w:rsid w:val="00F550E3"/>
    <w:rsid w:val="00F55403"/>
    <w:rsid w:val="00F55E73"/>
    <w:rsid w:val="00F55EDA"/>
    <w:rsid w:val="00F56C80"/>
    <w:rsid w:val="00F57303"/>
    <w:rsid w:val="00F57B75"/>
    <w:rsid w:val="00F60033"/>
    <w:rsid w:val="00F60092"/>
    <w:rsid w:val="00F60E61"/>
    <w:rsid w:val="00F61C18"/>
    <w:rsid w:val="00F63E99"/>
    <w:rsid w:val="00F646DE"/>
    <w:rsid w:val="00F649BD"/>
    <w:rsid w:val="00F6522F"/>
    <w:rsid w:val="00F65E97"/>
    <w:rsid w:val="00F65F4B"/>
    <w:rsid w:val="00F66013"/>
    <w:rsid w:val="00F66D3A"/>
    <w:rsid w:val="00F67A69"/>
    <w:rsid w:val="00F70033"/>
    <w:rsid w:val="00F7088B"/>
    <w:rsid w:val="00F70BFF"/>
    <w:rsid w:val="00F70C9D"/>
    <w:rsid w:val="00F71C3F"/>
    <w:rsid w:val="00F73E08"/>
    <w:rsid w:val="00F743E7"/>
    <w:rsid w:val="00F74CD9"/>
    <w:rsid w:val="00F75E61"/>
    <w:rsid w:val="00F75FA9"/>
    <w:rsid w:val="00F76E06"/>
    <w:rsid w:val="00F777A6"/>
    <w:rsid w:val="00F77851"/>
    <w:rsid w:val="00F80A7B"/>
    <w:rsid w:val="00F80CFB"/>
    <w:rsid w:val="00F80E5D"/>
    <w:rsid w:val="00F81E04"/>
    <w:rsid w:val="00F81E78"/>
    <w:rsid w:val="00F83256"/>
    <w:rsid w:val="00F83916"/>
    <w:rsid w:val="00F851CE"/>
    <w:rsid w:val="00F854FF"/>
    <w:rsid w:val="00F861ED"/>
    <w:rsid w:val="00F870C7"/>
    <w:rsid w:val="00F9035B"/>
    <w:rsid w:val="00F90AA6"/>
    <w:rsid w:val="00F90F9B"/>
    <w:rsid w:val="00F91219"/>
    <w:rsid w:val="00F91D93"/>
    <w:rsid w:val="00F92444"/>
    <w:rsid w:val="00F9290C"/>
    <w:rsid w:val="00F9393E"/>
    <w:rsid w:val="00F93BC9"/>
    <w:rsid w:val="00F94D1F"/>
    <w:rsid w:val="00F96FD0"/>
    <w:rsid w:val="00F97027"/>
    <w:rsid w:val="00F97A78"/>
    <w:rsid w:val="00F97A84"/>
    <w:rsid w:val="00F97B1E"/>
    <w:rsid w:val="00FA0B20"/>
    <w:rsid w:val="00FA11EB"/>
    <w:rsid w:val="00FA24E7"/>
    <w:rsid w:val="00FA2715"/>
    <w:rsid w:val="00FA29DA"/>
    <w:rsid w:val="00FA41A7"/>
    <w:rsid w:val="00FA4FF7"/>
    <w:rsid w:val="00FA53C1"/>
    <w:rsid w:val="00FA5654"/>
    <w:rsid w:val="00FA5AC5"/>
    <w:rsid w:val="00FA5EE6"/>
    <w:rsid w:val="00FA7449"/>
    <w:rsid w:val="00FA7956"/>
    <w:rsid w:val="00FB0186"/>
    <w:rsid w:val="00FB0824"/>
    <w:rsid w:val="00FB1C79"/>
    <w:rsid w:val="00FB1D8B"/>
    <w:rsid w:val="00FB1E02"/>
    <w:rsid w:val="00FB28E6"/>
    <w:rsid w:val="00FB2FCB"/>
    <w:rsid w:val="00FB4561"/>
    <w:rsid w:val="00FB4C9C"/>
    <w:rsid w:val="00FB53C9"/>
    <w:rsid w:val="00FB57AE"/>
    <w:rsid w:val="00FB59DF"/>
    <w:rsid w:val="00FB7C55"/>
    <w:rsid w:val="00FC06FE"/>
    <w:rsid w:val="00FC1074"/>
    <w:rsid w:val="00FC11B8"/>
    <w:rsid w:val="00FC1884"/>
    <w:rsid w:val="00FC2492"/>
    <w:rsid w:val="00FC355E"/>
    <w:rsid w:val="00FC371D"/>
    <w:rsid w:val="00FC394B"/>
    <w:rsid w:val="00FC3CFC"/>
    <w:rsid w:val="00FC5106"/>
    <w:rsid w:val="00FC5F0B"/>
    <w:rsid w:val="00FC6F2F"/>
    <w:rsid w:val="00FC7199"/>
    <w:rsid w:val="00FC7BD4"/>
    <w:rsid w:val="00FD2100"/>
    <w:rsid w:val="00FD436C"/>
    <w:rsid w:val="00FD446D"/>
    <w:rsid w:val="00FD4649"/>
    <w:rsid w:val="00FD4ED6"/>
    <w:rsid w:val="00FD4F2C"/>
    <w:rsid w:val="00FD5EB4"/>
    <w:rsid w:val="00FD6176"/>
    <w:rsid w:val="00FD6394"/>
    <w:rsid w:val="00FD6928"/>
    <w:rsid w:val="00FD70D6"/>
    <w:rsid w:val="00FE093F"/>
    <w:rsid w:val="00FE0D57"/>
    <w:rsid w:val="00FE0E6C"/>
    <w:rsid w:val="00FE1CDC"/>
    <w:rsid w:val="00FE2476"/>
    <w:rsid w:val="00FE3B00"/>
    <w:rsid w:val="00FE3E51"/>
    <w:rsid w:val="00FE4A7C"/>
    <w:rsid w:val="00FE70C3"/>
    <w:rsid w:val="00FF1802"/>
    <w:rsid w:val="00FF1A8B"/>
    <w:rsid w:val="00FF2AD9"/>
    <w:rsid w:val="00FF359F"/>
    <w:rsid w:val="00FF3DCF"/>
    <w:rsid w:val="00FF443A"/>
    <w:rsid w:val="00FF492C"/>
    <w:rsid w:val="00FF49F6"/>
    <w:rsid w:val="00FF4A21"/>
    <w:rsid w:val="00FF5AA3"/>
    <w:rsid w:val="00FF5AD8"/>
    <w:rsid w:val="00FF66CA"/>
    <w:rsid w:val="00FF6BBB"/>
    <w:rsid w:val="00FF7172"/>
    <w:rsid w:val="00FF71A5"/>
    <w:rsid w:val="273E022A"/>
    <w:rsid w:val="40063AFF"/>
    <w:rsid w:val="427BC440"/>
    <w:rsid w:val="462BFB93"/>
    <w:rsid w:val="704E5687"/>
    <w:rsid w:val="70521B6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F4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rsid w:val="00DB0020"/>
  </w:style>
  <w:style w:type="paragraph" w:customStyle="1" w:styleId="COMexecsummmainissuesbullets">
    <w:name w:val="COM exec summ main issues bullets"/>
    <w:basedOn w:val="ListParagraph"/>
    <w:link w:val="COMexecsummmainissuesbulletsChar"/>
    <w:rsid w:val="00023AB6"/>
    <w:pPr>
      <w:numPr>
        <w:numId w:val="4"/>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rsid w:val="00996EAA"/>
    <w:pPr>
      <w:keepNext/>
      <w:spacing w:after="240"/>
      <w:outlineLvl w:val="2"/>
    </w:pPr>
    <w:rPr>
      <w:b/>
      <w:iCs/>
      <w:sz w:val="28"/>
    </w:rPr>
  </w:style>
  <w:style w:type="paragraph" w:styleId="ListParagraph">
    <w:name w:val="List Paragraph"/>
    <w:aliases w:val="Body Text Bullet Points,Numbered para,BulletPoints,Styl moj,Akapit z listą1,Akapit z listą11,Bullets Points,List Paragraph1,Bullet1,Footnote,Bullet point,List Paragraph11,Recommendation,ES Paragraph,PBAC ES Paragraph,PBAC normal points,L"/>
    <w:next w:val="ListBullet"/>
    <w:link w:val="ListParagraphChar"/>
    <w:uiPriority w:val="72"/>
    <w:qFormat/>
    <w:rsid w:val="00A10F29"/>
    <w:pPr>
      <w:numPr>
        <w:numId w:val="7"/>
      </w:numPr>
      <w:spacing w:after="120"/>
      <w:ind w:left="1134"/>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3"/>
      </w:numPr>
      <w:contextualSpacing/>
    </w:pPr>
  </w:style>
  <w:style w:type="character" w:customStyle="1" w:styleId="ListParagraphChar">
    <w:name w:val="List Paragraph Char"/>
    <w:aliases w:val="Body Text Bullet Points Char,Numbered para Char,BulletPoints Char,Styl moj Char,Akapit z listą1 Char,Akapit z listą11 Char,Bullets Points Char,List Paragraph1 Char,Bullet1 Char,Footnote Char,Bullet point Char,List Paragraph11 Char"/>
    <w:basedOn w:val="DefaultParagraphFont"/>
    <w:link w:val="ListParagraph"/>
    <w:uiPriority w:val="72"/>
    <w:qFormat/>
    <w:locked/>
    <w:rsid w:val="00A10F29"/>
    <w:rPr>
      <w:rFonts w:asciiTheme="minorHAnsi" w:hAnsiTheme="minorHAnsi" w:cs="Arial"/>
      <w:snapToGrid w:val="0"/>
      <w:sz w:val="24"/>
      <w:szCs w:val="24"/>
    </w:rPr>
  </w:style>
  <w:style w:type="table" w:styleId="TableGrid">
    <w:name w:val="Table Grid"/>
    <w:aliases w:val="Summary box,Table Gridbeth,CMA Table Template,ASD Table,PBAC table,new style,MSD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rsid w:val="00721EA3"/>
    <w:pPr>
      <w:keepNext/>
      <w:spacing w:after="240"/>
    </w:pPr>
  </w:style>
  <w:style w:type="paragraph" w:styleId="TOC2">
    <w:name w:val="toc 2"/>
    <w:basedOn w:val="Normal"/>
    <w:next w:val="Normal"/>
    <w:autoRedefine/>
    <w:uiPriority w:val="39"/>
    <w:rsid w:val="0071625F"/>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7939A5"/>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rsid w:val="006E7FFB"/>
    <w:pPr>
      <w:spacing w:after="120"/>
      <w:outlineLvl w:val="3"/>
    </w:pPr>
    <w:rPr>
      <w:b/>
      <w:i/>
    </w:rPr>
  </w:style>
  <w:style w:type="character" w:customStyle="1" w:styleId="COMH3Char">
    <w:name w:val="COM H3 Char"/>
    <w:basedOn w:val="DefaultParagraphFont"/>
    <w:link w:val="COMH3"/>
    <w:rsid w:val="00996EAA"/>
    <w:rPr>
      <w:rFonts w:ascii="Calibri" w:hAnsi="Calibri" w:cs="Arial"/>
      <w:b/>
      <w:iCs/>
      <w:sz w:val="28"/>
      <w:szCs w:val="24"/>
    </w:rPr>
  </w:style>
  <w:style w:type="paragraph" w:customStyle="1" w:styleId="COMbodybulletlist">
    <w:name w:val="COM body bullet list"/>
    <w:basedOn w:val="ListBullet"/>
    <w:link w:val="COMbodybulletlistChar"/>
    <w:rsid w:val="00894E87"/>
  </w:style>
  <w:style w:type="character" w:customStyle="1" w:styleId="COMH4Char">
    <w:name w:val="COM H4 Char"/>
    <w:basedOn w:val="DefaultParagraphFont"/>
    <w:link w:val="COMH4"/>
    <w:rsid w:val="006E7FFB"/>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rsid w:val="00163E81"/>
    <w:pPr>
      <w:keepNext/>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rsid w:val="00B5370E"/>
    <w:pPr>
      <w:numPr>
        <w:numId w:val="0"/>
      </w:numPr>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6A74CB"/>
    <w:rPr>
      <w:color w:val="0000FF" w:themeColor="hyperlink"/>
      <w:u w:val="single"/>
    </w:rPr>
  </w:style>
  <w:style w:type="paragraph" w:styleId="TOC4">
    <w:name w:val="toc 4"/>
    <w:basedOn w:val="Normal"/>
    <w:next w:val="Normal"/>
    <w:autoRedefine/>
    <w:uiPriority w:val="39"/>
    <w:unhideWhenUsed/>
    <w:rsid w:val="006A74CB"/>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A74CB"/>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A74CB"/>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A74CB"/>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A74CB"/>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A74CB"/>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6A74CB"/>
    <w:rPr>
      <w:color w:val="605E5C"/>
      <w:shd w:val="clear" w:color="auto" w:fill="E1DFDD"/>
    </w:rPr>
  </w:style>
  <w:style w:type="paragraph" w:customStyle="1" w:styleId="TableText">
    <w:name w:val="Table Text"/>
    <w:link w:val="TableTextChar"/>
    <w:qFormat/>
    <w:rsid w:val="00F03F4C"/>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F03F4C"/>
    <w:rPr>
      <w:rFonts w:ascii="Arial Narrow" w:eastAsiaTheme="majorEastAsia" w:hAnsi="Arial Narrow" w:cstheme="majorBidi"/>
      <w:bCs/>
      <w:szCs w:val="24"/>
    </w:rPr>
  </w:style>
  <w:style w:type="paragraph" w:customStyle="1" w:styleId="Commentitalics">
    <w:name w:val="Comment (italics)"/>
    <w:basedOn w:val="Normal"/>
    <w:next w:val="Normal"/>
    <w:rsid w:val="00DB6AAB"/>
    <w:rPr>
      <w:i/>
    </w:rPr>
  </w:style>
  <w:style w:type="paragraph" w:customStyle="1" w:styleId="TableFigureFooter">
    <w:name w:val="Table/Figure Footer"/>
    <w:basedOn w:val="Normal"/>
    <w:link w:val="TableFigureFooterChar"/>
    <w:qFormat/>
    <w:rsid w:val="00F03F4C"/>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F03F4C"/>
    <w:rPr>
      <w:rFonts w:ascii="Arial Narrow" w:hAnsi="Arial Narrow" w:cs="Arial"/>
      <w:snapToGrid w:val="0"/>
      <w:sz w:val="18"/>
      <w:szCs w:val="22"/>
    </w:rPr>
  </w:style>
  <w:style w:type="paragraph" w:customStyle="1" w:styleId="TableHeading">
    <w:name w:val="Table Heading"/>
    <w:basedOn w:val="Normal"/>
    <w:link w:val="TableHeadingChar"/>
    <w:rsid w:val="008C2CB1"/>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8C2CB1"/>
    <w:rPr>
      <w:rFonts w:ascii="Arial Narrow" w:eastAsiaTheme="minorHAnsi" w:hAnsi="Arial Narrow" w:cstheme="minorBidi"/>
      <w:b/>
      <w:szCs w:val="22"/>
      <w:lang w:eastAsia="en-US"/>
    </w:rPr>
  </w:style>
  <w:style w:type="paragraph" w:customStyle="1" w:styleId="V50Instructions">
    <w:name w:val="V5.0 Instructions"/>
    <w:basedOn w:val="Normal"/>
    <w:link w:val="V50InstructionsChar"/>
    <w:rsid w:val="008C2CB1"/>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8C2CB1"/>
    <w:rPr>
      <w:rFonts w:asciiTheme="minorHAnsi" w:eastAsiaTheme="minorHAnsi" w:hAnsiTheme="minorHAnsi" w:cstheme="minorBidi"/>
      <w:color w:val="4BACC6" w:themeColor="accent5"/>
      <w:sz w:val="24"/>
      <w:szCs w:val="22"/>
      <w:lang w:eastAsia="en-US"/>
    </w:rPr>
  </w:style>
  <w:style w:type="paragraph" w:customStyle="1" w:styleId="Tableheadingrow">
    <w:name w:val="Table heading row"/>
    <w:rsid w:val="008F5889"/>
    <w:pPr>
      <w:keepNext/>
    </w:pPr>
    <w:rPr>
      <w:rFonts w:ascii="Arial Narrow" w:eastAsiaTheme="majorEastAsia" w:hAnsi="Arial Narrow"/>
      <w:b/>
      <w:szCs w:val="24"/>
      <w:lang w:val="en-US"/>
    </w:rPr>
  </w:style>
  <w:style w:type="paragraph" w:customStyle="1" w:styleId="5-SubSubSubHead">
    <w:name w:val="5-Sub Sub Sub Head"/>
    <w:basedOn w:val="Heading4"/>
    <w:rsid w:val="006953AE"/>
  </w:style>
  <w:style w:type="character" w:customStyle="1" w:styleId="COMBodyChar0">
    <w:name w:val="COMBody Char"/>
    <w:basedOn w:val="DefaultParagraphFont"/>
    <w:link w:val="COMBody0"/>
    <w:locked/>
    <w:rsid w:val="00E37845"/>
    <w:rPr>
      <w:rFonts w:ascii="Calibri" w:hAnsi="Calibri" w:cs="Arial"/>
      <w:sz w:val="24"/>
    </w:rPr>
  </w:style>
  <w:style w:type="paragraph" w:customStyle="1" w:styleId="COMBody0">
    <w:name w:val="COMBody"/>
    <w:basedOn w:val="Normal"/>
    <w:link w:val="COMBodyChar0"/>
    <w:rsid w:val="00E37845"/>
    <w:pPr>
      <w:widowControl w:val="0"/>
      <w:snapToGrid w:val="0"/>
    </w:pPr>
    <w:rPr>
      <w:szCs w:val="20"/>
    </w:rPr>
  </w:style>
  <w:style w:type="paragraph" w:customStyle="1" w:styleId="TableFooter">
    <w:name w:val="Table Footer"/>
    <w:basedOn w:val="Normal"/>
    <w:link w:val="TableFooterChar"/>
    <w:rsid w:val="001D4323"/>
    <w:pPr>
      <w:widowControl w:val="0"/>
    </w:pPr>
    <w:rPr>
      <w:rFonts w:ascii="Arial Narrow" w:hAnsi="Arial Narrow"/>
      <w:snapToGrid w:val="0"/>
      <w:sz w:val="18"/>
      <w:szCs w:val="22"/>
      <w:lang w:eastAsia="en-US"/>
    </w:rPr>
  </w:style>
  <w:style w:type="character" w:customStyle="1" w:styleId="TableFooterChar">
    <w:name w:val="Table Footer Char"/>
    <w:link w:val="TableFooter"/>
    <w:rsid w:val="001D4323"/>
    <w:rPr>
      <w:rFonts w:ascii="Arial Narrow" w:hAnsi="Arial Narrow" w:cs="Arial"/>
      <w:snapToGrid w:val="0"/>
      <w:sz w:val="18"/>
      <w:szCs w:val="22"/>
      <w:lang w:eastAsia="en-US"/>
    </w:rPr>
  </w:style>
  <w:style w:type="character" w:styleId="CommentReference">
    <w:name w:val="annotation reference"/>
    <w:aliases w:val="Table Title"/>
    <w:uiPriority w:val="99"/>
    <w:rsid w:val="00F548E3"/>
    <w:rPr>
      <w:rFonts w:ascii="Arial Narrow" w:hAnsi="Arial Narrow"/>
      <w:b/>
      <w:sz w:val="20"/>
      <w:szCs w:val="16"/>
    </w:rPr>
  </w:style>
  <w:style w:type="paragraph" w:customStyle="1" w:styleId="Tabletext0">
    <w:name w:val="Table text"/>
    <w:basedOn w:val="Normal"/>
    <w:link w:val="TabletextChar0"/>
    <w:uiPriority w:val="99"/>
    <w:rsid w:val="00F548E3"/>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F548E3"/>
    <w:rPr>
      <w:rFonts w:ascii="Arial Narrow" w:hAnsi="Arial Narrow"/>
      <w:szCs w:val="22"/>
      <w:lang w:eastAsia="en-US"/>
    </w:rPr>
  </w:style>
  <w:style w:type="paragraph" w:styleId="CommentText">
    <w:name w:val="annotation text"/>
    <w:basedOn w:val="Normal"/>
    <w:link w:val="CommentTextChar"/>
    <w:uiPriority w:val="99"/>
    <w:unhideWhenUsed/>
    <w:rsid w:val="00214307"/>
    <w:rPr>
      <w:sz w:val="20"/>
      <w:szCs w:val="20"/>
    </w:rPr>
  </w:style>
  <w:style w:type="character" w:customStyle="1" w:styleId="CommentTextChar">
    <w:name w:val="Comment Text Char"/>
    <w:basedOn w:val="DefaultParagraphFont"/>
    <w:link w:val="CommentText"/>
    <w:uiPriority w:val="99"/>
    <w:rsid w:val="00214307"/>
    <w:rPr>
      <w:rFonts w:ascii="Calibri" w:hAnsi="Calibri" w:cs="Arial"/>
    </w:rPr>
  </w:style>
  <w:style w:type="table" w:customStyle="1" w:styleId="Submissionstandard">
    <w:name w:val="Submission standard"/>
    <w:uiPriority w:val="99"/>
    <w:qFormat/>
    <w:rsid w:val="00497A12"/>
    <w:rPr>
      <w:rFonts w:ascii="Arial Narrow" w:hAnsi="Arial Narrow"/>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Times" w:hAnsi="Times" w:cs="Times New Roman"/>
        <w:b/>
        <w:sz w:val="20"/>
      </w:rPr>
      <w:tblPr/>
      <w:tcPr>
        <w:shd w:val="clear" w:color="auto" w:fill="BFBFBF"/>
      </w:tcPr>
    </w:tblStylePr>
  </w:style>
  <w:style w:type="paragraph" w:customStyle="1" w:styleId="TableFigureCaption">
    <w:name w:val="Table/Figure Caption"/>
    <w:next w:val="Tableheadingrow"/>
    <w:link w:val="TableFigureCaptionChar"/>
    <w:rsid w:val="00CB1416"/>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CB1416"/>
    <w:rPr>
      <w:rFonts w:ascii="Arial Narrow" w:eastAsiaTheme="majorEastAsia" w:hAnsi="Arial Narrow" w:cstheme="majorBidi"/>
      <w:b/>
      <w:bCs/>
      <w:szCs w:val="24"/>
    </w:rPr>
  </w:style>
  <w:style w:type="paragraph" w:styleId="Caption">
    <w:name w:val="caption"/>
    <w:basedOn w:val="COMtablefigcaption"/>
    <w:next w:val="Normal"/>
    <w:uiPriority w:val="35"/>
    <w:unhideWhenUsed/>
    <w:rsid w:val="00D355F0"/>
    <w:pPr>
      <w:keepNext w:val="0"/>
    </w:pPr>
  </w:style>
  <w:style w:type="character" w:customStyle="1" w:styleId="cf01">
    <w:name w:val="cf01"/>
    <w:basedOn w:val="DefaultParagraphFont"/>
    <w:rsid w:val="009853AC"/>
    <w:rPr>
      <w:rFonts w:ascii="Segoe UI" w:hAnsi="Segoe UI" w:cs="Segoe UI" w:hint="default"/>
      <w:sz w:val="18"/>
      <w:szCs w:val="18"/>
    </w:rPr>
  </w:style>
  <w:style w:type="paragraph" w:styleId="Header">
    <w:name w:val="header"/>
    <w:aliases w:val="Page Header,Header title,he=header,cntr/bld"/>
    <w:basedOn w:val="Normal"/>
    <w:link w:val="HeaderChar"/>
    <w:qFormat/>
    <w:rsid w:val="00F03F4C"/>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F03F4C"/>
    <w:rPr>
      <w:rFonts w:ascii="Calibri" w:hAnsi="Calibri" w:cs="Arial"/>
      <w:sz w:val="24"/>
      <w:szCs w:val="24"/>
    </w:rPr>
  </w:style>
  <w:style w:type="paragraph" w:styleId="Footer">
    <w:name w:val="footer"/>
    <w:basedOn w:val="Normal"/>
    <w:link w:val="FooterChar"/>
    <w:uiPriority w:val="99"/>
    <w:unhideWhenUsed/>
    <w:rsid w:val="00E50C51"/>
    <w:pPr>
      <w:tabs>
        <w:tab w:val="center" w:pos="4513"/>
        <w:tab w:val="right" w:pos="9026"/>
      </w:tabs>
    </w:pPr>
  </w:style>
  <w:style w:type="character" w:customStyle="1" w:styleId="FooterChar">
    <w:name w:val="Footer Char"/>
    <w:basedOn w:val="DefaultParagraphFont"/>
    <w:link w:val="Footer"/>
    <w:uiPriority w:val="99"/>
    <w:rsid w:val="00E50C51"/>
    <w:rPr>
      <w:rFonts w:ascii="Calibri" w:hAnsi="Calibri" w:cs="Arial"/>
      <w:sz w:val="24"/>
      <w:szCs w:val="24"/>
    </w:rPr>
  </w:style>
  <w:style w:type="paragraph" w:customStyle="1" w:styleId="5-SubsectionSubheading">
    <w:name w:val="5-Subsection Subheading"/>
    <w:basedOn w:val="Heading3"/>
    <w:next w:val="3-BodyText"/>
    <w:link w:val="5-SubsectionSubheadingChar"/>
    <w:qFormat/>
    <w:rsid w:val="00F03F4C"/>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F03F4C"/>
    <w:rPr>
      <w:rFonts w:asciiTheme="minorHAnsi" w:eastAsiaTheme="majorEastAsia" w:hAnsiTheme="minorHAnsi" w:cstheme="majorBidi"/>
      <w:b/>
      <w:color w:val="000000" w:themeColor="text1"/>
      <w:sz w:val="24"/>
      <w:szCs w:val="24"/>
    </w:rPr>
  </w:style>
  <w:style w:type="paragraph" w:styleId="CommentSubject">
    <w:name w:val="annotation subject"/>
    <w:basedOn w:val="CommentText"/>
    <w:next w:val="CommentText"/>
    <w:link w:val="CommentSubjectChar"/>
    <w:semiHidden/>
    <w:unhideWhenUsed/>
    <w:rsid w:val="00BF1A3B"/>
    <w:rPr>
      <w:b/>
      <w:bCs/>
    </w:rPr>
  </w:style>
  <w:style w:type="character" w:customStyle="1" w:styleId="CommentSubjectChar">
    <w:name w:val="Comment Subject Char"/>
    <w:basedOn w:val="CommentTextChar"/>
    <w:link w:val="CommentSubject"/>
    <w:semiHidden/>
    <w:rsid w:val="00BF1A3B"/>
    <w:rPr>
      <w:rFonts w:ascii="Calibri" w:hAnsi="Calibri" w:cs="Arial"/>
      <w:b/>
      <w:bCs/>
    </w:rPr>
  </w:style>
  <w:style w:type="paragraph" w:customStyle="1" w:styleId="Default">
    <w:name w:val="Default"/>
    <w:rsid w:val="003923E5"/>
    <w:pPr>
      <w:autoSpaceDE w:val="0"/>
      <w:autoSpaceDN w:val="0"/>
      <w:adjustRightInd w:val="0"/>
    </w:pPr>
    <w:rPr>
      <w:rFonts w:ascii="Cambria" w:hAnsi="Cambria" w:cs="Cambria"/>
      <w:color w:val="000000"/>
      <w:sz w:val="24"/>
      <w:szCs w:val="24"/>
    </w:rPr>
  </w:style>
  <w:style w:type="character" w:customStyle="1" w:styleId="UnresolvedMention2">
    <w:name w:val="Unresolved Mention2"/>
    <w:basedOn w:val="DefaultParagraphFont"/>
    <w:uiPriority w:val="99"/>
    <w:semiHidden/>
    <w:unhideWhenUsed/>
    <w:rsid w:val="003B3BA7"/>
    <w:rPr>
      <w:color w:val="605E5C"/>
      <w:shd w:val="clear" w:color="auto" w:fill="E1DFDD"/>
    </w:rPr>
  </w:style>
  <w:style w:type="paragraph" w:styleId="FootnoteText">
    <w:name w:val="footnote text"/>
    <w:basedOn w:val="Normal"/>
    <w:link w:val="FootnoteTextChar"/>
    <w:semiHidden/>
    <w:unhideWhenUsed/>
    <w:rsid w:val="001C6223"/>
    <w:rPr>
      <w:sz w:val="20"/>
      <w:szCs w:val="20"/>
    </w:rPr>
  </w:style>
  <w:style w:type="character" w:customStyle="1" w:styleId="FootnoteTextChar">
    <w:name w:val="Footnote Text Char"/>
    <w:basedOn w:val="DefaultParagraphFont"/>
    <w:link w:val="FootnoteText"/>
    <w:semiHidden/>
    <w:rsid w:val="005F0B24"/>
    <w:rPr>
      <w:rFonts w:ascii="Calibri" w:hAnsi="Calibri" w:cs="Arial"/>
    </w:rPr>
  </w:style>
  <w:style w:type="character" w:styleId="FootnoteReference">
    <w:name w:val="footnote reference"/>
    <w:basedOn w:val="DefaultParagraphFont"/>
    <w:uiPriority w:val="99"/>
    <w:semiHidden/>
    <w:unhideWhenUsed/>
    <w:rsid w:val="005F0B24"/>
    <w:rPr>
      <w:vertAlign w:val="superscript"/>
    </w:rPr>
  </w:style>
  <w:style w:type="character" w:customStyle="1" w:styleId="Heading4Char">
    <w:name w:val="Heading 4 Char"/>
    <w:basedOn w:val="DefaultParagraphFont"/>
    <w:link w:val="Heading4"/>
    <w:rsid w:val="00142DD6"/>
    <w:rPr>
      <w:rFonts w:ascii="Calibri" w:hAnsi="Calibri" w:cs="Arial"/>
      <w:b/>
      <w:bCs/>
      <w:i/>
      <w:sz w:val="26"/>
      <w:szCs w:val="28"/>
    </w:rPr>
  </w:style>
  <w:style w:type="paragraph" w:customStyle="1" w:styleId="PBACHeading1">
    <w:name w:val="PBAC Heading 1"/>
    <w:rsid w:val="00906ED7"/>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906ED7"/>
    <w:pPr>
      <w:spacing w:after="120"/>
      <w:ind w:left="720"/>
      <w:contextualSpacing/>
    </w:pPr>
    <w:rPr>
      <w:snapToGrid w:val="0"/>
    </w:rPr>
  </w:style>
  <w:style w:type="paragraph" w:customStyle="1" w:styleId="3-SubsectionHeading">
    <w:name w:val="3-Subsection Heading"/>
    <w:basedOn w:val="Heading2"/>
    <w:next w:val="Normal"/>
    <w:link w:val="3-SubsectionHeadingChar"/>
    <w:rsid w:val="007F52A5"/>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F52A5"/>
    <w:rPr>
      <w:rFonts w:asciiTheme="minorHAnsi" w:eastAsiaTheme="majorEastAsia" w:hAnsiTheme="minorHAnsi" w:cstheme="majorBidi"/>
      <w:b/>
      <w:i/>
      <w:spacing w:val="5"/>
      <w:kern w:val="28"/>
      <w:sz w:val="28"/>
      <w:szCs w:val="36"/>
      <w:lang w:eastAsia="en-US"/>
    </w:rPr>
  </w:style>
  <w:style w:type="paragraph" w:customStyle="1" w:styleId="TableFigureHeading">
    <w:name w:val="Table/Figure Heading"/>
    <w:link w:val="TableFigureHeadingChar"/>
    <w:qFormat/>
    <w:rsid w:val="00F03F4C"/>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F03F4C"/>
    <w:rPr>
      <w:rFonts w:ascii="Arial Narrow" w:eastAsiaTheme="majorEastAsia" w:hAnsi="Arial Narrow" w:cstheme="majorBidi"/>
      <w:b/>
      <w:bCs/>
      <w:szCs w:val="24"/>
    </w:rPr>
  </w:style>
  <w:style w:type="paragraph" w:styleId="NoSpacing">
    <w:name w:val="No Spacing"/>
    <w:uiPriority w:val="1"/>
    <w:rsid w:val="00B17BAA"/>
    <w:rPr>
      <w:sz w:val="24"/>
      <w:szCs w:val="24"/>
      <w:lang w:eastAsia="en-US"/>
    </w:rPr>
  </w:style>
  <w:style w:type="paragraph" w:customStyle="1" w:styleId="2-SectionHeading">
    <w:name w:val="2-Section Heading"/>
    <w:qFormat/>
    <w:rsid w:val="00F03F4C"/>
    <w:pPr>
      <w:keepNext/>
      <w:numPr>
        <w:numId w:val="8"/>
      </w:numPr>
      <w:spacing w:before="240" w:after="120"/>
      <w:outlineLvl w:val="0"/>
    </w:pPr>
    <w:rPr>
      <w:rFonts w:asciiTheme="minorHAnsi" w:hAnsiTheme="minorHAnsi" w:cs="Arial"/>
      <w:b/>
      <w:snapToGrid w:val="0"/>
      <w:sz w:val="32"/>
      <w:szCs w:val="32"/>
    </w:rPr>
  </w:style>
  <w:style w:type="character" w:customStyle="1" w:styleId="normaltextrun">
    <w:name w:val="normaltextrun"/>
    <w:basedOn w:val="DefaultParagraphFont"/>
    <w:rsid w:val="00922297"/>
  </w:style>
  <w:style w:type="paragraph" w:customStyle="1" w:styleId="pf0">
    <w:name w:val="pf0"/>
    <w:basedOn w:val="Normal"/>
    <w:rsid w:val="0098136B"/>
    <w:pPr>
      <w:spacing w:before="100" w:beforeAutospacing="1" w:after="100" w:afterAutospacing="1"/>
      <w:jc w:val="left"/>
    </w:pPr>
    <w:rPr>
      <w:rFonts w:ascii="Times New Roman" w:hAnsi="Times New Roman" w:cs="Times New Roman"/>
    </w:rPr>
  </w:style>
  <w:style w:type="paragraph" w:customStyle="1" w:styleId="3-BodyText">
    <w:name w:val="3-Body Text"/>
    <w:link w:val="3-BodyTextChar"/>
    <w:qFormat/>
    <w:rsid w:val="00F03F4C"/>
    <w:pPr>
      <w:numPr>
        <w:ilvl w:val="1"/>
        <w:numId w:val="8"/>
      </w:numPr>
      <w:spacing w:after="120"/>
      <w:jc w:val="both"/>
    </w:pPr>
    <w:rPr>
      <w:rFonts w:asciiTheme="minorHAnsi" w:eastAsiaTheme="minorHAnsi" w:hAnsiTheme="minorHAnsi" w:cstheme="minorBidi"/>
      <w:sz w:val="24"/>
      <w:szCs w:val="22"/>
    </w:rPr>
  </w:style>
  <w:style w:type="paragraph" w:styleId="NormalWeb">
    <w:name w:val="Normal (Web)"/>
    <w:basedOn w:val="Normal"/>
    <w:uiPriority w:val="99"/>
    <w:semiHidden/>
    <w:unhideWhenUsed/>
    <w:rsid w:val="00352EEF"/>
    <w:pPr>
      <w:spacing w:before="100" w:beforeAutospacing="1" w:after="100" w:afterAutospacing="1"/>
      <w:jc w:val="left"/>
    </w:pPr>
    <w:rPr>
      <w:rFonts w:eastAsiaTheme="minorHAnsi" w:cs="Calibri"/>
      <w:sz w:val="22"/>
      <w:szCs w:val="22"/>
    </w:rPr>
  </w:style>
  <w:style w:type="paragraph" w:customStyle="1" w:styleId="GeneralHeading">
    <w:name w:val="General Heading"/>
    <w:qFormat/>
    <w:rsid w:val="00F03F4C"/>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F03F4C"/>
    <w:pPr>
      <w:keepNext/>
    </w:pPr>
    <w:rPr>
      <w:rFonts w:ascii="Arial Narrow" w:eastAsiaTheme="majorEastAsia" w:hAnsi="Arial Narrow"/>
      <w:b/>
      <w:szCs w:val="24"/>
      <w:lang w:val="en-US"/>
    </w:rPr>
  </w:style>
  <w:style w:type="paragraph" w:customStyle="1" w:styleId="1-MainHeading">
    <w:name w:val="1-Main Heading"/>
    <w:link w:val="1-MainHeadingChar"/>
    <w:qFormat/>
    <w:rsid w:val="00F03F4C"/>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F03F4C"/>
    <w:rPr>
      <w:rFonts w:asciiTheme="minorHAnsi" w:eastAsiaTheme="majorEastAsia" w:hAnsiTheme="minorHAnsi" w:cstheme="majorBidi"/>
      <w:b/>
      <w:spacing w:val="5"/>
      <w:kern w:val="28"/>
      <w:sz w:val="36"/>
      <w:szCs w:val="36"/>
    </w:rPr>
  </w:style>
  <w:style w:type="paragraph" w:customStyle="1" w:styleId="PageFooter">
    <w:name w:val="Page Footer"/>
    <w:basedOn w:val="Normal"/>
    <w:link w:val="PageFooterChar"/>
    <w:qFormat/>
    <w:rsid w:val="00F03F4C"/>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F03F4C"/>
    <w:rPr>
      <w:rFonts w:ascii="Calibri" w:hAnsi="Calibri" w:cs="Arial"/>
      <w:b/>
      <w:sz w:val="24"/>
      <w:szCs w:val="24"/>
    </w:rPr>
  </w:style>
  <w:style w:type="paragraph" w:customStyle="1" w:styleId="4-SubsectionHeading">
    <w:name w:val="4-Subsection Heading"/>
    <w:basedOn w:val="Heading2"/>
    <w:next w:val="3-BodyText"/>
    <w:link w:val="4-SubsectionHeadingChar"/>
    <w:qFormat/>
    <w:rsid w:val="00F03F4C"/>
    <w:pPr>
      <w:keepNext/>
      <w:spacing w:before="120" w:after="120"/>
      <w:jc w:val="both"/>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F03F4C"/>
    <w:rPr>
      <w:rFonts w:asciiTheme="minorHAnsi" w:eastAsiaTheme="majorEastAsia" w:hAnsiTheme="minorHAnsi" w:cstheme="majorBidi"/>
      <w:b/>
      <w:i/>
      <w:spacing w:val="5"/>
      <w:kern w:val="28"/>
      <w:sz w:val="28"/>
      <w:szCs w:val="36"/>
    </w:rPr>
  </w:style>
  <w:style w:type="character" w:customStyle="1" w:styleId="3-BodyTextChar">
    <w:name w:val="3-Body Text Char"/>
    <w:basedOn w:val="ListParagraphChar"/>
    <w:link w:val="3-BodyText"/>
    <w:rsid w:val="00F03F4C"/>
    <w:rPr>
      <w:rFonts w:asciiTheme="minorHAnsi" w:eastAsiaTheme="minorHAnsi" w:hAnsiTheme="minorHAnsi" w:cstheme="minorBidi"/>
      <w:snapToGrid/>
      <w:sz w:val="24"/>
      <w:szCs w:val="22"/>
    </w:rPr>
  </w:style>
  <w:style w:type="paragraph" w:customStyle="1" w:styleId="Intablebulletpoint">
    <w:name w:val="In table bullet point"/>
    <w:basedOn w:val="COMTabletext"/>
    <w:link w:val="IntablebulletpointChar"/>
    <w:qFormat/>
    <w:rsid w:val="00495F0E"/>
    <w:pPr>
      <w:numPr>
        <w:numId w:val="6"/>
      </w:numPr>
      <w:ind w:left="158" w:hanging="158"/>
    </w:pPr>
    <w:rPr>
      <w:iCs/>
    </w:rPr>
  </w:style>
  <w:style w:type="character" w:customStyle="1" w:styleId="IntablebulletpointChar">
    <w:name w:val="In table bullet point Char"/>
    <w:basedOn w:val="COMTabletextChar"/>
    <w:link w:val="Intablebulletpoint"/>
    <w:rsid w:val="00495F0E"/>
    <w:rPr>
      <w:rFonts w:ascii="Arial Narrow" w:eastAsiaTheme="majorEastAsia" w:hAnsi="Arial Narrow" w:cstheme="majorBidi"/>
      <w:bCs/>
      <w:iCs/>
      <w:szCs w:val="24"/>
    </w:rPr>
  </w:style>
  <w:style w:type="character" w:styleId="Mention">
    <w:name w:val="Mention"/>
    <w:basedOn w:val="DefaultParagraphFont"/>
    <w:uiPriority w:val="99"/>
    <w:unhideWhenUsed/>
    <w:rsid w:val="00C11161"/>
    <w:rPr>
      <w:color w:val="2B579A"/>
      <w:shd w:val="clear" w:color="auto" w:fill="E1DFDD"/>
    </w:rPr>
  </w:style>
  <w:style w:type="character" w:styleId="UnresolvedMention">
    <w:name w:val="Unresolved Mention"/>
    <w:basedOn w:val="DefaultParagraphFont"/>
    <w:uiPriority w:val="99"/>
    <w:semiHidden/>
    <w:unhideWhenUsed/>
    <w:rsid w:val="00C17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2433463">
      <w:bodyDiv w:val="1"/>
      <w:marLeft w:val="0"/>
      <w:marRight w:val="0"/>
      <w:marTop w:val="0"/>
      <w:marBottom w:val="0"/>
      <w:divBdr>
        <w:top w:val="none" w:sz="0" w:space="0" w:color="auto"/>
        <w:left w:val="none" w:sz="0" w:space="0" w:color="auto"/>
        <w:bottom w:val="none" w:sz="0" w:space="0" w:color="auto"/>
        <w:right w:val="none" w:sz="0" w:space="0" w:color="auto"/>
      </w:divBdr>
    </w:div>
    <w:div w:id="127090157">
      <w:bodyDiv w:val="1"/>
      <w:marLeft w:val="0"/>
      <w:marRight w:val="0"/>
      <w:marTop w:val="0"/>
      <w:marBottom w:val="0"/>
      <w:divBdr>
        <w:top w:val="none" w:sz="0" w:space="0" w:color="auto"/>
        <w:left w:val="none" w:sz="0" w:space="0" w:color="auto"/>
        <w:bottom w:val="none" w:sz="0" w:space="0" w:color="auto"/>
        <w:right w:val="none" w:sz="0" w:space="0" w:color="auto"/>
      </w:divBdr>
      <w:divsChild>
        <w:div w:id="1637491471">
          <w:marLeft w:val="547"/>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85848079">
      <w:bodyDiv w:val="1"/>
      <w:marLeft w:val="0"/>
      <w:marRight w:val="0"/>
      <w:marTop w:val="0"/>
      <w:marBottom w:val="0"/>
      <w:divBdr>
        <w:top w:val="none" w:sz="0" w:space="0" w:color="auto"/>
        <w:left w:val="none" w:sz="0" w:space="0" w:color="auto"/>
        <w:bottom w:val="none" w:sz="0" w:space="0" w:color="auto"/>
        <w:right w:val="none" w:sz="0" w:space="0" w:color="auto"/>
      </w:divBdr>
      <w:divsChild>
        <w:div w:id="244804983">
          <w:marLeft w:val="547"/>
          <w:marRight w:val="0"/>
          <w:marTop w:val="0"/>
          <w:marBottom w:val="0"/>
          <w:divBdr>
            <w:top w:val="none" w:sz="0" w:space="0" w:color="auto"/>
            <w:left w:val="none" w:sz="0" w:space="0" w:color="auto"/>
            <w:bottom w:val="none" w:sz="0" w:space="0" w:color="auto"/>
            <w:right w:val="none" w:sz="0" w:space="0" w:color="auto"/>
          </w:divBdr>
        </w:div>
        <w:div w:id="524637695">
          <w:marLeft w:val="547"/>
          <w:marRight w:val="0"/>
          <w:marTop w:val="0"/>
          <w:marBottom w:val="0"/>
          <w:divBdr>
            <w:top w:val="none" w:sz="0" w:space="0" w:color="auto"/>
            <w:left w:val="none" w:sz="0" w:space="0" w:color="auto"/>
            <w:bottom w:val="none" w:sz="0" w:space="0" w:color="auto"/>
            <w:right w:val="none" w:sz="0" w:space="0" w:color="auto"/>
          </w:divBdr>
        </w:div>
        <w:div w:id="1395160693">
          <w:marLeft w:val="547"/>
          <w:marRight w:val="0"/>
          <w:marTop w:val="0"/>
          <w:marBottom w:val="0"/>
          <w:divBdr>
            <w:top w:val="none" w:sz="0" w:space="0" w:color="auto"/>
            <w:left w:val="none" w:sz="0" w:space="0" w:color="auto"/>
            <w:bottom w:val="none" w:sz="0" w:space="0" w:color="auto"/>
            <w:right w:val="none" w:sz="0" w:space="0" w:color="auto"/>
          </w:divBdr>
        </w:div>
      </w:divsChild>
    </w:div>
    <w:div w:id="647705853">
      <w:bodyDiv w:val="1"/>
      <w:marLeft w:val="0"/>
      <w:marRight w:val="0"/>
      <w:marTop w:val="0"/>
      <w:marBottom w:val="0"/>
      <w:divBdr>
        <w:top w:val="none" w:sz="0" w:space="0" w:color="auto"/>
        <w:left w:val="none" w:sz="0" w:space="0" w:color="auto"/>
        <w:bottom w:val="none" w:sz="0" w:space="0" w:color="auto"/>
        <w:right w:val="none" w:sz="0" w:space="0" w:color="auto"/>
      </w:divBdr>
      <w:divsChild>
        <w:div w:id="398947527">
          <w:marLeft w:val="1166"/>
          <w:marRight w:val="0"/>
          <w:marTop w:val="100"/>
          <w:marBottom w:val="120"/>
          <w:divBdr>
            <w:top w:val="none" w:sz="0" w:space="0" w:color="auto"/>
            <w:left w:val="none" w:sz="0" w:space="0" w:color="auto"/>
            <w:bottom w:val="none" w:sz="0" w:space="0" w:color="auto"/>
            <w:right w:val="none" w:sz="0" w:space="0" w:color="auto"/>
          </w:divBdr>
        </w:div>
        <w:div w:id="664406798">
          <w:marLeft w:val="1166"/>
          <w:marRight w:val="0"/>
          <w:marTop w:val="100"/>
          <w:marBottom w:val="120"/>
          <w:divBdr>
            <w:top w:val="none" w:sz="0" w:space="0" w:color="auto"/>
            <w:left w:val="none" w:sz="0" w:space="0" w:color="auto"/>
            <w:bottom w:val="none" w:sz="0" w:space="0" w:color="auto"/>
            <w:right w:val="none" w:sz="0" w:space="0" w:color="auto"/>
          </w:divBdr>
        </w:div>
      </w:divsChild>
    </w:div>
    <w:div w:id="800655695">
      <w:bodyDiv w:val="1"/>
      <w:marLeft w:val="0"/>
      <w:marRight w:val="0"/>
      <w:marTop w:val="0"/>
      <w:marBottom w:val="0"/>
      <w:divBdr>
        <w:top w:val="none" w:sz="0" w:space="0" w:color="auto"/>
        <w:left w:val="none" w:sz="0" w:space="0" w:color="auto"/>
        <w:bottom w:val="none" w:sz="0" w:space="0" w:color="auto"/>
        <w:right w:val="none" w:sz="0" w:space="0" w:color="auto"/>
      </w:divBdr>
    </w:div>
    <w:div w:id="81333194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31662043">
      <w:bodyDiv w:val="1"/>
      <w:marLeft w:val="0"/>
      <w:marRight w:val="0"/>
      <w:marTop w:val="0"/>
      <w:marBottom w:val="0"/>
      <w:divBdr>
        <w:top w:val="none" w:sz="0" w:space="0" w:color="auto"/>
        <w:left w:val="none" w:sz="0" w:space="0" w:color="auto"/>
        <w:bottom w:val="none" w:sz="0" w:space="0" w:color="auto"/>
        <w:right w:val="none" w:sz="0" w:space="0" w:color="auto"/>
      </w:divBdr>
      <w:divsChild>
        <w:div w:id="473986202">
          <w:marLeft w:val="360"/>
          <w:marRight w:val="0"/>
          <w:marTop w:val="200"/>
          <w:marBottom w:val="0"/>
          <w:divBdr>
            <w:top w:val="none" w:sz="0" w:space="0" w:color="auto"/>
            <w:left w:val="none" w:sz="0" w:space="0" w:color="auto"/>
            <w:bottom w:val="none" w:sz="0" w:space="0" w:color="auto"/>
            <w:right w:val="none" w:sz="0" w:space="0" w:color="auto"/>
          </w:divBdr>
        </w:div>
        <w:div w:id="867334867">
          <w:marLeft w:val="360"/>
          <w:marRight w:val="0"/>
          <w:marTop w:val="200"/>
          <w:marBottom w:val="0"/>
          <w:divBdr>
            <w:top w:val="none" w:sz="0" w:space="0" w:color="auto"/>
            <w:left w:val="none" w:sz="0" w:space="0" w:color="auto"/>
            <w:bottom w:val="none" w:sz="0" w:space="0" w:color="auto"/>
            <w:right w:val="none" w:sz="0" w:space="0" w:color="auto"/>
          </w:divBdr>
        </w:div>
        <w:div w:id="973482692">
          <w:marLeft w:val="360"/>
          <w:marRight w:val="0"/>
          <w:marTop w:val="200"/>
          <w:marBottom w:val="0"/>
          <w:divBdr>
            <w:top w:val="none" w:sz="0" w:space="0" w:color="auto"/>
            <w:left w:val="none" w:sz="0" w:space="0" w:color="auto"/>
            <w:bottom w:val="none" w:sz="0" w:space="0" w:color="auto"/>
            <w:right w:val="none" w:sz="0" w:space="0" w:color="auto"/>
          </w:divBdr>
        </w:div>
        <w:div w:id="1902667041">
          <w:marLeft w:val="360"/>
          <w:marRight w:val="0"/>
          <w:marTop w:val="200"/>
          <w:marBottom w:val="0"/>
          <w:divBdr>
            <w:top w:val="none" w:sz="0" w:space="0" w:color="auto"/>
            <w:left w:val="none" w:sz="0" w:space="0" w:color="auto"/>
            <w:bottom w:val="none" w:sz="0" w:space="0" w:color="auto"/>
            <w:right w:val="none" w:sz="0" w:space="0" w:color="auto"/>
          </w:divBdr>
        </w:div>
      </w:divsChild>
    </w:div>
    <w:div w:id="97033132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98879927">
      <w:bodyDiv w:val="1"/>
      <w:marLeft w:val="0"/>
      <w:marRight w:val="0"/>
      <w:marTop w:val="0"/>
      <w:marBottom w:val="0"/>
      <w:divBdr>
        <w:top w:val="none" w:sz="0" w:space="0" w:color="auto"/>
        <w:left w:val="none" w:sz="0" w:space="0" w:color="auto"/>
        <w:bottom w:val="none" w:sz="0" w:space="0" w:color="auto"/>
        <w:right w:val="none" w:sz="0" w:space="0" w:color="auto"/>
      </w:divBdr>
    </w:div>
    <w:div w:id="1360082504">
      <w:bodyDiv w:val="1"/>
      <w:marLeft w:val="0"/>
      <w:marRight w:val="0"/>
      <w:marTop w:val="0"/>
      <w:marBottom w:val="0"/>
      <w:divBdr>
        <w:top w:val="none" w:sz="0" w:space="0" w:color="auto"/>
        <w:left w:val="none" w:sz="0" w:space="0" w:color="auto"/>
        <w:bottom w:val="none" w:sz="0" w:space="0" w:color="auto"/>
        <w:right w:val="none" w:sz="0" w:space="0" w:color="auto"/>
      </w:divBdr>
    </w:div>
    <w:div w:id="1426805171">
      <w:bodyDiv w:val="1"/>
      <w:marLeft w:val="0"/>
      <w:marRight w:val="0"/>
      <w:marTop w:val="0"/>
      <w:marBottom w:val="0"/>
      <w:divBdr>
        <w:top w:val="none" w:sz="0" w:space="0" w:color="auto"/>
        <w:left w:val="none" w:sz="0" w:space="0" w:color="auto"/>
        <w:bottom w:val="none" w:sz="0" w:space="0" w:color="auto"/>
        <w:right w:val="none" w:sz="0" w:space="0" w:color="auto"/>
      </w:divBdr>
      <w:divsChild>
        <w:div w:id="337932011">
          <w:marLeft w:val="360"/>
          <w:marRight w:val="0"/>
          <w:marTop w:val="200"/>
          <w:marBottom w:val="0"/>
          <w:divBdr>
            <w:top w:val="none" w:sz="0" w:space="0" w:color="auto"/>
            <w:left w:val="none" w:sz="0" w:space="0" w:color="auto"/>
            <w:bottom w:val="none" w:sz="0" w:space="0" w:color="auto"/>
            <w:right w:val="none" w:sz="0" w:space="0" w:color="auto"/>
          </w:divBdr>
        </w:div>
      </w:divsChild>
    </w:div>
    <w:div w:id="1648364744">
      <w:bodyDiv w:val="1"/>
      <w:marLeft w:val="0"/>
      <w:marRight w:val="0"/>
      <w:marTop w:val="0"/>
      <w:marBottom w:val="0"/>
      <w:divBdr>
        <w:top w:val="none" w:sz="0" w:space="0" w:color="auto"/>
        <w:left w:val="none" w:sz="0" w:space="0" w:color="auto"/>
        <w:bottom w:val="none" w:sz="0" w:space="0" w:color="auto"/>
        <w:right w:val="none" w:sz="0" w:space="0" w:color="auto"/>
      </w:divBdr>
      <w:divsChild>
        <w:div w:id="1269462837">
          <w:marLeft w:val="360"/>
          <w:marRight w:val="0"/>
          <w:marTop w:val="200"/>
          <w:marBottom w:val="0"/>
          <w:divBdr>
            <w:top w:val="none" w:sz="0" w:space="0" w:color="auto"/>
            <w:left w:val="none" w:sz="0" w:space="0" w:color="auto"/>
            <w:bottom w:val="none" w:sz="0" w:space="0" w:color="auto"/>
            <w:right w:val="none" w:sz="0" w:space="0" w:color="auto"/>
          </w:divBdr>
        </w:div>
      </w:divsChild>
    </w:div>
    <w:div w:id="1850673686">
      <w:bodyDiv w:val="1"/>
      <w:marLeft w:val="0"/>
      <w:marRight w:val="0"/>
      <w:marTop w:val="0"/>
      <w:marBottom w:val="0"/>
      <w:divBdr>
        <w:top w:val="none" w:sz="0" w:space="0" w:color="auto"/>
        <w:left w:val="none" w:sz="0" w:space="0" w:color="auto"/>
        <w:bottom w:val="none" w:sz="0" w:space="0" w:color="auto"/>
        <w:right w:val="none" w:sz="0" w:space="0" w:color="auto"/>
      </w:divBdr>
    </w:div>
    <w:div w:id="192579448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7072500">
      <w:bodyDiv w:val="1"/>
      <w:marLeft w:val="0"/>
      <w:marRight w:val="0"/>
      <w:marTop w:val="0"/>
      <w:marBottom w:val="0"/>
      <w:divBdr>
        <w:top w:val="none" w:sz="0" w:space="0" w:color="auto"/>
        <w:left w:val="none" w:sz="0" w:space="0" w:color="auto"/>
        <w:bottom w:val="none" w:sz="0" w:space="0" w:color="auto"/>
        <w:right w:val="none" w:sz="0" w:space="0" w:color="auto"/>
      </w:divBdr>
    </w:div>
    <w:div w:id="2083723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4DA5-812E-4259-B88C-749DCF1723EA}">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60</Pages>
  <Words>26845</Words>
  <Characters>150065</Characters>
  <Application>Microsoft Office Word</Application>
  <DocSecurity>0</DocSecurity>
  <Lines>4287</Lines>
  <Paragraphs>2527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174383</CharactersWithSpaces>
  <SharedDoc>false</SharedDoc>
  <HLinks>
    <vt:vector size="120" baseType="variant">
      <vt:variant>
        <vt:i4>5832785</vt:i4>
      </vt:variant>
      <vt:variant>
        <vt:i4>57</vt:i4>
      </vt:variant>
      <vt:variant>
        <vt:i4>0</vt:i4>
      </vt:variant>
      <vt:variant>
        <vt:i4>5</vt:i4>
      </vt:variant>
      <vt:variant>
        <vt:lpwstr>https://www.pbs.gov.au/industry/listing/elements/pbac-meetings/psd/2022-03/files/risankizumab-psoriatic-arthritis-psd-march-2022.pdf</vt:lpwstr>
      </vt:variant>
      <vt:variant>
        <vt:lpwstr/>
      </vt:variant>
      <vt:variant>
        <vt:i4>2097202</vt:i4>
      </vt:variant>
      <vt:variant>
        <vt:i4>54</vt:i4>
      </vt:variant>
      <vt:variant>
        <vt:i4>0</vt:i4>
      </vt:variant>
      <vt:variant>
        <vt:i4>5</vt:i4>
      </vt:variant>
      <vt:variant>
        <vt:lpwstr>https://www.pbs.gov.au/industry/listing/elements/pbac-meetings/psd/2024-03/files/anifrolumab-psd-march-2024.pdf</vt:lpwstr>
      </vt:variant>
      <vt:variant>
        <vt:lpwstr/>
      </vt:variant>
      <vt:variant>
        <vt:i4>5832785</vt:i4>
      </vt:variant>
      <vt:variant>
        <vt:i4>51</vt:i4>
      </vt:variant>
      <vt:variant>
        <vt:i4>0</vt:i4>
      </vt:variant>
      <vt:variant>
        <vt:i4>5</vt:i4>
      </vt:variant>
      <vt:variant>
        <vt:lpwstr>https://www.pbs.gov.au/industry/listing/elements/pbac-meetings/psd/2022-03/files/risankizumab-psoriatic-arthritis-psd-march-2022.pdf</vt:lpwstr>
      </vt:variant>
      <vt:variant>
        <vt:lpwstr/>
      </vt:variant>
      <vt:variant>
        <vt:i4>2097202</vt:i4>
      </vt:variant>
      <vt:variant>
        <vt:i4>48</vt:i4>
      </vt:variant>
      <vt:variant>
        <vt:i4>0</vt:i4>
      </vt:variant>
      <vt:variant>
        <vt:i4>5</vt:i4>
      </vt:variant>
      <vt:variant>
        <vt:lpwstr>https://www.pbs.gov.au/industry/listing/elements/pbac-meetings/psd/2024-03/files/anifrolumab-psd-march-2024.pdf</vt:lpwstr>
      </vt:variant>
      <vt:variant>
        <vt:lpwstr/>
      </vt:variant>
      <vt:variant>
        <vt:i4>5832785</vt:i4>
      </vt:variant>
      <vt:variant>
        <vt:i4>45</vt:i4>
      </vt:variant>
      <vt:variant>
        <vt:i4>0</vt:i4>
      </vt:variant>
      <vt:variant>
        <vt:i4>5</vt:i4>
      </vt:variant>
      <vt:variant>
        <vt:lpwstr>https://www.pbs.gov.au/industry/listing/elements/pbac-meetings/psd/2022-03/files/risankizumab-psoriatic-arthritis-psd-march-2022.pdf</vt:lpwstr>
      </vt:variant>
      <vt:variant>
        <vt:lpwstr/>
      </vt:variant>
      <vt:variant>
        <vt:i4>2097202</vt:i4>
      </vt:variant>
      <vt:variant>
        <vt:i4>42</vt:i4>
      </vt:variant>
      <vt:variant>
        <vt:i4>0</vt:i4>
      </vt:variant>
      <vt:variant>
        <vt:i4>5</vt:i4>
      </vt:variant>
      <vt:variant>
        <vt:lpwstr>https://www.pbs.gov.au/industry/listing/elements/pbac-meetings/psd/2024-03/files/anifrolumab-psd-march-2024.pdf</vt:lpwstr>
      </vt:variant>
      <vt:variant>
        <vt:lpwstr/>
      </vt:variant>
      <vt:variant>
        <vt:i4>5832785</vt:i4>
      </vt:variant>
      <vt:variant>
        <vt:i4>39</vt:i4>
      </vt:variant>
      <vt:variant>
        <vt:i4>0</vt:i4>
      </vt:variant>
      <vt:variant>
        <vt:i4>5</vt:i4>
      </vt:variant>
      <vt:variant>
        <vt:lpwstr>https://www.pbs.gov.au/industry/listing/elements/pbac-meetings/psd/2022-03/files/risankizumab-psoriatic-arthritis-psd-march-2022.pdf</vt:lpwstr>
      </vt:variant>
      <vt:variant>
        <vt:lpwstr/>
      </vt:variant>
      <vt:variant>
        <vt:i4>2097202</vt:i4>
      </vt:variant>
      <vt:variant>
        <vt:i4>36</vt:i4>
      </vt:variant>
      <vt:variant>
        <vt:i4>0</vt:i4>
      </vt:variant>
      <vt:variant>
        <vt:i4>5</vt:i4>
      </vt:variant>
      <vt:variant>
        <vt:lpwstr>https://www.pbs.gov.au/industry/listing/elements/pbac-meetings/psd/2024-03/files/anifrolumab-psd-march-2024.pdf</vt:lpwstr>
      </vt:variant>
      <vt:variant>
        <vt:lpwstr/>
      </vt:variant>
      <vt:variant>
        <vt:i4>5832785</vt:i4>
      </vt:variant>
      <vt:variant>
        <vt:i4>33</vt:i4>
      </vt:variant>
      <vt:variant>
        <vt:i4>0</vt:i4>
      </vt:variant>
      <vt:variant>
        <vt:i4>5</vt:i4>
      </vt:variant>
      <vt:variant>
        <vt:lpwstr>https://www.pbs.gov.au/industry/listing/elements/pbac-meetings/psd/2022-03/files/risankizumab-psoriatic-arthritis-psd-march-2022.pdf</vt:lpwstr>
      </vt:variant>
      <vt:variant>
        <vt:lpwstr/>
      </vt:variant>
      <vt:variant>
        <vt:i4>5636171</vt:i4>
      </vt:variant>
      <vt:variant>
        <vt:i4>30</vt:i4>
      </vt:variant>
      <vt:variant>
        <vt:i4>0</vt:i4>
      </vt:variant>
      <vt:variant>
        <vt:i4>5</vt:i4>
      </vt:variant>
      <vt:variant>
        <vt:lpwstr>https://www.pbs.gov.au/industry/listing/elements/pbac-meetings/psd/2023-11/files/abemaciclib-psd-nov-2023.pdf</vt:lpwstr>
      </vt:variant>
      <vt:variant>
        <vt:lpwstr/>
      </vt:variant>
      <vt:variant>
        <vt:i4>5636171</vt:i4>
      </vt:variant>
      <vt:variant>
        <vt:i4>27</vt:i4>
      </vt:variant>
      <vt:variant>
        <vt:i4>0</vt:i4>
      </vt:variant>
      <vt:variant>
        <vt:i4>5</vt:i4>
      </vt:variant>
      <vt:variant>
        <vt:lpwstr>https://www.pbs.gov.au/industry/listing/elements/pbac-meetings/psd/2023-11/files/abemaciclib-psd-nov-2023.pdf</vt:lpwstr>
      </vt:variant>
      <vt:variant>
        <vt:lpwstr/>
      </vt:variant>
      <vt:variant>
        <vt:i4>5636171</vt:i4>
      </vt:variant>
      <vt:variant>
        <vt:i4>24</vt:i4>
      </vt:variant>
      <vt:variant>
        <vt:i4>0</vt:i4>
      </vt:variant>
      <vt:variant>
        <vt:i4>5</vt:i4>
      </vt:variant>
      <vt:variant>
        <vt:lpwstr>https://www.pbs.gov.au/industry/listing/elements/pbac-meetings/psd/2023-11/files/abemaciclib-psd-nov-2023.pdf</vt:lpwstr>
      </vt:variant>
      <vt:variant>
        <vt:lpwstr/>
      </vt:variant>
      <vt:variant>
        <vt:i4>5636171</vt:i4>
      </vt:variant>
      <vt:variant>
        <vt:i4>21</vt:i4>
      </vt:variant>
      <vt:variant>
        <vt:i4>0</vt:i4>
      </vt:variant>
      <vt:variant>
        <vt:i4>5</vt:i4>
      </vt:variant>
      <vt:variant>
        <vt:lpwstr>https://www.pbs.gov.au/industry/listing/elements/pbac-meetings/psd/2023-11/files/abemaciclib-psd-nov-2023.pdf</vt:lpwstr>
      </vt:variant>
      <vt:variant>
        <vt:lpwstr/>
      </vt:variant>
      <vt:variant>
        <vt:i4>196674</vt:i4>
      </vt:variant>
      <vt:variant>
        <vt:i4>18</vt:i4>
      </vt:variant>
      <vt:variant>
        <vt:i4>0</vt:i4>
      </vt:variant>
      <vt:variant>
        <vt:i4>5</vt:i4>
      </vt:variant>
      <vt:variant>
        <vt:lpwstr>https://www.pbs.gov.au/info/industry/listing/procedure-guidance/7-post-pbac-decision-procedures-sponsors/7-4-public-summary-documents</vt:lpwstr>
      </vt:variant>
      <vt:variant>
        <vt:lpwstr/>
      </vt:variant>
      <vt:variant>
        <vt:i4>196674</vt:i4>
      </vt:variant>
      <vt:variant>
        <vt:i4>15</vt:i4>
      </vt:variant>
      <vt:variant>
        <vt:i4>0</vt:i4>
      </vt:variant>
      <vt:variant>
        <vt:i4>5</vt:i4>
      </vt:variant>
      <vt:variant>
        <vt:lpwstr>https://www.pbs.gov.au/info/industry/listing/procedure-guidance/7-post-pbac-decision-procedures-sponsors/7-4-public-summary-documents</vt:lpwstr>
      </vt:variant>
      <vt:variant>
        <vt:lpwstr/>
      </vt:variant>
      <vt:variant>
        <vt:i4>196674</vt:i4>
      </vt:variant>
      <vt:variant>
        <vt:i4>12</vt:i4>
      </vt:variant>
      <vt:variant>
        <vt:i4>0</vt:i4>
      </vt:variant>
      <vt:variant>
        <vt:i4>5</vt:i4>
      </vt:variant>
      <vt:variant>
        <vt:lpwstr>https://www.pbs.gov.au/info/industry/listing/procedure-guidance/7-post-pbac-decision-procedures-sponsors/7-4-public-summary-documents</vt:lpwstr>
      </vt:variant>
      <vt:variant>
        <vt:lpwstr/>
      </vt:variant>
      <vt:variant>
        <vt:i4>196674</vt:i4>
      </vt:variant>
      <vt:variant>
        <vt:i4>9</vt:i4>
      </vt:variant>
      <vt:variant>
        <vt:i4>0</vt:i4>
      </vt:variant>
      <vt:variant>
        <vt:i4>5</vt:i4>
      </vt:variant>
      <vt:variant>
        <vt:lpwstr>https://www.pbs.gov.au/info/industry/listing/procedure-guidance/7-post-pbac-decision-procedures-sponsors/7-4-public-summary-documents</vt:lpwstr>
      </vt:variant>
      <vt:variant>
        <vt:lpwstr/>
      </vt:variant>
      <vt:variant>
        <vt:i4>196674</vt:i4>
      </vt:variant>
      <vt:variant>
        <vt:i4>6</vt:i4>
      </vt:variant>
      <vt:variant>
        <vt:i4>0</vt:i4>
      </vt:variant>
      <vt:variant>
        <vt:i4>5</vt:i4>
      </vt:variant>
      <vt:variant>
        <vt:lpwstr>https://www.pbs.gov.au/info/industry/listing/procedure-guidance/7-post-pbac-decision-procedures-sponsors/7-4-public-summary-documents</vt:lpwstr>
      </vt:variant>
      <vt:variant>
        <vt:lpwstr/>
      </vt:variant>
      <vt:variant>
        <vt:i4>5177409</vt:i4>
      </vt:variant>
      <vt:variant>
        <vt:i4>3</vt:i4>
      </vt:variant>
      <vt:variant>
        <vt:i4>0</vt:i4>
      </vt:variant>
      <vt:variant>
        <vt:i4>5</vt:i4>
      </vt:variant>
      <vt:variant>
        <vt:lpwstr>https://www.pbs.gov.au/industry/listing/elements/pbac-meetings/psd/2023-11/files/osimertinib-psd-nov-2023.pdf</vt:lpwstr>
      </vt:variant>
      <vt:variant>
        <vt:lpwstr/>
      </vt:variant>
      <vt:variant>
        <vt:i4>5832785</vt:i4>
      </vt:variant>
      <vt:variant>
        <vt:i4>0</vt:i4>
      </vt:variant>
      <vt:variant>
        <vt:i4>0</vt:i4>
      </vt:variant>
      <vt:variant>
        <vt:i4>5</vt:i4>
      </vt:variant>
      <vt:variant>
        <vt:lpwstr>https://www.pbs.gov.au/industry/listing/elements/pbac-meetings/psd/2022-03/files/risankizumab-psoriatic-arthritis-psd-march-2022.pdf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2024-10-25T04:08:00Z</dcterms:created>
  <dcterms:modified xsi:type="dcterms:W3CDTF">2026-02-05T08:08:00Z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dd3b8eb,3ff6034,2790853b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7f973b39,1dcb253b,e7a50aa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2026-02-05T07:57:49Z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79dd15a6-8d8f-416b-9306-b1c7a2e2b9c8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