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B8F3" w14:textId="35CBE9BC" w:rsidR="00195452" w:rsidRPr="009217A3" w:rsidRDefault="00182FF2" w:rsidP="009217A3">
      <w:pPr>
        <w:pStyle w:val="1-MainHeading"/>
      </w:pPr>
      <w:bookmarkStart w:id="0" w:name="_Toc166861350"/>
      <w:r>
        <w:t>5</w:t>
      </w:r>
      <w:r w:rsidR="00433044" w:rsidRPr="00C12C14">
        <w:t>.</w:t>
      </w:r>
      <w:r>
        <w:t>0</w:t>
      </w:r>
      <w:r w:rsidR="00AE42B5">
        <w:t>1</w:t>
      </w:r>
      <w:r w:rsidR="00163F66">
        <w:tab/>
      </w:r>
      <w:r w:rsidR="00491767">
        <w:t>FRUQUINTINIB</w:t>
      </w:r>
      <w:r w:rsidR="00163F66">
        <w:t>,</w:t>
      </w:r>
      <w:r w:rsidR="00163F66">
        <w:br/>
      </w:r>
      <w:r w:rsidR="00491767">
        <w:t>Capsule 1 mg</w:t>
      </w:r>
      <w:r w:rsidR="00163F66">
        <w:t>,</w:t>
      </w:r>
      <w:r w:rsidR="00163F66">
        <w:br/>
      </w:r>
      <w:r w:rsidR="00491767">
        <w:t>Capsule 5 mg</w:t>
      </w:r>
      <w:r w:rsidR="00163F66">
        <w:t>,</w:t>
      </w:r>
      <w:r w:rsidR="00163F66">
        <w:br/>
      </w:r>
      <w:r w:rsidR="00491767" w:rsidRPr="00491767">
        <w:t>Fruzaqla</w:t>
      </w:r>
      <w:r w:rsidR="00B60939" w:rsidRPr="004A6040">
        <w:rPr>
          <w:vertAlign w:val="superscript"/>
        </w:rPr>
        <w:t>®</w:t>
      </w:r>
      <w:r w:rsidR="004A6040" w:rsidRPr="004A6040">
        <w:t>,</w:t>
      </w:r>
      <w:r w:rsidR="004A6040" w:rsidRPr="004A6040">
        <w:br/>
      </w:r>
      <w:r w:rsidR="00491767">
        <w:t>Takeda Pharmaceuticals Australia Pty</w:t>
      </w:r>
      <w:r w:rsidR="00B60939" w:rsidRPr="004A6040">
        <w:t>.</w:t>
      </w:r>
      <w:r w:rsidR="00491767">
        <w:t xml:space="preserve"> Ltd.</w:t>
      </w:r>
      <w:bookmarkStart w:id="1" w:name="_Toc22897637"/>
      <w:bookmarkEnd w:id="0"/>
    </w:p>
    <w:p w14:paraId="1DE599FC" w14:textId="77777777" w:rsidR="00891965" w:rsidRPr="004535AE" w:rsidRDefault="00891965" w:rsidP="00891965">
      <w:pPr>
        <w:pStyle w:val="2-SectionHeading"/>
        <w:numPr>
          <w:ilvl w:val="0"/>
          <w:numId w:val="1"/>
        </w:numPr>
      </w:pPr>
      <w:bookmarkStart w:id="2" w:name="_Toc107927618"/>
      <w:bookmarkStart w:id="3" w:name="_Toc166861352"/>
      <w:bookmarkEnd w:id="1"/>
      <w:r w:rsidRPr="004535AE">
        <w:t>Purpose of submission</w:t>
      </w:r>
      <w:bookmarkEnd w:id="2"/>
      <w:bookmarkEnd w:id="3"/>
    </w:p>
    <w:p w14:paraId="4A11AC3B" w14:textId="68BD6FBA" w:rsidR="00891965" w:rsidRPr="00A74236" w:rsidRDefault="00891965" w:rsidP="00891965">
      <w:pPr>
        <w:pStyle w:val="3-BodyText"/>
      </w:pPr>
      <w:r w:rsidRPr="00A74236">
        <w:t xml:space="preserve">The Category 2 submission requested a General Schedule Authority Required (STREAMLINED) listing for fruquintinib for the treatment of patients with metastatic colorectal cancer (mCRC) who have been previously treated with or who are not considered candidates for </w:t>
      </w:r>
      <w:r w:rsidR="00AE42B5" w:rsidRPr="00A74236">
        <w:t>fluoropyrimidine-, oxaliplatin-, and irinotecan-based chemotherapy, an anti-VEGF therapy, and an anti-EGFR therapy</w:t>
      </w:r>
      <w:r w:rsidR="00AE42B5">
        <w:t>.</w:t>
      </w:r>
    </w:p>
    <w:p w14:paraId="23092422" w14:textId="496C0A59" w:rsidR="00891965" w:rsidRPr="00A74236" w:rsidRDefault="00891965" w:rsidP="003C1F76">
      <w:pPr>
        <w:pStyle w:val="3-BodyText"/>
      </w:pPr>
      <w:r w:rsidRPr="00A74236">
        <w:t xml:space="preserve">Listing was requested </w:t>
      </w:r>
      <w:proofErr w:type="gramStart"/>
      <w:r w:rsidRPr="00A74236">
        <w:t>on the basis of</w:t>
      </w:r>
      <w:proofErr w:type="gramEnd"/>
      <w:r w:rsidRPr="00A74236">
        <w:t xml:space="preserve"> a cost-minimisation approach </w:t>
      </w:r>
      <w:r w:rsidR="007E3DEE">
        <w:t xml:space="preserve">(CMA) </w:t>
      </w:r>
      <w:r w:rsidRPr="00A74236">
        <w:t>versus trifluridine/tipiracil</w:t>
      </w:r>
      <w:r w:rsidR="000D0390">
        <w:t xml:space="preserve"> (TRI/TIP)</w:t>
      </w:r>
      <w:r w:rsidR="00EB5D75">
        <w:t xml:space="preserve"> (</w:t>
      </w:r>
      <w:r w:rsidR="00EB5D75">
        <w:fldChar w:fldCharType="begin"/>
      </w:r>
      <w:r w:rsidR="00EB5D75">
        <w:instrText xml:space="preserve"> REF _Ref177068845 \h </w:instrText>
      </w:r>
      <w:r w:rsidR="00EB5D75">
        <w:fldChar w:fldCharType="separate"/>
      </w:r>
      <w:r w:rsidR="00F03729" w:rsidRPr="00A74236">
        <w:t xml:space="preserve">Table </w:t>
      </w:r>
      <w:r w:rsidR="00F03729">
        <w:rPr>
          <w:noProof/>
        </w:rPr>
        <w:t>1</w:t>
      </w:r>
      <w:r w:rsidR="00EB5D75">
        <w:fldChar w:fldCharType="end"/>
      </w:r>
      <w:r w:rsidR="00EB5D75">
        <w:t>)</w:t>
      </w:r>
      <w:r w:rsidRPr="00A74236">
        <w:t>.</w:t>
      </w:r>
    </w:p>
    <w:p w14:paraId="30BBF7E1" w14:textId="0EBBE64B" w:rsidR="00891965" w:rsidRPr="00A74236" w:rsidRDefault="00891965" w:rsidP="00891965">
      <w:pPr>
        <w:pStyle w:val="TableFigureHeading"/>
        <w:rPr>
          <w:rStyle w:val="CommentReference"/>
          <w:b/>
          <w:szCs w:val="24"/>
        </w:rPr>
      </w:pPr>
      <w:bookmarkStart w:id="4" w:name="_Ref177068845"/>
      <w:r w:rsidRPr="00A74236">
        <w:t xml:space="preserve">Table </w:t>
      </w:r>
      <w:r w:rsidR="00DD5C00">
        <w:fldChar w:fldCharType="begin"/>
      </w:r>
      <w:r w:rsidR="00DD5C00">
        <w:instrText xml:space="preserve"> SEQ Table \* ARABIC </w:instrText>
      </w:r>
      <w:r w:rsidR="00DD5C00">
        <w:fldChar w:fldCharType="separate"/>
      </w:r>
      <w:r w:rsidR="00F03729">
        <w:rPr>
          <w:noProof/>
        </w:rPr>
        <w:t>1</w:t>
      </w:r>
      <w:r w:rsidR="00DD5C00">
        <w:rPr>
          <w:noProof/>
        </w:rPr>
        <w:fldChar w:fldCharType="end"/>
      </w:r>
      <w:bookmarkEnd w:id="4"/>
      <w:r w:rsidRPr="00A74236">
        <w:t>:</w:t>
      </w:r>
      <w:r w:rsidRPr="00A74236">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891965" w:rsidRPr="00A74236" w14:paraId="1F22CBD5" w14:textId="77777777" w:rsidTr="004E70AA">
        <w:trPr>
          <w:cantSplit/>
          <w:tblHeader/>
        </w:trPr>
        <w:tc>
          <w:tcPr>
            <w:tcW w:w="729" w:type="pct"/>
            <w:shd w:val="clear" w:color="auto" w:fill="auto"/>
          </w:tcPr>
          <w:p w14:paraId="3621502D" w14:textId="77777777" w:rsidR="00891965" w:rsidRPr="00A74236" w:rsidRDefault="00891965" w:rsidP="00DB2E12">
            <w:pPr>
              <w:pStyle w:val="In-tableHeading"/>
              <w:rPr>
                <w:szCs w:val="20"/>
                <w:lang w:val="en-AU"/>
              </w:rPr>
            </w:pPr>
            <w:r w:rsidRPr="00A74236">
              <w:rPr>
                <w:lang w:val="en-AU"/>
              </w:rPr>
              <w:t>Component</w:t>
            </w:r>
          </w:p>
        </w:tc>
        <w:tc>
          <w:tcPr>
            <w:tcW w:w="4271" w:type="pct"/>
            <w:shd w:val="clear" w:color="auto" w:fill="auto"/>
          </w:tcPr>
          <w:p w14:paraId="370D953B" w14:textId="77777777" w:rsidR="00891965" w:rsidRPr="00A74236" w:rsidRDefault="00891965" w:rsidP="00DB2E12">
            <w:pPr>
              <w:pStyle w:val="In-tableHeading"/>
              <w:rPr>
                <w:lang w:val="en-AU"/>
              </w:rPr>
            </w:pPr>
            <w:r w:rsidRPr="00A74236">
              <w:rPr>
                <w:lang w:val="en-AU"/>
              </w:rPr>
              <w:t>Description</w:t>
            </w:r>
          </w:p>
        </w:tc>
      </w:tr>
      <w:tr w:rsidR="00891965" w:rsidRPr="00A74236" w14:paraId="22311588" w14:textId="77777777" w:rsidTr="004E70AA">
        <w:trPr>
          <w:cantSplit/>
        </w:trPr>
        <w:tc>
          <w:tcPr>
            <w:tcW w:w="729" w:type="pct"/>
            <w:shd w:val="clear" w:color="auto" w:fill="auto"/>
          </w:tcPr>
          <w:p w14:paraId="14F2643A" w14:textId="77777777" w:rsidR="00891965" w:rsidRPr="00A74236" w:rsidRDefault="00891965" w:rsidP="00DB2E12">
            <w:pPr>
              <w:pStyle w:val="TableText0"/>
            </w:pPr>
            <w:r w:rsidRPr="00A74236">
              <w:t>Population</w:t>
            </w:r>
          </w:p>
        </w:tc>
        <w:tc>
          <w:tcPr>
            <w:tcW w:w="4271" w:type="pct"/>
            <w:shd w:val="clear" w:color="auto" w:fill="auto"/>
          </w:tcPr>
          <w:p w14:paraId="31FBC13D" w14:textId="7FCAF72D" w:rsidR="00891965" w:rsidRPr="00A74236" w:rsidRDefault="00891965" w:rsidP="00DB2E12">
            <w:pPr>
              <w:pStyle w:val="TableText0"/>
              <w:rPr>
                <w:szCs w:val="20"/>
              </w:rPr>
            </w:pPr>
            <w:r w:rsidRPr="00A74236">
              <w:t>Adult patients with mCRC who have been previously treated with or are not considered candidates for</w:t>
            </w:r>
            <w:r w:rsidR="006B34C4">
              <w:t xml:space="preserve"> </w:t>
            </w:r>
            <w:r w:rsidRPr="00A74236">
              <w:t>fluoropyrimidine-, oxaliplatin-, and irinotecan-based chemotherapy, an anti-VEGF therapy, and an anti-EGFR therapy.</w:t>
            </w:r>
          </w:p>
        </w:tc>
      </w:tr>
      <w:tr w:rsidR="00891965" w:rsidRPr="00A74236" w14:paraId="2E77E3CD" w14:textId="77777777" w:rsidTr="004E70AA">
        <w:trPr>
          <w:cantSplit/>
        </w:trPr>
        <w:tc>
          <w:tcPr>
            <w:tcW w:w="729" w:type="pct"/>
            <w:shd w:val="clear" w:color="auto" w:fill="auto"/>
          </w:tcPr>
          <w:p w14:paraId="5013CA1D" w14:textId="77777777" w:rsidR="00891965" w:rsidRPr="00A74236" w:rsidRDefault="00891965" w:rsidP="00DB2E12">
            <w:pPr>
              <w:pStyle w:val="TableText0"/>
            </w:pPr>
            <w:r w:rsidRPr="00A74236">
              <w:t>Intervention</w:t>
            </w:r>
          </w:p>
        </w:tc>
        <w:tc>
          <w:tcPr>
            <w:tcW w:w="4271" w:type="pct"/>
            <w:shd w:val="clear" w:color="auto" w:fill="auto"/>
          </w:tcPr>
          <w:p w14:paraId="223D8DDC" w14:textId="77777777" w:rsidR="00891965" w:rsidRPr="00A74236" w:rsidRDefault="00891965" w:rsidP="00DB2E12">
            <w:pPr>
              <w:pStyle w:val="TableText0"/>
            </w:pPr>
            <w:r w:rsidRPr="00A74236">
              <w:t>Fruquintinib 5 mg once daily for 21 days, followed by 7 days off to complete a 28-day cycle.</w:t>
            </w:r>
          </w:p>
        </w:tc>
      </w:tr>
      <w:tr w:rsidR="00891965" w:rsidRPr="00A74236" w14:paraId="56A3DFF8" w14:textId="77777777" w:rsidTr="004E70AA">
        <w:trPr>
          <w:cantSplit/>
        </w:trPr>
        <w:tc>
          <w:tcPr>
            <w:tcW w:w="729" w:type="pct"/>
            <w:shd w:val="clear" w:color="auto" w:fill="auto"/>
          </w:tcPr>
          <w:p w14:paraId="486AEFC3" w14:textId="77777777" w:rsidR="00891965" w:rsidRPr="00A74236" w:rsidRDefault="00891965" w:rsidP="00DB2E12">
            <w:pPr>
              <w:pStyle w:val="TableText0"/>
            </w:pPr>
            <w:r w:rsidRPr="00A74236">
              <w:t>Comparator</w:t>
            </w:r>
          </w:p>
        </w:tc>
        <w:tc>
          <w:tcPr>
            <w:tcW w:w="4271" w:type="pct"/>
            <w:shd w:val="clear" w:color="auto" w:fill="auto"/>
          </w:tcPr>
          <w:p w14:paraId="497CDFD6" w14:textId="3AC90927" w:rsidR="00891965" w:rsidRPr="00A74236" w:rsidRDefault="008267A0" w:rsidP="00DB2E12">
            <w:pPr>
              <w:pStyle w:val="TableText0"/>
            </w:pPr>
            <w:r>
              <w:t>TRI/TIP</w:t>
            </w:r>
            <w:r w:rsidRPr="00A74236">
              <w:t xml:space="preserve"> </w:t>
            </w:r>
            <w:r w:rsidR="00891965" w:rsidRPr="00A74236">
              <w:t>35 mg/m</w:t>
            </w:r>
            <w:r w:rsidR="00891965" w:rsidRPr="00A74236">
              <w:rPr>
                <w:vertAlign w:val="superscript"/>
              </w:rPr>
              <w:t>2</w:t>
            </w:r>
            <w:r w:rsidR="00891965" w:rsidRPr="00A74236">
              <w:t>/dose based on the trifluridine component twice daily on Days 1-5 and Days 8-12 of a 28-day cycle.</w:t>
            </w:r>
          </w:p>
        </w:tc>
      </w:tr>
      <w:tr w:rsidR="00891965" w:rsidRPr="00A74236" w14:paraId="377334F9" w14:textId="77777777" w:rsidTr="004E70AA">
        <w:trPr>
          <w:cantSplit/>
        </w:trPr>
        <w:tc>
          <w:tcPr>
            <w:tcW w:w="729" w:type="pct"/>
            <w:shd w:val="clear" w:color="auto" w:fill="auto"/>
          </w:tcPr>
          <w:p w14:paraId="67D41504" w14:textId="77777777" w:rsidR="00891965" w:rsidRPr="00A74236" w:rsidRDefault="00891965" w:rsidP="00DB2E12">
            <w:pPr>
              <w:pStyle w:val="TableText0"/>
            </w:pPr>
            <w:r w:rsidRPr="00A74236">
              <w:t>Outcomes</w:t>
            </w:r>
          </w:p>
        </w:tc>
        <w:tc>
          <w:tcPr>
            <w:tcW w:w="4271" w:type="pct"/>
            <w:shd w:val="clear" w:color="auto" w:fill="auto"/>
          </w:tcPr>
          <w:p w14:paraId="4E37382F" w14:textId="77777777" w:rsidR="00891965" w:rsidRPr="00A74236" w:rsidRDefault="00891965" w:rsidP="00DB2E12">
            <w:pPr>
              <w:pStyle w:val="TableText0"/>
              <w:rPr>
                <w:rFonts w:eastAsia="Times New Roman" w:cs="Arial"/>
                <w:bCs w:val="0"/>
                <w:snapToGrid w:val="0"/>
                <w:color w:val="0066FF"/>
                <w:szCs w:val="20"/>
              </w:rPr>
            </w:pPr>
            <w:r w:rsidRPr="00A74236">
              <w:t>PFS, OS, time to worsening of ECOG PS and safety.</w:t>
            </w:r>
          </w:p>
        </w:tc>
      </w:tr>
      <w:tr w:rsidR="00891965" w:rsidRPr="00A74236" w14:paraId="424906AD" w14:textId="77777777" w:rsidTr="004E70AA">
        <w:trPr>
          <w:cantSplit/>
        </w:trPr>
        <w:tc>
          <w:tcPr>
            <w:tcW w:w="729" w:type="pct"/>
            <w:shd w:val="clear" w:color="auto" w:fill="auto"/>
          </w:tcPr>
          <w:p w14:paraId="59C3FC63" w14:textId="77777777" w:rsidR="00891965" w:rsidRPr="00A74236" w:rsidRDefault="00891965" w:rsidP="00DB2E12">
            <w:pPr>
              <w:pStyle w:val="TableText0"/>
            </w:pPr>
            <w:r w:rsidRPr="00A74236">
              <w:t>Clinical claim</w:t>
            </w:r>
          </w:p>
        </w:tc>
        <w:tc>
          <w:tcPr>
            <w:tcW w:w="4271" w:type="pct"/>
            <w:shd w:val="clear" w:color="auto" w:fill="auto"/>
          </w:tcPr>
          <w:p w14:paraId="4EB64A31" w14:textId="754C6DD2" w:rsidR="00891965" w:rsidRPr="00A74236" w:rsidRDefault="00891965" w:rsidP="00DB2E12">
            <w:pPr>
              <w:pStyle w:val="TableText0"/>
              <w:rPr>
                <w:rFonts w:eastAsia="Times New Roman" w:cs="Arial"/>
                <w:bCs w:val="0"/>
                <w:snapToGrid w:val="0"/>
                <w:color w:val="0066FF"/>
                <w:szCs w:val="20"/>
              </w:rPr>
            </w:pPr>
            <w:r w:rsidRPr="00A74236">
              <w:t xml:space="preserve">In patients with mCRC, who have been previously treated with or are not considered candidates for fluoropyrimidine-, oxaliplatin-, and irinotecan-based chemotherapy, an anti-VEGF therapy, and an anti-EGFR therapy, fruquintinib provides non-inferior OS and PFS, and a non-inferior safety profile compared to </w:t>
            </w:r>
            <w:r w:rsidR="008267A0">
              <w:t>TRI/TIP</w:t>
            </w:r>
            <w:r w:rsidRPr="00A74236">
              <w:t>.</w:t>
            </w:r>
          </w:p>
        </w:tc>
      </w:tr>
    </w:tbl>
    <w:p w14:paraId="069202A1" w14:textId="77777777" w:rsidR="00891965" w:rsidRPr="00A74236" w:rsidRDefault="00891965" w:rsidP="00891965">
      <w:pPr>
        <w:pStyle w:val="FooterTableFigure"/>
      </w:pPr>
      <w:r w:rsidRPr="00A74236">
        <w:t xml:space="preserve">Source: Table 1-1, p15 of the submission. </w:t>
      </w:r>
    </w:p>
    <w:p w14:paraId="2A7B7D8E" w14:textId="28AC562C" w:rsidR="00891965" w:rsidRPr="00A74236" w:rsidRDefault="00891965" w:rsidP="00105320">
      <w:pPr>
        <w:pStyle w:val="FooterTableFigure"/>
        <w:spacing w:after="0"/>
        <w:rPr>
          <w:sz w:val="20"/>
        </w:rPr>
      </w:pPr>
      <w:r w:rsidRPr="00A74236">
        <w:t xml:space="preserve">ECOG PS = Eastern Cooperative Oncology Group Performance Status; EGFR = epidermal growth factor receptor; mCRC = metastatic colorectal cancer; OS = overall survival; PFS = progression-free survival; </w:t>
      </w:r>
      <w:bookmarkStart w:id="5" w:name="_Hlk169878785"/>
      <w:r w:rsidR="008267A0">
        <w:t>TRI/TIP</w:t>
      </w:r>
      <w:bookmarkEnd w:id="5"/>
      <w:r w:rsidR="008267A0">
        <w:t xml:space="preserve"> = </w:t>
      </w:r>
      <w:r w:rsidR="008267A0" w:rsidRPr="00A74236">
        <w:t>trifluridine/tipiracil</w:t>
      </w:r>
      <w:r w:rsidR="008267A0">
        <w:t xml:space="preserve">; </w:t>
      </w:r>
      <w:r w:rsidRPr="00A74236">
        <w:t>VEGF = vascular endothelial growth factor.</w:t>
      </w:r>
    </w:p>
    <w:p w14:paraId="5E8C8AB9" w14:textId="77777777" w:rsidR="00891965" w:rsidRPr="00A74236" w:rsidRDefault="00891965" w:rsidP="00891965">
      <w:pPr>
        <w:pStyle w:val="2-SectionHeading"/>
        <w:numPr>
          <w:ilvl w:val="0"/>
          <w:numId w:val="1"/>
        </w:numPr>
      </w:pPr>
      <w:bookmarkStart w:id="6" w:name="_Toc107927619"/>
      <w:bookmarkStart w:id="7" w:name="_Toc166861353"/>
      <w:r w:rsidRPr="00A74236">
        <w:t>Background</w:t>
      </w:r>
      <w:bookmarkEnd w:id="6"/>
      <w:bookmarkEnd w:id="7"/>
    </w:p>
    <w:p w14:paraId="50B2C8C0" w14:textId="77777777" w:rsidR="00891965" w:rsidRPr="00A74236" w:rsidRDefault="00891965" w:rsidP="00891965">
      <w:pPr>
        <w:pStyle w:val="4-SubsectionHeading"/>
      </w:pPr>
      <w:bookmarkStart w:id="8" w:name="_Toc22897638"/>
      <w:bookmarkStart w:id="9" w:name="_Toc107927620"/>
      <w:bookmarkStart w:id="10" w:name="_Toc166861354"/>
      <w:r w:rsidRPr="00A74236">
        <w:t>Registration status</w:t>
      </w:r>
      <w:bookmarkEnd w:id="8"/>
      <w:bookmarkEnd w:id="9"/>
      <w:bookmarkEnd w:id="10"/>
    </w:p>
    <w:p w14:paraId="33E18093" w14:textId="43D64835" w:rsidR="00891965" w:rsidRPr="00891965" w:rsidRDefault="00891965" w:rsidP="003C1F76">
      <w:pPr>
        <w:pStyle w:val="3-BodyText"/>
        <w:rPr>
          <w:color w:val="0066FF"/>
        </w:rPr>
      </w:pPr>
      <w:r w:rsidRPr="002D44A0">
        <w:t xml:space="preserve">The submission was made under the TGA/PBAC Parallel Process. </w:t>
      </w:r>
      <w:bookmarkStart w:id="11" w:name="_Hlk164266440"/>
      <w:r w:rsidRPr="002D44A0">
        <w:t>At the time of</w:t>
      </w:r>
      <w:r w:rsidR="00BE0A96">
        <w:t xml:space="preserve"> </w:t>
      </w:r>
      <w:r w:rsidRPr="002D44A0">
        <w:t>PBAC consideration</w:t>
      </w:r>
      <w:r w:rsidR="00BE0A96">
        <w:t>, t</w:t>
      </w:r>
      <w:r w:rsidRPr="002D44A0">
        <w:t>he TGA Delegate’s Overview</w:t>
      </w:r>
      <w:r w:rsidR="00BE0A96">
        <w:t xml:space="preserve"> was available</w:t>
      </w:r>
      <w:r w:rsidRPr="002D44A0">
        <w:t>.</w:t>
      </w:r>
    </w:p>
    <w:p w14:paraId="75CC5D04" w14:textId="6DFF0FD1" w:rsidR="00891965" w:rsidRPr="00891965" w:rsidRDefault="00891965" w:rsidP="003C1F76">
      <w:pPr>
        <w:pStyle w:val="3-BodyText"/>
        <w:rPr>
          <w:color w:val="0066FF"/>
        </w:rPr>
      </w:pPr>
      <w:r w:rsidRPr="00A74236">
        <w:t xml:space="preserve">Fruquintinib is being evaluated under </w:t>
      </w:r>
      <w:r w:rsidR="00A42CA4" w:rsidRPr="00A42CA4">
        <w:t>an Orbis-Access hybrid collaboration pilot</w:t>
      </w:r>
      <w:r w:rsidR="00A42CA4">
        <w:t xml:space="preserve"> pathway (Project Orbis and </w:t>
      </w:r>
      <w:r w:rsidRPr="00A74236">
        <w:t>Access New Active Substance Work-Sharing Initiative</w:t>
      </w:r>
      <w:r w:rsidR="00A42CA4">
        <w:t>). The proposed TGA</w:t>
      </w:r>
      <w:r w:rsidRPr="00A74236">
        <w:t xml:space="preserve"> indication</w:t>
      </w:r>
      <w:r w:rsidR="00A42CA4">
        <w:t xml:space="preserve"> is</w:t>
      </w:r>
      <w:r w:rsidRPr="00A74236">
        <w:t>:</w:t>
      </w:r>
    </w:p>
    <w:p w14:paraId="3C19588A" w14:textId="4C1ABC2C" w:rsidR="00891965" w:rsidRPr="00A74236" w:rsidRDefault="00074A1E" w:rsidP="00DE7B7E">
      <w:pPr>
        <w:pStyle w:val="ListParagraph"/>
        <w:numPr>
          <w:ilvl w:val="0"/>
          <w:numId w:val="0"/>
        </w:numPr>
        <w:ind w:left="1134"/>
      </w:pPr>
      <w:r>
        <w:t>“</w:t>
      </w:r>
      <w:r w:rsidR="00891965" w:rsidRPr="00A74236">
        <w:t xml:space="preserve">For the treatment of adult patients with mCRC who have been previously treated with or are not considered candidates for available therapies, including </w:t>
      </w:r>
      <w:r w:rsidR="00891965" w:rsidRPr="00A74236">
        <w:lastRenderedPageBreak/>
        <w:t>fluoropyrimidine-, oxaliplatin-, and irinotecan-based chemotherapy, an anti-vascular endothelial growth factor (VEGF) therapy, and an anti-epidermal growth factor receptor (EGFR) therapy.</w:t>
      </w:r>
      <w:r>
        <w:t>”</w:t>
      </w:r>
    </w:p>
    <w:p w14:paraId="63CD5BF6" w14:textId="6F5EEEF4" w:rsidR="001C2C3A" w:rsidRPr="00094104" w:rsidRDefault="003C3CB6" w:rsidP="003C1F76">
      <w:pPr>
        <w:pStyle w:val="3-BodyText"/>
      </w:pPr>
      <w:bookmarkStart w:id="12" w:name="_Hlk164266463"/>
      <w:bookmarkEnd w:id="11"/>
      <w:r>
        <w:t>In</w:t>
      </w:r>
      <w:r w:rsidR="00891965" w:rsidRPr="00A74236">
        <w:t xml:space="preserve"> November 2023, fruquintinib was granted approval by the Food and Drug Administration (FDA) under Project Orbis</w:t>
      </w:r>
      <w:r w:rsidR="000E6093">
        <w:t xml:space="preserve"> for </w:t>
      </w:r>
      <w:r w:rsidR="000E6093" w:rsidRPr="000E6093">
        <w:t>adult patients with</w:t>
      </w:r>
      <w:r w:rsidR="000E6093">
        <w:t xml:space="preserve"> mCRC</w:t>
      </w:r>
      <w:r w:rsidR="000E6093" w:rsidRPr="000E6093">
        <w:t xml:space="preserve"> who</w:t>
      </w:r>
      <w:r w:rsidR="00F21DE9">
        <w:t xml:space="preserve"> had</w:t>
      </w:r>
      <w:r w:rsidR="000E6093" w:rsidRPr="000E6093">
        <w:t xml:space="preserve"> received prior fluoropyrimidine-, oxaliplatin-, and irinotecan-based chemotherapy, an anti-VEGF therapy, and, if RAS wild-type and medically appropriate, an anti-EGFR therapy</w:t>
      </w:r>
      <w:r w:rsidR="00891965" w:rsidRPr="00A74236">
        <w:t xml:space="preserve">. </w:t>
      </w:r>
      <w:r w:rsidR="00891965" w:rsidRPr="00864B1A">
        <w:t>The FDA’s approval was based on the results from two double-blind, placebo-controlled, randomised trials of fruquintinib, FRESCO 1 and FRESCO 2</w:t>
      </w:r>
      <w:r w:rsidR="00891965" w:rsidRPr="004F3865">
        <w:t xml:space="preserve">. </w:t>
      </w:r>
      <w:r w:rsidR="001C2C3A" w:rsidRPr="004F3865">
        <w:t>Given the differences in prior therapy and patient population</w:t>
      </w:r>
      <w:r w:rsidR="00853B93" w:rsidRPr="004F3865">
        <w:t xml:space="preserve"> (single country; China)</w:t>
      </w:r>
      <w:r w:rsidR="001C2C3A" w:rsidRPr="004F3865">
        <w:t>, the FDA did not consider</w:t>
      </w:r>
      <w:r w:rsidR="00CC3E4C" w:rsidRPr="004F3865">
        <w:t xml:space="preserve"> the</w:t>
      </w:r>
      <w:r w:rsidR="001C2C3A" w:rsidRPr="004F3865">
        <w:t xml:space="preserve"> FRESCO</w:t>
      </w:r>
      <w:r w:rsidR="003E7B3E" w:rsidRPr="004F3865">
        <w:t xml:space="preserve"> 1</w:t>
      </w:r>
      <w:r w:rsidR="00CC3E4C" w:rsidRPr="004F3865">
        <w:t xml:space="preserve"> trial</w:t>
      </w:r>
      <w:r w:rsidR="001C2C3A" w:rsidRPr="004F3865">
        <w:t xml:space="preserve"> </w:t>
      </w:r>
      <w:r w:rsidR="00CC3E4C" w:rsidRPr="004F3865">
        <w:t>to be</w:t>
      </w:r>
      <w:r w:rsidR="001C2C3A" w:rsidRPr="004F3865">
        <w:t xml:space="preserve"> an adequate stand-alone trial to support </w:t>
      </w:r>
      <w:r w:rsidR="003E7B3E" w:rsidRPr="004F3865">
        <w:t xml:space="preserve">the </w:t>
      </w:r>
      <w:r w:rsidR="001C2C3A" w:rsidRPr="004F3865">
        <w:t xml:space="preserve">approval of fruquintinib. However, </w:t>
      </w:r>
      <w:r w:rsidR="00A612D9" w:rsidRPr="004F3865">
        <w:t xml:space="preserve">based on </w:t>
      </w:r>
      <w:r w:rsidR="001C2C3A" w:rsidRPr="004F3865">
        <w:t>the results from</w:t>
      </w:r>
      <w:r w:rsidR="00CC3E4C" w:rsidRPr="004F3865">
        <w:t xml:space="preserve"> the</w:t>
      </w:r>
      <w:r w:rsidR="001C2C3A" w:rsidRPr="004F3865">
        <w:t xml:space="preserve"> FRESCO</w:t>
      </w:r>
      <w:r w:rsidR="003E7B3E" w:rsidRPr="004F3865">
        <w:t xml:space="preserve"> 1</w:t>
      </w:r>
      <w:r w:rsidR="00CC3E4C" w:rsidRPr="004F3865">
        <w:t xml:space="preserve"> trial</w:t>
      </w:r>
      <w:r w:rsidR="00A612D9" w:rsidRPr="004F3865">
        <w:t>, the FDA considered that</w:t>
      </w:r>
      <w:r w:rsidR="001C2C3A" w:rsidRPr="004F3865">
        <w:t xml:space="preserve"> treatment with fruquintinib provided a clinically meaningful survival benefit</w:t>
      </w:r>
      <w:r w:rsidR="00A612D9" w:rsidRPr="004F3865">
        <w:t xml:space="preserve"> for patients who were refractory to standard therapy</w:t>
      </w:r>
      <w:r w:rsidR="001C2C3A" w:rsidRPr="004F3865">
        <w:t>. Although FRESCO</w:t>
      </w:r>
      <w:r w:rsidR="003E7B3E" w:rsidRPr="004F3865">
        <w:t xml:space="preserve"> </w:t>
      </w:r>
      <w:r w:rsidR="001C2C3A" w:rsidRPr="004F3865">
        <w:t>2 studied fruquintinib in a more refractory setting after disease progression on additional anticancer agents, in the context of the totality of the evidence,</w:t>
      </w:r>
      <w:r w:rsidR="00853B93" w:rsidRPr="004F3865">
        <w:t xml:space="preserve"> the</w:t>
      </w:r>
      <w:r w:rsidR="001C2C3A" w:rsidRPr="004F3865">
        <w:t xml:space="preserve"> FDA considered that the requested indicatio</w:t>
      </w:r>
      <w:r w:rsidR="00853B93" w:rsidRPr="004F3865">
        <w:t>n</w:t>
      </w:r>
      <w:r w:rsidR="001C2C3A" w:rsidRPr="004F3865">
        <w:t xml:space="preserve"> was </w:t>
      </w:r>
      <w:r w:rsidR="001C2C3A" w:rsidRPr="00094104">
        <w:t>supported</w:t>
      </w:r>
      <w:r w:rsidR="00084405" w:rsidRPr="00094104">
        <w:t xml:space="preserve"> (p18, FDA Multi-disciplinary Review and Evaluation)</w:t>
      </w:r>
      <w:r w:rsidR="001C2C3A" w:rsidRPr="00094104">
        <w:t>.</w:t>
      </w:r>
    </w:p>
    <w:p w14:paraId="7FCF3389" w14:textId="6D74C4C1" w:rsidR="00891965" w:rsidRDefault="003C3CB6" w:rsidP="001C2C3A">
      <w:pPr>
        <w:pStyle w:val="3-BodyText"/>
      </w:pPr>
      <w:r w:rsidRPr="00F11539">
        <w:t>In April 2024, fruquintinib was granted marketing authorisation</w:t>
      </w:r>
      <w:r w:rsidR="00891965" w:rsidRPr="00F11539">
        <w:t xml:space="preserve"> by the European Medicines Agency (EMA)</w:t>
      </w:r>
      <w:r w:rsidRPr="00F11539">
        <w:t xml:space="preserve"> for adult patients with mCRC who have been previously treated with available standard therapies, including fluoropyrimidine-, oxaliplatin-, and irinotecan</w:t>
      </w:r>
      <w:r w:rsidRPr="00F11539">
        <w:rPr>
          <w:rFonts w:ascii="Cambria Math" w:hAnsi="Cambria Math" w:cs="Cambria Math"/>
        </w:rPr>
        <w:t>‑</w:t>
      </w:r>
      <w:r w:rsidRPr="00F11539">
        <w:t>based chemotherapies, anti</w:t>
      </w:r>
      <w:r w:rsidRPr="00F11539">
        <w:rPr>
          <w:rFonts w:ascii="Cambria Math" w:hAnsi="Cambria Math" w:cs="Cambria Math"/>
        </w:rPr>
        <w:t>‑</w:t>
      </w:r>
      <w:r w:rsidRPr="00F11539">
        <w:t>VEGF agents, and anti</w:t>
      </w:r>
      <w:r w:rsidRPr="00F11539">
        <w:rPr>
          <w:rFonts w:ascii="Cambria Math" w:hAnsi="Cambria Math" w:cs="Cambria Math"/>
        </w:rPr>
        <w:t>‑</w:t>
      </w:r>
      <w:r w:rsidRPr="00F11539">
        <w:t>EGFR agents, and who have progressed on or are intolerant to treatment with either TRI/TIP or regorafenib</w:t>
      </w:r>
      <w:r w:rsidR="00891965" w:rsidRPr="00F11539">
        <w:t>.</w:t>
      </w:r>
      <w:r w:rsidRPr="00F11539">
        <w:t xml:space="preserve"> </w:t>
      </w:r>
      <w:bookmarkStart w:id="13" w:name="_Hlk170124027"/>
      <w:r w:rsidRPr="00F11539">
        <w:t>The ESC noted that, in contrast to the proposed TGA and approved FDA indications, the EMA supports the use of fruquintinib in patients</w:t>
      </w:r>
      <w:r w:rsidR="0021546C" w:rsidRPr="00F11539">
        <w:t xml:space="preserve"> </w:t>
      </w:r>
      <w:r w:rsidR="00371261" w:rsidRPr="00F11539">
        <w:t>following</w:t>
      </w:r>
      <w:r w:rsidRPr="00F11539">
        <w:t xml:space="preserve"> TRI/TIP</w:t>
      </w:r>
      <w:r w:rsidR="0021546C" w:rsidRPr="00F11539">
        <w:t xml:space="preserve"> </w:t>
      </w:r>
      <w:r w:rsidRPr="00F11539">
        <w:t>(unless intolerant or received prior regorafenib)</w:t>
      </w:r>
      <w:r w:rsidR="0021546C" w:rsidRPr="00F11539">
        <w:t xml:space="preserve"> </w:t>
      </w:r>
      <w:r w:rsidR="00286559" w:rsidRPr="00F11539">
        <w:t>rather than</w:t>
      </w:r>
      <w:r w:rsidR="0021546C" w:rsidRPr="00F11539">
        <w:t xml:space="preserve"> replacing/displacing TRI/TIP</w:t>
      </w:r>
      <w:r w:rsidRPr="00F11539">
        <w:t>.</w:t>
      </w:r>
      <w:bookmarkEnd w:id="13"/>
    </w:p>
    <w:p w14:paraId="3FAF99E2" w14:textId="2998491B" w:rsidR="00BE0A96" w:rsidRDefault="00BE0A96" w:rsidP="00BE0A96">
      <w:pPr>
        <w:pStyle w:val="3-BodyText"/>
      </w:pPr>
      <w:r>
        <w:t>Following Advisory Committee on Medicines (ACM) advice, the TGA Delegate proposed to approve the registration of fruquintinib for the requested indication. The Delegate noted that the advice of the ACM committee supports this approach regarding the indication wording, which is also aligned with the approach taken by FDA. The Delegate noted that infection and hepatotoxicity should be added as identified risks to the Risk Management Plan, and pancreatitis should be added as a potential risk for pharmacovigilance monitoring.</w:t>
      </w:r>
    </w:p>
    <w:p w14:paraId="5883F0D0" w14:textId="0F6E2E7B" w:rsidR="003D7422" w:rsidRPr="00F11539" w:rsidRDefault="003D7422" w:rsidP="003D7422">
      <w:pPr>
        <w:pStyle w:val="3-BodyText"/>
        <w:numPr>
          <w:ilvl w:val="0"/>
          <w:numId w:val="0"/>
        </w:numPr>
        <w:ind w:left="720"/>
      </w:pPr>
      <w:r w:rsidRPr="00C33D30">
        <w:rPr>
          <w:i/>
        </w:rPr>
        <w:t>For more detail on PBAC’s view, see section 7 PBAC outcome.</w:t>
      </w:r>
    </w:p>
    <w:p w14:paraId="4AF91D82" w14:textId="77777777" w:rsidR="00891965" w:rsidRPr="00911028" w:rsidRDefault="00891965" w:rsidP="00891965">
      <w:pPr>
        <w:pStyle w:val="2-SectionHeading"/>
        <w:numPr>
          <w:ilvl w:val="0"/>
          <w:numId w:val="1"/>
        </w:numPr>
      </w:pPr>
      <w:bookmarkStart w:id="14" w:name="_Toc107902078"/>
      <w:bookmarkStart w:id="15" w:name="_Toc107927622"/>
      <w:bookmarkStart w:id="16" w:name="_Toc166861355"/>
      <w:bookmarkEnd w:id="12"/>
      <w:bookmarkEnd w:id="14"/>
      <w:r w:rsidRPr="00911028">
        <w:t>Requested listing</w:t>
      </w:r>
      <w:bookmarkEnd w:id="15"/>
      <w:bookmarkEnd w:id="16"/>
    </w:p>
    <w:p w14:paraId="3AAC73D7" w14:textId="233F46FC" w:rsidR="00891965" w:rsidRPr="00CE491A" w:rsidRDefault="00911028" w:rsidP="00891965">
      <w:pPr>
        <w:pStyle w:val="3-BodyText"/>
        <w:rPr>
          <w:iCs/>
        </w:rPr>
      </w:pPr>
      <w:r w:rsidRPr="00911028">
        <w:t>The requested listing is presented below. 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302"/>
        <w:gridCol w:w="1302"/>
        <w:gridCol w:w="1302"/>
        <w:gridCol w:w="1302"/>
        <w:gridCol w:w="1410"/>
      </w:tblGrid>
      <w:tr w:rsidR="003259B8" w:rsidRPr="008D1910" w14:paraId="6BE2AF46" w14:textId="77777777" w:rsidTr="00CE491A">
        <w:tc>
          <w:tcPr>
            <w:tcW w:w="1330" w:type="pct"/>
          </w:tcPr>
          <w:p w14:paraId="41DBAC77" w14:textId="77777777" w:rsidR="003259B8" w:rsidRPr="00CE491A" w:rsidRDefault="003259B8" w:rsidP="00BD34AA">
            <w:pPr>
              <w:keepNext/>
              <w:keepLines/>
              <w:rPr>
                <w:rFonts w:ascii="Arial Narrow" w:hAnsi="Arial Narrow"/>
                <w:b/>
                <w:bCs/>
                <w:sz w:val="20"/>
                <w:szCs w:val="20"/>
              </w:rPr>
            </w:pPr>
            <w:r w:rsidRPr="00CE491A">
              <w:rPr>
                <w:rFonts w:ascii="Arial Narrow" w:hAnsi="Arial Narrow"/>
                <w:b/>
                <w:bCs/>
                <w:sz w:val="20"/>
                <w:szCs w:val="20"/>
              </w:rPr>
              <w:lastRenderedPageBreak/>
              <w:t>MEDICINAL PRODUCT</w:t>
            </w:r>
          </w:p>
          <w:p w14:paraId="23742407" w14:textId="77777777" w:rsidR="003259B8" w:rsidRPr="00CE491A" w:rsidRDefault="003259B8" w:rsidP="00BD34AA">
            <w:pPr>
              <w:keepNext/>
              <w:keepLines/>
              <w:rPr>
                <w:rFonts w:ascii="Arial Narrow" w:hAnsi="Arial Narrow"/>
                <w:b/>
                <w:bCs/>
                <w:sz w:val="20"/>
                <w:szCs w:val="20"/>
              </w:rPr>
            </w:pPr>
            <w:r w:rsidRPr="00CE491A">
              <w:rPr>
                <w:rFonts w:ascii="Arial Narrow" w:hAnsi="Arial Narrow"/>
                <w:b/>
                <w:bCs/>
                <w:sz w:val="20"/>
                <w:szCs w:val="20"/>
              </w:rPr>
              <w:t>medicinal product pack</w:t>
            </w:r>
          </w:p>
        </w:tc>
        <w:tc>
          <w:tcPr>
            <w:tcW w:w="722" w:type="pct"/>
            <w:shd w:val="clear" w:color="auto" w:fill="auto"/>
          </w:tcPr>
          <w:p w14:paraId="3996EF5E" w14:textId="77777777" w:rsidR="003259B8" w:rsidRPr="00CE491A" w:rsidRDefault="003259B8" w:rsidP="00BD34AA">
            <w:pPr>
              <w:keepNext/>
              <w:keepLines/>
              <w:jc w:val="center"/>
              <w:rPr>
                <w:rFonts w:ascii="Arial Narrow" w:hAnsi="Arial Narrow"/>
                <w:b/>
                <w:bCs/>
                <w:sz w:val="20"/>
                <w:szCs w:val="20"/>
              </w:rPr>
            </w:pPr>
            <w:r w:rsidRPr="00CE491A">
              <w:rPr>
                <w:rFonts w:ascii="Arial Narrow" w:hAnsi="Arial Narrow"/>
                <w:b/>
                <w:bCs/>
                <w:sz w:val="20"/>
                <w:szCs w:val="20"/>
              </w:rPr>
              <w:t>PBS item code</w:t>
            </w:r>
          </w:p>
        </w:tc>
        <w:tc>
          <w:tcPr>
            <w:tcW w:w="722" w:type="pct"/>
            <w:shd w:val="clear" w:color="auto" w:fill="auto"/>
          </w:tcPr>
          <w:p w14:paraId="6E69C648" w14:textId="77777777" w:rsidR="003259B8" w:rsidRPr="00CE491A" w:rsidRDefault="003259B8" w:rsidP="00BD34AA">
            <w:pPr>
              <w:keepNext/>
              <w:keepLines/>
              <w:jc w:val="center"/>
              <w:rPr>
                <w:rFonts w:ascii="Arial Narrow" w:hAnsi="Arial Narrow"/>
                <w:b/>
                <w:bCs/>
                <w:sz w:val="20"/>
                <w:szCs w:val="20"/>
              </w:rPr>
            </w:pPr>
            <w:r w:rsidRPr="00CE491A">
              <w:rPr>
                <w:rFonts w:ascii="Arial Narrow" w:hAnsi="Arial Narrow"/>
                <w:b/>
                <w:bCs/>
                <w:sz w:val="20"/>
                <w:szCs w:val="20"/>
              </w:rPr>
              <w:t>Max. qty packs</w:t>
            </w:r>
          </w:p>
        </w:tc>
        <w:tc>
          <w:tcPr>
            <w:tcW w:w="722" w:type="pct"/>
            <w:shd w:val="clear" w:color="auto" w:fill="auto"/>
          </w:tcPr>
          <w:p w14:paraId="6AE8AFE4" w14:textId="77777777" w:rsidR="003259B8" w:rsidRPr="00CE491A" w:rsidRDefault="003259B8" w:rsidP="00BD34AA">
            <w:pPr>
              <w:keepNext/>
              <w:keepLines/>
              <w:jc w:val="center"/>
              <w:rPr>
                <w:rFonts w:ascii="Arial Narrow" w:hAnsi="Arial Narrow"/>
                <w:b/>
                <w:bCs/>
                <w:sz w:val="20"/>
                <w:szCs w:val="20"/>
              </w:rPr>
            </w:pPr>
            <w:r w:rsidRPr="00CE491A">
              <w:rPr>
                <w:rFonts w:ascii="Arial Narrow" w:hAnsi="Arial Narrow"/>
                <w:b/>
                <w:bCs/>
                <w:sz w:val="20"/>
                <w:szCs w:val="20"/>
              </w:rPr>
              <w:t>Max. qty units</w:t>
            </w:r>
          </w:p>
        </w:tc>
        <w:tc>
          <w:tcPr>
            <w:tcW w:w="722" w:type="pct"/>
            <w:shd w:val="clear" w:color="auto" w:fill="auto"/>
          </w:tcPr>
          <w:p w14:paraId="7BB0A1DB" w14:textId="77777777" w:rsidR="003259B8" w:rsidRPr="00CE491A" w:rsidRDefault="003259B8" w:rsidP="00BD34AA">
            <w:pPr>
              <w:keepNext/>
              <w:keepLines/>
              <w:jc w:val="center"/>
              <w:rPr>
                <w:rFonts w:ascii="Arial Narrow" w:hAnsi="Arial Narrow"/>
                <w:b/>
                <w:bCs/>
                <w:sz w:val="20"/>
                <w:szCs w:val="20"/>
              </w:rPr>
            </w:pPr>
            <w:r w:rsidRPr="00CE491A">
              <w:rPr>
                <w:rFonts w:ascii="Arial Narrow" w:hAnsi="Arial Narrow"/>
                <w:b/>
                <w:bCs/>
                <w:sz w:val="20"/>
                <w:szCs w:val="20"/>
              </w:rPr>
              <w:t>№. of</w:t>
            </w:r>
          </w:p>
          <w:p w14:paraId="423E3B48" w14:textId="77777777" w:rsidR="003259B8" w:rsidRPr="00CE491A" w:rsidRDefault="003259B8" w:rsidP="00BD34AA">
            <w:pPr>
              <w:keepNext/>
              <w:keepLines/>
              <w:jc w:val="center"/>
              <w:rPr>
                <w:rFonts w:ascii="Arial Narrow" w:hAnsi="Arial Narrow"/>
                <w:b/>
                <w:bCs/>
                <w:sz w:val="20"/>
                <w:szCs w:val="20"/>
              </w:rPr>
            </w:pPr>
            <w:r w:rsidRPr="00CE491A">
              <w:rPr>
                <w:rFonts w:ascii="Arial Narrow" w:hAnsi="Arial Narrow"/>
                <w:b/>
                <w:bCs/>
                <w:sz w:val="20"/>
                <w:szCs w:val="20"/>
              </w:rPr>
              <w:t>Rpts</w:t>
            </w:r>
          </w:p>
        </w:tc>
        <w:tc>
          <w:tcPr>
            <w:tcW w:w="782" w:type="pct"/>
            <w:shd w:val="clear" w:color="auto" w:fill="auto"/>
          </w:tcPr>
          <w:p w14:paraId="68750236" w14:textId="77777777" w:rsidR="003259B8" w:rsidRPr="00CE491A" w:rsidRDefault="003259B8" w:rsidP="00BD34AA">
            <w:pPr>
              <w:keepNext/>
              <w:keepLines/>
              <w:jc w:val="center"/>
              <w:rPr>
                <w:rFonts w:ascii="Arial Narrow" w:hAnsi="Arial Narrow"/>
                <w:b/>
                <w:bCs/>
                <w:sz w:val="20"/>
                <w:szCs w:val="20"/>
              </w:rPr>
            </w:pPr>
            <w:r w:rsidRPr="00CE491A">
              <w:rPr>
                <w:rFonts w:ascii="Arial Narrow" w:hAnsi="Arial Narrow"/>
                <w:b/>
                <w:bCs/>
                <w:sz w:val="20"/>
                <w:szCs w:val="20"/>
              </w:rPr>
              <w:t>Available brands</w:t>
            </w:r>
          </w:p>
        </w:tc>
      </w:tr>
      <w:tr w:rsidR="003259B8" w:rsidRPr="008D1910" w14:paraId="10B4A53D" w14:textId="77777777" w:rsidTr="00BD34AA">
        <w:tc>
          <w:tcPr>
            <w:tcW w:w="5000" w:type="pct"/>
            <w:gridSpan w:val="6"/>
          </w:tcPr>
          <w:p w14:paraId="726B1294" w14:textId="77777777" w:rsidR="003259B8" w:rsidRPr="00CE491A" w:rsidRDefault="003259B8" w:rsidP="00BD34AA">
            <w:pPr>
              <w:keepNext/>
              <w:keepLines/>
              <w:rPr>
                <w:rFonts w:ascii="Arial Narrow" w:hAnsi="Arial Narrow"/>
                <w:sz w:val="20"/>
                <w:szCs w:val="20"/>
              </w:rPr>
            </w:pPr>
            <w:r w:rsidRPr="00CE491A">
              <w:rPr>
                <w:rFonts w:ascii="Arial Narrow" w:hAnsi="Arial Narrow"/>
                <w:sz w:val="20"/>
                <w:szCs w:val="20"/>
              </w:rPr>
              <w:t>FRUQUINTINIB</w:t>
            </w:r>
          </w:p>
        </w:tc>
      </w:tr>
      <w:tr w:rsidR="003259B8" w:rsidRPr="008D1910" w14:paraId="5F4EAE20" w14:textId="77777777" w:rsidTr="00CE491A">
        <w:tc>
          <w:tcPr>
            <w:tcW w:w="1330" w:type="pct"/>
          </w:tcPr>
          <w:p w14:paraId="7D33D72B" w14:textId="77777777" w:rsidR="003259B8" w:rsidRPr="00CE491A" w:rsidRDefault="003259B8" w:rsidP="00BD34AA">
            <w:pPr>
              <w:keepNext/>
              <w:keepLines/>
              <w:rPr>
                <w:rFonts w:ascii="Arial Narrow" w:hAnsi="Arial Narrow"/>
                <w:sz w:val="20"/>
                <w:szCs w:val="20"/>
              </w:rPr>
            </w:pPr>
            <w:r w:rsidRPr="00CE491A">
              <w:rPr>
                <w:rFonts w:ascii="Arial Narrow" w:hAnsi="Arial Narrow"/>
                <w:sz w:val="20"/>
                <w:szCs w:val="20"/>
              </w:rPr>
              <w:t>fruquintinib 5 mg capsule, 21</w:t>
            </w:r>
          </w:p>
        </w:tc>
        <w:tc>
          <w:tcPr>
            <w:tcW w:w="722" w:type="pct"/>
            <w:shd w:val="clear" w:color="auto" w:fill="auto"/>
          </w:tcPr>
          <w:p w14:paraId="48D28DCC"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NEW</w:t>
            </w:r>
          </w:p>
        </w:tc>
        <w:tc>
          <w:tcPr>
            <w:tcW w:w="722" w:type="pct"/>
            <w:shd w:val="clear" w:color="auto" w:fill="auto"/>
          </w:tcPr>
          <w:p w14:paraId="5096AAA4"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1</w:t>
            </w:r>
          </w:p>
        </w:tc>
        <w:tc>
          <w:tcPr>
            <w:tcW w:w="722" w:type="pct"/>
            <w:shd w:val="clear" w:color="auto" w:fill="auto"/>
          </w:tcPr>
          <w:p w14:paraId="3F1D461F"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21</w:t>
            </w:r>
          </w:p>
        </w:tc>
        <w:tc>
          <w:tcPr>
            <w:tcW w:w="722" w:type="pct"/>
            <w:shd w:val="clear" w:color="auto" w:fill="auto"/>
          </w:tcPr>
          <w:p w14:paraId="6117E65B"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5</w:t>
            </w:r>
          </w:p>
        </w:tc>
        <w:tc>
          <w:tcPr>
            <w:tcW w:w="782" w:type="pct"/>
            <w:shd w:val="clear" w:color="auto" w:fill="auto"/>
          </w:tcPr>
          <w:p w14:paraId="6CED1BC1" w14:textId="77777777" w:rsidR="003259B8" w:rsidRPr="00CE491A" w:rsidRDefault="003259B8" w:rsidP="00BD34AA">
            <w:pPr>
              <w:keepNext/>
              <w:keepLines/>
              <w:rPr>
                <w:rFonts w:ascii="Arial Narrow" w:hAnsi="Arial Narrow"/>
                <w:sz w:val="20"/>
                <w:szCs w:val="20"/>
              </w:rPr>
            </w:pPr>
            <w:r w:rsidRPr="00CE491A">
              <w:rPr>
                <w:rFonts w:ascii="Arial Narrow" w:hAnsi="Arial Narrow"/>
                <w:sz w:val="20"/>
                <w:szCs w:val="20"/>
              </w:rPr>
              <w:t>Fruzaqla</w:t>
            </w:r>
            <w:r w:rsidRPr="00CE491A">
              <w:rPr>
                <w:rFonts w:cs="Calibri"/>
                <w:sz w:val="20"/>
                <w:szCs w:val="20"/>
              </w:rPr>
              <w:t>®</w:t>
            </w:r>
          </w:p>
        </w:tc>
      </w:tr>
      <w:tr w:rsidR="003259B8" w:rsidRPr="008D1910" w14:paraId="790167BC" w14:textId="77777777" w:rsidTr="00CE491A">
        <w:tc>
          <w:tcPr>
            <w:tcW w:w="1330" w:type="pct"/>
          </w:tcPr>
          <w:p w14:paraId="687AFAEF" w14:textId="77777777" w:rsidR="003259B8" w:rsidRPr="00CE491A" w:rsidRDefault="003259B8" w:rsidP="00BD34AA">
            <w:pPr>
              <w:keepNext/>
              <w:keepLines/>
              <w:rPr>
                <w:rFonts w:ascii="Arial Narrow" w:hAnsi="Arial Narrow"/>
                <w:sz w:val="20"/>
                <w:szCs w:val="20"/>
              </w:rPr>
            </w:pPr>
            <w:r w:rsidRPr="00CE491A">
              <w:rPr>
                <w:rFonts w:ascii="Arial Narrow" w:hAnsi="Arial Narrow"/>
                <w:sz w:val="20"/>
                <w:szCs w:val="20"/>
              </w:rPr>
              <w:t>fruquintinib 1 mg capsule, 21</w:t>
            </w:r>
          </w:p>
        </w:tc>
        <w:tc>
          <w:tcPr>
            <w:tcW w:w="722" w:type="pct"/>
            <w:shd w:val="clear" w:color="auto" w:fill="auto"/>
          </w:tcPr>
          <w:p w14:paraId="50F97F96"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NEW</w:t>
            </w:r>
          </w:p>
        </w:tc>
        <w:tc>
          <w:tcPr>
            <w:tcW w:w="722" w:type="pct"/>
            <w:shd w:val="clear" w:color="auto" w:fill="auto"/>
          </w:tcPr>
          <w:p w14:paraId="0EA07264"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4</w:t>
            </w:r>
          </w:p>
        </w:tc>
        <w:tc>
          <w:tcPr>
            <w:tcW w:w="722" w:type="pct"/>
            <w:shd w:val="clear" w:color="auto" w:fill="auto"/>
          </w:tcPr>
          <w:p w14:paraId="3C511216"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84</w:t>
            </w:r>
          </w:p>
        </w:tc>
        <w:tc>
          <w:tcPr>
            <w:tcW w:w="722" w:type="pct"/>
            <w:shd w:val="clear" w:color="auto" w:fill="auto"/>
          </w:tcPr>
          <w:p w14:paraId="0D2FB2D5" w14:textId="77777777" w:rsidR="003259B8" w:rsidRPr="00CE491A" w:rsidRDefault="003259B8" w:rsidP="00BD34AA">
            <w:pPr>
              <w:keepNext/>
              <w:keepLines/>
              <w:jc w:val="center"/>
              <w:rPr>
                <w:rFonts w:ascii="Arial Narrow" w:hAnsi="Arial Narrow"/>
                <w:sz w:val="20"/>
                <w:szCs w:val="20"/>
              </w:rPr>
            </w:pPr>
            <w:r w:rsidRPr="00CE491A">
              <w:rPr>
                <w:rFonts w:ascii="Arial Narrow" w:hAnsi="Arial Narrow"/>
                <w:sz w:val="20"/>
                <w:szCs w:val="20"/>
              </w:rPr>
              <w:t>5</w:t>
            </w:r>
          </w:p>
        </w:tc>
        <w:tc>
          <w:tcPr>
            <w:tcW w:w="782" w:type="pct"/>
            <w:shd w:val="clear" w:color="auto" w:fill="auto"/>
          </w:tcPr>
          <w:p w14:paraId="79EC4AE0" w14:textId="77777777" w:rsidR="003259B8" w:rsidRPr="00CE491A" w:rsidRDefault="003259B8" w:rsidP="00BD34AA">
            <w:pPr>
              <w:keepNext/>
              <w:keepLines/>
              <w:rPr>
                <w:rFonts w:ascii="Arial Narrow" w:hAnsi="Arial Narrow"/>
                <w:sz w:val="20"/>
                <w:szCs w:val="20"/>
              </w:rPr>
            </w:pPr>
            <w:r w:rsidRPr="00CE491A">
              <w:rPr>
                <w:rFonts w:ascii="Arial Narrow" w:hAnsi="Arial Narrow"/>
                <w:sz w:val="20"/>
                <w:szCs w:val="20"/>
              </w:rPr>
              <w:t>Fruzaqla</w:t>
            </w:r>
            <w:r w:rsidRPr="00CE491A">
              <w:rPr>
                <w:rFonts w:cs="Calibri"/>
                <w:sz w:val="20"/>
                <w:szCs w:val="20"/>
              </w:rPr>
              <w:t>®</w:t>
            </w:r>
          </w:p>
        </w:tc>
      </w:tr>
      <w:tr w:rsidR="003259B8" w:rsidRPr="008D1910" w14:paraId="7A46154B" w14:textId="77777777" w:rsidTr="00BD34AA">
        <w:tc>
          <w:tcPr>
            <w:tcW w:w="5000" w:type="pct"/>
            <w:gridSpan w:val="6"/>
          </w:tcPr>
          <w:p w14:paraId="45F59AF2" w14:textId="77777777" w:rsidR="003259B8" w:rsidRPr="00CE491A" w:rsidRDefault="003259B8" w:rsidP="00BD34AA">
            <w:pPr>
              <w:keepNext/>
              <w:keepLines/>
              <w:rPr>
                <w:rFonts w:ascii="Arial Narrow" w:hAnsi="Arial Narrow"/>
                <w:sz w:val="20"/>
                <w:szCs w:val="20"/>
              </w:rPr>
            </w:pPr>
          </w:p>
        </w:tc>
      </w:tr>
      <w:tr w:rsidR="003259B8" w:rsidRPr="008D1910" w14:paraId="76D20451" w14:textId="77777777" w:rsidTr="00BD34AA">
        <w:tc>
          <w:tcPr>
            <w:tcW w:w="5000" w:type="pct"/>
            <w:gridSpan w:val="6"/>
          </w:tcPr>
          <w:p w14:paraId="6DABE736" w14:textId="77777777" w:rsidR="003259B8" w:rsidRPr="00CE491A" w:rsidRDefault="003259B8" w:rsidP="00BD34AA">
            <w:pPr>
              <w:keepNext/>
              <w:keepLines/>
              <w:rPr>
                <w:rFonts w:ascii="Arial Narrow" w:hAnsi="Arial Narrow"/>
                <w:b/>
                <w:sz w:val="20"/>
                <w:szCs w:val="20"/>
                <w:lang w:val="en-GB"/>
              </w:rPr>
            </w:pPr>
            <w:r w:rsidRPr="00CE491A">
              <w:rPr>
                <w:rFonts w:ascii="Arial Narrow" w:hAnsi="Arial Narrow"/>
                <w:b/>
                <w:sz w:val="20"/>
                <w:szCs w:val="20"/>
                <w:lang w:val="en-GB"/>
              </w:rPr>
              <w:t>Restriction Summary [new] / Treatment of Concept: [new]</w:t>
            </w:r>
          </w:p>
        </w:tc>
      </w:tr>
      <w:tr w:rsidR="00CE491A" w:rsidRPr="008D1910" w14:paraId="74CA74E1"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0A518791" w14:textId="77777777" w:rsidR="00CE491A" w:rsidRPr="00CE491A" w:rsidRDefault="00CE491A" w:rsidP="00BD34AA">
            <w:pPr>
              <w:rPr>
                <w:rFonts w:ascii="Arial Narrow" w:hAnsi="Arial Narrow"/>
                <w:sz w:val="20"/>
                <w:szCs w:val="20"/>
              </w:rPr>
            </w:pPr>
            <w:r w:rsidRPr="00CE491A">
              <w:rPr>
                <w:rFonts w:ascii="Arial Narrow" w:hAnsi="Arial Narrow"/>
                <w:b/>
                <w:sz w:val="20"/>
                <w:szCs w:val="20"/>
              </w:rPr>
              <w:t xml:space="preserve">Category / Program:  </w:t>
            </w:r>
            <w:r w:rsidRPr="00CE491A">
              <w:rPr>
                <w:rFonts w:ascii="Arial Narrow" w:hAnsi="Arial Narrow"/>
                <w:sz w:val="20"/>
                <w:szCs w:val="20"/>
              </w:rPr>
              <w:t xml:space="preserve">GENERAL – General Schedule (Code GE) </w:t>
            </w:r>
          </w:p>
        </w:tc>
      </w:tr>
      <w:tr w:rsidR="00CE491A" w:rsidRPr="008D1910" w14:paraId="3FF215AD"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1DAAE3CE" w14:textId="77777777" w:rsidR="00CE491A" w:rsidRPr="00CE491A" w:rsidRDefault="00CE491A" w:rsidP="00BD34AA">
            <w:pPr>
              <w:rPr>
                <w:rFonts w:ascii="Arial Narrow" w:hAnsi="Arial Narrow"/>
                <w:b/>
                <w:sz w:val="20"/>
                <w:szCs w:val="20"/>
              </w:rPr>
            </w:pPr>
            <w:r w:rsidRPr="00CE491A">
              <w:rPr>
                <w:rFonts w:ascii="Arial Narrow" w:hAnsi="Arial Narrow"/>
                <w:b/>
                <w:sz w:val="20"/>
                <w:szCs w:val="20"/>
              </w:rPr>
              <w:t xml:space="preserve">Prescriber type:   </w:t>
            </w:r>
            <w:r w:rsidRPr="00CE491A">
              <w:rPr>
                <w:rFonts w:ascii="Arial Narrow" w:hAnsi="Arial Narrow"/>
                <w:sz w:val="20"/>
                <w:szCs w:val="20"/>
              </w:rPr>
              <w:fldChar w:fldCharType="begin">
                <w:ffData>
                  <w:name w:val=""/>
                  <w:enabled/>
                  <w:calcOnExit w:val="0"/>
                  <w:checkBox>
                    <w:sizeAuto/>
                    <w:default w:val="1"/>
                  </w:checkBox>
                </w:ffData>
              </w:fldChar>
            </w:r>
            <w:r w:rsidRPr="00CE491A">
              <w:rPr>
                <w:rFonts w:ascii="Arial Narrow" w:hAnsi="Arial Narrow"/>
                <w:sz w:val="20"/>
                <w:szCs w:val="20"/>
              </w:rPr>
              <w:instrText xml:space="preserve"> FORMCHECKBOX </w:instrText>
            </w:r>
            <w:r w:rsidRPr="00CE491A">
              <w:rPr>
                <w:rFonts w:ascii="Arial Narrow" w:hAnsi="Arial Narrow"/>
                <w:sz w:val="20"/>
                <w:szCs w:val="20"/>
              </w:rPr>
            </w:r>
            <w:r w:rsidRPr="00CE491A">
              <w:rPr>
                <w:rFonts w:ascii="Arial Narrow" w:hAnsi="Arial Narrow"/>
                <w:sz w:val="20"/>
                <w:szCs w:val="20"/>
              </w:rPr>
              <w:fldChar w:fldCharType="separate"/>
            </w:r>
            <w:r w:rsidRPr="00CE491A">
              <w:rPr>
                <w:rFonts w:ascii="Arial Narrow" w:hAnsi="Arial Narrow"/>
                <w:sz w:val="20"/>
                <w:szCs w:val="20"/>
              </w:rPr>
              <w:fldChar w:fldCharType="end"/>
            </w:r>
            <w:r w:rsidRPr="00CE491A">
              <w:rPr>
                <w:rFonts w:ascii="Arial Narrow" w:hAnsi="Arial Narrow"/>
                <w:sz w:val="20"/>
                <w:szCs w:val="20"/>
              </w:rPr>
              <w:t xml:space="preserve">Medical Practitioners    </w:t>
            </w:r>
          </w:p>
        </w:tc>
      </w:tr>
      <w:tr w:rsidR="00CE491A" w:rsidRPr="008D1910" w14:paraId="4E57E8E5"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1D02CA5" w14:textId="77777777" w:rsidR="00CE491A" w:rsidRPr="00CE491A" w:rsidRDefault="00CE491A" w:rsidP="00BD34AA">
            <w:pPr>
              <w:rPr>
                <w:rFonts w:ascii="Arial Narrow" w:hAnsi="Arial Narrow"/>
                <w:b/>
                <w:sz w:val="20"/>
                <w:szCs w:val="20"/>
              </w:rPr>
            </w:pPr>
            <w:r w:rsidRPr="00CE491A">
              <w:rPr>
                <w:rFonts w:ascii="Arial Narrow" w:hAnsi="Arial Narrow"/>
                <w:b/>
                <w:sz w:val="20"/>
                <w:szCs w:val="20"/>
              </w:rPr>
              <w:t xml:space="preserve">Restriction Type: </w:t>
            </w:r>
          </w:p>
          <w:p w14:paraId="3A4D9B9F" w14:textId="77777777" w:rsidR="00CE491A" w:rsidRPr="00CE491A" w:rsidRDefault="00CE491A" w:rsidP="00BD34AA">
            <w:pPr>
              <w:rPr>
                <w:rFonts w:ascii="Arial Narrow" w:eastAsia="Calibri" w:hAnsi="Arial Narrow"/>
                <w:sz w:val="20"/>
                <w:szCs w:val="20"/>
              </w:rPr>
            </w:pPr>
            <w:r w:rsidRPr="00CE491A">
              <w:rPr>
                <w:rFonts w:ascii="Arial Narrow" w:eastAsia="Calibri" w:hAnsi="Arial Narrow"/>
                <w:sz w:val="20"/>
                <w:szCs w:val="20"/>
              </w:rPr>
              <w:fldChar w:fldCharType="begin">
                <w:ffData>
                  <w:name w:val=""/>
                  <w:enabled/>
                  <w:calcOnExit w:val="0"/>
                  <w:checkBox>
                    <w:sizeAuto/>
                    <w:default w:val="1"/>
                  </w:checkBox>
                </w:ffData>
              </w:fldChar>
            </w:r>
            <w:r w:rsidRPr="00CE491A">
              <w:rPr>
                <w:rFonts w:ascii="Arial Narrow" w:eastAsia="Calibri" w:hAnsi="Arial Narrow"/>
                <w:sz w:val="20"/>
                <w:szCs w:val="20"/>
              </w:rPr>
              <w:instrText xml:space="preserve"> FORMCHECKBOX </w:instrText>
            </w:r>
            <w:r w:rsidRPr="00CE491A">
              <w:rPr>
                <w:rFonts w:ascii="Arial Narrow" w:eastAsia="Calibri" w:hAnsi="Arial Narrow"/>
                <w:sz w:val="20"/>
                <w:szCs w:val="20"/>
              </w:rPr>
            </w:r>
            <w:r w:rsidRPr="00CE491A">
              <w:rPr>
                <w:rFonts w:ascii="Arial Narrow" w:eastAsia="Calibri" w:hAnsi="Arial Narrow"/>
                <w:sz w:val="20"/>
                <w:szCs w:val="20"/>
              </w:rPr>
              <w:fldChar w:fldCharType="separate"/>
            </w:r>
            <w:r w:rsidRPr="00CE491A">
              <w:rPr>
                <w:rFonts w:ascii="Arial Narrow" w:eastAsia="Calibri" w:hAnsi="Arial Narrow"/>
                <w:sz w:val="20"/>
                <w:szCs w:val="20"/>
              </w:rPr>
              <w:fldChar w:fldCharType="end"/>
            </w:r>
            <w:r w:rsidRPr="00CE491A">
              <w:rPr>
                <w:rFonts w:ascii="Arial Narrow" w:eastAsia="Calibri" w:hAnsi="Arial Narrow"/>
                <w:sz w:val="20"/>
                <w:szCs w:val="20"/>
              </w:rPr>
              <w:t>Authority Required – Streamlined</w:t>
            </w:r>
          </w:p>
        </w:tc>
      </w:tr>
      <w:tr w:rsidR="00CE491A" w:rsidRPr="008D1910" w14:paraId="6BF20B0D"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2C51548"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Administrative Advice:</w:t>
            </w:r>
          </w:p>
          <w:p w14:paraId="7DCE3C73" w14:textId="77777777" w:rsidR="00CE491A" w:rsidRPr="00CE491A" w:rsidRDefault="00CE491A" w:rsidP="00BD34AA">
            <w:pPr>
              <w:rPr>
                <w:rFonts w:ascii="Arial Narrow" w:hAnsi="Arial Narrow"/>
                <w:color w:val="333333"/>
                <w:sz w:val="20"/>
                <w:szCs w:val="20"/>
              </w:rPr>
            </w:pPr>
            <w:r w:rsidRPr="00CE491A">
              <w:rPr>
                <w:rFonts w:ascii="Arial Narrow" w:hAnsi="Arial Narrow"/>
                <w:color w:val="333333"/>
                <w:sz w:val="20"/>
                <w:szCs w:val="20"/>
              </w:rPr>
              <w:t>No increase in the maximum quantity or number of units may be authorised.</w:t>
            </w:r>
          </w:p>
        </w:tc>
      </w:tr>
      <w:tr w:rsidR="00CE491A" w:rsidRPr="008D1910" w14:paraId="4D90B3BE"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74033AF"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Administrative Advice:</w:t>
            </w:r>
          </w:p>
          <w:p w14:paraId="250BB7A3" w14:textId="77777777" w:rsidR="00CE491A" w:rsidRPr="00CE491A" w:rsidRDefault="00CE491A" w:rsidP="00BD34AA">
            <w:pPr>
              <w:rPr>
                <w:rFonts w:ascii="Arial Narrow" w:hAnsi="Arial Narrow"/>
                <w:b/>
                <w:bCs/>
                <w:color w:val="333333"/>
                <w:sz w:val="20"/>
                <w:szCs w:val="20"/>
              </w:rPr>
            </w:pPr>
            <w:r w:rsidRPr="00CE491A">
              <w:rPr>
                <w:rFonts w:ascii="Arial Narrow" w:hAnsi="Arial Narrow"/>
                <w:color w:val="333333"/>
                <w:sz w:val="20"/>
                <w:szCs w:val="20"/>
              </w:rPr>
              <w:t>No increase in the maximum number of repeats may be authorised.</w:t>
            </w:r>
          </w:p>
        </w:tc>
      </w:tr>
      <w:tr w:rsidR="00CE491A" w:rsidRPr="008D1910" w14:paraId="6A19F8D5"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5361F26"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Administrative Advice:</w:t>
            </w:r>
          </w:p>
          <w:p w14:paraId="5855AEA6" w14:textId="77777777" w:rsidR="00CE491A" w:rsidRPr="00CE491A" w:rsidRDefault="00CE491A" w:rsidP="00BD34AA">
            <w:pPr>
              <w:rPr>
                <w:rFonts w:ascii="Arial Narrow" w:hAnsi="Arial Narrow"/>
                <w:b/>
                <w:bCs/>
                <w:color w:val="333333"/>
                <w:sz w:val="20"/>
                <w:szCs w:val="20"/>
              </w:rPr>
            </w:pPr>
            <w:r w:rsidRPr="00CE491A">
              <w:rPr>
                <w:rFonts w:ascii="Arial Narrow" w:hAnsi="Arial Narrow"/>
                <w:color w:val="333333"/>
                <w:sz w:val="20"/>
                <w:szCs w:val="20"/>
              </w:rPr>
              <w:t>Special Pricing Arrangements apply.</w:t>
            </w:r>
          </w:p>
        </w:tc>
      </w:tr>
      <w:tr w:rsidR="00CE491A" w:rsidRPr="008D1910" w14:paraId="3F538BEE"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55F2BD8" w14:textId="77777777" w:rsidR="00CE491A" w:rsidRPr="00CE491A" w:rsidRDefault="00CE491A" w:rsidP="00BD34AA">
            <w:pPr>
              <w:rPr>
                <w:rFonts w:ascii="Arial Narrow" w:hAnsi="Arial Narrow"/>
                <w:b/>
                <w:bCs/>
                <w:sz w:val="20"/>
                <w:szCs w:val="20"/>
              </w:rPr>
            </w:pPr>
            <w:r w:rsidRPr="00CE491A">
              <w:rPr>
                <w:rFonts w:ascii="Arial Narrow" w:hAnsi="Arial Narrow"/>
                <w:b/>
                <w:bCs/>
                <w:sz w:val="20"/>
                <w:szCs w:val="20"/>
              </w:rPr>
              <w:t>Administrative advice:</w:t>
            </w:r>
          </w:p>
          <w:p w14:paraId="3F21E236"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A patient may only qualify for PBS-subsidised treatment under this restriction once.</w:t>
            </w:r>
          </w:p>
          <w:p w14:paraId="11F00098"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Following completion of the initial PBS-subsidised course, further applications for treatment will be assessed under the continuing treatment restriction.</w:t>
            </w:r>
          </w:p>
        </w:tc>
      </w:tr>
      <w:tr w:rsidR="00CE491A" w:rsidRPr="008D1910" w14:paraId="39EFBFB7"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8066F7C"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Indication:</w:t>
            </w:r>
            <w:r w:rsidRPr="00CE491A">
              <w:rPr>
                <w:rFonts w:ascii="Arial Narrow" w:hAnsi="Arial Narrow"/>
                <w:color w:val="333333"/>
                <w:sz w:val="20"/>
                <w:szCs w:val="20"/>
              </w:rPr>
              <w:t xml:space="preserve"> Metastatic colorectal cancer</w:t>
            </w:r>
          </w:p>
        </w:tc>
      </w:tr>
      <w:tr w:rsidR="00CE491A" w:rsidRPr="008D1910" w14:paraId="183A4397"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720DD892"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Treatment Phase:</w:t>
            </w:r>
            <w:r w:rsidRPr="00CE491A">
              <w:rPr>
                <w:rFonts w:ascii="Arial Narrow" w:hAnsi="Arial Narrow"/>
                <w:color w:val="333333"/>
                <w:sz w:val="20"/>
                <w:szCs w:val="20"/>
              </w:rPr>
              <w:t xml:space="preserve"> Initial PBS-subsidised treatment</w:t>
            </w:r>
          </w:p>
        </w:tc>
      </w:tr>
      <w:tr w:rsidR="00CE491A" w:rsidRPr="008D1910" w14:paraId="559DB879"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CDE422E"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Clinical criteria:</w:t>
            </w:r>
          </w:p>
        </w:tc>
      </w:tr>
      <w:tr w:rsidR="00CE491A" w:rsidRPr="008D1910" w14:paraId="6F5AAE26"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3D722B2" w14:textId="77777777" w:rsidR="00CE491A" w:rsidRPr="00CE491A" w:rsidRDefault="00CE491A" w:rsidP="00BD34AA">
            <w:pPr>
              <w:rPr>
                <w:rFonts w:ascii="Arial Narrow" w:hAnsi="Arial Narrow"/>
                <w:color w:val="333333"/>
                <w:sz w:val="20"/>
                <w:szCs w:val="20"/>
              </w:rPr>
            </w:pPr>
            <w:r w:rsidRPr="00CE491A">
              <w:rPr>
                <w:rFonts w:ascii="Arial Narrow" w:hAnsi="Arial Narrow"/>
                <w:color w:val="333333"/>
                <w:sz w:val="20"/>
                <w:szCs w:val="20"/>
              </w:rPr>
              <w:t>Patient must have/had a WHO performance status of 1 or less, prior to initiation of treatment with this drug for this condition.</w:t>
            </w:r>
          </w:p>
        </w:tc>
      </w:tr>
      <w:tr w:rsidR="00CE491A" w:rsidRPr="008D1910" w14:paraId="705E9D99"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85718C8"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AND</w:t>
            </w:r>
          </w:p>
        </w:tc>
      </w:tr>
      <w:tr w:rsidR="00CE491A" w:rsidRPr="008D1910" w14:paraId="47ECEBBB"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43387C9" w14:textId="77777777" w:rsidR="00CE491A" w:rsidRPr="00CE491A" w:rsidRDefault="00CE491A" w:rsidP="00BD34AA">
            <w:pPr>
              <w:rPr>
                <w:rFonts w:ascii="Arial Narrow" w:hAnsi="Arial Narrow"/>
                <w:sz w:val="20"/>
                <w:szCs w:val="20"/>
              </w:rPr>
            </w:pPr>
            <w:r w:rsidRPr="00CE491A">
              <w:rPr>
                <w:rFonts w:ascii="Arial Narrow" w:hAnsi="Arial Narrow"/>
                <w:b/>
                <w:bCs/>
                <w:i/>
                <w:iCs/>
                <w:sz w:val="20"/>
                <w:szCs w:val="20"/>
              </w:rPr>
              <w:t>Clinical criteria</w:t>
            </w:r>
          </w:p>
        </w:tc>
      </w:tr>
      <w:tr w:rsidR="00CE491A" w:rsidRPr="008D1910" w14:paraId="41294D9B"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358CFD1"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 xml:space="preserve">Patient must not have previously received </w:t>
            </w:r>
            <w:r w:rsidRPr="00CE491A">
              <w:rPr>
                <w:rFonts w:ascii="Arial Narrow" w:hAnsi="Arial Narrow"/>
                <w:i/>
                <w:iCs/>
                <w:sz w:val="20"/>
                <w:szCs w:val="20"/>
              </w:rPr>
              <w:t>PBS-subsidised treatment with</w:t>
            </w:r>
            <w:r w:rsidRPr="00CE491A">
              <w:rPr>
                <w:rFonts w:ascii="Arial Narrow" w:hAnsi="Arial Narrow"/>
                <w:sz w:val="20"/>
                <w:szCs w:val="20"/>
              </w:rPr>
              <w:t xml:space="preserve"> this drug for this condition; OR</w:t>
            </w:r>
          </w:p>
        </w:tc>
      </w:tr>
      <w:tr w:rsidR="00CE491A" w:rsidRPr="008D1910" w14:paraId="464D76FF"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D85EFCD"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 xml:space="preserve">Patient must be each of: (i) currently receiving non-PBS subsidised supply for this drug for this PBS indication, (ii) untreated with this drug at the time that non-PBS subsidised supply was commenced, (iii) free of disease progression since commencing non-PBS subsidised supply </w:t>
            </w:r>
          </w:p>
        </w:tc>
      </w:tr>
      <w:tr w:rsidR="00CE491A" w:rsidRPr="008D1910" w14:paraId="66670FE7"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7C01A6C0"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AND</w:t>
            </w:r>
          </w:p>
        </w:tc>
      </w:tr>
      <w:tr w:rsidR="00CE491A" w:rsidRPr="008D1910" w14:paraId="7C10BE4E"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AB2E53A" w14:textId="77777777" w:rsidR="00CE491A" w:rsidRPr="00CE491A" w:rsidRDefault="00CE491A" w:rsidP="00BD34AA">
            <w:pPr>
              <w:rPr>
                <w:rFonts w:ascii="Arial Narrow" w:hAnsi="Arial Narrow"/>
                <w:sz w:val="20"/>
                <w:szCs w:val="20"/>
              </w:rPr>
            </w:pPr>
            <w:r w:rsidRPr="00CE491A">
              <w:rPr>
                <w:rFonts w:ascii="Arial Narrow" w:hAnsi="Arial Narrow"/>
                <w:b/>
                <w:bCs/>
                <w:sz w:val="20"/>
                <w:szCs w:val="20"/>
              </w:rPr>
              <w:t>Clinical criteria:</w:t>
            </w:r>
          </w:p>
        </w:tc>
      </w:tr>
      <w:tr w:rsidR="00CE491A" w:rsidRPr="008D1910" w14:paraId="0BE9B562"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2575878"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Patient must have previously received treatment with fluoropyrimidine, oxaliplatin, irinotecan-based chemotherapies, an anti-vascular endothelial growth factor (anti-VEGF) agent and an anti-epidermal growth factor receptor (anti-EGFR) agent for this condition; OR</w:t>
            </w:r>
          </w:p>
        </w:tc>
      </w:tr>
      <w:tr w:rsidR="00CE491A" w:rsidRPr="008D1910" w14:paraId="1E0965AF"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798051F"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Patient must not be a suitable candidate for treatment with fluoropyrimidine, oxaliplatin, irinotecan-based chemotherapies, an anti-VEGF agent and an anti-EGFR agent for this condition,</w:t>
            </w:r>
          </w:p>
        </w:tc>
      </w:tr>
      <w:tr w:rsidR="00CE491A" w:rsidRPr="008D1910" w14:paraId="147EC066"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FE7A3AC" w14:textId="77777777" w:rsidR="00CE491A" w:rsidRPr="00CE491A" w:rsidRDefault="00CE491A" w:rsidP="00BD34AA">
            <w:pPr>
              <w:rPr>
                <w:rFonts w:ascii="Arial Narrow" w:hAnsi="Arial Narrow"/>
                <w:b/>
                <w:bCs/>
                <w:sz w:val="20"/>
                <w:szCs w:val="20"/>
              </w:rPr>
            </w:pPr>
            <w:r w:rsidRPr="00CE491A">
              <w:rPr>
                <w:rFonts w:ascii="Arial Narrow" w:hAnsi="Arial Narrow"/>
                <w:b/>
                <w:bCs/>
                <w:sz w:val="20"/>
                <w:szCs w:val="20"/>
              </w:rPr>
              <w:t xml:space="preserve">AND </w:t>
            </w:r>
          </w:p>
        </w:tc>
      </w:tr>
      <w:tr w:rsidR="00CE491A" w:rsidRPr="008D1910" w14:paraId="41116A2D"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8265181" w14:textId="77777777" w:rsidR="00CE491A" w:rsidRPr="00CE491A" w:rsidRDefault="00CE491A" w:rsidP="00BD34AA">
            <w:pPr>
              <w:rPr>
                <w:rStyle w:val="CommentReference"/>
                <w:szCs w:val="20"/>
              </w:rPr>
            </w:pPr>
            <w:r w:rsidRPr="00CE491A">
              <w:rPr>
                <w:rFonts w:ascii="Arial Narrow" w:hAnsi="Arial Narrow"/>
                <w:b/>
                <w:bCs/>
                <w:sz w:val="20"/>
                <w:szCs w:val="20"/>
              </w:rPr>
              <w:t>Clinical criteria:</w:t>
            </w:r>
          </w:p>
        </w:tc>
      </w:tr>
      <w:tr w:rsidR="00CE491A" w:rsidRPr="008D1910" w14:paraId="1E7AD017"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0184779" w14:textId="77777777" w:rsidR="00CE491A" w:rsidRPr="00CE491A" w:rsidRDefault="00CE491A" w:rsidP="00BD34AA">
            <w:pPr>
              <w:rPr>
                <w:rStyle w:val="CommentReference"/>
                <w:szCs w:val="20"/>
              </w:rPr>
            </w:pPr>
            <w:r w:rsidRPr="00CE491A">
              <w:rPr>
                <w:rFonts w:ascii="Arial Narrow" w:hAnsi="Arial Narrow"/>
                <w:sz w:val="20"/>
                <w:szCs w:val="20"/>
              </w:rPr>
              <w:t>The treatment must be the sole PBS-subsidised therapy for this condition.</w:t>
            </w:r>
          </w:p>
        </w:tc>
      </w:tr>
      <w:tr w:rsidR="00CE491A" w:rsidRPr="008D1910" w14:paraId="2AF8F259"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B343843" w14:textId="77777777" w:rsidR="00CE491A" w:rsidRPr="00CE491A" w:rsidRDefault="00CE491A" w:rsidP="00BD34AA">
            <w:pPr>
              <w:rPr>
                <w:rStyle w:val="CommentReference"/>
                <w:b w:val="0"/>
                <w:bCs/>
                <w:i/>
                <w:iCs/>
                <w:strike/>
                <w:szCs w:val="20"/>
              </w:rPr>
            </w:pPr>
            <w:r w:rsidRPr="00CE491A">
              <w:rPr>
                <w:rStyle w:val="CommentReference"/>
                <w:b w:val="0"/>
                <w:bCs/>
                <w:i/>
                <w:iCs/>
                <w:strike/>
                <w:szCs w:val="20"/>
              </w:rPr>
              <w:t>Prescribing Instructions:</w:t>
            </w:r>
          </w:p>
          <w:p w14:paraId="5D5F4578" w14:textId="77777777" w:rsidR="00CE491A" w:rsidRPr="00CE491A" w:rsidRDefault="00CE491A" w:rsidP="00BD34AA">
            <w:pPr>
              <w:rPr>
                <w:rStyle w:val="CommentReference"/>
                <w:i/>
                <w:iCs/>
                <w:strike/>
                <w:szCs w:val="20"/>
              </w:rPr>
            </w:pPr>
            <w:r w:rsidRPr="00CE491A">
              <w:rPr>
                <w:rStyle w:val="CommentReference"/>
                <w:i/>
                <w:iCs/>
                <w:strike/>
                <w:szCs w:val="20"/>
              </w:rPr>
              <w:t>The patient's WHO performance status and body weight must be documented in the patient's medical records at the time the treatment cycle is initiated.</w:t>
            </w:r>
          </w:p>
        </w:tc>
      </w:tr>
      <w:tr w:rsidR="00CE491A" w:rsidRPr="008D1910" w14:paraId="6AEE31A4" w14:textId="067E1CC3"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F221BB0" w14:textId="77777777" w:rsidR="00CE491A" w:rsidRPr="00CE491A" w:rsidRDefault="00CE491A" w:rsidP="00BD34AA">
            <w:pPr>
              <w:rPr>
                <w:rFonts w:ascii="Arial Narrow" w:hAnsi="Arial Narrow"/>
                <w:b/>
                <w:bCs/>
                <w:color w:val="333333"/>
                <w:sz w:val="20"/>
                <w:szCs w:val="20"/>
              </w:rPr>
            </w:pPr>
          </w:p>
        </w:tc>
      </w:tr>
      <w:tr w:rsidR="00CE491A" w:rsidRPr="008D1910" w14:paraId="50000C7D"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25307B89" w14:textId="77777777" w:rsidR="00CE491A" w:rsidRPr="00CE491A" w:rsidRDefault="00CE491A" w:rsidP="00BD34AA">
            <w:pPr>
              <w:rPr>
                <w:rFonts w:ascii="Arial Narrow" w:hAnsi="Arial Narrow"/>
                <w:sz w:val="20"/>
                <w:szCs w:val="20"/>
              </w:rPr>
            </w:pPr>
            <w:r w:rsidRPr="00CE491A">
              <w:rPr>
                <w:rFonts w:ascii="Arial Narrow" w:hAnsi="Arial Narrow"/>
                <w:b/>
                <w:sz w:val="20"/>
                <w:szCs w:val="20"/>
              </w:rPr>
              <w:t xml:space="preserve">Category / Program:  </w:t>
            </w:r>
            <w:r w:rsidRPr="00CE491A">
              <w:rPr>
                <w:rFonts w:ascii="Arial Narrow" w:hAnsi="Arial Narrow"/>
                <w:sz w:val="20"/>
                <w:szCs w:val="20"/>
              </w:rPr>
              <w:t xml:space="preserve">GENERAL – General Schedule (Code GE) </w:t>
            </w:r>
          </w:p>
        </w:tc>
      </w:tr>
      <w:tr w:rsidR="00CE491A" w:rsidRPr="008D1910" w14:paraId="3E56337F"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168035E" w14:textId="77777777" w:rsidR="00CE491A" w:rsidRPr="00CE491A" w:rsidRDefault="00CE491A" w:rsidP="00BD34AA">
            <w:pPr>
              <w:rPr>
                <w:rFonts w:ascii="Arial Narrow" w:hAnsi="Arial Narrow"/>
                <w:b/>
                <w:sz w:val="20"/>
                <w:szCs w:val="20"/>
              </w:rPr>
            </w:pPr>
            <w:r w:rsidRPr="00CE491A">
              <w:rPr>
                <w:rFonts w:ascii="Arial Narrow" w:hAnsi="Arial Narrow"/>
                <w:b/>
                <w:sz w:val="20"/>
                <w:szCs w:val="20"/>
              </w:rPr>
              <w:t xml:space="preserve">Prescriber type:   </w:t>
            </w:r>
            <w:r w:rsidRPr="00CE491A">
              <w:rPr>
                <w:rFonts w:ascii="Arial Narrow" w:hAnsi="Arial Narrow"/>
                <w:sz w:val="20"/>
                <w:szCs w:val="20"/>
              </w:rPr>
              <w:fldChar w:fldCharType="begin">
                <w:ffData>
                  <w:name w:val=""/>
                  <w:enabled/>
                  <w:calcOnExit w:val="0"/>
                  <w:checkBox>
                    <w:sizeAuto/>
                    <w:default w:val="1"/>
                  </w:checkBox>
                </w:ffData>
              </w:fldChar>
            </w:r>
            <w:r w:rsidRPr="00CE491A">
              <w:rPr>
                <w:rFonts w:ascii="Arial Narrow" w:hAnsi="Arial Narrow"/>
                <w:sz w:val="20"/>
                <w:szCs w:val="20"/>
              </w:rPr>
              <w:instrText xml:space="preserve"> FORMCHECKBOX </w:instrText>
            </w:r>
            <w:r w:rsidRPr="00CE491A">
              <w:rPr>
                <w:rFonts w:ascii="Arial Narrow" w:hAnsi="Arial Narrow"/>
                <w:sz w:val="20"/>
                <w:szCs w:val="20"/>
              </w:rPr>
            </w:r>
            <w:r w:rsidRPr="00CE491A">
              <w:rPr>
                <w:rFonts w:ascii="Arial Narrow" w:hAnsi="Arial Narrow"/>
                <w:sz w:val="20"/>
                <w:szCs w:val="20"/>
              </w:rPr>
              <w:fldChar w:fldCharType="separate"/>
            </w:r>
            <w:r w:rsidRPr="00CE491A">
              <w:rPr>
                <w:rFonts w:ascii="Arial Narrow" w:hAnsi="Arial Narrow"/>
                <w:sz w:val="20"/>
                <w:szCs w:val="20"/>
              </w:rPr>
              <w:fldChar w:fldCharType="end"/>
            </w:r>
            <w:r w:rsidRPr="00CE491A">
              <w:rPr>
                <w:rFonts w:ascii="Arial Narrow" w:hAnsi="Arial Narrow"/>
                <w:sz w:val="20"/>
                <w:szCs w:val="20"/>
              </w:rPr>
              <w:t xml:space="preserve">Medical Practitioners    </w:t>
            </w:r>
          </w:p>
        </w:tc>
      </w:tr>
      <w:tr w:rsidR="00CE491A" w:rsidRPr="008D1910" w14:paraId="1BFFD7A3"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1B06571" w14:textId="77777777" w:rsidR="00CE491A" w:rsidRPr="00CE491A" w:rsidRDefault="00CE491A" w:rsidP="00BD34AA">
            <w:pPr>
              <w:rPr>
                <w:rFonts w:ascii="Arial Narrow" w:hAnsi="Arial Narrow"/>
                <w:b/>
                <w:sz w:val="20"/>
                <w:szCs w:val="20"/>
              </w:rPr>
            </w:pPr>
            <w:r w:rsidRPr="00CE491A">
              <w:rPr>
                <w:rFonts w:ascii="Arial Narrow" w:hAnsi="Arial Narrow"/>
                <w:b/>
                <w:sz w:val="20"/>
                <w:szCs w:val="20"/>
              </w:rPr>
              <w:t xml:space="preserve">Restriction Type: </w:t>
            </w:r>
          </w:p>
          <w:p w14:paraId="773088DF" w14:textId="77777777" w:rsidR="00CE491A" w:rsidRPr="00CE491A" w:rsidRDefault="00CE491A" w:rsidP="00BD34AA">
            <w:pPr>
              <w:rPr>
                <w:rFonts w:ascii="Arial Narrow" w:eastAsia="Calibri" w:hAnsi="Arial Narrow"/>
                <w:sz w:val="20"/>
                <w:szCs w:val="20"/>
              </w:rPr>
            </w:pPr>
            <w:r w:rsidRPr="00CE491A">
              <w:rPr>
                <w:rFonts w:ascii="Arial Narrow" w:eastAsia="Calibri" w:hAnsi="Arial Narrow"/>
                <w:sz w:val="20"/>
                <w:szCs w:val="20"/>
              </w:rPr>
              <w:fldChar w:fldCharType="begin">
                <w:ffData>
                  <w:name w:val=""/>
                  <w:enabled/>
                  <w:calcOnExit w:val="0"/>
                  <w:checkBox>
                    <w:sizeAuto/>
                    <w:default w:val="1"/>
                  </w:checkBox>
                </w:ffData>
              </w:fldChar>
            </w:r>
            <w:r w:rsidRPr="00CE491A">
              <w:rPr>
                <w:rFonts w:ascii="Arial Narrow" w:eastAsia="Calibri" w:hAnsi="Arial Narrow"/>
                <w:sz w:val="20"/>
                <w:szCs w:val="20"/>
              </w:rPr>
              <w:instrText xml:space="preserve"> FORMCHECKBOX </w:instrText>
            </w:r>
            <w:r w:rsidRPr="00CE491A">
              <w:rPr>
                <w:rFonts w:ascii="Arial Narrow" w:eastAsia="Calibri" w:hAnsi="Arial Narrow"/>
                <w:sz w:val="20"/>
                <w:szCs w:val="20"/>
              </w:rPr>
            </w:r>
            <w:r w:rsidRPr="00CE491A">
              <w:rPr>
                <w:rFonts w:ascii="Arial Narrow" w:eastAsia="Calibri" w:hAnsi="Arial Narrow"/>
                <w:sz w:val="20"/>
                <w:szCs w:val="20"/>
              </w:rPr>
              <w:fldChar w:fldCharType="separate"/>
            </w:r>
            <w:r w:rsidRPr="00CE491A">
              <w:rPr>
                <w:rFonts w:ascii="Arial Narrow" w:eastAsia="Calibri" w:hAnsi="Arial Narrow"/>
                <w:sz w:val="20"/>
                <w:szCs w:val="20"/>
              </w:rPr>
              <w:fldChar w:fldCharType="end"/>
            </w:r>
            <w:r w:rsidRPr="00CE491A">
              <w:rPr>
                <w:rFonts w:ascii="Arial Narrow" w:eastAsia="Calibri" w:hAnsi="Arial Narrow"/>
                <w:sz w:val="20"/>
                <w:szCs w:val="20"/>
              </w:rPr>
              <w:t xml:space="preserve">Authority Required – Streamlined </w:t>
            </w:r>
          </w:p>
        </w:tc>
      </w:tr>
      <w:tr w:rsidR="00CE491A" w:rsidRPr="008D1910" w14:paraId="6B83FD23"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8A7A36C"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Administrative Advice:</w:t>
            </w:r>
          </w:p>
          <w:p w14:paraId="223522C7" w14:textId="77777777" w:rsidR="00CE491A" w:rsidRPr="00CE491A" w:rsidRDefault="00CE491A" w:rsidP="00BD34AA">
            <w:pPr>
              <w:rPr>
                <w:rFonts w:ascii="Arial Narrow" w:hAnsi="Arial Narrow"/>
                <w:color w:val="333333"/>
                <w:sz w:val="20"/>
                <w:szCs w:val="20"/>
              </w:rPr>
            </w:pPr>
            <w:r w:rsidRPr="00CE491A">
              <w:rPr>
                <w:rFonts w:ascii="Arial Narrow" w:hAnsi="Arial Narrow"/>
                <w:color w:val="333333"/>
                <w:sz w:val="20"/>
                <w:szCs w:val="20"/>
              </w:rPr>
              <w:lastRenderedPageBreak/>
              <w:t>No increase in the maximum quantity or number of units may be authorised.</w:t>
            </w:r>
          </w:p>
        </w:tc>
      </w:tr>
      <w:tr w:rsidR="00CE491A" w:rsidRPr="008D1910" w14:paraId="3EDBDE1D"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ED211AD"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lastRenderedPageBreak/>
              <w:t>Administrative Advice:</w:t>
            </w:r>
          </w:p>
          <w:p w14:paraId="4BFCDDF5" w14:textId="77777777" w:rsidR="00CE491A" w:rsidRPr="00CE491A" w:rsidRDefault="00CE491A" w:rsidP="00BD34AA">
            <w:pPr>
              <w:rPr>
                <w:rFonts w:ascii="Arial Narrow" w:hAnsi="Arial Narrow"/>
                <w:b/>
                <w:bCs/>
                <w:color w:val="333333"/>
                <w:sz w:val="20"/>
                <w:szCs w:val="20"/>
              </w:rPr>
            </w:pPr>
            <w:r w:rsidRPr="00CE491A">
              <w:rPr>
                <w:rFonts w:ascii="Arial Narrow" w:hAnsi="Arial Narrow"/>
                <w:color w:val="333333"/>
                <w:sz w:val="20"/>
                <w:szCs w:val="20"/>
              </w:rPr>
              <w:t>No increase in the maximum number of repeats may be authorised.</w:t>
            </w:r>
          </w:p>
        </w:tc>
      </w:tr>
      <w:tr w:rsidR="00CE491A" w:rsidRPr="008D1910" w14:paraId="0A7427A5"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BAF1861"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Administrative Advice:</w:t>
            </w:r>
          </w:p>
          <w:p w14:paraId="47470413" w14:textId="77777777" w:rsidR="00CE491A" w:rsidRPr="00CE491A" w:rsidRDefault="00CE491A" w:rsidP="00BD34AA">
            <w:pPr>
              <w:rPr>
                <w:rFonts w:ascii="Arial Narrow" w:hAnsi="Arial Narrow"/>
                <w:b/>
                <w:bCs/>
                <w:color w:val="333333"/>
                <w:sz w:val="20"/>
                <w:szCs w:val="20"/>
              </w:rPr>
            </w:pPr>
            <w:r w:rsidRPr="00CE491A">
              <w:rPr>
                <w:rFonts w:ascii="Arial Narrow" w:hAnsi="Arial Narrow"/>
                <w:color w:val="333333"/>
                <w:sz w:val="20"/>
                <w:szCs w:val="20"/>
              </w:rPr>
              <w:t>Special Pricing Arrangements apply.</w:t>
            </w:r>
          </w:p>
        </w:tc>
      </w:tr>
      <w:tr w:rsidR="00CE491A" w:rsidRPr="008D1910" w14:paraId="46E42FBF"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4B034BF" w14:textId="77777777" w:rsidR="00CE491A" w:rsidRPr="00CE491A" w:rsidRDefault="00CE491A" w:rsidP="00BD34AA">
            <w:pPr>
              <w:rPr>
                <w:rFonts w:ascii="Arial Narrow" w:hAnsi="Arial Narrow"/>
                <w:sz w:val="20"/>
                <w:szCs w:val="20"/>
              </w:rPr>
            </w:pPr>
            <w:r w:rsidRPr="00CE491A">
              <w:rPr>
                <w:rFonts w:ascii="Arial Narrow" w:hAnsi="Arial Narrow"/>
                <w:b/>
                <w:bCs/>
                <w:sz w:val="20"/>
                <w:szCs w:val="20"/>
              </w:rPr>
              <w:t>Indication:</w:t>
            </w:r>
            <w:r w:rsidRPr="00CE491A">
              <w:rPr>
                <w:rFonts w:ascii="Arial Narrow" w:hAnsi="Arial Narrow"/>
                <w:sz w:val="20"/>
                <w:szCs w:val="20"/>
              </w:rPr>
              <w:t xml:space="preserve"> Metastatic colorectal cancer</w:t>
            </w:r>
          </w:p>
        </w:tc>
      </w:tr>
      <w:tr w:rsidR="00CE491A" w:rsidRPr="008D1910" w14:paraId="5E5432A7"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F467DC8" w14:textId="77777777" w:rsidR="00CE491A" w:rsidRPr="00CE491A" w:rsidRDefault="00CE491A" w:rsidP="00BD34AA">
            <w:pPr>
              <w:rPr>
                <w:rFonts w:ascii="Arial Narrow" w:hAnsi="Arial Narrow"/>
                <w:sz w:val="20"/>
                <w:szCs w:val="20"/>
              </w:rPr>
            </w:pPr>
            <w:r w:rsidRPr="00CE491A">
              <w:rPr>
                <w:rFonts w:ascii="Arial Narrow" w:hAnsi="Arial Narrow"/>
                <w:b/>
                <w:bCs/>
                <w:sz w:val="20"/>
                <w:szCs w:val="20"/>
              </w:rPr>
              <w:t>Treatment Phase:</w:t>
            </w:r>
            <w:r w:rsidRPr="00CE491A">
              <w:rPr>
                <w:rFonts w:ascii="Arial Narrow" w:hAnsi="Arial Narrow"/>
                <w:sz w:val="20"/>
                <w:szCs w:val="20"/>
              </w:rPr>
              <w:t xml:space="preserve"> Continuing </w:t>
            </w:r>
            <w:r w:rsidRPr="00CE491A">
              <w:rPr>
                <w:rFonts w:ascii="Arial Narrow" w:hAnsi="Arial Narrow"/>
                <w:i/>
                <w:iCs/>
                <w:sz w:val="20"/>
                <w:szCs w:val="20"/>
              </w:rPr>
              <w:t xml:space="preserve">treatment </w:t>
            </w:r>
          </w:p>
        </w:tc>
      </w:tr>
      <w:tr w:rsidR="00CE491A" w:rsidRPr="008D1910" w14:paraId="74CDA527"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030377E" w14:textId="77777777" w:rsidR="00CE491A" w:rsidRPr="00CE491A" w:rsidRDefault="00CE491A" w:rsidP="00BD34AA">
            <w:pPr>
              <w:rPr>
                <w:rFonts w:ascii="Arial Narrow" w:hAnsi="Arial Narrow"/>
                <w:sz w:val="20"/>
                <w:szCs w:val="20"/>
              </w:rPr>
            </w:pPr>
            <w:r w:rsidRPr="00CE491A">
              <w:rPr>
                <w:rFonts w:ascii="Arial Narrow" w:hAnsi="Arial Narrow"/>
                <w:b/>
                <w:bCs/>
                <w:sz w:val="20"/>
                <w:szCs w:val="20"/>
              </w:rPr>
              <w:t>Clinical criteria:</w:t>
            </w:r>
          </w:p>
        </w:tc>
      </w:tr>
      <w:tr w:rsidR="00CE491A" w:rsidRPr="008D1910" w14:paraId="33D1554B"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D3776B1" w14:textId="77777777" w:rsidR="00CE491A" w:rsidRPr="00CE491A" w:rsidRDefault="00CE491A" w:rsidP="00BD34AA">
            <w:pPr>
              <w:rPr>
                <w:rFonts w:ascii="Arial Narrow" w:hAnsi="Arial Narrow"/>
                <w:sz w:val="20"/>
                <w:szCs w:val="20"/>
              </w:rPr>
            </w:pPr>
            <w:r w:rsidRPr="00CE491A">
              <w:rPr>
                <w:rFonts w:ascii="Arial Narrow" w:hAnsi="Arial Narrow"/>
                <w:sz w:val="20"/>
                <w:szCs w:val="20"/>
              </w:rPr>
              <w:t>The treatment must be the sole PBS-subsidised therapy for this condition.</w:t>
            </w:r>
          </w:p>
        </w:tc>
      </w:tr>
      <w:tr w:rsidR="00CE491A" w:rsidRPr="008D1910" w14:paraId="349860F6"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BD8BB5B" w14:textId="77777777" w:rsidR="00CE491A" w:rsidRPr="00CE491A" w:rsidRDefault="00CE491A" w:rsidP="00BD34AA">
            <w:pPr>
              <w:rPr>
                <w:rFonts w:ascii="Arial Narrow" w:hAnsi="Arial Narrow"/>
                <w:b/>
                <w:bCs/>
                <w:sz w:val="20"/>
                <w:szCs w:val="20"/>
              </w:rPr>
            </w:pPr>
            <w:r w:rsidRPr="00CE491A">
              <w:rPr>
                <w:rFonts w:ascii="Arial Narrow" w:hAnsi="Arial Narrow"/>
                <w:b/>
                <w:bCs/>
                <w:sz w:val="20"/>
                <w:szCs w:val="20"/>
              </w:rPr>
              <w:t>AND</w:t>
            </w:r>
          </w:p>
        </w:tc>
      </w:tr>
      <w:tr w:rsidR="00CE491A" w:rsidRPr="008D1910" w14:paraId="65B7C7BE"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554EA92" w14:textId="77777777" w:rsidR="00CE491A" w:rsidRPr="00CE491A" w:rsidRDefault="00CE491A" w:rsidP="00BD34AA">
            <w:pPr>
              <w:rPr>
                <w:rFonts w:ascii="Arial Narrow" w:hAnsi="Arial Narrow"/>
                <w:sz w:val="20"/>
                <w:szCs w:val="20"/>
              </w:rPr>
            </w:pPr>
            <w:r w:rsidRPr="00CE491A">
              <w:rPr>
                <w:rFonts w:ascii="Arial Narrow" w:hAnsi="Arial Narrow"/>
                <w:b/>
                <w:bCs/>
                <w:sz w:val="20"/>
                <w:szCs w:val="20"/>
              </w:rPr>
              <w:t>Clinical criteria:</w:t>
            </w:r>
          </w:p>
        </w:tc>
      </w:tr>
      <w:tr w:rsidR="00CE491A" w:rsidRPr="008D1910" w14:paraId="7E0E05E4"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04AF0AF" w14:textId="77777777" w:rsidR="00CE491A" w:rsidRPr="00CE491A" w:rsidRDefault="00CE491A" w:rsidP="00BD34AA">
            <w:pPr>
              <w:rPr>
                <w:rFonts w:ascii="Arial Narrow" w:hAnsi="Arial Narrow"/>
                <w:strike/>
                <w:sz w:val="20"/>
                <w:szCs w:val="20"/>
              </w:rPr>
            </w:pPr>
            <w:r w:rsidRPr="00CE491A">
              <w:rPr>
                <w:rFonts w:ascii="Arial Narrow" w:hAnsi="Arial Narrow"/>
                <w:strike/>
                <w:sz w:val="20"/>
                <w:szCs w:val="20"/>
              </w:rPr>
              <w:t>Patient must have previously received PBS-subsidised treatment this drug for this condition</w:t>
            </w:r>
          </w:p>
          <w:p w14:paraId="76002165" w14:textId="77777777" w:rsidR="00CE491A" w:rsidRPr="00CE491A" w:rsidRDefault="00CE491A" w:rsidP="00BD34AA">
            <w:pPr>
              <w:rPr>
                <w:rFonts w:ascii="Arial Narrow" w:hAnsi="Arial Narrow"/>
                <w:i/>
                <w:iCs/>
                <w:sz w:val="20"/>
                <w:szCs w:val="20"/>
              </w:rPr>
            </w:pPr>
            <w:r w:rsidRPr="00CE491A">
              <w:rPr>
                <w:rFonts w:ascii="Arial Narrow" w:hAnsi="Arial Narrow"/>
                <w:i/>
                <w:iCs/>
                <w:sz w:val="20"/>
                <w:szCs w:val="20"/>
              </w:rPr>
              <w:t>Patient must have previously been treated with PBS-subsidised treatment with this drug for this condition</w:t>
            </w:r>
          </w:p>
        </w:tc>
      </w:tr>
      <w:tr w:rsidR="00CE491A" w:rsidRPr="008D1910" w14:paraId="62AFECA8"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7E120B1" w14:textId="77777777" w:rsidR="00CE491A" w:rsidRPr="00CE491A" w:rsidRDefault="00CE491A" w:rsidP="00BD34AA">
            <w:pPr>
              <w:rPr>
                <w:rFonts w:ascii="Arial Narrow" w:hAnsi="Arial Narrow"/>
                <w:color w:val="333333"/>
                <w:sz w:val="20"/>
                <w:szCs w:val="20"/>
              </w:rPr>
            </w:pPr>
            <w:r w:rsidRPr="00CE491A">
              <w:rPr>
                <w:rFonts w:ascii="Arial Narrow" w:hAnsi="Arial Narrow"/>
                <w:b/>
                <w:bCs/>
                <w:color w:val="333333"/>
                <w:sz w:val="20"/>
                <w:szCs w:val="20"/>
              </w:rPr>
              <w:t>AND</w:t>
            </w:r>
          </w:p>
        </w:tc>
      </w:tr>
      <w:tr w:rsidR="00CE491A" w:rsidRPr="008D1910" w14:paraId="37E3E796"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177B192" w14:textId="77777777" w:rsidR="00CE491A" w:rsidRPr="00CE491A" w:rsidRDefault="00CE491A" w:rsidP="00BD34AA">
            <w:pPr>
              <w:rPr>
                <w:rFonts w:ascii="Arial Narrow" w:hAnsi="Arial Narrow"/>
                <w:sz w:val="20"/>
                <w:szCs w:val="20"/>
              </w:rPr>
            </w:pPr>
            <w:r w:rsidRPr="00CE491A">
              <w:rPr>
                <w:rFonts w:ascii="Arial Narrow" w:hAnsi="Arial Narrow"/>
                <w:b/>
                <w:bCs/>
                <w:sz w:val="20"/>
                <w:szCs w:val="20"/>
              </w:rPr>
              <w:t>Clinical criteria:</w:t>
            </w:r>
          </w:p>
        </w:tc>
      </w:tr>
      <w:tr w:rsidR="00CE491A" w:rsidRPr="006E22A2" w14:paraId="5C7FAC5A" w14:textId="77777777" w:rsidTr="00CE491A">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F0292A9" w14:textId="77777777" w:rsidR="00CE491A" w:rsidRPr="00CE491A" w:rsidRDefault="00CE491A" w:rsidP="00BD34AA">
            <w:pPr>
              <w:rPr>
                <w:rFonts w:ascii="Arial Narrow" w:hAnsi="Arial Narrow"/>
                <w:strike/>
                <w:sz w:val="20"/>
                <w:szCs w:val="20"/>
              </w:rPr>
            </w:pPr>
            <w:r w:rsidRPr="00CE491A">
              <w:rPr>
                <w:rFonts w:ascii="Arial Narrow" w:hAnsi="Arial Narrow"/>
                <w:strike/>
                <w:sz w:val="20"/>
                <w:szCs w:val="20"/>
              </w:rPr>
              <w:t>Patient must not have developed disease progression while receiving treatment with this drug for this condition</w:t>
            </w:r>
          </w:p>
          <w:p w14:paraId="10C1239B" w14:textId="77777777" w:rsidR="00CE491A" w:rsidRPr="00CE491A" w:rsidRDefault="00CE491A" w:rsidP="00BD34AA">
            <w:pPr>
              <w:rPr>
                <w:rFonts w:ascii="Arial Narrow" w:hAnsi="Arial Narrow"/>
                <w:i/>
                <w:iCs/>
                <w:sz w:val="20"/>
                <w:szCs w:val="20"/>
              </w:rPr>
            </w:pPr>
            <w:r w:rsidRPr="00CE491A">
              <w:rPr>
                <w:rFonts w:ascii="Arial Narrow" w:hAnsi="Arial Narrow"/>
                <w:i/>
                <w:iCs/>
                <w:sz w:val="20"/>
                <w:szCs w:val="20"/>
              </w:rPr>
              <w:t>Patient must not develop progressive disease whilst receiving PBS-subsidised treatment with this drug for this condition</w:t>
            </w:r>
          </w:p>
        </w:tc>
      </w:tr>
    </w:tbl>
    <w:p w14:paraId="6E522655" w14:textId="71D56C05" w:rsidR="00CC68F0" w:rsidRPr="004F3865" w:rsidRDefault="00BE1378" w:rsidP="00DE7B7E">
      <w:pPr>
        <w:pStyle w:val="3-BodyText"/>
        <w:spacing w:before="120"/>
      </w:pPr>
      <w:r w:rsidRPr="004F3865">
        <w:t>The</w:t>
      </w:r>
      <w:r w:rsidR="00891965" w:rsidRPr="004F3865">
        <w:t xml:space="preserve"> requested restriction was aligned with that of </w:t>
      </w:r>
      <w:r w:rsidR="008267A0">
        <w:t>TRI/TIP</w:t>
      </w:r>
      <w:r w:rsidR="00891965" w:rsidRPr="004F3865">
        <w:t xml:space="preserve"> for the treatment of mCRC. </w:t>
      </w:r>
      <w:r w:rsidR="00CC68F0" w:rsidRPr="004F3865">
        <w:t>The requested restriction was consistent with the FRESCO 1 trial (used as a supportive clinical trial)</w:t>
      </w:r>
      <w:r w:rsidR="00D13205">
        <w:t xml:space="preserve">, in which patients </w:t>
      </w:r>
      <w:r w:rsidR="00045921" w:rsidRPr="002C3088">
        <w:rPr>
          <w:lang w:val="en-US"/>
        </w:rPr>
        <w:t>had previously received and failed at least two standard chemotherapy lines for mCRC</w:t>
      </w:r>
      <w:r w:rsidR="00CC68F0" w:rsidRPr="004F3865">
        <w:t xml:space="preserve">; however, it was not consistent with the inclusion criteria of the FRESCO 2 trial (used as the main clinical trial). In FRESCO 2, patients were required to have progressed on or been intolerant to </w:t>
      </w:r>
      <w:r w:rsidR="008267A0">
        <w:t>TRI/TIP</w:t>
      </w:r>
      <w:r w:rsidR="00CC68F0" w:rsidRPr="004F3865">
        <w:t xml:space="preserve"> or regorafenib, in addition to having received two prior lines of therapy.</w:t>
      </w:r>
      <w:r w:rsidR="00D24EAD" w:rsidRPr="004F3865">
        <w:t xml:space="preserve"> </w:t>
      </w:r>
      <w:r w:rsidR="00CC68F0" w:rsidRPr="004F3865" w:rsidDel="00CC68F0">
        <w:t xml:space="preserve"> </w:t>
      </w:r>
    </w:p>
    <w:p w14:paraId="1A676A0F" w14:textId="1AC14C95" w:rsidR="00E74117" w:rsidRDefault="00045921" w:rsidP="00E33D32">
      <w:pPr>
        <w:pStyle w:val="3-BodyText"/>
      </w:pPr>
      <w:bookmarkStart w:id="17" w:name="_Ref169701773"/>
      <w:bookmarkStart w:id="18" w:name="_Ref164252386"/>
      <w:r>
        <w:t>T</w:t>
      </w:r>
      <w:r w:rsidR="00891965" w:rsidRPr="00F11539">
        <w:t>he requested restriction d</w:t>
      </w:r>
      <w:r>
        <w:t>id</w:t>
      </w:r>
      <w:r w:rsidR="00891965" w:rsidRPr="00F11539">
        <w:t xml:space="preserve"> not restrict use of fruquintinib to a specific line of treatment (</w:t>
      </w:r>
      <w:r w:rsidR="00BE1378" w:rsidRPr="00F11539">
        <w:t>i.e</w:t>
      </w:r>
      <w:r w:rsidR="00891965" w:rsidRPr="00F11539">
        <w:t>., third</w:t>
      </w:r>
      <w:r w:rsidR="001868F4" w:rsidRPr="00F11539">
        <w:t xml:space="preserve"> </w:t>
      </w:r>
      <w:r w:rsidR="00891965" w:rsidRPr="00F11539">
        <w:t>line</w:t>
      </w:r>
      <w:r w:rsidR="002771E3" w:rsidRPr="00F11539">
        <w:t xml:space="preserve"> (3L</w:t>
      </w:r>
      <w:r w:rsidR="00C062EF" w:rsidRPr="00F11539">
        <w:t>,</w:t>
      </w:r>
      <w:r w:rsidR="00135D40" w:rsidRPr="00F11539">
        <w:t xml:space="preserve"> i.e. </w:t>
      </w:r>
      <w:r w:rsidR="00C062EF" w:rsidRPr="00F11539">
        <w:t xml:space="preserve">replacing or displacing 3L </w:t>
      </w:r>
      <w:r w:rsidR="008267A0" w:rsidRPr="00F11539">
        <w:t>TRI/TIP</w:t>
      </w:r>
      <w:r w:rsidR="002771E3" w:rsidRPr="00F11539">
        <w:t>)</w:t>
      </w:r>
      <w:r w:rsidR="00891965" w:rsidRPr="00F11539">
        <w:t xml:space="preserve"> or fourth</w:t>
      </w:r>
      <w:r w:rsidR="001868F4" w:rsidRPr="00F11539">
        <w:t xml:space="preserve"> </w:t>
      </w:r>
      <w:r w:rsidR="00891965" w:rsidRPr="00F11539">
        <w:t>line</w:t>
      </w:r>
      <w:r w:rsidR="002771E3" w:rsidRPr="00F11539">
        <w:t xml:space="preserve"> (4L</w:t>
      </w:r>
      <w:r w:rsidR="00C062EF" w:rsidRPr="00F11539">
        <w:t xml:space="preserve">, i.e. used </w:t>
      </w:r>
      <w:proofErr w:type="gramStart"/>
      <w:r w:rsidR="00C062EF" w:rsidRPr="00F11539">
        <w:t>subsequent to</w:t>
      </w:r>
      <w:proofErr w:type="gramEnd"/>
      <w:r w:rsidR="00C062EF" w:rsidRPr="00F11539">
        <w:t xml:space="preserve"> 3L </w:t>
      </w:r>
      <w:r w:rsidR="008267A0" w:rsidRPr="00F11539">
        <w:t>TRI/TIP</w:t>
      </w:r>
      <w:r w:rsidR="002771E3" w:rsidRPr="00F11539">
        <w:t>)</w:t>
      </w:r>
      <w:r w:rsidR="00891965" w:rsidRPr="00F11539">
        <w:t>)</w:t>
      </w:r>
      <w:r w:rsidR="00DD7BFE" w:rsidRPr="00F11539">
        <w:t>.</w:t>
      </w:r>
      <w:r w:rsidR="00EB73CE" w:rsidRPr="00F11539">
        <w:t xml:space="preserve"> Similarly, the restriction for </w:t>
      </w:r>
      <w:r w:rsidR="008267A0" w:rsidRPr="00F11539">
        <w:t>TRI/TIP</w:t>
      </w:r>
      <w:r w:rsidR="00EB73CE" w:rsidRPr="00F11539">
        <w:t xml:space="preserve"> does not limit its use to the 3L setting.</w:t>
      </w:r>
      <w:r w:rsidR="00DD7BFE" w:rsidRPr="00F11539">
        <w:t xml:space="preserve"> </w:t>
      </w:r>
      <w:r w:rsidR="00135D40" w:rsidRPr="00F11539">
        <w:t xml:space="preserve">The </w:t>
      </w:r>
      <w:r w:rsidR="00AF4A8C">
        <w:t>Pre-sub-committee response (</w:t>
      </w:r>
      <w:r w:rsidR="00135D40" w:rsidRPr="00F11539">
        <w:t>PSCR</w:t>
      </w:r>
      <w:r w:rsidR="00AF4A8C">
        <w:t>)</w:t>
      </w:r>
      <w:r w:rsidR="00135D40" w:rsidRPr="00F11539">
        <w:t xml:space="preserve"> stated that the totality of the clinical evidence for fruquintinib supports 3L use (FRESCO</w:t>
      </w:r>
      <w:r w:rsidR="00C062EF" w:rsidRPr="00F11539">
        <w:t> </w:t>
      </w:r>
      <w:r w:rsidR="00135D40" w:rsidRPr="00F11539">
        <w:t>1</w:t>
      </w:r>
      <w:r w:rsidR="00C062EF" w:rsidRPr="00F11539">
        <w:t xml:space="preserve"> trial</w:t>
      </w:r>
      <w:r w:rsidR="00135D40" w:rsidRPr="00F11539">
        <w:t>) and 4L use (FRESCO 2</w:t>
      </w:r>
      <w:r w:rsidR="00C062EF" w:rsidRPr="00F11539">
        <w:t xml:space="preserve"> trial</w:t>
      </w:r>
      <w:r w:rsidR="00135D40" w:rsidRPr="00F11539">
        <w:t>)</w:t>
      </w:r>
      <w:r w:rsidR="00C062EF" w:rsidRPr="00F11539">
        <w:t xml:space="preserve">, i.e. for </w:t>
      </w:r>
      <w:r w:rsidR="00135D40" w:rsidRPr="00F11539">
        <w:t xml:space="preserve">all patients who will be eligible under the proposed </w:t>
      </w:r>
      <w:r w:rsidR="00C062EF" w:rsidRPr="00F11539">
        <w:t>3L</w:t>
      </w:r>
      <w:r w:rsidR="00135D40" w:rsidRPr="00F11539">
        <w:t xml:space="preserve"> (or later) restriction.</w:t>
      </w:r>
      <w:r w:rsidR="00EB73CE" w:rsidRPr="00F11539">
        <w:t xml:space="preserve"> The ESC agreed with the evaluation that the requested line of listing has implications for the choice of comparator and the economic and financial estimates, requiring different considerations for each treatment line.</w:t>
      </w:r>
      <w:bookmarkEnd w:id="17"/>
      <w:bookmarkEnd w:id="18"/>
    </w:p>
    <w:p w14:paraId="2565BFD1" w14:textId="5F5C75FA" w:rsidR="003D7422" w:rsidRPr="00F11539" w:rsidRDefault="003D7422" w:rsidP="003D7422">
      <w:pPr>
        <w:pStyle w:val="3-BodyText"/>
        <w:numPr>
          <w:ilvl w:val="0"/>
          <w:numId w:val="0"/>
        </w:numPr>
        <w:ind w:left="720"/>
      </w:pPr>
      <w:r w:rsidRPr="00C33D30">
        <w:rPr>
          <w:i/>
        </w:rPr>
        <w:t>For more detail on PBAC’s view, see section 7 PBAC outcome.</w:t>
      </w:r>
    </w:p>
    <w:p w14:paraId="7C2B7067" w14:textId="77777777" w:rsidR="00891965" w:rsidRPr="00A74236" w:rsidDel="00195452" w:rsidRDefault="00891965" w:rsidP="004F3865">
      <w:pPr>
        <w:pStyle w:val="2-SectionHeading"/>
        <w:keepLines/>
        <w:widowControl w:val="0"/>
        <w:numPr>
          <w:ilvl w:val="0"/>
          <w:numId w:val="1"/>
        </w:numPr>
      </w:pPr>
      <w:bookmarkStart w:id="19" w:name="_Toc107927623"/>
      <w:bookmarkStart w:id="20" w:name="_Toc166861356"/>
      <w:r w:rsidRPr="00A74236" w:rsidDel="00195452">
        <w:t>Population and disease</w:t>
      </w:r>
      <w:bookmarkEnd w:id="19"/>
      <w:bookmarkEnd w:id="20"/>
    </w:p>
    <w:p w14:paraId="4DF73A56" w14:textId="2567DB5E" w:rsidR="00891965" w:rsidRPr="002C48E8" w:rsidRDefault="00891965" w:rsidP="00394C4B">
      <w:pPr>
        <w:pStyle w:val="3-BodyText"/>
      </w:pPr>
      <w:r w:rsidRPr="002C48E8">
        <w:t xml:space="preserve">In Australia, there </w:t>
      </w:r>
      <w:r w:rsidR="002C48E8">
        <w:t xml:space="preserve">were </w:t>
      </w:r>
      <w:r w:rsidRPr="002C48E8">
        <w:t>approximately 15,367 new cases of colorectal cancer (8,133 males and 7,234 females) and 5,307 deaths (2,810 males and 2,497 females)</w:t>
      </w:r>
      <w:r w:rsidR="002C48E8">
        <w:t xml:space="preserve"> in 2023</w:t>
      </w:r>
      <w:r w:rsidRPr="002C48E8">
        <w:t>.</w:t>
      </w:r>
      <w:r w:rsidRPr="002C48E8">
        <w:rPr>
          <w:rStyle w:val="FootnoteReference"/>
        </w:rPr>
        <w:footnoteReference w:id="2"/>
      </w:r>
      <w:r w:rsidRPr="002C48E8">
        <w:t xml:space="preserve"> </w:t>
      </w:r>
      <w:r w:rsidRPr="002C48E8">
        <w:lastRenderedPageBreak/>
        <w:t>Around 18% of colorectal patients are diagnosed with mCRC (Stage IV). The prognosis for mCRC is poor, with a 5-year relative survival rate of 13%.</w:t>
      </w:r>
      <w:r w:rsidRPr="002C48E8">
        <w:rPr>
          <w:rStyle w:val="FootnoteReference"/>
        </w:rPr>
        <w:footnoteReference w:id="3"/>
      </w:r>
      <w:r w:rsidRPr="002C48E8">
        <w:t xml:space="preserve">  </w:t>
      </w:r>
    </w:p>
    <w:p w14:paraId="2085D9CC" w14:textId="77ADDB47" w:rsidR="00891965" w:rsidRDefault="00891965" w:rsidP="00425771">
      <w:pPr>
        <w:pStyle w:val="3-BodyText"/>
        <w:widowControl w:val="0"/>
      </w:pPr>
      <w:r w:rsidRPr="00A74236">
        <w:t>Fruquintinib is a highly selective tyrosine kinase inhibitor (TKI) of vascular endothelial growth factor receptor (VEGFR)</w:t>
      </w:r>
      <w:r w:rsidR="00084405">
        <w:t xml:space="preserve"> </w:t>
      </w:r>
      <w:r w:rsidR="00A42CA4" w:rsidRPr="00A74236">
        <w:t>1, -</w:t>
      </w:r>
      <w:r w:rsidRPr="00A74236">
        <w:t>2, and -3, resulting in antitumor effects including suppression of tumour angiogenesis and lymph angiogenesis, thereby inhibiting tumour growth and metastasis.</w:t>
      </w:r>
    </w:p>
    <w:p w14:paraId="56C0ADD2" w14:textId="0FF41F46" w:rsidR="009201DA" w:rsidRPr="00A74236" w:rsidRDefault="00A87895" w:rsidP="00425771">
      <w:pPr>
        <w:pStyle w:val="3-BodyText"/>
        <w:widowControl w:val="0"/>
      </w:pPr>
      <w:bookmarkStart w:id="21" w:name="_Ref164254106"/>
      <w:r>
        <w:t>The</w:t>
      </w:r>
      <w:r w:rsidRPr="00C06FC3">
        <w:t xml:space="preserve"> European Society for Medical Oncology (ESMO) guidelines </w:t>
      </w:r>
      <w:r w:rsidR="00A5512F">
        <w:t>for mCRC</w:t>
      </w:r>
      <w:r w:rsidR="00BD0381">
        <w:t xml:space="preserve"> in July 2023</w:t>
      </w:r>
      <w:r w:rsidR="00A5512F">
        <w:t xml:space="preserve"> </w:t>
      </w:r>
      <w:r w:rsidRPr="00C06FC3">
        <w:t xml:space="preserve">recommend </w:t>
      </w:r>
      <w:r w:rsidR="008267A0">
        <w:t>TRI/TIP</w:t>
      </w:r>
      <w:r>
        <w:t xml:space="preserve"> </w:t>
      </w:r>
      <w:r>
        <w:rPr>
          <w:rFonts w:cstheme="minorHAnsi"/>
        </w:rPr>
        <w:t>±</w:t>
      </w:r>
      <w:r>
        <w:t xml:space="preserve"> </w:t>
      </w:r>
      <w:r w:rsidR="00F3388C">
        <w:t>bevacizumab (</w:t>
      </w:r>
      <w:r w:rsidR="008267A0">
        <w:t>BEVA</w:t>
      </w:r>
      <w:r w:rsidR="00F3388C">
        <w:t>)</w:t>
      </w:r>
      <w:r>
        <w:t xml:space="preserve"> </w:t>
      </w:r>
      <w:r w:rsidR="00BD0381">
        <w:t xml:space="preserve">or </w:t>
      </w:r>
      <w:r w:rsidRPr="00C06FC3">
        <w:t>regorafenib in the third- and subsequent-lines of treatment</w:t>
      </w:r>
      <w:r>
        <w:t xml:space="preserve"> (noting that fruquintinib is not included).</w:t>
      </w:r>
      <w:r>
        <w:rPr>
          <w:rStyle w:val="FootnoteReference"/>
        </w:rPr>
        <w:footnoteReference w:id="4"/>
      </w:r>
      <w:r>
        <w:t xml:space="preserve"> However, </w:t>
      </w:r>
      <w:r w:rsidR="00BD0381">
        <w:t xml:space="preserve">an updated recommendation in November 2023 from ESMO indicates that </w:t>
      </w:r>
      <w:r w:rsidR="008267A0">
        <w:t>TRI/TIP</w:t>
      </w:r>
      <w:r>
        <w:t xml:space="preserve"> + </w:t>
      </w:r>
      <w:r w:rsidR="008267A0">
        <w:t>BEVA</w:t>
      </w:r>
      <w:r>
        <w:t xml:space="preserve"> may also be used in earlier lines of therapy following oxaliplatin and irinotecan regimen failure.</w:t>
      </w:r>
      <w:r>
        <w:rPr>
          <w:rStyle w:val="FootnoteReference"/>
        </w:rPr>
        <w:footnoteReference w:id="5"/>
      </w:r>
      <w:r>
        <w:t xml:space="preserve"> </w:t>
      </w:r>
      <w:r w:rsidR="009201DA" w:rsidRPr="00A74236">
        <w:t xml:space="preserve">The US National Comprehensive Cancer Network (NCCN) guidelines for </w:t>
      </w:r>
      <w:r w:rsidR="00406574" w:rsidRPr="00406574">
        <w:t xml:space="preserve">Colon Cancer and Rectal Cancer </w:t>
      </w:r>
      <w:r w:rsidR="009201DA" w:rsidRPr="00A74236">
        <w:t xml:space="preserve">recommend fruquintinib, regorafenib, and </w:t>
      </w:r>
      <w:r w:rsidR="008267A0">
        <w:t>TRI/TIP</w:t>
      </w:r>
      <w:r w:rsidR="009201DA" w:rsidRPr="00A74236">
        <w:t xml:space="preserve"> ± </w:t>
      </w:r>
      <w:r w:rsidR="008267A0">
        <w:t>BEVA</w:t>
      </w:r>
      <w:r w:rsidR="009201DA" w:rsidRPr="00A74236">
        <w:t xml:space="preserve"> for patients </w:t>
      </w:r>
      <w:r w:rsidR="009201DA">
        <w:t>with mCRC who have</w:t>
      </w:r>
      <w:r w:rsidR="009201DA" w:rsidRPr="00A74236">
        <w:t xml:space="preserve"> progressed through</w:t>
      </w:r>
      <w:r w:rsidR="00FA70C8">
        <w:t xml:space="preserve"> standard therapies,</w:t>
      </w:r>
      <w:r>
        <w:t xml:space="preserve"> with the combination of </w:t>
      </w:r>
      <w:bookmarkStart w:id="22" w:name="_Hlk169879312"/>
      <w:r w:rsidR="008267A0">
        <w:t>TRI/TIP</w:t>
      </w:r>
      <w:bookmarkEnd w:id="22"/>
      <w:r>
        <w:t xml:space="preserve"> + </w:t>
      </w:r>
      <w:r w:rsidR="008267A0">
        <w:t>BEVA</w:t>
      </w:r>
      <w:r>
        <w:t xml:space="preserve"> preferred over </w:t>
      </w:r>
      <w:r w:rsidR="008267A0">
        <w:t>TRI/TIP</w:t>
      </w:r>
      <w:r>
        <w:t xml:space="preserve"> alone</w:t>
      </w:r>
      <w:r w:rsidR="001957F8">
        <w:t>.</w:t>
      </w:r>
      <w:r w:rsidR="001957F8">
        <w:rPr>
          <w:rStyle w:val="FootnoteReference"/>
        </w:rPr>
        <w:footnoteReference w:id="6"/>
      </w:r>
      <w:r w:rsidR="009201DA" w:rsidRPr="00A74236">
        <w:t xml:space="preserve"> </w:t>
      </w:r>
      <w:bookmarkEnd w:id="21"/>
      <w:r w:rsidR="009201DA" w:rsidRPr="00A74236">
        <w:t xml:space="preserve"> </w:t>
      </w:r>
    </w:p>
    <w:p w14:paraId="61748265" w14:textId="5F0466EC" w:rsidR="00E72E42" w:rsidRDefault="00891965" w:rsidP="007A1760">
      <w:pPr>
        <w:pStyle w:val="3-BodyText"/>
      </w:pPr>
      <w:r w:rsidRPr="00A74236">
        <w:t>The submission proposed fruquintinib be used for adult patients with mCRC who have been previously treated with or are not considered candidates for</w:t>
      </w:r>
      <w:r w:rsidR="007425A1">
        <w:t xml:space="preserve"> available therapies, including</w:t>
      </w:r>
      <w:r w:rsidRPr="00A74236">
        <w:t xml:space="preserve"> fluoropyrimidine-, oxaliplatin-, and irinotecan-based chemotherapy, anti-VEGF therapy and</w:t>
      </w:r>
      <w:r w:rsidR="00E72E42">
        <w:t>/or</w:t>
      </w:r>
      <w:r w:rsidRPr="00A74236">
        <w:t xml:space="preserve"> an anti-EGFR therapy </w:t>
      </w:r>
      <w:r w:rsidRPr="002D44A0">
        <w:t xml:space="preserve">(i.e., those moving to </w:t>
      </w:r>
      <w:r w:rsidR="002771E3" w:rsidRPr="002D44A0">
        <w:t>3L</w:t>
      </w:r>
      <w:r w:rsidR="00394C4B">
        <w:t xml:space="preserve"> treatment</w:t>
      </w:r>
      <w:r w:rsidRPr="002D44A0">
        <w:t>)</w:t>
      </w:r>
      <w:r w:rsidRPr="00A74236">
        <w:t>.</w:t>
      </w:r>
    </w:p>
    <w:p w14:paraId="70E3A434" w14:textId="4486867D" w:rsidR="003D7422" w:rsidRPr="004F3865" w:rsidDel="009201DA" w:rsidRDefault="003D7422" w:rsidP="003D7422">
      <w:pPr>
        <w:pStyle w:val="3-BodyText"/>
        <w:numPr>
          <w:ilvl w:val="0"/>
          <w:numId w:val="0"/>
        </w:numPr>
        <w:ind w:left="720"/>
      </w:pPr>
      <w:r w:rsidRPr="00C33D30">
        <w:rPr>
          <w:i/>
        </w:rPr>
        <w:t>For more detail on PBAC’s view, see section 7 PBAC outcome.</w:t>
      </w:r>
    </w:p>
    <w:p w14:paraId="23A5A763" w14:textId="77777777" w:rsidR="00891965" w:rsidRPr="00A74236" w:rsidRDefault="00891965" w:rsidP="00891965">
      <w:pPr>
        <w:pStyle w:val="2-SectionHeading"/>
        <w:numPr>
          <w:ilvl w:val="0"/>
          <w:numId w:val="1"/>
        </w:numPr>
      </w:pPr>
      <w:bookmarkStart w:id="23" w:name="_Toc107927624"/>
      <w:bookmarkStart w:id="24" w:name="_Toc166861357"/>
      <w:r w:rsidRPr="00A74236">
        <w:t>Comparator</w:t>
      </w:r>
      <w:bookmarkEnd w:id="23"/>
      <w:bookmarkEnd w:id="24"/>
    </w:p>
    <w:p w14:paraId="25133D22" w14:textId="6EA7B134" w:rsidR="00891965" w:rsidRPr="004F3865" w:rsidRDefault="00891965" w:rsidP="00891965">
      <w:pPr>
        <w:pStyle w:val="3-BodyText"/>
      </w:pPr>
      <w:r w:rsidRPr="00A74236">
        <w:t xml:space="preserve">The submission nominated </w:t>
      </w:r>
      <w:r w:rsidR="00161378">
        <w:t>TRI/TIP</w:t>
      </w:r>
      <w:r w:rsidRPr="00A74236">
        <w:t xml:space="preserve"> as the comparator. </w:t>
      </w:r>
      <w:r w:rsidR="00161378">
        <w:t>TRI/TIP</w:t>
      </w:r>
      <w:r w:rsidRPr="001538B7">
        <w:t xml:space="preserve"> is </w:t>
      </w:r>
      <w:r>
        <w:t xml:space="preserve">the only </w:t>
      </w:r>
      <w:r w:rsidRPr="001538B7">
        <w:t>PBS</w:t>
      </w:r>
      <w:r>
        <w:t>-listed</w:t>
      </w:r>
      <w:r w:rsidRPr="001538B7">
        <w:t xml:space="preserve"> treatment </w:t>
      </w:r>
      <w:r>
        <w:t>option for</w:t>
      </w:r>
      <w:r w:rsidRPr="001538B7">
        <w:t xml:space="preserve"> patients with mCRC who have been treated previously or are not considered suitable for current available therapies, and</w:t>
      </w:r>
      <w:r>
        <w:t xml:space="preserve"> most likely to be replaced by fruquintinib. </w:t>
      </w:r>
      <w:r w:rsidRPr="004F3865">
        <w:t xml:space="preserve">In November 2021, the PBAC considered </w:t>
      </w:r>
      <w:r w:rsidR="00161378">
        <w:t>TRI/TIP</w:t>
      </w:r>
      <w:r w:rsidRPr="004F3865">
        <w:t xml:space="preserve"> to be the reasonable comparator for this population when considering regorafenib (paragraph 5.2, regorafenib</w:t>
      </w:r>
      <w:r w:rsidR="00420103" w:rsidRPr="004F3865">
        <w:t xml:space="preserve"> Public Summary Document</w:t>
      </w:r>
      <w:r w:rsidRPr="004F3865">
        <w:t xml:space="preserve"> </w:t>
      </w:r>
      <w:r w:rsidR="00420103" w:rsidRPr="004F3865">
        <w:t>(</w:t>
      </w:r>
      <w:r w:rsidRPr="004F3865">
        <w:t>PSD</w:t>
      </w:r>
      <w:r w:rsidR="00420103" w:rsidRPr="004F3865">
        <w:t>)</w:t>
      </w:r>
      <w:r w:rsidRPr="004F3865">
        <w:t xml:space="preserve">, November 2021 PBAC Meeting). </w:t>
      </w:r>
    </w:p>
    <w:p w14:paraId="3ECD541D" w14:textId="5B64C4C5" w:rsidR="00113AC0" w:rsidRDefault="00891965" w:rsidP="00891965">
      <w:pPr>
        <w:pStyle w:val="3-BodyText"/>
        <w:rPr>
          <w:snapToGrid/>
        </w:rPr>
      </w:pPr>
      <w:bookmarkStart w:id="25" w:name="_Ref165380732"/>
      <w:bookmarkStart w:id="26" w:name="_Ref107305379"/>
      <w:r w:rsidRPr="00F8298A">
        <w:rPr>
          <w:snapToGrid/>
        </w:rPr>
        <w:t xml:space="preserve">Other treatment options for mCRC, including regorafenib and </w:t>
      </w:r>
      <w:r w:rsidR="00161378">
        <w:t>TRI/TIP</w:t>
      </w:r>
      <w:r w:rsidRPr="00F8298A">
        <w:rPr>
          <w:snapToGrid/>
        </w:rPr>
        <w:t xml:space="preserve"> + </w:t>
      </w:r>
      <w:r w:rsidR="00161378">
        <w:rPr>
          <w:snapToGrid/>
        </w:rPr>
        <w:t>BEVA</w:t>
      </w:r>
      <w:r w:rsidRPr="00F8298A">
        <w:rPr>
          <w:snapToGrid/>
        </w:rPr>
        <w:t>, were identified by the submission but were not considered to be comparator</w:t>
      </w:r>
      <w:r>
        <w:rPr>
          <w:snapToGrid/>
        </w:rPr>
        <w:t>s</w:t>
      </w:r>
      <w:r w:rsidR="00A077C5">
        <w:rPr>
          <w:snapToGrid/>
        </w:rPr>
        <w:t>.</w:t>
      </w:r>
      <w:r w:rsidR="00113AC0">
        <w:rPr>
          <w:snapToGrid/>
        </w:rPr>
        <w:t xml:space="preserve"> </w:t>
      </w:r>
      <w:r w:rsidR="00A077C5" w:rsidRPr="006749BF">
        <w:rPr>
          <w:snapToGrid/>
        </w:rPr>
        <w:t>R</w:t>
      </w:r>
      <w:r w:rsidR="00113AC0" w:rsidRPr="006749BF">
        <w:rPr>
          <w:snapToGrid/>
        </w:rPr>
        <w:t>egorafenib has previously been considered</w:t>
      </w:r>
      <w:r w:rsidR="00932665">
        <w:rPr>
          <w:snapToGrid/>
        </w:rPr>
        <w:t xml:space="preserve"> </w:t>
      </w:r>
      <w:r w:rsidR="00932665" w:rsidRPr="00F11539">
        <w:rPr>
          <w:snapToGrid/>
        </w:rPr>
        <w:t>for mCRC (November 2021) and hepatocellular carcinoma (July 2019),</w:t>
      </w:r>
      <w:r w:rsidR="00113AC0" w:rsidRPr="00F11539">
        <w:rPr>
          <w:snapToGrid/>
        </w:rPr>
        <w:t xml:space="preserve"> and not recommended by the PBAC</w:t>
      </w:r>
      <w:r w:rsidR="00932665" w:rsidRPr="00F11539">
        <w:rPr>
          <w:snapToGrid/>
        </w:rPr>
        <w:t xml:space="preserve"> for either indication</w:t>
      </w:r>
      <w:r w:rsidR="00A077C5" w:rsidRPr="00F11539">
        <w:rPr>
          <w:snapToGrid/>
        </w:rPr>
        <w:t>.</w:t>
      </w:r>
      <w:r w:rsidR="00A077C5" w:rsidRPr="006749BF">
        <w:rPr>
          <w:snapToGrid/>
        </w:rPr>
        <w:t xml:space="preserve"> </w:t>
      </w:r>
      <w:r w:rsidR="00A077C5" w:rsidRPr="004F3865">
        <w:rPr>
          <w:snapToGrid/>
        </w:rPr>
        <w:t xml:space="preserve">While </w:t>
      </w:r>
      <w:r w:rsidR="00A077C5" w:rsidRPr="004F3865">
        <w:rPr>
          <w:snapToGrid/>
        </w:rPr>
        <w:lastRenderedPageBreak/>
        <w:t>t</w:t>
      </w:r>
      <w:r w:rsidR="00512EE2" w:rsidRPr="004F3865">
        <w:rPr>
          <w:snapToGrid/>
        </w:rPr>
        <w:t xml:space="preserve">he TGA indication for </w:t>
      </w:r>
      <w:r w:rsidR="00161378">
        <w:t>TRI/TIP</w:t>
      </w:r>
      <w:r w:rsidR="00512EE2" w:rsidRPr="004F3865">
        <w:rPr>
          <w:snapToGrid/>
        </w:rPr>
        <w:t xml:space="preserve"> does not preclude</w:t>
      </w:r>
      <w:r w:rsidR="00A077C5" w:rsidRPr="004F3865">
        <w:rPr>
          <w:snapToGrid/>
        </w:rPr>
        <w:t xml:space="preserve"> its</w:t>
      </w:r>
      <w:r w:rsidR="00512EE2" w:rsidRPr="004F3865">
        <w:rPr>
          <w:snapToGrid/>
        </w:rPr>
        <w:t xml:space="preserve"> use with other medicines</w:t>
      </w:r>
      <w:r w:rsidR="00A077C5" w:rsidRPr="004F3865">
        <w:rPr>
          <w:snapToGrid/>
        </w:rPr>
        <w:t xml:space="preserve"> such as </w:t>
      </w:r>
      <w:r w:rsidR="000C36AA">
        <w:rPr>
          <w:snapToGrid/>
        </w:rPr>
        <w:t>BEVA</w:t>
      </w:r>
      <w:r w:rsidR="00512EE2" w:rsidRPr="004F3865">
        <w:rPr>
          <w:snapToGrid/>
        </w:rPr>
        <w:t xml:space="preserve">, </w:t>
      </w:r>
      <w:r w:rsidR="00A077C5" w:rsidRPr="004F3865">
        <w:rPr>
          <w:snapToGrid/>
        </w:rPr>
        <w:t xml:space="preserve">its </w:t>
      </w:r>
      <w:r w:rsidR="00113AC0" w:rsidRPr="004F3865">
        <w:rPr>
          <w:snapToGrid/>
        </w:rPr>
        <w:t xml:space="preserve">PBS restriction </w:t>
      </w:r>
      <w:r w:rsidR="004E70AA" w:rsidRPr="004F3865">
        <w:rPr>
          <w:snapToGrid/>
        </w:rPr>
        <w:t>states,</w:t>
      </w:r>
      <w:r w:rsidR="00967DF6" w:rsidRPr="004F3865">
        <w:rPr>
          <w:snapToGrid/>
        </w:rPr>
        <w:t xml:space="preserve"> ‘The treatment must be the sole PBS-subsidised therapy for this condition'</w:t>
      </w:r>
      <w:r w:rsidR="00113AC0" w:rsidRPr="004F3865">
        <w:rPr>
          <w:snapToGrid/>
        </w:rPr>
        <w:t>.</w:t>
      </w:r>
      <w:r w:rsidR="00113AC0">
        <w:rPr>
          <w:snapToGrid/>
        </w:rPr>
        <w:t xml:space="preserve"> </w:t>
      </w:r>
    </w:p>
    <w:p w14:paraId="6E1D15B8" w14:textId="12DF425C" w:rsidR="00891965" w:rsidRPr="004F3865" w:rsidRDefault="00632F07" w:rsidP="00891965">
      <w:pPr>
        <w:pStyle w:val="3-BodyText"/>
        <w:rPr>
          <w:snapToGrid/>
        </w:rPr>
      </w:pPr>
      <w:bookmarkStart w:id="27" w:name="_Ref167012873"/>
      <w:bookmarkStart w:id="28" w:name="_Hlk178150276"/>
      <w:r w:rsidRPr="004F3865">
        <w:rPr>
          <w:snapToGrid/>
        </w:rPr>
        <w:t>The evaluation agreed with the submission that i</w:t>
      </w:r>
      <w:r w:rsidR="00891965" w:rsidRPr="004F3865">
        <w:rPr>
          <w:snapToGrid/>
        </w:rPr>
        <w:t xml:space="preserve">t was appropriate not to consider regorafenib </w:t>
      </w:r>
      <w:r w:rsidR="005B2194" w:rsidRPr="004F3865">
        <w:rPr>
          <w:snapToGrid/>
        </w:rPr>
        <w:t>to be</w:t>
      </w:r>
      <w:r w:rsidR="00891965" w:rsidRPr="004F3865">
        <w:rPr>
          <w:snapToGrid/>
        </w:rPr>
        <w:t xml:space="preserve"> a comparator. However, </w:t>
      </w:r>
      <w:r w:rsidR="008A108E" w:rsidRPr="004F3865">
        <w:rPr>
          <w:snapToGrid/>
        </w:rPr>
        <w:t xml:space="preserve">the evaluation noted that </w:t>
      </w:r>
      <w:r w:rsidR="00161378">
        <w:t>TRI/TIP</w:t>
      </w:r>
      <w:r w:rsidR="00891965" w:rsidRPr="004F3865">
        <w:rPr>
          <w:snapToGrid/>
        </w:rPr>
        <w:t xml:space="preserve"> + </w:t>
      </w:r>
      <w:r w:rsidR="00161378">
        <w:rPr>
          <w:snapToGrid/>
        </w:rPr>
        <w:t>BEVA</w:t>
      </w:r>
      <w:r w:rsidR="00891965" w:rsidRPr="004F3865">
        <w:rPr>
          <w:snapToGrid/>
        </w:rPr>
        <w:t xml:space="preserve"> </w:t>
      </w:r>
      <w:r w:rsidR="00113AC0" w:rsidRPr="004F3865">
        <w:rPr>
          <w:snapToGrid/>
        </w:rPr>
        <w:t xml:space="preserve">could </w:t>
      </w:r>
      <w:r w:rsidR="00891965" w:rsidRPr="004F3865">
        <w:rPr>
          <w:snapToGrid/>
        </w:rPr>
        <w:t>be considered a</w:t>
      </w:r>
      <w:r w:rsidR="005B2194" w:rsidRPr="004F3865">
        <w:rPr>
          <w:snapToGrid/>
        </w:rPr>
        <w:t>n</w:t>
      </w:r>
      <w:r w:rsidR="00891965" w:rsidRPr="004F3865">
        <w:rPr>
          <w:snapToGrid/>
        </w:rPr>
        <w:t xml:space="preserve"> a</w:t>
      </w:r>
      <w:r w:rsidR="005B2194" w:rsidRPr="004F3865">
        <w:rPr>
          <w:snapToGrid/>
        </w:rPr>
        <w:t>dditional</w:t>
      </w:r>
      <w:r w:rsidR="00891965" w:rsidRPr="004F3865">
        <w:rPr>
          <w:snapToGrid/>
        </w:rPr>
        <w:t xml:space="preserve"> </w:t>
      </w:r>
      <w:r w:rsidR="00113AC0" w:rsidRPr="004F3865">
        <w:rPr>
          <w:snapToGrid/>
        </w:rPr>
        <w:t>comparator</w:t>
      </w:r>
      <w:r w:rsidR="00891965" w:rsidRPr="004F3865">
        <w:rPr>
          <w:snapToGrid/>
        </w:rPr>
        <w:t xml:space="preserve"> for the following reasons:</w:t>
      </w:r>
      <w:bookmarkEnd w:id="25"/>
      <w:bookmarkEnd w:id="27"/>
    </w:p>
    <w:p w14:paraId="58F5FD2D" w14:textId="11D73BBE" w:rsidR="00BC5352" w:rsidRPr="004F3865" w:rsidRDefault="00084405" w:rsidP="004E70AA">
      <w:pPr>
        <w:pStyle w:val="ListParagraph"/>
        <w:ind w:left="1080"/>
        <w:rPr>
          <w:snapToGrid/>
        </w:rPr>
      </w:pPr>
      <w:r w:rsidRPr="004F3865">
        <w:rPr>
          <w:snapToGrid/>
        </w:rPr>
        <w:t>The results from</w:t>
      </w:r>
      <w:r w:rsidR="00BC5352" w:rsidRPr="004F3865">
        <w:rPr>
          <w:snapToGrid/>
        </w:rPr>
        <w:t xml:space="preserve"> the</w:t>
      </w:r>
      <w:r w:rsidR="006A6A5C" w:rsidRPr="004F3865">
        <w:rPr>
          <w:snapToGrid/>
        </w:rPr>
        <w:t xml:space="preserve"> phase III randomised</w:t>
      </w:r>
      <w:r w:rsidR="00BC5352" w:rsidRPr="004F3865">
        <w:rPr>
          <w:snapToGrid/>
        </w:rPr>
        <w:t xml:space="preserve"> SUNLIGHT trial</w:t>
      </w:r>
      <w:r w:rsidR="00AE35EF">
        <w:rPr>
          <w:rStyle w:val="FootnoteReference"/>
          <w:snapToGrid/>
        </w:rPr>
        <w:footnoteReference w:id="7"/>
      </w:r>
      <w:r w:rsidR="00BC5352" w:rsidRPr="004F3865">
        <w:rPr>
          <w:snapToGrid/>
        </w:rPr>
        <w:t xml:space="preserve"> demonstrated that </w:t>
      </w:r>
      <w:r w:rsidR="00161378">
        <w:t>TRI/TIP</w:t>
      </w:r>
      <w:r w:rsidR="00BC5352" w:rsidRPr="004F3865">
        <w:rPr>
          <w:snapToGrid/>
        </w:rPr>
        <w:t xml:space="preserve"> + </w:t>
      </w:r>
      <w:r w:rsidR="00161378">
        <w:rPr>
          <w:snapToGrid/>
        </w:rPr>
        <w:t>BEVA</w:t>
      </w:r>
      <w:r w:rsidR="00BC5352" w:rsidRPr="004F3865">
        <w:rPr>
          <w:snapToGrid/>
        </w:rPr>
        <w:t xml:space="preserve"> was associated with statistically significant improvement in</w:t>
      </w:r>
      <w:r w:rsidR="00CF3D89" w:rsidRPr="004F3865">
        <w:rPr>
          <w:snapToGrid/>
        </w:rPr>
        <w:t xml:space="preserve"> overall survival</w:t>
      </w:r>
      <w:r w:rsidR="00BC5352" w:rsidRPr="004F3865">
        <w:rPr>
          <w:snapToGrid/>
        </w:rPr>
        <w:t xml:space="preserve"> </w:t>
      </w:r>
      <w:r w:rsidR="00CF3D89" w:rsidRPr="004F3865">
        <w:rPr>
          <w:snapToGrid/>
        </w:rPr>
        <w:t>(</w:t>
      </w:r>
      <w:r w:rsidR="00BC5352" w:rsidRPr="004F3865">
        <w:rPr>
          <w:snapToGrid/>
        </w:rPr>
        <w:t>OS</w:t>
      </w:r>
      <w:r w:rsidR="00CF3D89" w:rsidRPr="004F3865">
        <w:rPr>
          <w:snapToGrid/>
        </w:rPr>
        <w:t>)</w:t>
      </w:r>
      <w:r w:rsidR="00BC5352" w:rsidRPr="004F3865">
        <w:rPr>
          <w:snapToGrid/>
        </w:rPr>
        <w:t xml:space="preserve"> over </w:t>
      </w:r>
      <w:r w:rsidR="00161378">
        <w:t>TRI/TIP</w:t>
      </w:r>
      <w:r w:rsidR="00BC5352" w:rsidRPr="004F3865">
        <w:rPr>
          <w:snapToGrid/>
        </w:rPr>
        <w:t xml:space="preserve"> alone (hazard ratio [HR] = 0.61; 95% confidence interval [CI]: 0.49, 0.77)</w:t>
      </w:r>
      <w:r w:rsidR="00CF7ABD" w:rsidRPr="004F3865">
        <w:rPr>
          <w:snapToGrid/>
        </w:rPr>
        <w:t>, and the combination was approved by the FDA based on this trial</w:t>
      </w:r>
      <w:r w:rsidR="006A6A5C" w:rsidRPr="004F3865">
        <w:rPr>
          <w:snapToGrid/>
        </w:rPr>
        <w:t>.</w:t>
      </w:r>
      <w:bookmarkEnd w:id="28"/>
    </w:p>
    <w:p w14:paraId="24210CC8" w14:textId="5B0DE202" w:rsidR="00113AC0" w:rsidRPr="004F3865" w:rsidRDefault="00113AC0" w:rsidP="004E70AA">
      <w:pPr>
        <w:pStyle w:val="ListParagraph"/>
        <w:ind w:left="1080"/>
        <w:rPr>
          <w:snapToGrid/>
        </w:rPr>
      </w:pPr>
      <w:bookmarkStart w:id="29" w:name="_Hlk178150209"/>
      <w:bookmarkStart w:id="30" w:name="_Ref164681263"/>
      <w:bookmarkStart w:id="31" w:name="_Hlk164337292"/>
      <w:r w:rsidRPr="004F3865">
        <w:rPr>
          <w:snapToGrid/>
        </w:rPr>
        <w:t xml:space="preserve">Recent data from DUSC </w:t>
      </w:r>
      <w:r w:rsidR="00AB172E" w:rsidRPr="004F3865">
        <w:rPr>
          <w:snapToGrid/>
        </w:rPr>
        <w:t xml:space="preserve">for the period December 2018 to December 2023 </w:t>
      </w:r>
      <w:r w:rsidRPr="004F3865">
        <w:rPr>
          <w:snapToGrid/>
        </w:rPr>
        <w:t xml:space="preserve">indicates that </w:t>
      </w:r>
      <w:r w:rsidR="003D5D3A" w:rsidRPr="004F3865">
        <w:rPr>
          <w:snapToGrid/>
        </w:rPr>
        <w:t xml:space="preserve">despite the wording of the </w:t>
      </w:r>
      <w:r w:rsidR="00161378">
        <w:t>TRI/TIP</w:t>
      </w:r>
      <w:r w:rsidR="003D5D3A" w:rsidRPr="004F3865">
        <w:rPr>
          <w:snapToGrid/>
        </w:rPr>
        <w:t xml:space="preserve"> restriction</w:t>
      </w:r>
      <w:r w:rsidR="001D0019" w:rsidRPr="004F3865">
        <w:rPr>
          <w:snapToGrid/>
        </w:rPr>
        <w:t xml:space="preserve"> (as the sole PBS-subsidised therapy)</w:t>
      </w:r>
      <w:r w:rsidR="003D5D3A" w:rsidRPr="004F3865">
        <w:rPr>
          <w:snapToGrid/>
        </w:rPr>
        <w:t xml:space="preserve">, PBS-listed </w:t>
      </w:r>
      <w:r w:rsidR="000C36AA">
        <w:rPr>
          <w:snapToGrid/>
        </w:rPr>
        <w:t>BEVA</w:t>
      </w:r>
      <w:r w:rsidRPr="004F3865">
        <w:rPr>
          <w:snapToGrid/>
        </w:rPr>
        <w:t xml:space="preserve"> is currently being utilised alongside </w:t>
      </w:r>
      <w:r w:rsidR="00161378">
        <w:t>TRI/TIP</w:t>
      </w:r>
      <w:r w:rsidRPr="004F3865">
        <w:rPr>
          <w:snapToGrid/>
        </w:rPr>
        <w:t xml:space="preserve"> for mCRC in clinical practice in Australia</w:t>
      </w:r>
      <w:r w:rsidR="00AB172E" w:rsidRPr="004F3865">
        <w:rPr>
          <w:snapToGrid/>
        </w:rPr>
        <w:t xml:space="preserve">. </w:t>
      </w:r>
      <w:r w:rsidR="00AB172E" w:rsidRPr="004F3865">
        <w:rPr>
          <w:snapToGrid/>
        </w:rPr>
        <w:fldChar w:fldCharType="begin"/>
      </w:r>
      <w:r w:rsidR="00AB172E" w:rsidRPr="004F3865">
        <w:rPr>
          <w:snapToGrid/>
        </w:rPr>
        <w:instrText xml:space="preserve"> REF _Ref165382031 \h </w:instrText>
      </w:r>
      <w:r w:rsidR="00AA1AD7" w:rsidRPr="004F3865">
        <w:rPr>
          <w:snapToGrid/>
        </w:rPr>
        <w:instrText xml:space="preserve"> \* MERGEFORMAT </w:instrText>
      </w:r>
      <w:r w:rsidR="00AB172E" w:rsidRPr="004F3865">
        <w:rPr>
          <w:snapToGrid/>
        </w:rPr>
      </w:r>
      <w:r w:rsidR="00AB172E" w:rsidRPr="004F3865">
        <w:rPr>
          <w:snapToGrid/>
        </w:rPr>
        <w:fldChar w:fldCharType="separate"/>
      </w:r>
      <w:r w:rsidR="00F03729">
        <w:t xml:space="preserve">Figure </w:t>
      </w:r>
      <w:r w:rsidR="00F03729">
        <w:rPr>
          <w:noProof/>
        </w:rPr>
        <w:t>1</w:t>
      </w:r>
      <w:r w:rsidR="00AB172E" w:rsidRPr="004F3865">
        <w:rPr>
          <w:snapToGrid/>
        </w:rPr>
        <w:fldChar w:fldCharType="end"/>
      </w:r>
      <w:r w:rsidR="00AB172E" w:rsidRPr="004F3865">
        <w:rPr>
          <w:snapToGrid/>
        </w:rPr>
        <w:t xml:space="preserve"> shows that the percentage of patients on this combination treatment reached a high of </w:t>
      </w:r>
      <w:r w:rsidR="003806A2" w:rsidRPr="00F03729">
        <w:rPr>
          <w:snapToGrid/>
          <w:color w:val="000000"/>
          <w:w w:val="15"/>
          <w:shd w:val="solid" w:color="000000" w:fill="000000"/>
          <w:fitText w:val="-20" w:id="-863234816"/>
          <w14:textFill>
            <w14:solidFill>
              <w14:srgbClr w14:val="000000">
                <w14:alpha w14:val="100000"/>
              </w14:srgbClr>
            </w14:solidFill>
          </w14:textFill>
        </w:rPr>
        <w:t xml:space="preserve">|  </w:t>
      </w:r>
      <w:r w:rsidR="003806A2" w:rsidRPr="00F03729">
        <w:rPr>
          <w:snapToGrid/>
          <w:color w:val="000000"/>
          <w:spacing w:val="-69"/>
          <w:w w:val="15"/>
          <w:shd w:val="solid" w:color="000000" w:fill="000000"/>
          <w:fitText w:val="-20" w:id="-863234816"/>
          <w14:textFill>
            <w14:solidFill>
              <w14:srgbClr w14:val="000000">
                <w14:alpha w14:val="100000"/>
              </w14:srgbClr>
            </w14:solidFill>
          </w14:textFill>
        </w:rPr>
        <w:t>|</w:t>
      </w:r>
      <w:r w:rsidR="00AB172E" w:rsidRPr="004F3865">
        <w:rPr>
          <w:snapToGrid/>
        </w:rPr>
        <w:t xml:space="preserve">% in October 2023, with the most recent data available (week beginning 31 December 2023) showing </w:t>
      </w:r>
      <w:r w:rsidR="003806A2" w:rsidRPr="00F03729">
        <w:rPr>
          <w:snapToGrid/>
          <w:color w:val="000000"/>
          <w:w w:val="15"/>
          <w:shd w:val="solid" w:color="000000" w:fill="000000"/>
          <w:fitText w:val="-20" w:id="-863234815"/>
          <w14:textFill>
            <w14:solidFill>
              <w14:srgbClr w14:val="000000">
                <w14:alpha w14:val="100000"/>
              </w14:srgbClr>
            </w14:solidFill>
          </w14:textFill>
        </w:rPr>
        <w:t xml:space="preserve">|  </w:t>
      </w:r>
      <w:r w:rsidR="003806A2" w:rsidRPr="00F03729">
        <w:rPr>
          <w:snapToGrid/>
          <w:color w:val="000000"/>
          <w:spacing w:val="-69"/>
          <w:w w:val="15"/>
          <w:shd w:val="solid" w:color="000000" w:fill="000000"/>
          <w:fitText w:val="-20" w:id="-863234815"/>
          <w14:textFill>
            <w14:solidFill>
              <w14:srgbClr w14:val="000000">
                <w14:alpha w14:val="100000"/>
              </w14:srgbClr>
            </w14:solidFill>
          </w14:textFill>
        </w:rPr>
        <w:t>|</w:t>
      </w:r>
      <w:r w:rsidR="00AB172E" w:rsidRPr="004F3865">
        <w:rPr>
          <w:snapToGrid/>
        </w:rPr>
        <w:t xml:space="preserve">% of patients on the combination. </w:t>
      </w:r>
      <w:r w:rsidR="003F588D" w:rsidRPr="00F11539">
        <w:rPr>
          <w:snapToGrid/>
        </w:rPr>
        <w:t>The ESC noted that a substantial number of</w:t>
      </w:r>
      <w:r w:rsidR="003F588D">
        <w:rPr>
          <w:snapToGrid/>
        </w:rPr>
        <w:t xml:space="preserve"> </w:t>
      </w:r>
      <w:r w:rsidR="00CF529A" w:rsidRPr="004F3865">
        <w:rPr>
          <w:snapToGrid/>
        </w:rPr>
        <w:t xml:space="preserve">patients may be accessing </w:t>
      </w:r>
      <w:r w:rsidR="000C36AA">
        <w:rPr>
          <w:snapToGrid/>
        </w:rPr>
        <w:t>BEVA</w:t>
      </w:r>
      <w:r w:rsidR="00CF529A" w:rsidRPr="004F3865">
        <w:rPr>
          <w:snapToGrid/>
        </w:rPr>
        <w:t xml:space="preserve"> for use in combination with </w:t>
      </w:r>
      <w:r w:rsidR="00161378">
        <w:t>TRI/TIP</w:t>
      </w:r>
      <w:r w:rsidR="00CF529A" w:rsidRPr="004F3865">
        <w:rPr>
          <w:snapToGrid/>
        </w:rPr>
        <w:t xml:space="preserve"> outside of the PBS.</w:t>
      </w:r>
    </w:p>
    <w:p w14:paraId="48CD5324" w14:textId="3F42215B" w:rsidR="00CF7ABD" w:rsidRDefault="00CF7ABD" w:rsidP="004E70AA">
      <w:pPr>
        <w:pStyle w:val="ListParagraph"/>
        <w:spacing w:after="240"/>
        <w:ind w:left="1080"/>
        <w:rPr>
          <w:snapToGrid/>
        </w:rPr>
      </w:pPr>
      <w:r w:rsidRPr="004F3865">
        <w:rPr>
          <w:snapToGrid/>
        </w:rPr>
        <w:t xml:space="preserve">The NCCN Colon Cancer and Rectal Cancer guidelines recommend fruquintinib, regorafenib, and </w:t>
      </w:r>
      <w:r w:rsidR="00161378">
        <w:t>TRI/TIP</w:t>
      </w:r>
      <w:r w:rsidRPr="004F3865">
        <w:rPr>
          <w:snapToGrid/>
        </w:rPr>
        <w:t xml:space="preserve"> ± </w:t>
      </w:r>
      <w:r w:rsidR="00161378">
        <w:rPr>
          <w:snapToGrid/>
        </w:rPr>
        <w:t>BEVA</w:t>
      </w:r>
      <w:r w:rsidRPr="004F3865">
        <w:rPr>
          <w:snapToGrid/>
        </w:rPr>
        <w:t xml:space="preserve"> for the treatment of mCRC that has progressed through</w:t>
      </w:r>
      <w:r w:rsidR="006F471F" w:rsidRPr="004F3865">
        <w:rPr>
          <w:snapToGrid/>
        </w:rPr>
        <w:t xml:space="preserve"> standard therapies</w:t>
      </w:r>
      <w:r w:rsidR="00FD4B23" w:rsidRPr="004F3865">
        <w:rPr>
          <w:snapToGrid/>
        </w:rPr>
        <w:t xml:space="preserve"> (paragraph </w:t>
      </w:r>
      <w:r w:rsidR="00FD4B23" w:rsidRPr="004F3865">
        <w:rPr>
          <w:snapToGrid/>
        </w:rPr>
        <w:fldChar w:fldCharType="begin"/>
      </w:r>
      <w:r w:rsidR="00FD4B23" w:rsidRPr="004F3865">
        <w:rPr>
          <w:snapToGrid/>
        </w:rPr>
        <w:instrText xml:space="preserve"> REF _Ref164254106 \r \h </w:instrText>
      </w:r>
      <w:r w:rsidR="004F3865">
        <w:rPr>
          <w:snapToGrid/>
        </w:rPr>
        <w:instrText xml:space="preserve"> \* MERGEFORMAT </w:instrText>
      </w:r>
      <w:r w:rsidR="00FD4B23" w:rsidRPr="004F3865">
        <w:rPr>
          <w:snapToGrid/>
        </w:rPr>
      </w:r>
      <w:r w:rsidR="00FD4B23" w:rsidRPr="004F3865">
        <w:rPr>
          <w:snapToGrid/>
        </w:rPr>
        <w:fldChar w:fldCharType="separate"/>
      </w:r>
      <w:r w:rsidR="00F03729">
        <w:rPr>
          <w:snapToGrid/>
        </w:rPr>
        <w:t>4.3</w:t>
      </w:r>
      <w:r w:rsidR="00FD4B23" w:rsidRPr="004F3865">
        <w:rPr>
          <w:snapToGrid/>
        </w:rPr>
        <w:fldChar w:fldCharType="end"/>
      </w:r>
      <w:r w:rsidR="00FD4B23" w:rsidRPr="004F3865">
        <w:rPr>
          <w:snapToGrid/>
        </w:rPr>
        <w:t>),</w:t>
      </w:r>
      <w:r w:rsidRPr="004F3865">
        <w:rPr>
          <w:snapToGrid/>
        </w:rPr>
        <w:t xml:space="preserve"> </w:t>
      </w:r>
      <w:r w:rsidR="00513381" w:rsidRPr="004F3865">
        <w:rPr>
          <w:snapToGrid/>
        </w:rPr>
        <w:t xml:space="preserve">implying </w:t>
      </w:r>
      <w:r w:rsidRPr="004F3865">
        <w:rPr>
          <w:snapToGrid/>
        </w:rPr>
        <w:t xml:space="preserve">that </w:t>
      </w:r>
      <w:r w:rsidR="00161378">
        <w:t>TRI/TIP</w:t>
      </w:r>
      <w:r w:rsidRPr="004F3865">
        <w:rPr>
          <w:snapToGrid/>
        </w:rPr>
        <w:t xml:space="preserve"> </w:t>
      </w:r>
      <w:r w:rsidRPr="004F3865">
        <w:rPr>
          <w:rFonts w:cstheme="minorHAnsi"/>
          <w:snapToGrid/>
        </w:rPr>
        <w:t>±</w:t>
      </w:r>
      <w:r w:rsidRPr="004F3865">
        <w:rPr>
          <w:snapToGrid/>
        </w:rPr>
        <w:t xml:space="preserve"> </w:t>
      </w:r>
      <w:r w:rsidR="00161378">
        <w:rPr>
          <w:snapToGrid/>
        </w:rPr>
        <w:t>BEVA</w:t>
      </w:r>
      <w:r w:rsidRPr="004F3865">
        <w:rPr>
          <w:snapToGrid/>
        </w:rPr>
        <w:t xml:space="preserve"> could be a comparator to fruquintinib if both drugs are used in the same line of treatment (e.g., </w:t>
      </w:r>
      <w:r w:rsidR="002771E3" w:rsidRPr="004F3865">
        <w:rPr>
          <w:snapToGrid/>
        </w:rPr>
        <w:t>3L</w:t>
      </w:r>
      <w:r w:rsidRPr="004F3865">
        <w:rPr>
          <w:snapToGrid/>
        </w:rPr>
        <w:t>)</w:t>
      </w:r>
      <w:r w:rsidR="00513381" w:rsidRPr="004F3865">
        <w:rPr>
          <w:snapToGrid/>
        </w:rPr>
        <w:t xml:space="preserve">, and indicating that </w:t>
      </w:r>
      <w:r w:rsidR="00161378">
        <w:t>TRI/TIP</w:t>
      </w:r>
      <w:r w:rsidRPr="004F3865">
        <w:rPr>
          <w:snapToGrid/>
        </w:rPr>
        <w:t xml:space="preserve"> + </w:t>
      </w:r>
      <w:r w:rsidR="00161378">
        <w:rPr>
          <w:snapToGrid/>
        </w:rPr>
        <w:t>BEVA</w:t>
      </w:r>
      <w:r w:rsidRPr="004F3865">
        <w:rPr>
          <w:snapToGrid/>
        </w:rPr>
        <w:t xml:space="preserve"> </w:t>
      </w:r>
      <w:r w:rsidR="00513381" w:rsidRPr="004F3865">
        <w:rPr>
          <w:snapToGrid/>
        </w:rPr>
        <w:t>i</w:t>
      </w:r>
      <w:r w:rsidRPr="004F3865">
        <w:rPr>
          <w:snapToGrid/>
        </w:rPr>
        <w:t xml:space="preserve">s the preferred regimen over </w:t>
      </w:r>
      <w:r w:rsidR="00161378">
        <w:t>TRI/TIP</w:t>
      </w:r>
      <w:r w:rsidRPr="004F3865">
        <w:rPr>
          <w:snapToGrid/>
        </w:rPr>
        <w:t xml:space="preserve"> alone.</w:t>
      </w:r>
    </w:p>
    <w:p w14:paraId="1C8F6230" w14:textId="58A28360" w:rsidR="00AB172E" w:rsidRDefault="00AB172E" w:rsidP="00AB172E">
      <w:pPr>
        <w:pStyle w:val="Caption"/>
      </w:pPr>
      <w:bookmarkStart w:id="32" w:name="_Ref165382031"/>
      <w:r>
        <w:lastRenderedPageBreak/>
        <w:t xml:space="preserve">Figure </w:t>
      </w:r>
      <w:r w:rsidR="00DD5C00">
        <w:fldChar w:fldCharType="begin"/>
      </w:r>
      <w:r w:rsidR="00DD5C00">
        <w:instrText xml:space="preserve"> SEQ Figure \* ARABIC </w:instrText>
      </w:r>
      <w:r w:rsidR="00DD5C00">
        <w:fldChar w:fldCharType="separate"/>
      </w:r>
      <w:r w:rsidR="00F03729">
        <w:rPr>
          <w:noProof/>
        </w:rPr>
        <w:t>1</w:t>
      </w:r>
      <w:r w:rsidR="00DD5C00">
        <w:rPr>
          <w:noProof/>
        </w:rPr>
        <w:fldChar w:fldCharType="end"/>
      </w:r>
      <w:bookmarkEnd w:id="32"/>
      <w:r>
        <w:t xml:space="preserve">: Percent adjusted drug regimens containing </w:t>
      </w:r>
      <w:r w:rsidR="00161378">
        <w:t>TRI/TIP</w:t>
      </w:r>
      <w:r>
        <w:t xml:space="preserve"> </w:t>
      </w:r>
      <w:r w:rsidR="00CF7ABD" w:rsidRPr="00777452">
        <w:rPr>
          <w:i/>
          <w:iCs/>
        </w:rPr>
        <w:t xml:space="preserve">± </w:t>
      </w:r>
      <w:r w:rsidR="00161378">
        <w:t>BEVA</w:t>
      </w:r>
      <w:r>
        <w:t xml:space="preserve"> for patients who initiated </w:t>
      </w:r>
      <w:r w:rsidR="00161378">
        <w:t>TRI/TIP</w:t>
      </w:r>
      <w:r w:rsidR="00E54801">
        <w:rPr>
          <w:noProof/>
        </w:rPr>
        <mc:AlternateContent>
          <mc:Choice Requires="wps">
            <w:drawing>
              <wp:inline distT="0" distB="0" distL="0" distR="0" wp14:anchorId="4AB564C1" wp14:editId="56CEF191">
                <wp:extent cx="5732145" cy="2809253"/>
                <wp:effectExtent l="0" t="0" r="20955" b="10160"/>
                <wp:docPr id="1977731665" name="Rectangle 1" descr="Figure 1: Percent adjusted drug regimens containing TRI/TIP ± BEVA for patients who initiated TRI/TIP [REDACTED]"/>
                <wp:cNvGraphicFramePr/>
                <a:graphic xmlns:a="http://schemas.openxmlformats.org/drawingml/2006/main">
                  <a:graphicData uri="http://schemas.microsoft.com/office/word/2010/wordprocessingShape">
                    <wps:wsp>
                      <wps:cNvSpPr/>
                      <wps:spPr>
                        <a:xfrm>
                          <a:off x="0" y="0"/>
                          <a:ext cx="5732145" cy="280925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8B6139" id="Rectangle 1" o:spid="_x0000_s1026" alt="Figure 1: Percent adjusted drug regimens containing TRI/TIP ± BEVA for patients who initiated TRI/TIP [REDACTED]" style="width:451.35pt;height:22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" fillcolor="black [3200]" strokecolor="black [480]" strokeweight="2pt">
                <w10:anchorlock/>
              </v:rect>
            </w:pict>
          </mc:Fallback>
        </mc:AlternateContent>
      </w:r>
    </w:p>
    <w:p w14:paraId="5CAEFB91" w14:textId="56A9C83F" w:rsidR="001868F4" w:rsidRDefault="001868F4" w:rsidP="001868F4">
      <w:pPr>
        <w:pStyle w:val="TableFigureFooter"/>
      </w:pPr>
      <w:r>
        <w:t xml:space="preserve">Source: Analysis conducted by the </w:t>
      </w:r>
      <w:r w:rsidRPr="001868F4">
        <w:t>Drug Utilisation Sub Committee</w:t>
      </w:r>
      <w:r>
        <w:t xml:space="preserve"> (DUSC).</w:t>
      </w:r>
    </w:p>
    <w:bookmarkEnd w:id="29"/>
    <w:p w14:paraId="4E9B85C2" w14:textId="7DAD67AA" w:rsidR="003D5D3A" w:rsidRPr="00BD6CF9" w:rsidRDefault="00891965" w:rsidP="00BD6CF9">
      <w:pPr>
        <w:pStyle w:val="3-BodyText"/>
        <w:rPr>
          <w:snapToGrid/>
        </w:rPr>
      </w:pPr>
      <w:r w:rsidRPr="004F3865">
        <w:rPr>
          <w:snapToGrid/>
        </w:rPr>
        <w:t xml:space="preserve">If fruquintinib is to be considered as an alternative to </w:t>
      </w:r>
      <w:r w:rsidR="00161378">
        <w:t>TRI/TIP</w:t>
      </w:r>
      <w:r w:rsidRPr="004F3865">
        <w:rPr>
          <w:snapToGrid/>
        </w:rPr>
        <w:t xml:space="preserve"> </w:t>
      </w:r>
      <w:r w:rsidR="000C04C5" w:rsidRPr="004F3865">
        <w:rPr>
          <w:rFonts w:cstheme="minorHAnsi"/>
          <w:snapToGrid/>
        </w:rPr>
        <w:t>±</w:t>
      </w:r>
      <w:r w:rsidR="000C04C5" w:rsidRPr="004F3865">
        <w:rPr>
          <w:snapToGrid/>
        </w:rPr>
        <w:t xml:space="preserve"> </w:t>
      </w:r>
      <w:r w:rsidR="00161378">
        <w:rPr>
          <w:snapToGrid/>
        </w:rPr>
        <w:t>BEVA</w:t>
      </w:r>
      <w:r w:rsidR="000C04C5" w:rsidRPr="004F3865">
        <w:rPr>
          <w:snapToGrid/>
        </w:rPr>
        <w:t xml:space="preserve"> </w:t>
      </w:r>
      <w:r w:rsidRPr="004F3865">
        <w:rPr>
          <w:snapToGrid/>
        </w:rPr>
        <w:t>(</w:t>
      </w:r>
      <w:r w:rsidR="009B653F" w:rsidRPr="004F3865">
        <w:rPr>
          <w:snapToGrid/>
        </w:rPr>
        <w:t>i.e.</w:t>
      </w:r>
      <w:r w:rsidRPr="004F3865">
        <w:rPr>
          <w:snapToGrid/>
        </w:rPr>
        <w:t xml:space="preserve">, in the </w:t>
      </w:r>
      <w:r w:rsidR="002771E3" w:rsidRPr="004F3865">
        <w:rPr>
          <w:snapToGrid/>
        </w:rPr>
        <w:t>3L</w:t>
      </w:r>
      <w:r w:rsidRPr="004F3865">
        <w:rPr>
          <w:snapToGrid/>
        </w:rPr>
        <w:t xml:space="preserve"> setting), the FRESCO 1 trial, a randomised trial conducted in China, provides the most relevant evidence regarding the efficacy and safety of fruquintinib in this setting. However, </w:t>
      </w:r>
      <w:r w:rsidR="00942F98" w:rsidRPr="004F3865">
        <w:rPr>
          <w:snapToGrid/>
        </w:rPr>
        <w:t xml:space="preserve">a potential </w:t>
      </w:r>
      <w:r w:rsidR="00CF7ABD" w:rsidRPr="004F3865">
        <w:rPr>
          <w:snapToGrid/>
        </w:rPr>
        <w:t xml:space="preserve">applicability issue </w:t>
      </w:r>
      <w:r w:rsidR="00A6738D" w:rsidRPr="004F3865">
        <w:rPr>
          <w:snapToGrid/>
        </w:rPr>
        <w:t xml:space="preserve">for an Australian population </w:t>
      </w:r>
      <w:r w:rsidR="00CF7ABD" w:rsidRPr="004F3865">
        <w:rPr>
          <w:snapToGrid/>
        </w:rPr>
        <w:t xml:space="preserve">was that </w:t>
      </w:r>
      <w:r w:rsidR="00942F98" w:rsidRPr="004F3865">
        <w:rPr>
          <w:snapToGrid/>
        </w:rPr>
        <w:t>the trial</w:t>
      </w:r>
      <w:r w:rsidR="00CF7ABD" w:rsidRPr="004F3865">
        <w:rPr>
          <w:snapToGrid/>
        </w:rPr>
        <w:t xml:space="preserve"> only enrolled Chinese patients</w:t>
      </w:r>
      <w:r w:rsidRPr="004F3865">
        <w:rPr>
          <w:snapToGrid/>
        </w:rPr>
        <w:t xml:space="preserve">. If fruquintinib is to be used after </w:t>
      </w:r>
      <w:r w:rsidR="00161378">
        <w:t>TRI/TIP</w:t>
      </w:r>
      <w:r w:rsidR="006315B5" w:rsidRPr="004F3865">
        <w:rPr>
          <w:snapToGrid/>
        </w:rPr>
        <w:t xml:space="preserve"> </w:t>
      </w:r>
      <w:r w:rsidR="000C04C5" w:rsidRPr="004F3865">
        <w:rPr>
          <w:rFonts w:cstheme="minorHAnsi"/>
          <w:snapToGrid/>
        </w:rPr>
        <w:t>±</w:t>
      </w:r>
      <w:r w:rsidR="000C04C5" w:rsidRPr="004F3865">
        <w:rPr>
          <w:snapToGrid/>
        </w:rPr>
        <w:t xml:space="preserve"> </w:t>
      </w:r>
      <w:r w:rsidR="00161378">
        <w:rPr>
          <w:snapToGrid/>
        </w:rPr>
        <w:t>BEVA</w:t>
      </w:r>
      <w:r w:rsidR="000C04C5" w:rsidRPr="004F3865">
        <w:rPr>
          <w:snapToGrid/>
        </w:rPr>
        <w:t xml:space="preserve"> </w:t>
      </w:r>
      <w:r w:rsidRPr="004F3865">
        <w:rPr>
          <w:snapToGrid/>
        </w:rPr>
        <w:t>(</w:t>
      </w:r>
      <w:r w:rsidR="009B653F" w:rsidRPr="004F3865">
        <w:rPr>
          <w:snapToGrid/>
        </w:rPr>
        <w:t>i.e.</w:t>
      </w:r>
      <w:r w:rsidRPr="004F3865">
        <w:rPr>
          <w:snapToGrid/>
        </w:rPr>
        <w:t>, in the</w:t>
      </w:r>
      <w:r w:rsidR="00494128" w:rsidRPr="004F3865">
        <w:rPr>
          <w:snapToGrid/>
        </w:rPr>
        <w:t xml:space="preserve"> 4L</w:t>
      </w:r>
      <w:r w:rsidRPr="004F3865">
        <w:rPr>
          <w:snapToGrid/>
        </w:rPr>
        <w:t xml:space="preserve"> setting), the most appropriate comparator would be best supportive care (BSC). </w:t>
      </w:r>
      <w:r w:rsidR="006315B5" w:rsidRPr="004F3865">
        <w:rPr>
          <w:snapToGrid/>
        </w:rPr>
        <w:t xml:space="preserve">The </w:t>
      </w:r>
      <w:r w:rsidRPr="004F3865">
        <w:rPr>
          <w:snapToGrid/>
        </w:rPr>
        <w:t>FRESCO 2</w:t>
      </w:r>
      <w:r w:rsidR="006315B5" w:rsidRPr="004F3865">
        <w:rPr>
          <w:snapToGrid/>
        </w:rPr>
        <w:t xml:space="preserve"> trial</w:t>
      </w:r>
      <w:r w:rsidRPr="004F3865">
        <w:rPr>
          <w:snapToGrid/>
        </w:rPr>
        <w:t>, an international and multi</w:t>
      </w:r>
      <w:r w:rsidR="009E33C3" w:rsidRPr="004F3865">
        <w:rPr>
          <w:snapToGrid/>
        </w:rPr>
        <w:t>-</w:t>
      </w:r>
      <w:r w:rsidRPr="004F3865">
        <w:rPr>
          <w:snapToGrid/>
        </w:rPr>
        <w:t xml:space="preserve">regional </w:t>
      </w:r>
      <w:r w:rsidR="006315B5" w:rsidRPr="004F3865">
        <w:rPr>
          <w:snapToGrid/>
        </w:rPr>
        <w:t>study</w:t>
      </w:r>
      <w:r w:rsidRPr="004F3865">
        <w:rPr>
          <w:snapToGrid/>
        </w:rPr>
        <w:t>, evaluated the efficacy and safety of fruquintinib compared to placebo (BSC)</w:t>
      </w:r>
      <w:r w:rsidR="00BC28E7" w:rsidRPr="004F3865">
        <w:rPr>
          <w:snapToGrid/>
        </w:rPr>
        <w:t xml:space="preserve"> in patients who had progressed on or were intolerant to </w:t>
      </w:r>
      <w:r w:rsidR="00161378">
        <w:t>TRI/TIP</w:t>
      </w:r>
      <w:r w:rsidR="00BC28E7" w:rsidRPr="004F3865">
        <w:rPr>
          <w:snapToGrid/>
        </w:rPr>
        <w:t xml:space="preserve"> (or regorafenib, or both)</w:t>
      </w:r>
      <w:r w:rsidRPr="004F3865">
        <w:rPr>
          <w:snapToGrid/>
        </w:rPr>
        <w:t>.</w:t>
      </w:r>
      <w:bookmarkEnd w:id="30"/>
      <w:r w:rsidRPr="004F3865">
        <w:rPr>
          <w:snapToGrid/>
        </w:rPr>
        <w:t xml:space="preserve"> </w:t>
      </w:r>
      <w:r w:rsidR="002747C2" w:rsidRPr="00F11539">
        <w:t>The PSCR reiterated that an evidence base exists for both the proposed 3L setting (FRESCO</w:t>
      </w:r>
      <w:r w:rsidR="000C36AA" w:rsidRPr="00F11539">
        <w:t> </w:t>
      </w:r>
      <w:r w:rsidR="002747C2" w:rsidRPr="00F11539">
        <w:t xml:space="preserve">1) and the 4L setting (FRESCO 2), which is a strength of the submission (see also paragraph </w:t>
      </w:r>
      <w:r w:rsidR="002747C2" w:rsidRPr="00F11539">
        <w:fldChar w:fldCharType="begin"/>
      </w:r>
      <w:r w:rsidR="002747C2" w:rsidRPr="00F11539">
        <w:instrText xml:space="preserve"> REF _Ref169701773 \r \h </w:instrText>
      </w:r>
      <w:r w:rsidR="00F11539">
        <w:instrText xml:space="preserve"> \* MERGEFORMAT </w:instrText>
      </w:r>
      <w:r w:rsidR="002747C2" w:rsidRPr="00F11539">
        <w:fldChar w:fldCharType="separate"/>
      </w:r>
      <w:r w:rsidR="00F03729">
        <w:t>3.3</w:t>
      </w:r>
      <w:r w:rsidR="002747C2" w:rsidRPr="00F11539">
        <w:fldChar w:fldCharType="end"/>
      </w:r>
      <w:r w:rsidR="002747C2" w:rsidRPr="00F11539">
        <w:t>)</w:t>
      </w:r>
      <w:r w:rsidR="002D6B6F" w:rsidRPr="00F11539">
        <w:t>, noting that FRESCO 2 is an RCT</w:t>
      </w:r>
      <w:r w:rsidR="002F1A74" w:rsidRPr="00F11539">
        <w:t xml:space="preserve"> of fruquintinib vs BSC following </w:t>
      </w:r>
      <w:r w:rsidR="00161378" w:rsidRPr="00F11539">
        <w:t>TRI/TIP</w:t>
      </w:r>
      <w:r w:rsidR="002F1A74" w:rsidRPr="00F11539">
        <w:t xml:space="preserve"> (or regorafenib)</w:t>
      </w:r>
      <w:r w:rsidR="002747C2" w:rsidRPr="00F11539">
        <w:t>.</w:t>
      </w:r>
    </w:p>
    <w:p w14:paraId="0201CDA3" w14:textId="08C90526" w:rsidR="00E4648F" w:rsidRPr="00F11539" w:rsidRDefault="00E4648F" w:rsidP="00E4648F">
      <w:pPr>
        <w:pStyle w:val="3-BodyText"/>
      </w:pPr>
      <w:r w:rsidRPr="00F11539">
        <w:t xml:space="preserve">The PSCR maintained that </w:t>
      </w:r>
      <w:r w:rsidR="00161378" w:rsidRPr="00F11539">
        <w:t>TRI/TIP</w:t>
      </w:r>
      <w:r w:rsidRPr="00F11539">
        <w:t xml:space="preserve"> + </w:t>
      </w:r>
      <w:r w:rsidR="00161378" w:rsidRPr="00F11539">
        <w:t>BEVA</w:t>
      </w:r>
      <w:r w:rsidRPr="00F11539">
        <w:t xml:space="preserve"> is not an appropriate comparator because: </w:t>
      </w:r>
    </w:p>
    <w:p w14:paraId="1A3AA947" w14:textId="77777777" w:rsidR="00E4648F" w:rsidRPr="00F11539" w:rsidRDefault="00E4648F" w:rsidP="004E70AA">
      <w:pPr>
        <w:pStyle w:val="3-BodyText"/>
        <w:numPr>
          <w:ilvl w:val="0"/>
          <w:numId w:val="20"/>
        </w:numPr>
        <w:ind w:left="1080"/>
      </w:pPr>
      <w:r w:rsidRPr="00F11539">
        <w:t xml:space="preserve">The combination is not PBS listed; </w:t>
      </w:r>
    </w:p>
    <w:p w14:paraId="577CD213" w14:textId="62C1B996" w:rsidR="00E4648F" w:rsidRPr="00F11539" w:rsidRDefault="00161378" w:rsidP="004E70AA">
      <w:pPr>
        <w:pStyle w:val="3-BodyText"/>
        <w:numPr>
          <w:ilvl w:val="0"/>
          <w:numId w:val="20"/>
        </w:numPr>
        <w:ind w:left="1080"/>
      </w:pPr>
      <w:r w:rsidRPr="00F11539">
        <w:t>TRI/TIP</w:t>
      </w:r>
      <w:r w:rsidR="00E4648F" w:rsidRPr="00F11539">
        <w:t xml:space="preserve">’s PBS listing specifies usage as the sole PBS subsidised therapy for mCRC; </w:t>
      </w:r>
    </w:p>
    <w:p w14:paraId="20EAE08B" w14:textId="568B1F2E" w:rsidR="00AC63FE" w:rsidRPr="00F11539" w:rsidRDefault="00161378" w:rsidP="004E70AA">
      <w:pPr>
        <w:pStyle w:val="3-BodyText"/>
        <w:numPr>
          <w:ilvl w:val="0"/>
          <w:numId w:val="20"/>
        </w:numPr>
        <w:ind w:left="1080"/>
      </w:pPr>
      <w:r w:rsidRPr="00F11539">
        <w:t>TRI/TIP</w:t>
      </w:r>
      <w:r w:rsidR="00E4648F" w:rsidRPr="00F11539">
        <w:t xml:space="preserve"> + </w:t>
      </w:r>
      <w:r w:rsidRPr="00F11539">
        <w:t>BEVA</w:t>
      </w:r>
      <w:r w:rsidR="00E4648F" w:rsidRPr="00F11539">
        <w:t xml:space="preserve"> regimen has never been assessed for cost-effectiveness by PBAC;</w:t>
      </w:r>
    </w:p>
    <w:p w14:paraId="6A94061B" w14:textId="5C31BCBE" w:rsidR="00E4648F" w:rsidRPr="00F11539" w:rsidRDefault="00AC63FE" w:rsidP="004E70AA">
      <w:pPr>
        <w:pStyle w:val="3-BodyText"/>
        <w:numPr>
          <w:ilvl w:val="0"/>
          <w:numId w:val="20"/>
        </w:numPr>
        <w:ind w:left="1080"/>
      </w:pPr>
      <w:r w:rsidRPr="00F11539">
        <w:t xml:space="preserve">Although there appears to be some use of </w:t>
      </w:r>
      <w:r w:rsidR="00161378" w:rsidRPr="00F11539">
        <w:t>TRI/TIP</w:t>
      </w:r>
      <w:r w:rsidRPr="00F11539">
        <w:t xml:space="preserve"> + </w:t>
      </w:r>
      <w:r w:rsidR="00161378" w:rsidRPr="00F11539">
        <w:t>BEVA</w:t>
      </w:r>
      <w:r w:rsidRPr="00F11539">
        <w:t xml:space="preserve"> shown in the DUSC data presented by the evaluation, </w:t>
      </w:r>
      <w:proofErr w:type="gramStart"/>
      <w:r w:rsidRPr="00F11539">
        <w:t>the vast majority of</w:t>
      </w:r>
      <w:proofErr w:type="gramEnd"/>
      <w:r w:rsidRPr="00F11539">
        <w:t xml:space="preserve"> </w:t>
      </w:r>
      <w:r w:rsidR="00161378" w:rsidRPr="00F11539">
        <w:t>TRI/TIP</w:t>
      </w:r>
      <w:r w:rsidRPr="00F11539">
        <w:t xml:space="preserve"> use is in the monotherapy setting.</w:t>
      </w:r>
      <w:r w:rsidR="00E4648F" w:rsidRPr="00F11539">
        <w:t xml:space="preserve"> </w:t>
      </w:r>
    </w:p>
    <w:p w14:paraId="4BBB2687" w14:textId="565E7769" w:rsidR="00E4648F" w:rsidRPr="00F11539" w:rsidRDefault="00E4648F" w:rsidP="004E70AA">
      <w:pPr>
        <w:pStyle w:val="3-BodyText"/>
        <w:numPr>
          <w:ilvl w:val="0"/>
          <w:numId w:val="20"/>
        </w:numPr>
        <w:ind w:left="1080"/>
      </w:pPr>
      <w:r w:rsidRPr="00F11539">
        <w:t xml:space="preserve">The PBAC Guidelines (v5.0) for choosing a comparator state that “If the proposed medicine is likely to replace listed PBS medicines, the relevant comparator would be a medicine prescribed on the PBS to treat that target population”. </w:t>
      </w:r>
    </w:p>
    <w:p w14:paraId="0EA0F279" w14:textId="77777777" w:rsidR="00AC63FE" w:rsidRDefault="00E4648F" w:rsidP="00E4648F">
      <w:pPr>
        <w:pStyle w:val="3-BodyText"/>
        <w:rPr>
          <w:snapToGrid/>
        </w:rPr>
      </w:pPr>
      <w:r>
        <w:rPr>
          <w:snapToGrid/>
        </w:rPr>
        <w:lastRenderedPageBreak/>
        <w:t>However, the ESC noted that the PBAC Guidelines</w:t>
      </w:r>
      <w:r w:rsidR="00AC63FE">
        <w:rPr>
          <w:snapToGrid/>
        </w:rPr>
        <w:t xml:space="preserve"> (v5.0) also state the following: </w:t>
      </w:r>
    </w:p>
    <w:p w14:paraId="2B589B69" w14:textId="17A0CB38" w:rsidR="00E4648F" w:rsidRPr="00F11539" w:rsidRDefault="00E4648F" w:rsidP="00004347">
      <w:pPr>
        <w:pStyle w:val="3-BodyText"/>
        <w:numPr>
          <w:ilvl w:val="0"/>
          <w:numId w:val="0"/>
        </w:numPr>
        <w:ind w:left="1134"/>
        <w:rPr>
          <w:snapToGrid/>
          <w:u w:val="single"/>
        </w:rPr>
      </w:pPr>
      <w:r w:rsidRPr="00F11539">
        <w:rPr>
          <w:snapToGrid/>
          <w:u w:val="single"/>
        </w:rPr>
        <w:t>Choosing the medicine most likely to be replaced</w:t>
      </w:r>
    </w:p>
    <w:p w14:paraId="5A6E6FC7" w14:textId="014ED63A" w:rsidR="00E4648F" w:rsidRPr="00F11539" w:rsidRDefault="00E4648F" w:rsidP="00004347">
      <w:pPr>
        <w:pStyle w:val="3-BodyText"/>
        <w:numPr>
          <w:ilvl w:val="0"/>
          <w:numId w:val="0"/>
        </w:numPr>
        <w:ind w:left="1134"/>
        <w:rPr>
          <w:snapToGrid/>
        </w:rPr>
      </w:pPr>
      <w:r w:rsidRPr="00F11539">
        <w:rPr>
          <w:snapToGrid/>
        </w:rPr>
        <w:t>Where there is more than one comparator, the main comparator should be the therapy that prescribers would most replace with the proposed medicine. The PBAC bases its judgment about the main comparator on what would be likely to happen, rather than what should happen, in keeping with the above approach to the main comparator.</w:t>
      </w:r>
    </w:p>
    <w:p w14:paraId="783BF680" w14:textId="22D74A37" w:rsidR="00AC63FE" w:rsidRPr="00F11539" w:rsidRDefault="00AC63FE" w:rsidP="00AC63FE">
      <w:pPr>
        <w:pStyle w:val="3-BodyText"/>
        <w:numPr>
          <w:ilvl w:val="0"/>
          <w:numId w:val="0"/>
        </w:numPr>
        <w:ind w:left="720"/>
        <w:rPr>
          <w:snapToGrid/>
        </w:rPr>
      </w:pPr>
      <w:r w:rsidRPr="00F11539">
        <w:rPr>
          <w:snapToGrid/>
        </w:rPr>
        <w:t xml:space="preserve">The ESC also noted the recent increasing use of </w:t>
      </w:r>
      <w:r w:rsidR="00161378" w:rsidRPr="00F11539">
        <w:t>TRI/TIP</w:t>
      </w:r>
      <w:r w:rsidRPr="00F11539">
        <w:t xml:space="preserve"> + </w:t>
      </w:r>
      <w:r w:rsidR="00161378" w:rsidRPr="00F11539">
        <w:t>BEVA</w:t>
      </w:r>
      <w:r w:rsidRPr="00F11539">
        <w:t>, according to the DUSC data, since the SUNLIGHT trial results became available in 2023</w:t>
      </w:r>
      <w:r w:rsidR="003F588D" w:rsidRPr="00F11539">
        <w:t>, and that BEVA may be being accessed by some patients with private scripts</w:t>
      </w:r>
      <w:r w:rsidRPr="00F11539">
        <w:t>.</w:t>
      </w:r>
    </w:p>
    <w:p w14:paraId="52FD1BCF" w14:textId="7359FFB1" w:rsidR="007D0135" w:rsidRPr="003D7422" w:rsidRDefault="007D0135" w:rsidP="00A6738D">
      <w:pPr>
        <w:pStyle w:val="3-BodyText"/>
        <w:rPr>
          <w:snapToGrid/>
        </w:rPr>
      </w:pPr>
      <w:r w:rsidRPr="00F11539">
        <w:t xml:space="preserve">Given that there is </w:t>
      </w:r>
      <w:r w:rsidR="00682ECE" w:rsidRPr="00BB14F7">
        <w:t>uncertainty</w:t>
      </w:r>
      <w:r w:rsidRPr="00BB14F7">
        <w:t xml:space="preserve"> that all sources </w:t>
      </w:r>
      <w:r w:rsidR="00682ECE" w:rsidRPr="00BB14F7">
        <w:t>utilised</w:t>
      </w:r>
      <w:r w:rsidRPr="00BB14F7">
        <w:t xml:space="preserve"> in the submission (i.e., treatment guidelines</w:t>
      </w:r>
      <w:r w:rsidR="00682ECE" w:rsidRPr="00BB14F7">
        <w:t xml:space="preserve"> and </w:t>
      </w:r>
      <w:r w:rsidRPr="00BB14F7">
        <w:t>proposed</w:t>
      </w:r>
      <w:r w:rsidR="00682ECE" w:rsidRPr="00BB14F7">
        <w:t>/</w:t>
      </w:r>
      <w:r w:rsidRPr="00BB14F7">
        <w:t>current PBS restrictions) are consistently referring to the</w:t>
      </w:r>
      <w:r w:rsidR="00682ECE" w:rsidRPr="00BB14F7">
        <w:t xml:space="preserve"> same</w:t>
      </w:r>
      <w:r w:rsidRPr="00BB14F7">
        <w:t xml:space="preserve"> number of prior therapies, for the purposes of this </w:t>
      </w:r>
      <w:r w:rsidR="009F3AB1" w:rsidRPr="00BB14F7">
        <w:t>document</w:t>
      </w:r>
      <w:r w:rsidRPr="00BB14F7">
        <w:t>, 3L therapy with fruquintinib refers to its use replacing</w:t>
      </w:r>
      <w:r w:rsidR="009F3AB1" w:rsidRPr="00BB14F7">
        <w:t xml:space="preserve"> or displacing</w:t>
      </w:r>
      <w:r w:rsidRPr="00BB14F7">
        <w:t xml:space="preserve"> </w:t>
      </w:r>
      <w:r w:rsidR="000B4F3F" w:rsidRPr="00BB14F7">
        <w:t>TRI/TIP</w:t>
      </w:r>
      <w:r w:rsidRPr="00BB14F7">
        <w:t xml:space="preserve"> ± </w:t>
      </w:r>
      <w:r w:rsidR="000B4F3F" w:rsidRPr="00BB14F7">
        <w:t>BEVA</w:t>
      </w:r>
      <w:r w:rsidRPr="00BB14F7">
        <w:t xml:space="preserve">, and 4L therapy with fruquintinib refers to its use subsequent to </w:t>
      </w:r>
      <w:r w:rsidR="000B4F3F" w:rsidRPr="00BB14F7">
        <w:t>TRI/</w:t>
      </w:r>
      <w:r w:rsidR="000B4F3F" w:rsidRPr="00F11539">
        <w:t>TIP</w:t>
      </w:r>
      <w:r w:rsidRPr="00F11539">
        <w:t xml:space="preserve"> ± </w:t>
      </w:r>
      <w:r w:rsidR="000B4F3F" w:rsidRPr="00F11539">
        <w:t>BEVA</w:t>
      </w:r>
      <w:r w:rsidR="00682ECE" w:rsidRPr="00F11539">
        <w:t>, rather than those exact lines of therapy</w:t>
      </w:r>
      <w:r w:rsidRPr="00F11539">
        <w:t>.</w:t>
      </w:r>
    </w:p>
    <w:p w14:paraId="12133DB1" w14:textId="7D584D63" w:rsidR="003D7422" w:rsidRPr="00F11539" w:rsidRDefault="003D7422" w:rsidP="003D7422">
      <w:pPr>
        <w:pStyle w:val="3-BodyText"/>
        <w:numPr>
          <w:ilvl w:val="0"/>
          <w:numId w:val="0"/>
        </w:numPr>
        <w:ind w:left="720"/>
        <w:rPr>
          <w:snapToGrid/>
        </w:rPr>
      </w:pPr>
      <w:r w:rsidRPr="00C33D30">
        <w:rPr>
          <w:i/>
        </w:rPr>
        <w:t>For more detail on PBAC’s view, see section 7 PBAC outcome.</w:t>
      </w:r>
    </w:p>
    <w:p w14:paraId="44306F96" w14:textId="1BFFDBD0" w:rsidR="00FB294C" w:rsidRPr="00A74236" w:rsidRDefault="00891965" w:rsidP="00FB294C">
      <w:pPr>
        <w:pStyle w:val="2-SectionHeading"/>
        <w:numPr>
          <w:ilvl w:val="0"/>
          <w:numId w:val="1"/>
        </w:numPr>
      </w:pPr>
      <w:bookmarkStart w:id="33" w:name="_Toc107927625"/>
      <w:bookmarkStart w:id="34" w:name="_Toc166861358"/>
      <w:bookmarkStart w:id="35" w:name="_Toc22897640"/>
      <w:bookmarkEnd w:id="26"/>
      <w:bookmarkEnd w:id="31"/>
      <w:r w:rsidRPr="00A74236">
        <w:t>Consideration of the evidence</w:t>
      </w:r>
      <w:bookmarkEnd w:id="33"/>
      <w:bookmarkEnd w:id="34"/>
    </w:p>
    <w:p w14:paraId="013646AE" w14:textId="77777777" w:rsidR="00FB294C" w:rsidRPr="006E1229" w:rsidRDefault="00FB294C" w:rsidP="00FB294C">
      <w:pPr>
        <w:pStyle w:val="4-SubsectionHeading"/>
      </w:pPr>
      <w:bookmarkStart w:id="36" w:name="_Hlk76375935"/>
      <w:bookmarkStart w:id="37" w:name="_Toc107927626"/>
      <w:bookmarkStart w:id="38" w:name="_Toc166861359"/>
      <w:r w:rsidRPr="006E1229">
        <w:t>Sponsor hearing</w:t>
      </w:r>
    </w:p>
    <w:p w14:paraId="2F802B35" w14:textId="4F8D8F41" w:rsidR="00FB294C" w:rsidRPr="00C76B8B" w:rsidRDefault="00C76B8B" w:rsidP="00C76B8B">
      <w:pPr>
        <w:widowControl w:val="0"/>
        <w:numPr>
          <w:ilvl w:val="1"/>
          <w:numId w:val="1"/>
        </w:numPr>
        <w:spacing w:after="120"/>
        <w:rPr>
          <w:rFonts w:cs="Calibri"/>
          <w:bCs/>
          <w:snapToGrid w:val="0"/>
        </w:rPr>
      </w:pPr>
      <w:r w:rsidRPr="00F91542">
        <w:rPr>
          <w:rFonts w:cs="Calibri"/>
          <w:bCs/>
          <w:snapToGrid w:val="0"/>
        </w:rPr>
        <w:t>There was no hearing for this item.</w:t>
      </w:r>
    </w:p>
    <w:p w14:paraId="63065928" w14:textId="77777777" w:rsidR="00FB294C" w:rsidRPr="006E1229" w:rsidRDefault="00FB294C" w:rsidP="00FB294C">
      <w:pPr>
        <w:pStyle w:val="4-SubsectionHeading"/>
      </w:pPr>
      <w:r w:rsidRPr="006E1229">
        <w:t>Consumer comments</w:t>
      </w:r>
    </w:p>
    <w:p w14:paraId="17F0166E" w14:textId="7D5C4D25" w:rsidR="00FB294C" w:rsidRDefault="00EC07F5" w:rsidP="00FB294C">
      <w:pPr>
        <w:widowControl w:val="0"/>
        <w:numPr>
          <w:ilvl w:val="1"/>
          <w:numId w:val="1"/>
        </w:numPr>
        <w:spacing w:after="120"/>
        <w:rPr>
          <w:rFonts w:asciiTheme="minorHAnsi" w:hAnsiTheme="minorHAnsi"/>
          <w:bCs/>
          <w:snapToGrid w:val="0"/>
        </w:rPr>
      </w:pPr>
      <w:bookmarkStart w:id="39" w:name="_Hlk76382618"/>
      <w:r w:rsidRPr="00836F75">
        <w:rPr>
          <w:rFonts w:asciiTheme="minorHAnsi" w:hAnsiTheme="minorHAnsi"/>
          <w:bCs/>
          <w:snapToGrid w:val="0"/>
        </w:rPr>
        <w:t>The PBAC noted and welcomed the input from health care professionals (</w:t>
      </w:r>
      <w:r>
        <w:rPr>
          <w:rFonts w:asciiTheme="minorHAnsi" w:hAnsiTheme="minorHAnsi"/>
          <w:bCs/>
          <w:snapToGrid w:val="0"/>
        </w:rPr>
        <w:t>2</w:t>
      </w:r>
      <w:r w:rsidRPr="00836F75">
        <w:rPr>
          <w:rFonts w:asciiTheme="minorHAnsi" w:hAnsiTheme="minorHAnsi"/>
          <w:bCs/>
          <w:snapToGrid w:val="0"/>
        </w:rPr>
        <w:t>) and organisations (</w:t>
      </w:r>
      <w:r w:rsidR="00CA4C05">
        <w:rPr>
          <w:rFonts w:asciiTheme="minorHAnsi" w:hAnsiTheme="minorHAnsi"/>
          <w:bCs/>
          <w:snapToGrid w:val="0"/>
        </w:rPr>
        <w:t>3</w:t>
      </w:r>
      <w:r w:rsidRPr="00836F75">
        <w:rPr>
          <w:rFonts w:asciiTheme="minorHAnsi" w:hAnsiTheme="minorHAnsi"/>
          <w:bCs/>
          <w:snapToGrid w:val="0"/>
        </w:rPr>
        <w:t>) via the Consumer Comments facility on the PBS website.</w:t>
      </w:r>
      <w:r>
        <w:rPr>
          <w:rFonts w:asciiTheme="minorHAnsi" w:hAnsiTheme="minorHAnsi"/>
          <w:bCs/>
          <w:snapToGrid w:val="0"/>
        </w:rPr>
        <w:t xml:space="preserve"> </w:t>
      </w:r>
      <w:r w:rsidRPr="00836F75">
        <w:rPr>
          <w:rFonts w:asciiTheme="minorHAnsi" w:hAnsiTheme="minorHAnsi"/>
          <w:bCs/>
          <w:snapToGrid w:val="0"/>
        </w:rPr>
        <w:t>The PBAC noted that this advice was supportive of the evidence provided in the submission.</w:t>
      </w:r>
    </w:p>
    <w:p w14:paraId="47BDF9A2" w14:textId="750D2E27" w:rsidR="00CA4C05" w:rsidRDefault="000000C5" w:rsidP="00FB294C">
      <w:pPr>
        <w:widowControl w:val="0"/>
        <w:numPr>
          <w:ilvl w:val="1"/>
          <w:numId w:val="1"/>
        </w:numPr>
        <w:spacing w:after="120"/>
        <w:rPr>
          <w:rFonts w:asciiTheme="minorHAnsi" w:hAnsiTheme="minorHAnsi"/>
          <w:bCs/>
          <w:snapToGrid w:val="0"/>
        </w:rPr>
      </w:pPr>
      <w:r>
        <w:rPr>
          <w:rFonts w:asciiTheme="minorHAnsi" w:hAnsiTheme="minorHAnsi"/>
          <w:bCs/>
          <w:snapToGrid w:val="0"/>
        </w:rPr>
        <w:t>Comments from</w:t>
      </w:r>
      <w:r w:rsidR="00FB2EAA">
        <w:rPr>
          <w:rFonts w:asciiTheme="minorHAnsi" w:hAnsiTheme="minorHAnsi"/>
          <w:bCs/>
          <w:snapToGrid w:val="0"/>
        </w:rPr>
        <w:t xml:space="preserve"> 2</w:t>
      </w:r>
      <w:r>
        <w:rPr>
          <w:rFonts w:asciiTheme="minorHAnsi" w:hAnsiTheme="minorHAnsi"/>
          <w:bCs/>
          <w:snapToGrid w:val="0"/>
        </w:rPr>
        <w:t xml:space="preserve"> health care professionals described</w:t>
      </w:r>
      <w:r w:rsidR="00FB2EAA">
        <w:rPr>
          <w:rFonts w:asciiTheme="minorHAnsi" w:hAnsiTheme="minorHAnsi"/>
          <w:bCs/>
          <w:snapToGrid w:val="0"/>
        </w:rPr>
        <w:t xml:space="preserve"> </w:t>
      </w:r>
      <w:r w:rsidR="00FB2EAA" w:rsidRPr="00FB2EAA">
        <w:rPr>
          <w:rFonts w:asciiTheme="minorHAnsi" w:hAnsiTheme="minorHAnsi"/>
          <w:bCs/>
          <w:snapToGrid w:val="0"/>
        </w:rPr>
        <w:t xml:space="preserve">the lack of effective </w:t>
      </w:r>
      <w:r w:rsidR="00FB2EAA">
        <w:rPr>
          <w:rFonts w:asciiTheme="minorHAnsi" w:hAnsiTheme="minorHAnsi"/>
          <w:bCs/>
          <w:snapToGrid w:val="0"/>
        </w:rPr>
        <w:t>later</w:t>
      </w:r>
      <w:r w:rsidR="00FB2EAA" w:rsidRPr="00FB2EAA">
        <w:rPr>
          <w:rFonts w:asciiTheme="minorHAnsi" w:hAnsiTheme="minorHAnsi"/>
          <w:bCs/>
          <w:snapToGrid w:val="0"/>
        </w:rPr>
        <w:t xml:space="preserve">-line treatment options for </w:t>
      </w:r>
      <w:r w:rsidR="00FB2EAA">
        <w:rPr>
          <w:rFonts w:asciiTheme="minorHAnsi" w:hAnsiTheme="minorHAnsi"/>
          <w:bCs/>
          <w:snapToGrid w:val="0"/>
        </w:rPr>
        <w:t>patients</w:t>
      </w:r>
      <w:r w:rsidR="00FB2EAA" w:rsidRPr="00FB2EAA">
        <w:rPr>
          <w:rFonts w:asciiTheme="minorHAnsi" w:hAnsiTheme="minorHAnsi"/>
          <w:bCs/>
          <w:snapToGrid w:val="0"/>
        </w:rPr>
        <w:t xml:space="preserve"> with mCRC and note</w:t>
      </w:r>
      <w:r w:rsidR="00FB2EAA">
        <w:rPr>
          <w:rFonts w:asciiTheme="minorHAnsi" w:hAnsiTheme="minorHAnsi"/>
          <w:bCs/>
          <w:snapToGrid w:val="0"/>
        </w:rPr>
        <w:t>d</w:t>
      </w:r>
      <w:r w:rsidR="00FB2EAA" w:rsidRPr="00FB2EAA">
        <w:rPr>
          <w:rFonts w:asciiTheme="minorHAnsi" w:hAnsiTheme="minorHAnsi"/>
          <w:bCs/>
          <w:snapToGrid w:val="0"/>
        </w:rPr>
        <w:t xml:space="preserve"> the potential for fruquintinib in addressing this gap. One respondent note</w:t>
      </w:r>
      <w:r w:rsidR="00FB2EAA">
        <w:rPr>
          <w:rFonts w:asciiTheme="minorHAnsi" w:hAnsiTheme="minorHAnsi"/>
          <w:bCs/>
          <w:snapToGrid w:val="0"/>
        </w:rPr>
        <w:t>d</w:t>
      </w:r>
      <w:r w:rsidR="00FB2EAA" w:rsidRPr="00FB2EAA">
        <w:rPr>
          <w:rFonts w:asciiTheme="minorHAnsi" w:hAnsiTheme="minorHAnsi"/>
          <w:bCs/>
          <w:snapToGrid w:val="0"/>
        </w:rPr>
        <w:t xml:space="preserve"> their patient is responding well to fruquintinib treatment.</w:t>
      </w:r>
    </w:p>
    <w:p w14:paraId="644B5D33" w14:textId="1DFB89DF" w:rsidR="00FB294C" w:rsidRPr="00DA3EAF" w:rsidRDefault="000000C5" w:rsidP="00052ACE">
      <w:pPr>
        <w:pStyle w:val="3-BodyText"/>
      </w:pPr>
      <w:r>
        <w:t xml:space="preserve">The PBAC noted the advice received from 3 organisations (Bowel Cancer Australia, Rare Cancers Australia, and the </w:t>
      </w:r>
      <w:r w:rsidRPr="009548C3">
        <w:t xml:space="preserve">Medical Oncology Group of Australia </w:t>
      </w:r>
      <w:r>
        <w:t>[</w:t>
      </w:r>
      <w:r w:rsidRPr="009548C3">
        <w:t>MOGA</w:t>
      </w:r>
      <w:r>
        <w:t xml:space="preserve">]) supporting the PBS listing of fruquintinib for the treatment </w:t>
      </w:r>
      <w:r w:rsidRPr="00A74236">
        <w:t>of patients with mCRC</w:t>
      </w:r>
      <w:r w:rsidRPr="00836F75">
        <w:t>.</w:t>
      </w:r>
      <w:r w:rsidR="00052ACE">
        <w:t xml:space="preserve"> </w:t>
      </w:r>
      <w:r>
        <w:t xml:space="preserve">Bowel Cancer Australia stated that </w:t>
      </w:r>
      <w:r w:rsidR="006247EB" w:rsidRPr="00052ACE">
        <w:rPr>
          <w:bCs/>
        </w:rPr>
        <w:t xml:space="preserve">fruquintinib could benefit up to 800 Australians with metastatic bowel cancer each year by improving median overall survival and noted that the oral formulation made the treatment accessible and manageable for many patients. </w:t>
      </w:r>
      <w:r>
        <w:t>Rare Cancers Australia stated that</w:t>
      </w:r>
      <w:r w:rsidR="00813377">
        <w:t xml:space="preserve"> the PBS listing of fruquintinib would significantly reduce the financial burden of patients having to self-fund this treatment.</w:t>
      </w:r>
      <w:bookmarkEnd w:id="36"/>
      <w:bookmarkEnd w:id="39"/>
      <w:r w:rsidR="00DA3EAF">
        <w:t xml:space="preserve"> </w:t>
      </w:r>
      <w:r w:rsidR="00EC07F5" w:rsidRPr="00052ACE">
        <w:rPr>
          <w:bCs/>
        </w:rPr>
        <w:t xml:space="preserve">The PBAC noted that the MOGA presented a European Society for Medical Oncology </w:t>
      </w:r>
      <w:r w:rsidR="00EC07F5" w:rsidRPr="00052ACE">
        <w:rPr>
          <w:bCs/>
        </w:rPr>
        <w:lastRenderedPageBreak/>
        <w:t>Magnitude of Clinical Benefit Scale (ESMO-MCBS) for fruquintinib, which was limited to 3 (out of a maximum of 5, where 5 and 4 represent the grades with substantial improvement),</w:t>
      </w:r>
      <w:r w:rsidR="00EC07F5">
        <w:rPr>
          <w:rStyle w:val="FootnoteReference"/>
          <w:bCs/>
        </w:rPr>
        <w:footnoteReference w:id="8"/>
      </w:r>
      <w:r w:rsidR="00EC07F5" w:rsidRPr="00052ACE">
        <w:rPr>
          <w:bCs/>
        </w:rPr>
        <w:t xml:space="preserve"> based on a comparison with TRI/TIP.</w:t>
      </w:r>
    </w:p>
    <w:p w14:paraId="3039DC54" w14:textId="41A0881D" w:rsidR="00891965" w:rsidRPr="00A74236" w:rsidRDefault="00891965" w:rsidP="00891965">
      <w:pPr>
        <w:pStyle w:val="4-SubsectionHeading"/>
      </w:pPr>
      <w:r w:rsidRPr="00A74236">
        <w:t>Clinical trials</w:t>
      </w:r>
      <w:bookmarkEnd w:id="35"/>
      <w:bookmarkEnd w:id="37"/>
      <w:bookmarkEnd w:id="38"/>
    </w:p>
    <w:p w14:paraId="36C65251" w14:textId="64E170F5" w:rsidR="00891965" w:rsidRPr="00B824A4" w:rsidRDefault="00891965" w:rsidP="00891965">
      <w:pPr>
        <w:pStyle w:val="3-BodyText"/>
        <w:rPr>
          <w:color w:val="0066FF"/>
        </w:rPr>
      </w:pPr>
      <w:r w:rsidRPr="00B824A4">
        <w:rPr>
          <w:snapToGrid/>
        </w:rPr>
        <w:t xml:space="preserve">No head-to-head trials were available comparing fruquintinib to </w:t>
      </w:r>
      <w:r w:rsidR="000B4F3F">
        <w:t>TRI/TIP</w:t>
      </w:r>
      <w:r w:rsidRPr="00B824A4">
        <w:rPr>
          <w:snapToGrid/>
        </w:rPr>
        <w:t xml:space="preserve"> for mCRC.</w:t>
      </w:r>
      <w:r>
        <w:rPr>
          <w:snapToGrid/>
        </w:rPr>
        <w:t xml:space="preserve"> </w:t>
      </w:r>
      <w:r w:rsidRPr="00B824A4">
        <w:rPr>
          <w:snapToGrid/>
        </w:rPr>
        <w:t xml:space="preserve">The submission was based on two indirect treatment comparisons (ITCs) between fruquintinib and </w:t>
      </w:r>
      <w:r w:rsidR="000B4F3F">
        <w:t>TRI/TIP</w:t>
      </w:r>
      <w:r w:rsidRPr="00B824A4">
        <w:rPr>
          <w:snapToGrid/>
        </w:rPr>
        <w:t xml:space="preserve">, using placebo as the common </w:t>
      </w:r>
      <w:r w:rsidR="00D13205">
        <w:rPr>
          <w:snapToGrid/>
        </w:rPr>
        <w:t>reference</w:t>
      </w:r>
      <w:r w:rsidRPr="00B824A4">
        <w:rPr>
          <w:snapToGrid/>
        </w:rPr>
        <w:t>:</w:t>
      </w:r>
    </w:p>
    <w:p w14:paraId="7150B20F" w14:textId="4BF0DEC8" w:rsidR="00891965" w:rsidRPr="004F3865" w:rsidRDefault="00891965" w:rsidP="004E70AA">
      <w:pPr>
        <w:pStyle w:val="ListParagraph"/>
        <w:ind w:left="1080"/>
      </w:pPr>
      <w:r w:rsidRPr="00AE2F8B">
        <w:t xml:space="preserve">The main ITC compared </w:t>
      </w:r>
      <w:r>
        <w:t>fruquintinib</w:t>
      </w:r>
      <w:r w:rsidRPr="00AE2F8B">
        <w:t xml:space="preserve"> (</w:t>
      </w:r>
      <w:r w:rsidR="000C04C5">
        <w:t xml:space="preserve">via the </w:t>
      </w:r>
      <w:r>
        <w:t>FRESCO 2</w:t>
      </w:r>
      <w:r w:rsidR="000C04C5">
        <w:t xml:space="preserve"> trial</w:t>
      </w:r>
      <w:r w:rsidRPr="00AE2F8B">
        <w:t xml:space="preserve">) with </w:t>
      </w:r>
      <w:r w:rsidR="000B4F3F">
        <w:t>TRI/TIP</w:t>
      </w:r>
      <w:r w:rsidRPr="00AE2F8B">
        <w:t xml:space="preserve"> (</w:t>
      </w:r>
      <w:r w:rsidR="000C04C5">
        <w:t xml:space="preserve">via the </w:t>
      </w:r>
      <w:r>
        <w:t>RECOURSE</w:t>
      </w:r>
      <w:r w:rsidR="000C04C5">
        <w:t xml:space="preserve"> trial</w:t>
      </w:r>
      <w:r w:rsidRPr="00AE2F8B">
        <w:t xml:space="preserve">). </w:t>
      </w:r>
      <w:r w:rsidRPr="00B824A4">
        <w:t xml:space="preserve">The trials were nominated for the main ITC </w:t>
      </w:r>
      <w:r w:rsidR="000C04C5">
        <w:t xml:space="preserve">in the submission </w:t>
      </w:r>
      <w:r w:rsidRPr="00B824A4">
        <w:t xml:space="preserve">because they were closely aligned and </w:t>
      </w:r>
      <w:r w:rsidR="000C04C5">
        <w:t xml:space="preserve">considered </w:t>
      </w:r>
      <w:r w:rsidRPr="00B824A4">
        <w:t>representative of the proposed PBS population, being large international studies conducted primarily in a Caucasian demographic</w:t>
      </w:r>
      <w:r w:rsidR="000C04C5">
        <w:t xml:space="preserve">. </w:t>
      </w:r>
      <w:r w:rsidR="000C04C5" w:rsidRPr="004F3865">
        <w:t>However, data from the FRESCO</w:t>
      </w:r>
      <w:r w:rsidR="00825336">
        <w:t> </w:t>
      </w:r>
      <w:r w:rsidR="000C04C5" w:rsidRPr="004F3865">
        <w:t xml:space="preserve">2 trial is not the most appropriate for the comparison between fruquintinib and </w:t>
      </w:r>
      <w:r w:rsidR="000B4F3F">
        <w:t>TRI/TIP</w:t>
      </w:r>
      <w:r w:rsidR="000C04C5" w:rsidRPr="004F3865">
        <w:t xml:space="preserve"> because</w:t>
      </w:r>
      <w:r w:rsidR="00A8477C" w:rsidRPr="004F3865">
        <w:t xml:space="preserve"> fruquintinib</w:t>
      </w:r>
      <w:r w:rsidR="000C04C5" w:rsidRPr="004F3865">
        <w:t xml:space="preserve"> patients were required to have already failed </w:t>
      </w:r>
      <w:r w:rsidR="000B4F3F">
        <w:t>TRI/TIP</w:t>
      </w:r>
      <w:r w:rsidR="003D772F">
        <w:t xml:space="preserve"> </w:t>
      </w:r>
      <w:r w:rsidR="000C04C5" w:rsidRPr="004F3865">
        <w:t xml:space="preserve">and/or regorafenib. </w:t>
      </w:r>
    </w:p>
    <w:p w14:paraId="3FCBD1F9" w14:textId="16A7ACE0" w:rsidR="00891965" w:rsidRDefault="00891965" w:rsidP="004E70AA">
      <w:pPr>
        <w:pStyle w:val="ListParagraph"/>
        <w:ind w:left="1080"/>
      </w:pPr>
      <w:r w:rsidRPr="00AE2F8B">
        <w:t>A sensitivity ITC</w:t>
      </w:r>
      <w:r>
        <w:t xml:space="preserve"> of efficacy </w:t>
      </w:r>
      <w:r w:rsidRPr="00AE2F8B">
        <w:t xml:space="preserve">compared </w:t>
      </w:r>
      <w:r>
        <w:t>fruquintinib</w:t>
      </w:r>
      <w:r w:rsidRPr="00AE2F8B">
        <w:t xml:space="preserve"> (</w:t>
      </w:r>
      <w:r w:rsidR="000C04C5">
        <w:t xml:space="preserve">via a </w:t>
      </w:r>
      <w:r w:rsidRPr="00AE2F8B">
        <w:t xml:space="preserve">meta-analysis of </w:t>
      </w:r>
      <w:r w:rsidRPr="00B824A4">
        <w:rPr>
          <w:snapToGrid/>
        </w:rPr>
        <w:t>FRESCO</w:t>
      </w:r>
      <w:r w:rsidR="002B4B26">
        <w:rPr>
          <w:snapToGrid/>
        </w:rPr>
        <w:t> </w:t>
      </w:r>
      <w:r w:rsidRPr="00B824A4">
        <w:rPr>
          <w:snapToGrid/>
        </w:rPr>
        <w:t>2, FRESCO 1, and 2012-013-00CH1</w:t>
      </w:r>
      <w:r w:rsidR="00B8663F">
        <w:rPr>
          <w:snapToGrid/>
        </w:rPr>
        <w:t xml:space="preserve"> trials</w:t>
      </w:r>
      <w:r w:rsidRPr="00AE2F8B">
        <w:t xml:space="preserve">) with </w:t>
      </w:r>
      <w:r w:rsidR="000B4F3F">
        <w:t>TRI/TIP</w:t>
      </w:r>
      <w:r w:rsidRPr="00AE2F8B">
        <w:t xml:space="preserve"> (</w:t>
      </w:r>
      <w:r w:rsidR="000C04C5">
        <w:t xml:space="preserve">via a meta-analysis of the </w:t>
      </w:r>
      <w:r w:rsidRPr="00B824A4">
        <w:rPr>
          <w:snapToGrid/>
        </w:rPr>
        <w:t>RECOURSE, TERRA, and J003</w:t>
      </w:r>
      <w:r w:rsidR="00B8663F">
        <w:rPr>
          <w:snapToGrid/>
        </w:rPr>
        <w:t xml:space="preserve"> trials</w:t>
      </w:r>
      <w:r w:rsidRPr="00AE2F8B">
        <w:t>).</w:t>
      </w:r>
      <w:r>
        <w:t xml:space="preserve"> </w:t>
      </w:r>
      <w:r w:rsidRPr="00126FB1">
        <w:t xml:space="preserve">The submission did not present </w:t>
      </w:r>
      <w:r w:rsidR="009E0D80" w:rsidRPr="00126FB1">
        <w:t>an</w:t>
      </w:r>
      <w:r w:rsidR="00756B30" w:rsidRPr="00126FB1">
        <w:t xml:space="preserve"> ITC </w:t>
      </w:r>
      <w:r w:rsidRPr="00126FB1">
        <w:t xml:space="preserve">for safety using </w:t>
      </w:r>
      <w:r w:rsidR="009E0D80" w:rsidRPr="00126FB1">
        <w:t>the</w:t>
      </w:r>
      <w:r w:rsidRPr="00126FB1">
        <w:t xml:space="preserve"> </w:t>
      </w:r>
      <w:r w:rsidR="00756B30" w:rsidRPr="00126FB1">
        <w:t xml:space="preserve">safety </w:t>
      </w:r>
      <w:r w:rsidRPr="00126FB1">
        <w:t xml:space="preserve">outcomes from </w:t>
      </w:r>
      <w:r w:rsidR="00756B30" w:rsidRPr="00126FB1">
        <w:t>all</w:t>
      </w:r>
      <w:r w:rsidRPr="00126FB1">
        <w:t xml:space="preserve"> trials</w:t>
      </w:r>
      <w:r w:rsidRPr="003F6AFB">
        <w:rPr>
          <w:i/>
          <w:iCs/>
        </w:rPr>
        <w:t>.</w:t>
      </w:r>
      <w:r w:rsidRPr="003F6AFB">
        <w:t xml:space="preserve">  </w:t>
      </w:r>
    </w:p>
    <w:p w14:paraId="09432649" w14:textId="589D0EE6" w:rsidR="00891965" w:rsidRPr="004F3865" w:rsidRDefault="00891965" w:rsidP="00891965">
      <w:pPr>
        <w:pStyle w:val="3-BodyText"/>
      </w:pPr>
      <w:r w:rsidRPr="004F3865">
        <w:t xml:space="preserve">The PBAC previously considered results from the RECOURSE and J003 trials as part of the </w:t>
      </w:r>
      <w:r w:rsidR="000B4F3F">
        <w:t>TRI/TIP</w:t>
      </w:r>
      <w:r w:rsidRPr="004F3865">
        <w:t xml:space="preserve"> submission in November 2016 and the regorafenib submission in November 2021. Although results from the TERRA trial were not included in the </w:t>
      </w:r>
      <w:r w:rsidR="000B4F3F">
        <w:t>TRI/TIP</w:t>
      </w:r>
      <w:r w:rsidRPr="004F3865">
        <w:t xml:space="preserve"> submission, they were considered in the regorafenib submission to the PBAC in November 2021.</w:t>
      </w:r>
    </w:p>
    <w:p w14:paraId="7020766A" w14:textId="579BAA0D" w:rsidR="00891965" w:rsidRPr="003F6AFB" w:rsidRDefault="00891965" w:rsidP="00891965">
      <w:pPr>
        <w:pStyle w:val="3-BodyText"/>
        <w:rPr>
          <w:rStyle w:val="CommentReference"/>
          <w:rFonts w:asciiTheme="minorHAnsi" w:hAnsiTheme="minorHAnsi"/>
          <w:b w:val="0"/>
          <w:sz w:val="24"/>
          <w:szCs w:val="24"/>
        </w:rPr>
      </w:pPr>
      <w:r w:rsidRPr="00A74236">
        <w:rPr>
          <w:snapToGrid/>
        </w:rPr>
        <w:t>Details of the trials presented in the submission are provided in</w:t>
      </w:r>
      <w:r w:rsidR="00764E56">
        <w:rPr>
          <w:snapToGrid/>
        </w:rPr>
        <w:t xml:space="preserve"> </w:t>
      </w:r>
      <w:r w:rsidR="00764E56">
        <w:rPr>
          <w:snapToGrid/>
        </w:rPr>
        <w:fldChar w:fldCharType="begin"/>
      </w:r>
      <w:r w:rsidR="00764E56">
        <w:rPr>
          <w:snapToGrid/>
        </w:rPr>
        <w:instrText xml:space="preserve"> REF _Ref164263169 \h </w:instrText>
      </w:r>
      <w:r w:rsidR="00764E56">
        <w:rPr>
          <w:snapToGrid/>
        </w:rPr>
      </w:r>
      <w:r w:rsidR="00764E56">
        <w:rPr>
          <w:snapToGrid/>
        </w:rPr>
        <w:fldChar w:fldCharType="separate"/>
      </w:r>
      <w:r w:rsidR="00F03729">
        <w:t xml:space="preserve">Table </w:t>
      </w:r>
      <w:r w:rsidR="00F03729">
        <w:rPr>
          <w:noProof/>
        </w:rPr>
        <w:t>2</w:t>
      </w:r>
      <w:r w:rsidR="00764E56">
        <w:rPr>
          <w:snapToGrid/>
        </w:rPr>
        <w:fldChar w:fldCharType="end"/>
      </w:r>
      <w:r w:rsidR="00764E56">
        <w:rPr>
          <w:snapToGrid/>
        </w:rPr>
        <w:t>.</w:t>
      </w:r>
      <w:r w:rsidRPr="00A74236">
        <w:rPr>
          <w:snapToGrid/>
        </w:rPr>
        <w:t xml:space="preserve"> </w:t>
      </w:r>
    </w:p>
    <w:p w14:paraId="286BADAE" w14:textId="73EBA8D9" w:rsidR="00891965" w:rsidRDefault="00891965" w:rsidP="00891965">
      <w:pPr>
        <w:pStyle w:val="Caption"/>
      </w:pPr>
      <w:bookmarkStart w:id="40" w:name="_Ref164263169"/>
      <w:r>
        <w:t xml:space="preserve">Table </w:t>
      </w:r>
      <w:r w:rsidR="00DD5C00">
        <w:fldChar w:fldCharType="begin"/>
      </w:r>
      <w:r w:rsidR="00DD5C00">
        <w:instrText xml:space="preserve"> SEQ Table \* ARABIC </w:instrText>
      </w:r>
      <w:r w:rsidR="00DD5C00">
        <w:fldChar w:fldCharType="separate"/>
      </w:r>
      <w:r w:rsidR="00F03729">
        <w:rPr>
          <w:noProof/>
        </w:rPr>
        <w:t>2</w:t>
      </w:r>
      <w:r w:rsidR="00DD5C00">
        <w:rPr>
          <w:noProof/>
        </w:rPr>
        <w:fldChar w:fldCharType="end"/>
      </w:r>
      <w:bookmarkEnd w:id="40"/>
      <w:r>
        <w:t xml:space="preserve">: </w:t>
      </w:r>
      <w:r w:rsidRPr="00A74236">
        <w:rPr>
          <w:rStyle w:val="CommentReference"/>
          <w:b/>
          <w:szCs w:val="24"/>
        </w:rPr>
        <w:t>Trials</w:t>
      </w:r>
      <w:r>
        <w:rPr>
          <w:rStyle w:val="CommentReference"/>
          <w:b/>
          <w:szCs w:val="24"/>
        </w:rPr>
        <w:t xml:space="preserve"> </w:t>
      </w:r>
      <w:r w:rsidRPr="00A74236">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71"/>
        <w:gridCol w:w="5670"/>
        <w:gridCol w:w="2076"/>
      </w:tblGrid>
      <w:tr w:rsidR="00891965" w:rsidRPr="00B41614" w14:paraId="6C4C7DC2" w14:textId="77777777" w:rsidTr="00366CE4">
        <w:trPr>
          <w:tblHeader/>
        </w:trPr>
        <w:tc>
          <w:tcPr>
            <w:tcW w:w="705" w:type="pct"/>
            <w:vAlign w:val="center"/>
          </w:tcPr>
          <w:p w14:paraId="45F2B8B6" w14:textId="77777777" w:rsidR="00891965" w:rsidRPr="00B41614" w:rsidRDefault="00891965" w:rsidP="00DB2E12">
            <w:pPr>
              <w:pStyle w:val="In-tableHeading"/>
              <w:keepNext w:val="0"/>
              <w:keepLines/>
              <w:jc w:val="center"/>
            </w:pPr>
            <w:r w:rsidRPr="00B41614">
              <w:t>Trial ID</w:t>
            </w:r>
          </w:p>
        </w:tc>
        <w:tc>
          <w:tcPr>
            <w:tcW w:w="3144" w:type="pct"/>
            <w:vAlign w:val="center"/>
          </w:tcPr>
          <w:p w14:paraId="0BA5096B" w14:textId="77777777" w:rsidR="00891965" w:rsidRPr="00B41614" w:rsidRDefault="00891965" w:rsidP="00DB2E12">
            <w:pPr>
              <w:pStyle w:val="In-tableHeading"/>
              <w:keepNext w:val="0"/>
              <w:keepLines/>
            </w:pPr>
            <w:r w:rsidRPr="00B41614">
              <w:t>Protocol title/ Publication title</w:t>
            </w:r>
          </w:p>
        </w:tc>
        <w:tc>
          <w:tcPr>
            <w:tcW w:w="1151" w:type="pct"/>
            <w:vAlign w:val="center"/>
          </w:tcPr>
          <w:p w14:paraId="5567058B" w14:textId="77777777" w:rsidR="00891965" w:rsidRPr="00B41614" w:rsidRDefault="00891965" w:rsidP="00DB2E12">
            <w:pPr>
              <w:pStyle w:val="In-tableHeading"/>
              <w:keepNext w:val="0"/>
              <w:keepLines/>
            </w:pPr>
            <w:r w:rsidRPr="00B41614">
              <w:t>Publication citation</w:t>
            </w:r>
          </w:p>
        </w:tc>
      </w:tr>
      <w:tr w:rsidR="00891965" w:rsidRPr="00CB38A8" w14:paraId="7B4A55C4" w14:textId="77777777" w:rsidTr="00B8663F">
        <w:trPr>
          <w:cantSplit/>
        </w:trPr>
        <w:tc>
          <w:tcPr>
            <w:tcW w:w="5000" w:type="pct"/>
            <w:gridSpan w:val="3"/>
            <w:vAlign w:val="center"/>
          </w:tcPr>
          <w:p w14:paraId="4D817AA1" w14:textId="77777777" w:rsidR="00891965" w:rsidRPr="0025137D" w:rsidRDefault="00891965" w:rsidP="00DB2E12">
            <w:pPr>
              <w:pStyle w:val="TableText0"/>
              <w:keepNext w:val="0"/>
              <w:keepLines/>
              <w:rPr>
                <w:b/>
                <w:bCs w:val="0"/>
              </w:rPr>
            </w:pPr>
            <w:r w:rsidRPr="0025137D">
              <w:rPr>
                <w:b/>
                <w:bCs w:val="0"/>
              </w:rPr>
              <w:t>Fruquintinib trials</w:t>
            </w:r>
          </w:p>
        </w:tc>
      </w:tr>
      <w:tr w:rsidR="00891965" w:rsidRPr="00CB38A8" w14:paraId="56E5A6DF" w14:textId="77777777" w:rsidTr="00366CE4">
        <w:trPr>
          <w:cantSplit/>
        </w:trPr>
        <w:tc>
          <w:tcPr>
            <w:tcW w:w="705" w:type="pct"/>
            <w:vMerge w:val="restart"/>
            <w:vAlign w:val="center"/>
          </w:tcPr>
          <w:p w14:paraId="6DC933E4" w14:textId="77777777" w:rsidR="00891965" w:rsidRPr="005C1820" w:rsidRDefault="00891965" w:rsidP="00DB2E12">
            <w:pPr>
              <w:pStyle w:val="TableText0"/>
              <w:keepNext w:val="0"/>
              <w:keepLines/>
            </w:pPr>
            <w:r>
              <w:t>FRESCO 2 (</w:t>
            </w:r>
            <w:r w:rsidRPr="0063232F">
              <w:t>NCT04322539</w:t>
            </w:r>
            <w:r>
              <w:t>)</w:t>
            </w:r>
          </w:p>
          <w:p w14:paraId="5AD89D0D" w14:textId="77777777" w:rsidR="00891965" w:rsidRPr="00DF6341" w:rsidRDefault="00891965" w:rsidP="00DB2E12">
            <w:pPr>
              <w:pStyle w:val="TableText0"/>
              <w:keepNext w:val="0"/>
              <w:keepLines/>
              <w:jc w:val="center"/>
              <w:rPr>
                <w:szCs w:val="20"/>
              </w:rPr>
            </w:pPr>
          </w:p>
        </w:tc>
        <w:tc>
          <w:tcPr>
            <w:tcW w:w="3144" w:type="pct"/>
            <w:tcBorders>
              <w:bottom w:val="nil"/>
            </w:tcBorders>
            <w:vAlign w:val="center"/>
          </w:tcPr>
          <w:p w14:paraId="430DD2DD" w14:textId="77777777" w:rsidR="00891965" w:rsidRPr="00AB6248" w:rsidRDefault="00891965" w:rsidP="00DB2E12">
            <w:pPr>
              <w:pStyle w:val="TableText0"/>
              <w:keepNext w:val="0"/>
              <w:keepLines/>
            </w:pPr>
            <w:r w:rsidRPr="00E45F72">
              <w:rPr>
                <w:szCs w:val="18"/>
              </w:rPr>
              <w:t>A global, multicentre, randomi</w:t>
            </w:r>
            <w:r>
              <w:rPr>
                <w:szCs w:val="18"/>
              </w:rPr>
              <w:t>s</w:t>
            </w:r>
            <w:r w:rsidRPr="00E45F72">
              <w:rPr>
                <w:szCs w:val="18"/>
              </w:rPr>
              <w:t>ed, placebo-controlled phase 3 trial to compare the efficacy and safety of fruquintinib plus best supportive care to placebo plus best supportive care in patients with refractory metastatic colorectal cancer (FRESCO-2) final analysis clinical study report</w:t>
            </w:r>
          </w:p>
        </w:tc>
        <w:tc>
          <w:tcPr>
            <w:tcW w:w="1151" w:type="pct"/>
            <w:tcBorders>
              <w:bottom w:val="nil"/>
            </w:tcBorders>
            <w:vAlign w:val="center"/>
          </w:tcPr>
          <w:p w14:paraId="045F4BA5" w14:textId="77777777" w:rsidR="00891965" w:rsidRPr="00CB38A8" w:rsidRDefault="00891965" w:rsidP="00DB2E12">
            <w:pPr>
              <w:pStyle w:val="TableText0"/>
              <w:keepNext w:val="0"/>
              <w:keepLines/>
              <w:rPr>
                <w:rFonts w:ascii="Times" w:hAnsi="Times"/>
              </w:rPr>
            </w:pPr>
            <w:r>
              <w:t>February 2023</w:t>
            </w:r>
          </w:p>
        </w:tc>
      </w:tr>
      <w:tr w:rsidR="00891965" w:rsidRPr="00CB38A8" w14:paraId="5A96DDE5" w14:textId="77777777" w:rsidTr="00366CE4">
        <w:trPr>
          <w:cantSplit/>
        </w:trPr>
        <w:tc>
          <w:tcPr>
            <w:tcW w:w="705" w:type="pct"/>
            <w:vMerge/>
            <w:vAlign w:val="center"/>
          </w:tcPr>
          <w:p w14:paraId="433FA01D" w14:textId="77777777" w:rsidR="00891965" w:rsidRPr="00CB38A8" w:rsidRDefault="00891965" w:rsidP="00DB2E12">
            <w:pPr>
              <w:pStyle w:val="TableText0"/>
              <w:keepNext w:val="0"/>
              <w:keepLines/>
              <w:jc w:val="center"/>
            </w:pPr>
          </w:p>
        </w:tc>
        <w:tc>
          <w:tcPr>
            <w:tcW w:w="3144" w:type="pct"/>
            <w:tcBorders>
              <w:top w:val="nil"/>
              <w:bottom w:val="single" w:sz="4" w:space="0" w:color="auto"/>
            </w:tcBorders>
          </w:tcPr>
          <w:p w14:paraId="7AEE4FF9" w14:textId="77777777" w:rsidR="00891965" w:rsidRPr="00E34A35" w:rsidRDefault="00891965" w:rsidP="00DB2E12">
            <w:pPr>
              <w:pStyle w:val="TableText0"/>
              <w:keepNext w:val="0"/>
              <w:keepLines/>
            </w:pPr>
            <w:r w:rsidRPr="00974445">
              <w:t>Dasari, A.,</w:t>
            </w:r>
            <w:r>
              <w:t xml:space="preserve"> Lonardi, S.</w:t>
            </w:r>
            <w:r w:rsidRPr="00974445">
              <w:t xml:space="preserve"> et al. Fruquintinib versus placebo in patients with refractory metastatic colorectal cancer (FRESCO-2): an international, multicentre, randomised, double-blind, phase 3 study.</w:t>
            </w:r>
          </w:p>
        </w:tc>
        <w:tc>
          <w:tcPr>
            <w:tcW w:w="1151" w:type="pct"/>
            <w:tcBorders>
              <w:top w:val="nil"/>
              <w:bottom w:val="single" w:sz="4" w:space="0" w:color="auto"/>
            </w:tcBorders>
            <w:vAlign w:val="center"/>
          </w:tcPr>
          <w:p w14:paraId="237F02B0" w14:textId="77777777" w:rsidR="00891965" w:rsidRPr="00E34A35" w:rsidRDefault="00891965" w:rsidP="00DB2E12">
            <w:pPr>
              <w:pStyle w:val="TableText0"/>
              <w:keepNext w:val="0"/>
              <w:keepLines/>
            </w:pPr>
            <w:r>
              <w:rPr>
                <w:i/>
                <w:iCs/>
                <w:szCs w:val="18"/>
              </w:rPr>
              <w:t>The Lancet 2023</w:t>
            </w:r>
            <w:r w:rsidRPr="00EC6E5A">
              <w:rPr>
                <w:szCs w:val="18"/>
              </w:rPr>
              <w:t xml:space="preserve">; </w:t>
            </w:r>
            <w:r>
              <w:rPr>
                <w:szCs w:val="18"/>
              </w:rPr>
              <w:t>402 (10395)</w:t>
            </w:r>
            <w:r w:rsidRPr="00EC6E5A">
              <w:rPr>
                <w:szCs w:val="18"/>
              </w:rPr>
              <w:t xml:space="preserve">, </w:t>
            </w:r>
            <w:r>
              <w:rPr>
                <w:szCs w:val="18"/>
              </w:rPr>
              <w:t>41-53.</w:t>
            </w:r>
          </w:p>
        </w:tc>
      </w:tr>
      <w:tr w:rsidR="00891965" w:rsidRPr="00CB38A8" w14:paraId="4690BD6A" w14:textId="77777777" w:rsidTr="00366CE4">
        <w:trPr>
          <w:cantSplit/>
        </w:trPr>
        <w:tc>
          <w:tcPr>
            <w:tcW w:w="705" w:type="pct"/>
            <w:vMerge/>
            <w:vAlign w:val="center"/>
          </w:tcPr>
          <w:p w14:paraId="68CB90BA" w14:textId="77777777" w:rsidR="00891965" w:rsidRPr="00CB38A8" w:rsidRDefault="00891965" w:rsidP="00DB2E12">
            <w:pPr>
              <w:pStyle w:val="TableText0"/>
              <w:keepNext w:val="0"/>
              <w:keepLines/>
              <w:jc w:val="center"/>
            </w:pPr>
          </w:p>
        </w:tc>
        <w:tc>
          <w:tcPr>
            <w:tcW w:w="3144" w:type="pct"/>
            <w:tcBorders>
              <w:top w:val="single" w:sz="4" w:space="0" w:color="auto"/>
              <w:bottom w:val="nil"/>
            </w:tcBorders>
          </w:tcPr>
          <w:p w14:paraId="647C170B" w14:textId="77777777" w:rsidR="00891965" w:rsidRPr="00AB6248" w:rsidRDefault="00891965" w:rsidP="00DB2E12">
            <w:pPr>
              <w:pStyle w:val="TableText0"/>
              <w:keepNext w:val="0"/>
              <w:keepLines/>
              <w:rPr>
                <w:lang w:val="en-US"/>
              </w:rPr>
            </w:pPr>
            <w:r w:rsidRPr="00974445">
              <w:t xml:space="preserve">Dasari, A., </w:t>
            </w:r>
            <w:r>
              <w:t xml:space="preserve">Sobrero, A. </w:t>
            </w:r>
            <w:r w:rsidRPr="00974445">
              <w:t>et al. FRESCO-2: A global Phase III study investigating the efficacy and safety of fruquintinib in metastatic colorectal cancer.</w:t>
            </w:r>
          </w:p>
        </w:tc>
        <w:tc>
          <w:tcPr>
            <w:tcW w:w="1151" w:type="pct"/>
            <w:tcBorders>
              <w:top w:val="single" w:sz="4" w:space="0" w:color="auto"/>
              <w:bottom w:val="nil"/>
            </w:tcBorders>
          </w:tcPr>
          <w:p w14:paraId="078CFB48" w14:textId="77777777" w:rsidR="00891965" w:rsidRPr="00AB6248" w:rsidRDefault="00891965" w:rsidP="00DB2E12">
            <w:pPr>
              <w:pStyle w:val="TableText0"/>
              <w:keepNext w:val="0"/>
              <w:keepLines/>
              <w:rPr>
                <w:i/>
                <w:lang w:val="en-US"/>
              </w:rPr>
            </w:pPr>
            <w:r>
              <w:rPr>
                <w:i/>
                <w:iCs/>
                <w:szCs w:val="18"/>
              </w:rPr>
              <w:t>Future Oncology</w:t>
            </w:r>
            <w:r w:rsidRPr="00842ACF">
              <w:rPr>
                <w:i/>
                <w:iCs/>
                <w:szCs w:val="18"/>
              </w:rPr>
              <w:t xml:space="preserve"> 202</w:t>
            </w:r>
            <w:r>
              <w:rPr>
                <w:i/>
                <w:iCs/>
                <w:szCs w:val="18"/>
              </w:rPr>
              <w:t>1</w:t>
            </w:r>
            <w:r w:rsidRPr="00842ACF">
              <w:rPr>
                <w:szCs w:val="18"/>
              </w:rPr>
              <w:t xml:space="preserve">; </w:t>
            </w:r>
            <w:r w:rsidRPr="00974445">
              <w:t>17(24)</w:t>
            </w:r>
            <w:r>
              <w:t xml:space="preserve">, </w:t>
            </w:r>
            <w:r w:rsidRPr="00974445">
              <w:t>3151-3162.</w:t>
            </w:r>
          </w:p>
        </w:tc>
      </w:tr>
      <w:tr w:rsidR="00891965" w:rsidRPr="00CB38A8" w14:paraId="53E2DF9C" w14:textId="77777777" w:rsidTr="00366CE4">
        <w:trPr>
          <w:cantSplit/>
        </w:trPr>
        <w:tc>
          <w:tcPr>
            <w:tcW w:w="705" w:type="pct"/>
            <w:vMerge/>
            <w:vAlign w:val="center"/>
          </w:tcPr>
          <w:p w14:paraId="39BF778E" w14:textId="77777777" w:rsidR="00891965" w:rsidRPr="00CB38A8" w:rsidRDefault="00891965" w:rsidP="00DB2E12">
            <w:pPr>
              <w:pStyle w:val="TableText0"/>
              <w:keepNext w:val="0"/>
              <w:keepLines/>
              <w:jc w:val="center"/>
            </w:pPr>
          </w:p>
        </w:tc>
        <w:tc>
          <w:tcPr>
            <w:tcW w:w="3144" w:type="pct"/>
            <w:tcBorders>
              <w:top w:val="nil"/>
              <w:bottom w:val="single" w:sz="4" w:space="0" w:color="auto"/>
            </w:tcBorders>
          </w:tcPr>
          <w:p w14:paraId="015A5995" w14:textId="77777777" w:rsidR="00891965" w:rsidRPr="00AB6248" w:rsidRDefault="00891965" w:rsidP="00DB2E12">
            <w:pPr>
              <w:pStyle w:val="TableText0"/>
              <w:keepNext w:val="0"/>
              <w:keepLines/>
              <w:rPr>
                <w:lang w:val="en-US"/>
              </w:rPr>
            </w:pPr>
            <w:r w:rsidRPr="00974445">
              <w:t>Desari, A.</w:t>
            </w:r>
            <w:r>
              <w:t xml:space="preserve">, Yao, J. et al. </w:t>
            </w:r>
            <w:r w:rsidRPr="00974445">
              <w:t>FRESCO-2: A global phase III study of the efficacy and safety of fruquintinib in patients (pts) with metastatic colorectal cancer</w:t>
            </w:r>
            <w:r>
              <w:t xml:space="preserve"> </w:t>
            </w:r>
            <w:r w:rsidRPr="00974445">
              <w:t>(mCRC).</w:t>
            </w:r>
          </w:p>
        </w:tc>
        <w:tc>
          <w:tcPr>
            <w:tcW w:w="1151" w:type="pct"/>
            <w:tcBorders>
              <w:top w:val="nil"/>
              <w:bottom w:val="single" w:sz="4" w:space="0" w:color="auto"/>
            </w:tcBorders>
          </w:tcPr>
          <w:p w14:paraId="022B5830" w14:textId="77777777" w:rsidR="00891965" w:rsidRPr="00AB6248" w:rsidRDefault="00891965" w:rsidP="00DB2E12">
            <w:pPr>
              <w:pStyle w:val="TableText0"/>
              <w:keepNext w:val="0"/>
              <w:keepLines/>
              <w:rPr>
                <w:i/>
                <w:lang w:val="en-US"/>
              </w:rPr>
            </w:pPr>
            <w:r w:rsidRPr="0063232F">
              <w:rPr>
                <w:i/>
                <w:iCs/>
                <w:szCs w:val="18"/>
              </w:rPr>
              <w:t xml:space="preserve">Journal of Clinical Oncology </w:t>
            </w:r>
            <w:r w:rsidRPr="00842ACF">
              <w:rPr>
                <w:i/>
                <w:iCs/>
                <w:szCs w:val="18"/>
              </w:rPr>
              <w:t>202</w:t>
            </w:r>
            <w:r>
              <w:rPr>
                <w:i/>
                <w:iCs/>
                <w:szCs w:val="18"/>
              </w:rPr>
              <w:t>1</w:t>
            </w:r>
            <w:r w:rsidRPr="00842ACF">
              <w:rPr>
                <w:szCs w:val="18"/>
              </w:rPr>
              <w:t xml:space="preserve">; </w:t>
            </w:r>
            <w:r w:rsidRPr="0063232F">
              <w:rPr>
                <w:szCs w:val="18"/>
              </w:rPr>
              <w:t>39</w:t>
            </w:r>
            <w:r>
              <w:rPr>
                <w:szCs w:val="18"/>
              </w:rPr>
              <w:t xml:space="preserve"> </w:t>
            </w:r>
            <w:r w:rsidRPr="0063232F">
              <w:rPr>
                <w:szCs w:val="18"/>
              </w:rPr>
              <w:t>(3 SUPPL).</w:t>
            </w:r>
          </w:p>
        </w:tc>
      </w:tr>
      <w:tr w:rsidR="00891965" w:rsidRPr="00CB38A8" w14:paraId="073F68A9" w14:textId="77777777" w:rsidTr="00366CE4">
        <w:trPr>
          <w:cantSplit/>
        </w:trPr>
        <w:tc>
          <w:tcPr>
            <w:tcW w:w="705" w:type="pct"/>
            <w:vMerge/>
            <w:vAlign w:val="center"/>
          </w:tcPr>
          <w:p w14:paraId="41A95586" w14:textId="77777777" w:rsidR="00891965" w:rsidRPr="00CB38A8" w:rsidRDefault="00891965" w:rsidP="00DB2E12">
            <w:pPr>
              <w:pStyle w:val="TableText0"/>
              <w:keepNext w:val="0"/>
              <w:keepLines/>
              <w:jc w:val="center"/>
            </w:pPr>
          </w:p>
        </w:tc>
        <w:tc>
          <w:tcPr>
            <w:tcW w:w="3144" w:type="pct"/>
            <w:tcBorders>
              <w:top w:val="single" w:sz="4" w:space="0" w:color="auto"/>
              <w:bottom w:val="nil"/>
            </w:tcBorders>
          </w:tcPr>
          <w:p w14:paraId="1842CBDA" w14:textId="77777777" w:rsidR="00891965" w:rsidRPr="00AB6248" w:rsidRDefault="00891965" w:rsidP="00DB2E12">
            <w:pPr>
              <w:pStyle w:val="TableText0"/>
              <w:keepNext w:val="0"/>
              <w:keepLines/>
              <w:rPr>
                <w:lang w:val="en-US"/>
              </w:rPr>
            </w:pPr>
            <w:r w:rsidRPr="00974445">
              <w:t xml:space="preserve">Dasari, A., </w:t>
            </w:r>
            <w:r>
              <w:t xml:space="preserve">Lonardi, S. </w:t>
            </w:r>
            <w:r w:rsidRPr="00974445">
              <w:t>et al. FRESCO-2: A global phase III multiregional clinical trial (MRCT) evaluating the efficacy and safety of fruquintinib in patients with refractory metastatic colorectal cancer</w:t>
            </w:r>
            <w:r>
              <w:t>.</w:t>
            </w:r>
          </w:p>
        </w:tc>
        <w:tc>
          <w:tcPr>
            <w:tcW w:w="1151" w:type="pct"/>
            <w:tcBorders>
              <w:top w:val="single" w:sz="4" w:space="0" w:color="auto"/>
              <w:bottom w:val="nil"/>
            </w:tcBorders>
          </w:tcPr>
          <w:p w14:paraId="55931953" w14:textId="77777777" w:rsidR="00891965" w:rsidRPr="00AB6248" w:rsidRDefault="00891965" w:rsidP="00DB2E12">
            <w:pPr>
              <w:pStyle w:val="TableText0"/>
              <w:keepNext w:val="0"/>
              <w:keepLines/>
              <w:rPr>
                <w:i/>
                <w:lang w:val="en-US"/>
              </w:rPr>
            </w:pPr>
            <w:r w:rsidRPr="0063232F">
              <w:rPr>
                <w:i/>
                <w:iCs/>
                <w:szCs w:val="18"/>
              </w:rPr>
              <w:t>Annals of Oncology</w:t>
            </w:r>
            <w:r>
              <w:rPr>
                <w:i/>
                <w:iCs/>
                <w:szCs w:val="18"/>
              </w:rPr>
              <w:t xml:space="preserve"> 2022; </w:t>
            </w:r>
            <w:r w:rsidRPr="0063232F">
              <w:rPr>
                <w:szCs w:val="18"/>
              </w:rPr>
              <w:t>33</w:t>
            </w:r>
            <w:r>
              <w:rPr>
                <w:szCs w:val="18"/>
              </w:rPr>
              <w:t xml:space="preserve"> (S7),</w:t>
            </w:r>
            <w:r w:rsidRPr="0063232F">
              <w:rPr>
                <w:szCs w:val="18"/>
              </w:rPr>
              <w:t xml:space="preserve"> S1391-S1392.</w:t>
            </w:r>
          </w:p>
        </w:tc>
      </w:tr>
      <w:tr w:rsidR="00891965" w:rsidRPr="00CB38A8" w14:paraId="101594AB" w14:textId="77777777" w:rsidTr="00366CE4">
        <w:trPr>
          <w:cantSplit/>
        </w:trPr>
        <w:tc>
          <w:tcPr>
            <w:tcW w:w="705" w:type="pct"/>
            <w:vMerge/>
            <w:vAlign w:val="center"/>
          </w:tcPr>
          <w:p w14:paraId="269ED744" w14:textId="77777777" w:rsidR="00891965" w:rsidRPr="00CB38A8" w:rsidRDefault="00891965" w:rsidP="00DB2E12">
            <w:pPr>
              <w:pStyle w:val="TableText0"/>
              <w:keepNext w:val="0"/>
              <w:keepLines/>
              <w:jc w:val="center"/>
            </w:pPr>
          </w:p>
        </w:tc>
        <w:tc>
          <w:tcPr>
            <w:tcW w:w="3144" w:type="pct"/>
            <w:tcBorders>
              <w:top w:val="nil"/>
              <w:bottom w:val="nil"/>
            </w:tcBorders>
          </w:tcPr>
          <w:p w14:paraId="36B50433" w14:textId="77777777" w:rsidR="00891965" w:rsidRPr="00AB6248" w:rsidRDefault="00891965" w:rsidP="00DB2E12">
            <w:pPr>
              <w:pStyle w:val="TableText0"/>
              <w:keepNext w:val="0"/>
              <w:keepLines/>
              <w:rPr>
                <w:lang w:val="en-US"/>
              </w:rPr>
            </w:pPr>
            <w:r w:rsidRPr="00974445">
              <w:t>Sobrero, A.</w:t>
            </w:r>
            <w:r>
              <w:t xml:space="preserve">, </w:t>
            </w:r>
            <w:r w:rsidRPr="00974445">
              <w:t>Dasari, A. et al. Health-related quality of life (HRQoL) associated with fruquintinib in the global phase 3, placebo-controlled, double-blind FRESCO-2 study.</w:t>
            </w:r>
          </w:p>
        </w:tc>
        <w:tc>
          <w:tcPr>
            <w:tcW w:w="1151" w:type="pct"/>
            <w:tcBorders>
              <w:top w:val="nil"/>
              <w:bottom w:val="nil"/>
            </w:tcBorders>
          </w:tcPr>
          <w:p w14:paraId="596EF0B7" w14:textId="77777777" w:rsidR="00891965" w:rsidRPr="00AB6248" w:rsidRDefault="00891965" w:rsidP="00DB2E12">
            <w:pPr>
              <w:pStyle w:val="TableText0"/>
              <w:keepNext w:val="0"/>
              <w:keepLines/>
              <w:rPr>
                <w:i/>
                <w:lang w:val="en-US"/>
              </w:rPr>
            </w:pPr>
            <w:r w:rsidRPr="0063232F">
              <w:rPr>
                <w:i/>
                <w:iCs/>
                <w:szCs w:val="18"/>
              </w:rPr>
              <w:t xml:space="preserve">Journal of Clinical Oncology </w:t>
            </w:r>
            <w:r w:rsidRPr="00842ACF">
              <w:rPr>
                <w:i/>
                <w:iCs/>
                <w:szCs w:val="18"/>
              </w:rPr>
              <w:t>202</w:t>
            </w:r>
            <w:r>
              <w:rPr>
                <w:i/>
                <w:iCs/>
                <w:szCs w:val="18"/>
              </w:rPr>
              <w:t>3</w:t>
            </w:r>
            <w:r w:rsidRPr="00842ACF">
              <w:rPr>
                <w:szCs w:val="18"/>
              </w:rPr>
              <w:t xml:space="preserve">; </w:t>
            </w:r>
            <w:r>
              <w:rPr>
                <w:szCs w:val="18"/>
              </w:rPr>
              <w:t>41(4), 67.</w:t>
            </w:r>
          </w:p>
        </w:tc>
      </w:tr>
      <w:tr w:rsidR="00891965" w:rsidRPr="00CB38A8" w14:paraId="04299E17" w14:textId="77777777" w:rsidTr="00366CE4">
        <w:trPr>
          <w:cantSplit/>
        </w:trPr>
        <w:tc>
          <w:tcPr>
            <w:tcW w:w="705" w:type="pct"/>
            <w:vMerge/>
            <w:tcBorders>
              <w:bottom w:val="single" w:sz="4" w:space="0" w:color="auto"/>
            </w:tcBorders>
            <w:vAlign w:val="center"/>
          </w:tcPr>
          <w:p w14:paraId="26F52516" w14:textId="77777777" w:rsidR="00891965" w:rsidRPr="00CB38A8" w:rsidRDefault="00891965" w:rsidP="00DB2E12">
            <w:pPr>
              <w:pStyle w:val="TableText0"/>
              <w:keepNext w:val="0"/>
              <w:keepLines/>
              <w:jc w:val="center"/>
            </w:pPr>
          </w:p>
        </w:tc>
        <w:tc>
          <w:tcPr>
            <w:tcW w:w="3144" w:type="pct"/>
            <w:tcBorders>
              <w:top w:val="nil"/>
              <w:bottom w:val="single" w:sz="4" w:space="0" w:color="auto"/>
            </w:tcBorders>
          </w:tcPr>
          <w:p w14:paraId="259C82FA" w14:textId="77777777" w:rsidR="00891965" w:rsidRPr="00AB6248" w:rsidRDefault="00891965" w:rsidP="00DB2E12">
            <w:pPr>
              <w:pStyle w:val="TableText0"/>
              <w:keepNext w:val="0"/>
              <w:keepLines/>
              <w:rPr>
                <w:lang w:val="en-US"/>
              </w:rPr>
            </w:pPr>
            <w:r w:rsidRPr="00974445">
              <w:t xml:space="preserve">Yoshino, T., </w:t>
            </w:r>
            <w:r>
              <w:t xml:space="preserve">Dasari, A. </w:t>
            </w:r>
            <w:r w:rsidRPr="00974445">
              <w:t>et al. 46MO FRESCO-2: A global / multiregional phase III clinical trial (MRCT) evaluating the efficacy and safety of fruquintinib in patients with metastatic colorectal cancer.</w:t>
            </w:r>
          </w:p>
        </w:tc>
        <w:tc>
          <w:tcPr>
            <w:tcW w:w="1151" w:type="pct"/>
            <w:tcBorders>
              <w:top w:val="nil"/>
              <w:bottom w:val="single" w:sz="4" w:space="0" w:color="auto"/>
            </w:tcBorders>
          </w:tcPr>
          <w:p w14:paraId="00597D54" w14:textId="77777777" w:rsidR="00891965" w:rsidRPr="00AB6248" w:rsidRDefault="00891965" w:rsidP="00DB2E12">
            <w:pPr>
              <w:pStyle w:val="TableText0"/>
              <w:keepNext w:val="0"/>
              <w:keepLines/>
              <w:rPr>
                <w:i/>
                <w:lang w:val="en-US"/>
              </w:rPr>
            </w:pPr>
            <w:r w:rsidRPr="0063232F">
              <w:rPr>
                <w:i/>
                <w:iCs/>
                <w:szCs w:val="18"/>
              </w:rPr>
              <w:t>Annals of Oncology</w:t>
            </w:r>
            <w:r>
              <w:rPr>
                <w:i/>
                <w:iCs/>
                <w:szCs w:val="18"/>
              </w:rPr>
              <w:t xml:space="preserve"> 2022; </w:t>
            </w:r>
            <w:r w:rsidRPr="0063232F">
              <w:rPr>
                <w:szCs w:val="18"/>
              </w:rPr>
              <w:t>33</w:t>
            </w:r>
            <w:r>
              <w:rPr>
                <w:szCs w:val="18"/>
              </w:rPr>
              <w:t xml:space="preserve"> (S9),</w:t>
            </w:r>
            <w:r w:rsidRPr="0063232F">
              <w:rPr>
                <w:szCs w:val="18"/>
              </w:rPr>
              <w:t xml:space="preserve"> </w:t>
            </w:r>
            <w:r w:rsidRPr="00974445">
              <w:t>S1446-S1447.</w:t>
            </w:r>
          </w:p>
        </w:tc>
      </w:tr>
      <w:tr w:rsidR="00891965" w:rsidRPr="00CB38A8" w14:paraId="78813982" w14:textId="77777777" w:rsidTr="00366CE4">
        <w:trPr>
          <w:cantSplit/>
        </w:trPr>
        <w:tc>
          <w:tcPr>
            <w:tcW w:w="705" w:type="pct"/>
            <w:vMerge w:val="restart"/>
            <w:tcBorders>
              <w:top w:val="single" w:sz="4" w:space="0" w:color="auto"/>
              <w:left w:val="single" w:sz="4" w:space="0" w:color="auto"/>
            </w:tcBorders>
          </w:tcPr>
          <w:p w14:paraId="4BA29007" w14:textId="77777777" w:rsidR="00891965" w:rsidRPr="00CB38A8" w:rsidRDefault="00891965" w:rsidP="00DB2E12">
            <w:pPr>
              <w:pStyle w:val="TableText0"/>
              <w:keepNext w:val="0"/>
              <w:keepLines/>
              <w:rPr>
                <w:rFonts w:ascii="Times" w:hAnsi="Times"/>
              </w:rPr>
            </w:pPr>
            <w:r w:rsidRPr="00554EAA">
              <w:t>FRESCO 1</w:t>
            </w:r>
          </w:p>
          <w:p w14:paraId="367C432E" w14:textId="77777777" w:rsidR="00891965" w:rsidRPr="00CB38A8" w:rsidRDefault="00891965" w:rsidP="00DB2E12">
            <w:pPr>
              <w:pStyle w:val="TableText0"/>
              <w:keepNext w:val="0"/>
              <w:keepLines/>
              <w:rPr>
                <w:rFonts w:ascii="Times" w:hAnsi="Times"/>
              </w:rPr>
            </w:pPr>
            <w:r w:rsidRPr="00554EAA">
              <w:t>(NCT02314819)</w:t>
            </w:r>
          </w:p>
          <w:p w14:paraId="582A1F37" w14:textId="77777777" w:rsidR="00891965" w:rsidRPr="00CB38A8" w:rsidRDefault="00891965" w:rsidP="00DB2E12">
            <w:pPr>
              <w:pStyle w:val="TableText0"/>
              <w:keepNext w:val="0"/>
              <w:keepLines/>
              <w:jc w:val="center"/>
              <w:rPr>
                <w:rFonts w:ascii="Times" w:hAnsi="Times"/>
              </w:rPr>
            </w:pPr>
          </w:p>
        </w:tc>
        <w:tc>
          <w:tcPr>
            <w:tcW w:w="3144" w:type="pct"/>
            <w:tcBorders>
              <w:top w:val="single" w:sz="4" w:space="0" w:color="auto"/>
              <w:bottom w:val="nil"/>
            </w:tcBorders>
          </w:tcPr>
          <w:p w14:paraId="62FC6336" w14:textId="77777777" w:rsidR="00891965" w:rsidRPr="00CB38A8" w:rsidRDefault="00891965" w:rsidP="00DB2E12">
            <w:pPr>
              <w:pStyle w:val="TableText0"/>
              <w:keepNext w:val="0"/>
              <w:keepLines/>
              <w:rPr>
                <w:rFonts w:ascii="Times" w:hAnsi="Times"/>
              </w:rPr>
            </w:pPr>
            <w:r w:rsidRPr="00554EAA">
              <w:t>A Randomized, Double-blind and Placebo-controlled Phase III Trial Comparing Fruquintinib Efficacy and Safety vs Best Support Care (BSC) in Advanced Colorectal Cancer Patients Who Have Failed at Least Second Lines of Chemotherapies</w:t>
            </w:r>
          </w:p>
        </w:tc>
        <w:tc>
          <w:tcPr>
            <w:tcW w:w="1151" w:type="pct"/>
            <w:tcBorders>
              <w:top w:val="single" w:sz="4" w:space="0" w:color="auto"/>
              <w:bottom w:val="nil"/>
              <w:right w:val="single" w:sz="4" w:space="0" w:color="auto"/>
            </w:tcBorders>
            <w:vAlign w:val="center"/>
          </w:tcPr>
          <w:p w14:paraId="0776ED7B" w14:textId="77777777" w:rsidR="00891965" w:rsidRPr="004A2558" w:rsidRDefault="00891965" w:rsidP="00DB2E12">
            <w:pPr>
              <w:pStyle w:val="TableText0"/>
              <w:keepNext w:val="0"/>
              <w:keepLines/>
            </w:pPr>
            <w:r>
              <w:t>May 2017</w:t>
            </w:r>
          </w:p>
        </w:tc>
      </w:tr>
      <w:tr w:rsidR="00891965" w:rsidRPr="00CB38A8" w14:paraId="4070980E" w14:textId="77777777" w:rsidTr="00366CE4">
        <w:trPr>
          <w:cantSplit/>
        </w:trPr>
        <w:tc>
          <w:tcPr>
            <w:tcW w:w="705" w:type="pct"/>
            <w:vMerge/>
            <w:tcBorders>
              <w:left w:val="single" w:sz="4" w:space="0" w:color="auto"/>
            </w:tcBorders>
          </w:tcPr>
          <w:p w14:paraId="1088286A" w14:textId="77777777" w:rsidR="00891965" w:rsidRPr="00CB38A8" w:rsidRDefault="00891965" w:rsidP="00DB2E12">
            <w:pPr>
              <w:pStyle w:val="TableText0"/>
              <w:keepNext w:val="0"/>
              <w:keepLines/>
              <w:jc w:val="center"/>
            </w:pPr>
          </w:p>
        </w:tc>
        <w:tc>
          <w:tcPr>
            <w:tcW w:w="3144" w:type="pct"/>
            <w:tcBorders>
              <w:top w:val="nil"/>
              <w:bottom w:val="nil"/>
            </w:tcBorders>
          </w:tcPr>
          <w:p w14:paraId="52832B78" w14:textId="77777777" w:rsidR="00891965" w:rsidRPr="00E34A35" w:rsidRDefault="00891965" w:rsidP="00DB2E12">
            <w:pPr>
              <w:pStyle w:val="TableText0"/>
              <w:keepNext w:val="0"/>
              <w:keepLines/>
            </w:pPr>
            <w:r w:rsidRPr="00554EAA">
              <w:t>Li, J., Guo W. et al. Safety Profile and Adverse Events of Special Interest for Fruquintinib in Chinese Patients with Previously Treated Metastatic Colorectal Cancer: Analysis of the Phase 3 FRESCO Trial.</w:t>
            </w:r>
          </w:p>
        </w:tc>
        <w:tc>
          <w:tcPr>
            <w:tcW w:w="1151" w:type="pct"/>
            <w:tcBorders>
              <w:top w:val="nil"/>
              <w:bottom w:val="nil"/>
              <w:right w:val="single" w:sz="4" w:space="0" w:color="auto"/>
            </w:tcBorders>
            <w:vAlign w:val="center"/>
          </w:tcPr>
          <w:p w14:paraId="0D2786F2" w14:textId="77777777" w:rsidR="00891965" w:rsidRPr="00CB38A8" w:rsidRDefault="00891965" w:rsidP="00DB2E12">
            <w:pPr>
              <w:pStyle w:val="TableText0"/>
              <w:keepNext w:val="0"/>
              <w:keepLines/>
              <w:rPr>
                <w:i/>
              </w:rPr>
            </w:pPr>
            <w:r w:rsidRPr="00C64239">
              <w:rPr>
                <w:i/>
              </w:rPr>
              <w:t xml:space="preserve">Advances in Therapy </w:t>
            </w:r>
            <w:r>
              <w:rPr>
                <w:i/>
              </w:rPr>
              <w:t xml:space="preserve">2020; </w:t>
            </w:r>
            <w:r w:rsidRPr="00C64239">
              <w:rPr>
                <w:iCs/>
              </w:rPr>
              <w:t>37(11): 4585-4598.</w:t>
            </w:r>
          </w:p>
        </w:tc>
      </w:tr>
      <w:tr w:rsidR="00891965" w:rsidRPr="00CB38A8" w14:paraId="3180D1A9" w14:textId="77777777" w:rsidTr="00366CE4">
        <w:trPr>
          <w:cantSplit/>
        </w:trPr>
        <w:tc>
          <w:tcPr>
            <w:tcW w:w="705" w:type="pct"/>
            <w:vMerge/>
            <w:tcBorders>
              <w:left w:val="single" w:sz="4" w:space="0" w:color="auto"/>
              <w:bottom w:val="nil"/>
            </w:tcBorders>
          </w:tcPr>
          <w:p w14:paraId="3A861605" w14:textId="77777777" w:rsidR="00891965" w:rsidRPr="00CB38A8" w:rsidRDefault="00891965" w:rsidP="00DB2E12">
            <w:pPr>
              <w:pStyle w:val="TableText0"/>
              <w:keepNext w:val="0"/>
              <w:keepLines/>
              <w:jc w:val="center"/>
            </w:pPr>
          </w:p>
        </w:tc>
        <w:tc>
          <w:tcPr>
            <w:tcW w:w="3144" w:type="pct"/>
            <w:tcBorders>
              <w:top w:val="nil"/>
              <w:bottom w:val="nil"/>
            </w:tcBorders>
          </w:tcPr>
          <w:p w14:paraId="45079BDA" w14:textId="77777777" w:rsidR="00891965" w:rsidRPr="00804917" w:rsidRDefault="00891965" w:rsidP="00DB2E12">
            <w:pPr>
              <w:pStyle w:val="TableText0"/>
              <w:keepNext w:val="0"/>
              <w:keepLines/>
            </w:pPr>
            <w:r w:rsidRPr="00554EAA">
              <w:t>Li, J., Qin S. et al. FRESCO: A Phase III trial evaluating Fruquintinib efficacy and safety in 3+ line colorectal cancer patients.</w:t>
            </w:r>
          </w:p>
        </w:tc>
        <w:tc>
          <w:tcPr>
            <w:tcW w:w="1151" w:type="pct"/>
            <w:tcBorders>
              <w:top w:val="nil"/>
              <w:bottom w:val="nil"/>
              <w:right w:val="single" w:sz="4" w:space="0" w:color="auto"/>
            </w:tcBorders>
            <w:vAlign w:val="center"/>
          </w:tcPr>
          <w:p w14:paraId="4FF2D276" w14:textId="77777777" w:rsidR="00891965" w:rsidRPr="005C3BD2" w:rsidRDefault="00891965" w:rsidP="00DB2E12">
            <w:pPr>
              <w:pStyle w:val="TableText0"/>
              <w:keepNext w:val="0"/>
              <w:keepLines/>
              <w:rPr>
                <w:rFonts w:ascii="Times" w:hAnsi="Times"/>
              </w:rPr>
            </w:pPr>
            <w:r w:rsidRPr="00C64239">
              <w:rPr>
                <w:i/>
                <w:iCs/>
              </w:rPr>
              <w:t>Journal of Clinical Oncology</w:t>
            </w:r>
            <w:r w:rsidRPr="00420B4B">
              <w:t xml:space="preserve"> </w:t>
            </w:r>
            <w:r w:rsidRPr="00C64239">
              <w:rPr>
                <w:i/>
                <w:iCs/>
              </w:rPr>
              <w:t>2017</w:t>
            </w:r>
            <w:r>
              <w:t xml:space="preserve">; </w:t>
            </w:r>
            <w:r w:rsidRPr="00420B4B">
              <w:t>35(15).</w:t>
            </w:r>
          </w:p>
        </w:tc>
      </w:tr>
      <w:tr w:rsidR="00891965" w:rsidRPr="00CB38A8" w14:paraId="2B9B604E" w14:textId="77777777" w:rsidTr="00366CE4">
        <w:trPr>
          <w:cantSplit/>
        </w:trPr>
        <w:tc>
          <w:tcPr>
            <w:tcW w:w="705" w:type="pct"/>
            <w:vMerge/>
            <w:tcBorders>
              <w:left w:val="single" w:sz="4" w:space="0" w:color="auto"/>
              <w:bottom w:val="single" w:sz="4" w:space="0" w:color="auto"/>
            </w:tcBorders>
          </w:tcPr>
          <w:p w14:paraId="35F7FD3D" w14:textId="77777777" w:rsidR="00891965" w:rsidRPr="00CB38A8" w:rsidRDefault="00891965" w:rsidP="00DB2E12">
            <w:pPr>
              <w:pStyle w:val="TableText0"/>
              <w:keepNext w:val="0"/>
              <w:keepLines/>
              <w:jc w:val="center"/>
            </w:pPr>
          </w:p>
        </w:tc>
        <w:tc>
          <w:tcPr>
            <w:tcW w:w="3144" w:type="pct"/>
            <w:tcBorders>
              <w:top w:val="nil"/>
              <w:bottom w:val="single" w:sz="4" w:space="0" w:color="auto"/>
            </w:tcBorders>
          </w:tcPr>
          <w:p w14:paraId="05BAD386" w14:textId="77777777" w:rsidR="00891965" w:rsidRPr="00804917" w:rsidRDefault="00891965" w:rsidP="00DB2E12">
            <w:pPr>
              <w:pStyle w:val="TableText0"/>
              <w:keepNext w:val="0"/>
              <w:keepLines/>
            </w:pPr>
            <w:r w:rsidRPr="00571A09">
              <w:t>Li, J., Qin, S. et al. Effect of fruquintinib vs placebo on overall survival in patients with previously treated metastatic colorectal cancer the FRESCO randomized clinical trial.</w:t>
            </w:r>
          </w:p>
        </w:tc>
        <w:tc>
          <w:tcPr>
            <w:tcW w:w="1151" w:type="pct"/>
            <w:tcBorders>
              <w:top w:val="nil"/>
              <w:bottom w:val="single" w:sz="4" w:space="0" w:color="auto"/>
              <w:right w:val="single" w:sz="4" w:space="0" w:color="auto"/>
            </w:tcBorders>
            <w:vAlign w:val="center"/>
          </w:tcPr>
          <w:p w14:paraId="6B515E4B" w14:textId="77777777" w:rsidR="00891965" w:rsidRPr="005C3BD2" w:rsidRDefault="00891965" w:rsidP="00DB2E12">
            <w:pPr>
              <w:pStyle w:val="TableText0"/>
              <w:keepNext w:val="0"/>
              <w:keepLines/>
              <w:rPr>
                <w:rFonts w:ascii="Times" w:hAnsi="Times"/>
              </w:rPr>
            </w:pPr>
            <w:r w:rsidRPr="00C64239">
              <w:rPr>
                <w:i/>
                <w:iCs/>
              </w:rPr>
              <w:t>Journal of the American Medical Association</w:t>
            </w:r>
            <w:r>
              <w:rPr>
                <w:i/>
                <w:iCs/>
              </w:rPr>
              <w:t xml:space="preserve"> 2018;</w:t>
            </w:r>
            <w:r w:rsidRPr="00C64239">
              <w:t xml:space="preserve"> 319(24): 2486-2496.</w:t>
            </w:r>
          </w:p>
        </w:tc>
      </w:tr>
      <w:tr w:rsidR="00891965" w:rsidRPr="00CB38A8" w14:paraId="52FBE754" w14:textId="77777777" w:rsidTr="00366CE4">
        <w:trPr>
          <w:cantSplit/>
        </w:trPr>
        <w:tc>
          <w:tcPr>
            <w:tcW w:w="705" w:type="pct"/>
            <w:vMerge w:val="restart"/>
            <w:tcBorders>
              <w:top w:val="single" w:sz="4" w:space="0" w:color="auto"/>
            </w:tcBorders>
          </w:tcPr>
          <w:p w14:paraId="02CA49F6" w14:textId="77777777" w:rsidR="00891965" w:rsidRPr="00CB38A8" w:rsidRDefault="00891965" w:rsidP="00DB2E12">
            <w:pPr>
              <w:pStyle w:val="TableText0"/>
              <w:keepNext w:val="0"/>
              <w:keepLines/>
            </w:pPr>
            <w:r w:rsidRPr="000E63F4">
              <w:t>2012-013-00CH1</w:t>
            </w:r>
          </w:p>
          <w:p w14:paraId="258409A2" w14:textId="77777777" w:rsidR="00891965" w:rsidRPr="00CB38A8" w:rsidRDefault="00891965" w:rsidP="00DB2E12">
            <w:pPr>
              <w:pStyle w:val="TableText0"/>
              <w:keepNext w:val="0"/>
              <w:keepLines/>
            </w:pPr>
            <w:r w:rsidRPr="000E63F4">
              <w:t>(NCT02196688)</w:t>
            </w:r>
          </w:p>
          <w:p w14:paraId="55724639" w14:textId="77777777" w:rsidR="00891965" w:rsidRPr="00CB38A8" w:rsidRDefault="00891965" w:rsidP="00DB2E12">
            <w:pPr>
              <w:pStyle w:val="TableText0"/>
              <w:keepNext w:val="0"/>
              <w:keepLines/>
            </w:pPr>
          </w:p>
        </w:tc>
        <w:tc>
          <w:tcPr>
            <w:tcW w:w="3144" w:type="pct"/>
            <w:tcBorders>
              <w:top w:val="single" w:sz="4" w:space="0" w:color="auto"/>
              <w:bottom w:val="nil"/>
            </w:tcBorders>
          </w:tcPr>
          <w:p w14:paraId="1BFCD64C" w14:textId="77777777" w:rsidR="00891965" w:rsidRPr="00CB38A8" w:rsidRDefault="00891965" w:rsidP="00DB2E12">
            <w:pPr>
              <w:pStyle w:val="TableText0"/>
              <w:keepNext w:val="0"/>
              <w:keepLines/>
              <w:rPr>
                <w:rFonts w:ascii="Times" w:hAnsi="Times"/>
              </w:rPr>
            </w:pPr>
            <w:r w:rsidRPr="000E63F4">
              <w:t>A Randomized, Double-Blind, Placebo Controlled, Multicenter Phase II Clinical Study Comparing Fruquintinib Plus Best Supportive Care (BSC) And Placebo Plus BSC In Patients With Advanced Colorectal Cancer Who Have Failed To Respond To Second-Line And Above Standard Chemotherapy.</w:t>
            </w:r>
          </w:p>
        </w:tc>
        <w:tc>
          <w:tcPr>
            <w:tcW w:w="1151" w:type="pct"/>
            <w:tcBorders>
              <w:top w:val="single" w:sz="4" w:space="0" w:color="auto"/>
              <w:bottom w:val="nil"/>
            </w:tcBorders>
            <w:vAlign w:val="center"/>
          </w:tcPr>
          <w:p w14:paraId="4DB5D010" w14:textId="77777777" w:rsidR="00891965" w:rsidRPr="00CB38A8" w:rsidRDefault="00891965" w:rsidP="00DB2E12">
            <w:pPr>
              <w:pStyle w:val="TableText0"/>
              <w:keepNext w:val="0"/>
              <w:keepLines/>
              <w:rPr>
                <w:rFonts w:ascii="Times" w:hAnsi="Times"/>
              </w:rPr>
            </w:pPr>
            <w:r>
              <w:t>February 2016</w:t>
            </w:r>
          </w:p>
        </w:tc>
      </w:tr>
      <w:tr w:rsidR="00891965" w:rsidRPr="00CB38A8" w14:paraId="4F5EDFA4" w14:textId="77777777" w:rsidTr="00366CE4">
        <w:trPr>
          <w:cantSplit/>
        </w:trPr>
        <w:tc>
          <w:tcPr>
            <w:tcW w:w="705" w:type="pct"/>
            <w:vMerge/>
          </w:tcPr>
          <w:p w14:paraId="24E6627A" w14:textId="77777777" w:rsidR="00891965" w:rsidRPr="00CB38A8" w:rsidRDefault="00891965" w:rsidP="00DB2E12">
            <w:pPr>
              <w:pStyle w:val="Tabletext"/>
              <w:keepLines/>
            </w:pPr>
          </w:p>
        </w:tc>
        <w:tc>
          <w:tcPr>
            <w:tcW w:w="3144" w:type="pct"/>
            <w:tcBorders>
              <w:top w:val="nil"/>
              <w:bottom w:val="nil"/>
            </w:tcBorders>
          </w:tcPr>
          <w:p w14:paraId="355C9772" w14:textId="77777777" w:rsidR="00891965" w:rsidRPr="00AC45E8" w:rsidRDefault="00891965" w:rsidP="00DB2E12">
            <w:pPr>
              <w:pStyle w:val="TableText0"/>
              <w:keepNext w:val="0"/>
              <w:keepLines/>
            </w:pPr>
            <w:r w:rsidRPr="000E63F4">
              <w:t xml:space="preserve">Xu, R., Li, J. et al. Safety and efficacy of fruquintinib in patients with previously treated metastatic colorectal cancer: a phase Ib study and a randomized double-blind phase II study. </w:t>
            </w:r>
          </w:p>
        </w:tc>
        <w:tc>
          <w:tcPr>
            <w:tcW w:w="1151" w:type="pct"/>
            <w:tcBorders>
              <w:top w:val="nil"/>
              <w:bottom w:val="nil"/>
            </w:tcBorders>
            <w:vAlign w:val="center"/>
          </w:tcPr>
          <w:p w14:paraId="3C2AC1F0" w14:textId="77777777" w:rsidR="00891965" w:rsidRPr="00AC45E8" w:rsidRDefault="00891965" w:rsidP="00DB2E12">
            <w:pPr>
              <w:pStyle w:val="TableText0"/>
              <w:keepNext w:val="0"/>
              <w:keepLines/>
            </w:pPr>
            <w:r w:rsidRPr="00C64239">
              <w:rPr>
                <w:i/>
                <w:iCs/>
              </w:rPr>
              <w:t>Journal of Haematology and Oncology 2017</w:t>
            </w:r>
            <w:r>
              <w:t xml:space="preserve">; </w:t>
            </w:r>
            <w:r w:rsidRPr="00C64239">
              <w:t>10(1): 22.</w:t>
            </w:r>
          </w:p>
        </w:tc>
      </w:tr>
      <w:tr w:rsidR="00891965" w:rsidRPr="00CB38A8" w14:paraId="1257EC92" w14:textId="77777777" w:rsidTr="00366CE4">
        <w:trPr>
          <w:cantSplit/>
        </w:trPr>
        <w:tc>
          <w:tcPr>
            <w:tcW w:w="705" w:type="pct"/>
            <w:vMerge/>
            <w:tcBorders>
              <w:bottom w:val="single" w:sz="4" w:space="0" w:color="auto"/>
            </w:tcBorders>
          </w:tcPr>
          <w:p w14:paraId="05B66D0D" w14:textId="77777777" w:rsidR="00891965" w:rsidRPr="00CB38A8" w:rsidRDefault="00891965" w:rsidP="00DB2E12">
            <w:pPr>
              <w:pStyle w:val="Tabletext"/>
              <w:keepLines/>
            </w:pPr>
          </w:p>
        </w:tc>
        <w:tc>
          <w:tcPr>
            <w:tcW w:w="3144" w:type="pct"/>
            <w:tcBorders>
              <w:top w:val="nil"/>
              <w:bottom w:val="single" w:sz="4" w:space="0" w:color="auto"/>
            </w:tcBorders>
          </w:tcPr>
          <w:p w14:paraId="4282305D" w14:textId="77777777" w:rsidR="00891965" w:rsidRPr="00AC45E8" w:rsidRDefault="00891965" w:rsidP="00DB2E12">
            <w:pPr>
              <w:pStyle w:val="TableText0"/>
              <w:keepNext w:val="0"/>
              <w:keepLines/>
            </w:pPr>
            <w:r w:rsidRPr="000E63F4">
              <w:t>Li, J., Xu, R. et al. A randomized, double-blind, placebo-controlled, multicentre Phase II clinical trial of fruquintinib in patients with metastatic colorectal cancer (mCRC).</w:t>
            </w:r>
          </w:p>
        </w:tc>
        <w:tc>
          <w:tcPr>
            <w:tcW w:w="1151" w:type="pct"/>
            <w:tcBorders>
              <w:top w:val="nil"/>
              <w:bottom w:val="single" w:sz="4" w:space="0" w:color="auto"/>
            </w:tcBorders>
            <w:vAlign w:val="center"/>
          </w:tcPr>
          <w:p w14:paraId="178632CF" w14:textId="77777777" w:rsidR="00891965" w:rsidRPr="00AC45E8" w:rsidRDefault="00891965" w:rsidP="00DB2E12">
            <w:pPr>
              <w:pStyle w:val="TableText0"/>
              <w:keepNext w:val="0"/>
              <w:keepLines/>
            </w:pPr>
            <w:r w:rsidRPr="00C64239">
              <w:rPr>
                <w:i/>
                <w:iCs/>
              </w:rPr>
              <w:t>European Journal of Cancer</w:t>
            </w:r>
            <w:r>
              <w:rPr>
                <w:i/>
                <w:iCs/>
              </w:rPr>
              <w:t xml:space="preserve"> 2015</w:t>
            </w:r>
            <w:r w:rsidRPr="00C64239">
              <w:t>;</w:t>
            </w:r>
            <w:r>
              <w:rPr>
                <w:i/>
                <w:iCs/>
              </w:rPr>
              <w:t xml:space="preserve"> </w:t>
            </w:r>
            <w:r w:rsidRPr="00C64239">
              <w:t>51: S366.</w:t>
            </w:r>
          </w:p>
        </w:tc>
      </w:tr>
      <w:tr w:rsidR="00891965" w:rsidRPr="00CB38A8" w14:paraId="7B90D945" w14:textId="77777777" w:rsidTr="00B8663F">
        <w:trPr>
          <w:cantSplit/>
        </w:trPr>
        <w:tc>
          <w:tcPr>
            <w:tcW w:w="5000" w:type="pct"/>
            <w:gridSpan w:val="3"/>
            <w:tcBorders>
              <w:top w:val="single" w:sz="4" w:space="0" w:color="auto"/>
              <w:bottom w:val="single" w:sz="4" w:space="0" w:color="auto"/>
            </w:tcBorders>
          </w:tcPr>
          <w:p w14:paraId="521B4773" w14:textId="77777777" w:rsidR="00891965" w:rsidRPr="00F15620" w:rsidRDefault="00891965" w:rsidP="00DB2E12">
            <w:pPr>
              <w:pStyle w:val="TableText0"/>
              <w:keepNext w:val="0"/>
              <w:keepLines/>
              <w:rPr>
                <w:b/>
                <w:bCs w:val="0"/>
              </w:rPr>
            </w:pPr>
            <w:r w:rsidRPr="00F15620">
              <w:rPr>
                <w:b/>
                <w:bCs w:val="0"/>
              </w:rPr>
              <w:t>Trifluridine/tipiracil trials</w:t>
            </w:r>
          </w:p>
        </w:tc>
      </w:tr>
      <w:tr w:rsidR="00891965" w:rsidRPr="00CB38A8" w14:paraId="27F4BC57" w14:textId="77777777" w:rsidTr="00366CE4">
        <w:trPr>
          <w:cantSplit/>
        </w:trPr>
        <w:tc>
          <w:tcPr>
            <w:tcW w:w="705" w:type="pct"/>
            <w:vMerge w:val="restart"/>
            <w:tcBorders>
              <w:top w:val="single" w:sz="4" w:space="0" w:color="auto"/>
            </w:tcBorders>
          </w:tcPr>
          <w:p w14:paraId="7EEC2BBE" w14:textId="77777777" w:rsidR="00891965" w:rsidRDefault="00891965" w:rsidP="00DB2E12">
            <w:pPr>
              <w:pStyle w:val="Tabletext"/>
              <w:keepLines/>
            </w:pPr>
            <w:r>
              <w:t>RECOURSE</w:t>
            </w:r>
          </w:p>
          <w:p w14:paraId="455705A5" w14:textId="77777777" w:rsidR="00891965" w:rsidRPr="00CB38A8" w:rsidRDefault="00891965" w:rsidP="00DB2E12">
            <w:pPr>
              <w:pStyle w:val="Tabletext"/>
              <w:keepLines/>
            </w:pPr>
            <w:r>
              <w:t>(NCT01607957)</w:t>
            </w:r>
          </w:p>
        </w:tc>
        <w:tc>
          <w:tcPr>
            <w:tcW w:w="3144" w:type="pct"/>
            <w:tcBorders>
              <w:top w:val="single" w:sz="4" w:space="0" w:color="auto"/>
              <w:bottom w:val="single" w:sz="4" w:space="0" w:color="auto"/>
            </w:tcBorders>
          </w:tcPr>
          <w:p w14:paraId="36805AE4" w14:textId="77777777" w:rsidR="00891965" w:rsidRPr="00AC45E8" w:rsidRDefault="00891965" w:rsidP="00DB2E12">
            <w:pPr>
              <w:pStyle w:val="TableText0"/>
              <w:keepNext w:val="0"/>
              <w:keepLines/>
            </w:pPr>
            <w:r w:rsidRPr="00B42124">
              <w:t xml:space="preserve">Mayer, R., Custem, E. et al. Randomized trial of TAS-102 for refractory metastatic colorectal cancer. </w:t>
            </w:r>
          </w:p>
        </w:tc>
        <w:tc>
          <w:tcPr>
            <w:tcW w:w="1151" w:type="pct"/>
            <w:tcBorders>
              <w:top w:val="single" w:sz="4" w:space="0" w:color="auto"/>
              <w:bottom w:val="single" w:sz="4" w:space="0" w:color="auto"/>
            </w:tcBorders>
            <w:vAlign w:val="center"/>
          </w:tcPr>
          <w:p w14:paraId="752BAF65" w14:textId="3B805E23" w:rsidR="00891965" w:rsidRPr="00AC45E8" w:rsidRDefault="00891965" w:rsidP="00DB2E12">
            <w:pPr>
              <w:pStyle w:val="TableText0"/>
              <w:keepNext w:val="0"/>
              <w:keepLines/>
            </w:pPr>
            <w:r w:rsidRPr="004B2E49">
              <w:rPr>
                <w:i/>
                <w:iCs/>
              </w:rPr>
              <w:t xml:space="preserve">The New England </w:t>
            </w:r>
            <w:r w:rsidR="006315B5">
              <w:rPr>
                <w:i/>
                <w:iCs/>
              </w:rPr>
              <w:t>J</w:t>
            </w:r>
            <w:r w:rsidRPr="004B2E49">
              <w:rPr>
                <w:i/>
                <w:iCs/>
              </w:rPr>
              <w:t xml:space="preserve">ournal of </w:t>
            </w:r>
            <w:r>
              <w:rPr>
                <w:i/>
                <w:iCs/>
              </w:rPr>
              <w:t>M</w:t>
            </w:r>
            <w:r w:rsidRPr="004B2E49">
              <w:rPr>
                <w:i/>
                <w:iCs/>
              </w:rPr>
              <w:t>edicine</w:t>
            </w:r>
            <w:r>
              <w:rPr>
                <w:i/>
                <w:iCs/>
              </w:rPr>
              <w:t xml:space="preserve"> 2015</w:t>
            </w:r>
            <w:r w:rsidRPr="004B2E49">
              <w:t>; 372(20), 1909–1919.</w:t>
            </w:r>
          </w:p>
        </w:tc>
      </w:tr>
      <w:tr w:rsidR="00891965" w:rsidRPr="00CB38A8" w14:paraId="18C09B98" w14:textId="77777777" w:rsidTr="00366CE4">
        <w:trPr>
          <w:cantSplit/>
        </w:trPr>
        <w:tc>
          <w:tcPr>
            <w:tcW w:w="705" w:type="pct"/>
            <w:vMerge/>
            <w:tcBorders>
              <w:top w:val="single" w:sz="4" w:space="0" w:color="auto"/>
              <w:bottom w:val="single" w:sz="4" w:space="0" w:color="auto"/>
            </w:tcBorders>
          </w:tcPr>
          <w:p w14:paraId="72EA18D0" w14:textId="77777777" w:rsidR="00891965" w:rsidRPr="00CB38A8" w:rsidRDefault="00891965" w:rsidP="00DB2E12">
            <w:pPr>
              <w:pStyle w:val="Tabletext"/>
              <w:keepLines/>
            </w:pPr>
          </w:p>
        </w:tc>
        <w:tc>
          <w:tcPr>
            <w:tcW w:w="3144" w:type="pct"/>
            <w:tcBorders>
              <w:top w:val="single" w:sz="4" w:space="0" w:color="auto"/>
              <w:bottom w:val="single" w:sz="4" w:space="0" w:color="auto"/>
            </w:tcBorders>
          </w:tcPr>
          <w:p w14:paraId="19C6E125" w14:textId="77777777" w:rsidR="00891965" w:rsidRPr="00AC45E8" w:rsidRDefault="00891965" w:rsidP="00DB2E12">
            <w:pPr>
              <w:pStyle w:val="TableText0"/>
              <w:keepNext w:val="0"/>
              <w:keepLines/>
            </w:pPr>
            <w:r w:rsidRPr="00B42124">
              <w:t>Yoshino, T., Mayer, R. et al. Results of a Multicenter, Randomized, Double-Blind, Phase III Study of TAS-102 vs. Placebo, with Best Supportive Care (BSC), in Patients (PTS) with Metastatic Colorectal Cancer (MCRC) Refractory to Standard Therapies (RECOURSE).</w:t>
            </w:r>
          </w:p>
        </w:tc>
        <w:tc>
          <w:tcPr>
            <w:tcW w:w="1151" w:type="pct"/>
            <w:tcBorders>
              <w:top w:val="single" w:sz="4" w:space="0" w:color="auto"/>
              <w:bottom w:val="single" w:sz="4" w:space="0" w:color="auto"/>
            </w:tcBorders>
            <w:vAlign w:val="center"/>
          </w:tcPr>
          <w:p w14:paraId="7DB80C66" w14:textId="77777777" w:rsidR="00891965" w:rsidRPr="00AC45E8" w:rsidRDefault="00891965" w:rsidP="00DB2E12">
            <w:pPr>
              <w:pStyle w:val="TableText0"/>
              <w:keepNext w:val="0"/>
              <w:keepLines/>
            </w:pPr>
            <w:r w:rsidRPr="004B2E49">
              <w:rPr>
                <w:i/>
                <w:iCs/>
              </w:rPr>
              <w:t xml:space="preserve">Annals of Oncology 2014; </w:t>
            </w:r>
            <w:r w:rsidRPr="004B2E49">
              <w:t>25</w:t>
            </w:r>
            <w:r>
              <w:t>,</w:t>
            </w:r>
            <w:r w:rsidRPr="004B2E49">
              <w:t xml:space="preserve"> ii114.</w:t>
            </w:r>
          </w:p>
        </w:tc>
      </w:tr>
      <w:tr w:rsidR="00891965" w:rsidRPr="00CB38A8" w14:paraId="67A762E9" w14:textId="77777777" w:rsidTr="00366CE4">
        <w:trPr>
          <w:cantSplit/>
        </w:trPr>
        <w:tc>
          <w:tcPr>
            <w:tcW w:w="705" w:type="pct"/>
            <w:vMerge w:val="restart"/>
            <w:tcBorders>
              <w:top w:val="single" w:sz="4" w:space="0" w:color="auto"/>
            </w:tcBorders>
          </w:tcPr>
          <w:p w14:paraId="301DD77C" w14:textId="77777777" w:rsidR="00891965" w:rsidRPr="00CB38A8" w:rsidRDefault="00891965" w:rsidP="00DB2E12">
            <w:pPr>
              <w:pStyle w:val="Tabletext"/>
              <w:keepLines/>
            </w:pPr>
            <w:r w:rsidRPr="007A5C83">
              <w:t>TERRA</w:t>
            </w:r>
          </w:p>
          <w:p w14:paraId="03E06B8B" w14:textId="77777777" w:rsidR="00891965" w:rsidRPr="00CB38A8" w:rsidRDefault="00891965" w:rsidP="00DB2E12">
            <w:pPr>
              <w:pStyle w:val="Tabletext"/>
              <w:keepLines/>
            </w:pPr>
            <w:r w:rsidRPr="007A5C83">
              <w:t>(NCT01955837)</w:t>
            </w:r>
          </w:p>
        </w:tc>
        <w:tc>
          <w:tcPr>
            <w:tcW w:w="3144" w:type="pct"/>
            <w:tcBorders>
              <w:top w:val="single" w:sz="4" w:space="0" w:color="auto"/>
              <w:bottom w:val="single" w:sz="4" w:space="0" w:color="auto"/>
              <w:right w:val="single" w:sz="4" w:space="0" w:color="auto"/>
            </w:tcBorders>
          </w:tcPr>
          <w:p w14:paraId="538A6F83" w14:textId="77777777" w:rsidR="00891965" w:rsidRPr="00AC45E8" w:rsidRDefault="00891965" w:rsidP="00DB2E12">
            <w:pPr>
              <w:pStyle w:val="TableText0"/>
              <w:keepNext w:val="0"/>
              <w:keepLines/>
            </w:pPr>
            <w:r w:rsidRPr="001B6783">
              <w:t>Xu J., Kim, T. et al. Results of a randomized, double-blind, placebo-controlled, phase III trial of trifluridine/tipiracil (TAS-102) monotherapy in Asian patients with previously treated metastatic colorectal cancer: the TERRA study.</w:t>
            </w:r>
          </w:p>
        </w:tc>
        <w:tc>
          <w:tcPr>
            <w:tcW w:w="1151" w:type="pct"/>
            <w:tcBorders>
              <w:top w:val="single" w:sz="4" w:space="0" w:color="auto"/>
              <w:left w:val="single" w:sz="4" w:space="0" w:color="auto"/>
              <w:bottom w:val="single" w:sz="4" w:space="0" w:color="auto"/>
            </w:tcBorders>
            <w:vAlign w:val="center"/>
          </w:tcPr>
          <w:p w14:paraId="00E4E164" w14:textId="77777777" w:rsidR="00891965" w:rsidRPr="00AC45E8" w:rsidRDefault="00891965" w:rsidP="00DB2E12">
            <w:pPr>
              <w:pStyle w:val="TableText0"/>
              <w:keepNext w:val="0"/>
              <w:keepLines/>
            </w:pPr>
            <w:r>
              <w:rPr>
                <w:i/>
                <w:iCs/>
              </w:rPr>
              <w:t>Journal of Clinical Oncology 2018;</w:t>
            </w:r>
            <w:r w:rsidRPr="004B2E49">
              <w:t xml:space="preserve"> 36(4), 350-358.</w:t>
            </w:r>
          </w:p>
        </w:tc>
      </w:tr>
      <w:tr w:rsidR="00891965" w:rsidRPr="00CB38A8" w14:paraId="6AB14170" w14:textId="77777777" w:rsidTr="00366CE4">
        <w:trPr>
          <w:cantSplit/>
        </w:trPr>
        <w:tc>
          <w:tcPr>
            <w:tcW w:w="705" w:type="pct"/>
            <w:vMerge/>
            <w:tcBorders>
              <w:bottom w:val="single" w:sz="4" w:space="0" w:color="auto"/>
            </w:tcBorders>
          </w:tcPr>
          <w:p w14:paraId="1B8A7D95" w14:textId="77777777" w:rsidR="00891965" w:rsidRPr="00CB38A8" w:rsidRDefault="00891965" w:rsidP="00DB2E12">
            <w:pPr>
              <w:pStyle w:val="Tabletext"/>
              <w:keepLines/>
            </w:pPr>
          </w:p>
        </w:tc>
        <w:tc>
          <w:tcPr>
            <w:tcW w:w="3144" w:type="pct"/>
            <w:tcBorders>
              <w:top w:val="single" w:sz="4" w:space="0" w:color="auto"/>
              <w:bottom w:val="single" w:sz="4" w:space="0" w:color="auto"/>
              <w:right w:val="single" w:sz="4" w:space="0" w:color="auto"/>
            </w:tcBorders>
          </w:tcPr>
          <w:p w14:paraId="2B008284" w14:textId="77777777" w:rsidR="00891965" w:rsidRPr="00AC45E8" w:rsidRDefault="00891965" w:rsidP="00DB2E12">
            <w:pPr>
              <w:pStyle w:val="TableText0"/>
              <w:keepNext w:val="0"/>
              <w:keepLines/>
            </w:pPr>
            <w:r w:rsidRPr="001B6783">
              <w:t>Kim TW, Shen L, Xu JM et al. TERRA: a randomized, double- blind, placebo-controlled phase 3 study of TAS-102 in Asian patients with metastatic colorectal cancer.</w:t>
            </w:r>
          </w:p>
        </w:tc>
        <w:tc>
          <w:tcPr>
            <w:tcW w:w="1151" w:type="pct"/>
            <w:tcBorders>
              <w:top w:val="single" w:sz="4" w:space="0" w:color="auto"/>
              <w:left w:val="single" w:sz="4" w:space="0" w:color="auto"/>
              <w:bottom w:val="single" w:sz="4" w:space="0" w:color="auto"/>
            </w:tcBorders>
            <w:vAlign w:val="center"/>
          </w:tcPr>
          <w:p w14:paraId="4D9BBD12" w14:textId="77777777" w:rsidR="00891965" w:rsidRPr="00AC45E8" w:rsidRDefault="00891965" w:rsidP="00DB2E12">
            <w:pPr>
              <w:pStyle w:val="TableText0"/>
              <w:keepNext w:val="0"/>
              <w:keepLines/>
            </w:pPr>
            <w:r w:rsidRPr="004B2E49">
              <w:rPr>
                <w:i/>
                <w:iCs/>
              </w:rPr>
              <w:t>Annals of Oncology 2016; 27</w:t>
            </w:r>
            <w:r>
              <w:rPr>
                <w:i/>
                <w:iCs/>
              </w:rPr>
              <w:t xml:space="preserve"> (6), </w:t>
            </w:r>
            <w:r w:rsidRPr="004B2E49">
              <w:rPr>
                <w:i/>
                <w:iCs/>
              </w:rPr>
              <w:t>vi153.</w:t>
            </w:r>
          </w:p>
        </w:tc>
      </w:tr>
      <w:tr w:rsidR="00891965" w:rsidRPr="00CB38A8" w14:paraId="37DBC6D2" w14:textId="77777777" w:rsidTr="00366CE4">
        <w:trPr>
          <w:cantSplit/>
        </w:trPr>
        <w:tc>
          <w:tcPr>
            <w:tcW w:w="705" w:type="pct"/>
            <w:tcBorders>
              <w:top w:val="single" w:sz="4" w:space="0" w:color="auto"/>
            </w:tcBorders>
          </w:tcPr>
          <w:p w14:paraId="2D286717" w14:textId="77777777" w:rsidR="00891965" w:rsidRDefault="00891965" w:rsidP="00DB2E12">
            <w:pPr>
              <w:pStyle w:val="Tabletext"/>
              <w:keepLines/>
            </w:pPr>
            <w:r>
              <w:t>J003</w:t>
            </w:r>
          </w:p>
          <w:p w14:paraId="0207AB6F" w14:textId="77777777" w:rsidR="00891965" w:rsidRPr="00CB38A8" w:rsidRDefault="00891965" w:rsidP="00DB2E12">
            <w:pPr>
              <w:pStyle w:val="Tabletext"/>
              <w:keepLines/>
            </w:pPr>
            <w:r>
              <w:t>(JapicCTI-090880)</w:t>
            </w:r>
          </w:p>
        </w:tc>
        <w:tc>
          <w:tcPr>
            <w:tcW w:w="3144" w:type="pct"/>
            <w:tcBorders>
              <w:top w:val="single" w:sz="4" w:space="0" w:color="auto"/>
              <w:bottom w:val="single" w:sz="4" w:space="0" w:color="auto"/>
            </w:tcBorders>
          </w:tcPr>
          <w:p w14:paraId="7B487F23" w14:textId="77777777" w:rsidR="00891965" w:rsidRPr="00AC45E8" w:rsidRDefault="00891965" w:rsidP="00DB2E12">
            <w:pPr>
              <w:pStyle w:val="TableText0"/>
              <w:keepNext w:val="0"/>
              <w:keepLines/>
            </w:pPr>
            <w:r w:rsidRPr="00E253BD">
              <w:t xml:space="preserve">Yoshino T, Mizunuma N, Yamazaki K et al. TAS-102 monotherapy for pretreated metastatic colorectal cancer: a double-blind, randomised, placebo-controlled phase 2 trial. </w:t>
            </w:r>
          </w:p>
        </w:tc>
        <w:tc>
          <w:tcPr>
            <w:tcW w:w="1151" w:type="pct"/>
            <w:tcBorders>
              <w:top w:val="single" w:sz="4" w:space="0" w:color="auto"/>
              <w:bottom w:val="single" w:sz="4" w:space="0" w:color="auto"/>
            </w:tcBorders>
            <w:vAlign w:val="center"/>
          </w:tcPr>
          <w:p w14:paraId="27425C4D" w14:textId="77777777" w:rsidR="00891965" w:rsidRPr="00AC45E8" w:rsidRDefault="00891965" w:rsidP="00DB2E12">
            <w:pPr>
              <w:pStyle w:val="TableText0"/>
              <w:keepNext w:val="0"/>
              <w:keepLines/>
            </w:pPr>
            <w:r w:rsidRPr="004B2E49">
              <w:rPr>
                <w:i/>
                <w:iCs/>
              </w:rPr>
              <w:t xml:space="preserve">The Lancet Oncology 2012; </w:t>
            </w:r>
            <w:r w:rsidRPr="004B2E49">
              <w:t>13(10</w:t>
            </w:r>
            <w:r>
              <w:t>),</w:t>
            </w:r>
            <w:r w:rsidRPr="004B2E49">
              <w:t xml:space="preserve"> 993–1001.</w:t>
            </w:r>
          </w:p>
        </w:tc>
      </w:tr>
    </w:tbl>
    <w:p w14:paraId="05673FC2" w14:textId="77777777" w:rsidR="00891965" w:rsidRPr="00A74236" w:rsidRDefault="00891965" w:rsidP="00891965">
      <w:pPr>
        <w:pStyle w:val="FooterTableFigure"/>
        <w:rPr>
          <w:sz w:val="20"/>
        </w:rPr>
      </w:pPr>
      <w:r w:rsidRPr="00A74236">
        <w:t xml:space="preserve">Source: </w:t>
      </w:r>
      <w:r w:rsidRPr="00673CEA">
        <w:t>Table 2-3, pp46-49 of the submission.</w:t>
      </w:r>
    </w:p>
    <w:p w14:paraId="6505A44E" w14:textId="62148C9D" w:rsidR="00891965" w:rsidRPr="00A74236" w:rsidRDefault="00891965" w:rsidP="00891965">
      <w:pPr>
        <w:pStyle w:val="3-BodyText"/>
        <w:rPr>
          <w:color w:val="0066FF"/>
        </w:rPr>
      </w:pPr>
      <w:r w:rsidRPr="00A74236">
        <w:lastRenderedPageBreak/>
        <w:t xml:space="preserve">The key features of </w:t>
      </w:r>
      <w:r w:rsidR="00A42CA4" w:rsidRPr="00A74236">
        <w:t>the included</w:t>
      </w:r>
      <w:r w:rsidRPr="00A74236">
        <w:t xml:space="preserve"> evidence</w:t>
      </w:r>
      <w:r>
        <w:t xml:space="preserve"> </w:t>
      </w:r>
      <w:r w:rsidRPr="00A74236">
        <w:t xml:space="preserve">are summarised in </w:t>
      </w:r>
      <w:r>
        <w:fldChar w:fldCharType="begin"/>
      </w:r>
      <w:r>
        <w:instrText xml:space="preserve"> REF _Ref164263232 \h </w:instrText>
      </w:r>
      <w:r>
        <w:fldChar w:fldCharType="separate"/>
      </w:r>
      <w:r w:rsidR="00F03729">
        <w:t xml:space="preserve">Table </w:t>
      </w:r>
      <w:r w:rsidR="00F03729">
        <w:rPr>
          <w:noProof/>
        </w:rPr>
        <w:t>3</w:t>
      </w:r>
      <w:r>
        <w:fldChar w:fldCharType="end"/>
      </w:r>
      <w:r>
        <w:t>.</w:t>
      </w:r>
    </w:p>
    <w:p w14:paraId="247D3255" w14:textId="1867E89F" w:rsidR="00891965" w:rsidRDefault="00891965" w:rsidP="00105320">
      <w:pPr>
        <w:pStyle w:val="Caption"/>
      </w:pPr>
      <w:bookmarkStart w:id="41" w:name="_Ref164263232"/>
      <w:r>
        <w:t xml:space="preserve">Table </w:t>
      </w:r>
      <w:r w:rsidR="00DD5C00">
        <w:fldChar w:fldCharType="begin"/>
      </w:r>
      <w:r w:rsidR="00DD5C00">
        <w:instrText xml:space="preserve"> SEQ Table \* ARABIC </w:instrText>
      </w:r>
      <w:r w:rsidR="00DD5C00">
        <w:fldChar w:fldCharType="separate"/>
      </w:r>
      <w:r w:rsidR="00F03729">
        <w:rPr>
          <w:noProof/>
        </w:rPr>
        <w:t>3</w:t>
      </w:r>
      <w:r w:rsidR="00DD5C00">
        <w:rPr>
          <w:noProof/>
        </w:rPr>
        <w:fldChar w:fldCharType="end"/>
      </w:r>
      <w:bookmarkEnd w:id="41"/>
      <w:r>
        <w:t>:</w:t>
      </w:r>
      <w:r w:rsidRPr="00673CEA">
        <w:rPr>
          <w:rStyle w:val="Heading2Char"/>
          <w:rFonts w:eastAsiaTheme="majorEastAsia" w:cstheme="majorBidi"/>
          <w:b/>
          <w:szCs w:val="24"/>
        </w:rPr>
        <w:t xml:space="preserve"> </w:t>
      </w:r>
      <w:r w:rsidRPr="00A74236">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125"/>
        <w:gridCol w:w="1030"/>
        <w:gridCol w:w="1668"/>
        <w:gridCol w:w="709"/>
        <w:gridCol w:w="3105"/>
        <w:gridCol w:w="1380"/>
      </w:tblGrid>
      <w:tr w:rsidR="00891965" w:rsidRPr="00B41614" w14:paraId="2CBDED27" w14:textId="77777777" w:rsidTr="004E70AA">
        <w:trPr>
          <w:cantSplit/>
          <w:tblHeader/>
        </w:trPr>
        <w:tc>
          <w:tcPr>
            <w:tcW w:w="624" w:type="pct"/>
            <w:shd w:val="clear" w:color="auto" w:fill="auto"/>
            <w:vAlign w:val="center"/>
          </w:tcPr>
          <w:p w14:paraId="7200B33A" w14:textId="77777777" w:rsidR="00891965" w:rsidRPr="00B41614" w:rsidRDefault="00891965" w:rsidP="00105320">
            <w:pPr>
              <w:pStyle w:val="In-tableHeading"/>
              <w:keepLines/>
            </w:pPr>
            <w:r w:rsidRPr="00B41614">
              <w:t>Trial</w:t>
            </w:r>
          </w:p>
        </w:tc>
        <w:tc>
          <w:tcPr>
            <w:tcW w:w="571" w:type="pct"/>
            <w:shd w:val="clear" w:color="auto" w:fill="auto"/>
            <w:vAlign w:val="center"/>
          </w:tcPr>
          <w:p w14:paraId="1FE8BBCC" w14:textId="77777777" w:rsidR="00891965" w:rsidRPr="00B41614" w:rsidRDefault="00891965" w:rsidP="00105320">
            <w:pPr>
              <w:pStyle w:val="In-tableHeading"/>
              <w:keepLines/>
              <w:jc w:val="center"/>
            </w:pPr>
            <w:r w:rsidRPr="00B41614">
              <w:t>N</w:t>
            </w:r>
          </w:p>
        </w:tc>
        <w:tc>
          <w:tcPr>
            <w:tcW w:w="925" w:type="pct"/>
            <w:shd w:val="clear" w:color="auto" w:fill="auto"/>
            <w:vAlign w:val="center"/>
          </w:tcPr>
          <w:p w14:paraId="3E79412C" w14:textId="35EBCE08" w:rsidR="00891965" w:rsidRPr="00B41614" w:rsidRDefault="00891965" w:rsidP="00105320">
            <w:pPr>
              <w:pStyle w:val="In-tableHeading"/>
              <w:keepLines/>
              <w:jc w:val="center"/>
            </w:pPr>
            <w:r w:rsidRPr="00B41614">
              <w:t xml:space="preserve">Design/ </w:t>
            </w:r>
            <w:r w:rsidR="004E70AA">
              <w:br/>
            </w:r>
            <w:r>
              <w:t>Median-duration of follow up</w:t>
            </w:r>
            <w:r w:rsidRPr="00F05429">
              <w:rPr>
                <w:vertAlign w:val="superscript"/>
              </w:rPr>
              <w:t>a</w:t>
            </w:r>
          </w:p>
        </w:tc>
        <w:tc>
          <w:tcPr>
            <w:tcW w:w="393" w:type="pct"/>
            <w:shd w:val="clear" w:color="auto" w:fill="auto"/>
            <w:vAlign w:val="center"/>
          </w:tcPr>
          <w:p w14:paraId="4CC61A70" w14:textId="77777777" w:rsidR="00891965" w:rsidRPr="00B41614" w:rsidRDefault="00891965" w:rsidP="00105320">
            <w:pPr>
              <w:pStyle w:val="In-tableHeading"/>
              <w:keepLines/>
              <w:jc w:val="center"/>
            </w:pPr>
            <w:r w:rsidRPr="00B41614">
              <w:t>Risk of bias</w:t>
            </w:r>
          </w:p>
        </w:tc>
        <w:tc>
          <w:tcPr>
            <w:tcW w:w="1722" w:type="pct"/>
            <w:shd w:val="clear" w:color="auto" w:fill="auto"/>
            <w:vAlign w:val="center"/>
          </w:tcPr>
          <w:p w14:paraId="66F11247" w14:textId="77777777" w:rsidR="00891965" w:rsidRPr="00B41614" w:rsidRDefault="00891965" w:rsidP="00105320">
            <w:pPr>
              <w:pStyle w:val="In-tableHeading"/>
              <w:keepLines/>
              <w:jc w:val="center"/>
            </w:pPr>
            <w:r w:rsidRPr="00B41614">
              <w:t>Patient population</w:t>
            </w:r>
          </w:p>
        </w:tc>
        <w:tc>
          <w:tcPr>
            <w:tcW w:w="765" w:type="pct"/>
            <w:shd w:val="clear" w:color="auto" w:fill="auto"/>
            <w:vAlign w:val="center"/>
          </w:tcPr>
          <w:p w14:paraId="49571498" w14:textId="77777777" w:rsidR="00891965" w:rsidRPr="00B41614" w:rsidRDefault="00891965" w:rsidP="00105320">
            <w:pPr>
              <w:pStyle w:val="In-tableHeading"/>
              <w:keepLines/>
              <w:jc w:val="center"/>
            </w:pPr>
            <w:r w:rsidRPr="00B41614">
              <w:t>Outcome(s)</w:t>
            </w:r>
          </w:p>
        </w:tc>
      </w:tr>
      <w:tr w:rsidR="00891965" w:rsidRPr="00E2771E" w14:paraId="5FEF24D7" w14:textId="77777777" w:rsidTr="00B17B1E">
        <w:trPr>
          <w:cantSplit/>
        </w:trPr>
        <w:tc>
          <w:tcPr>
            <w:tcW w:w="5000" w:type="pct"/>
            <w:gridSpan w:val="6"/>
            <w:shd w:val="clear" w:color="auto" w:fill="auto"/>
            <w:vAlign w:val="center"/>
          </w:tcPr>
          <w:p w14:paraId="0D3FB428" w14:textId="77777777" w:rsidR="00891965" w:rsidRPr="00EC5836" w:rsidRDefault="00891965" w:rsidP="00105320">
            <w:pPr>
              <w:pStyle w:val="In-tableHeading"/>
              <w:keepLines/>
            </w:pPr>
            <w:r>
              <w:t>Fruquintinib versus Placebo</w:t>
            </w:r>
          </w:p>
        </w:tc>
      </w:tr>
      <w:tr w:rsidR="00891965" w:rsidRPr="00E2771E" w14:paraId="5FFE6CEB" w14:textId="77777777" w:rsidTr="004E70AA">
        <w:trPr>
          <w:cantSplit/>
        </w:trPr>
        <w:tc>
          <w:tcPr>
            <w:tcW w:w="624" w:type="pct"/>
            <w:shd w:val="clear" w:color="auto" w:fill="auto"/>
            <w:vAlign w:val="center"/>
          </w:tcPr>
          <w:p w14:paraId="746542CA" w14:textId="77777777" w:rsidR="00891965" w:rsidRPr="00E2771E" w:rsidRDefault="00891965" w:rsidP="00105320">
            <w:pPr>
              <w:pStyle w:val="TableText0"/>
              <w:keepLines/>
              <w:rPr>
                <w:lang w:val="en-US"/>
              </w:rPr>
            </w:pPr>
            <w:r>
              <w:rPr>
                <w:lang w:val="en-US"/>
              </w:rPr>
              <w:t>FRESCO 2</w:t>
            </w:r>
          </w:p>
        </w:tc>
        <w:tc>
          <w:tcPr>
            <w:tcW w:w="571" w:type="pct"/>
            <w:shd w:val="clear" w:color="auto" w:fill="auto"/>
            <w:vAlign w:val="center"/>
          </w:tcPr>
          <w:p w14:paraId="6BC034CB" w14:textId="77777777" w:rsidR="00891965" w:rsidRPr="00DE1835" w:rsidRDefault="00891965" w:rsidP="00105320">
            <w:pPr>
              <w:pStyle w:val="TableText0"/>
              <w:keepLines/>
              <w:jc w:val="center"/>
              <w:rPr>
                <w:lang w:val="en-US"/>
              </w:rPr>
            </w:pPr>
            <w:r w:rsidRPr="00DE1835">
              <w:rPr>
                <w:lang w:val="en-US"/>
              </w:rPr>
              <w:t>691;</w:t>
            </w:r>
          </w:p>
          <w:p w14:paraId="47B641DD" w14:textId="77777777" w:rsidR="00891965" w:rsidRPr="00E2771E" w:rsidRDefault="00891965" w:rsidP="00105320">
            <w:pPr>
              <w:pStyle w:val="TableText0"/>
              <w:keepLines/>
              <w:jc w:val="center"/>
              <w:rPr>
                <w:lang w:val="en-US"/>
              </w:rPr>
            </w:pPr>
            <w:r w:rsidRPr="00DE1835">
              <w:rPr>
                <w:lang w:val="en-US"/>
              </w:rPr>
              <w:t>FRU=461 PBO=230</w:t>
            </w:r>
          </w:p>
        </w:tc>
        <w:tc>
          <w:tcPr>
            <w:tcW w:w="925" w:type="pct"/>
            <w:shd w:val="clear" w:color="auto" w:fill="auto"/>
            <w:vAlign w:val="center"/>
          </w:tcPr>
          <w:p w14:paraId="36098757" w14:textId="259DD7C4" w:rsidR="00891965" w:rsidRPr="00E2771E" w:rsidRDefault="00891965" w:rsidP="00105320">
            <w:pPr>
              <w:pStyle w:val="TableText0"/>
              <w:keepLines/>
              <w:jc w:val="center"/>
              <w:rPr>
                <w:lang w:val="en-US"/>
              </w:rPr>
            </w:pPr>
            <w:r w:rsidRPr="00F05429">
              <w:rPr>
                <w:lang w:val="en-US"/>
              </w:rPr>
              <w:t>R, DB, MN, MC, phase III</w:t>
            </w:r>
            <w:r>
              <w:rPr>
                <w:lang w:val="en-US"/>
              </w:rPr>
              <w:t xml:space="preserve">; </w:t>
            </w:r>
            <w:r w:rsidR="004E70AA">
              <w:rPr>
                <w:lang w:val="en-US"/>
              </w:rPr>
              <w:br/>
            </w:r>
            <w:r>
              <w:rPr>
                <w:lang w:val="en-US"/>
              </w:rPr>
              <w:t>11.3 months</w:t>
            </w:r>
          </w:p>
        </w:tc>
        <w:tc>
          <w:tcPr>
            <w:tcW w:w="393" w:type="pct"/>
            <w:shd w:val="clear" w:color="auto" w:fill="auto"/>
            <w:vAlign w:val="center"/>
          </w:tcPr>
          <w:p w14:paraId="2699D618" w14:textId="77777777" w:rsidR="00891965" w:rsidRPr="00F11539" w:rsidRDefault="00891965" w:rsidP="00105320">
            <w:pPr>
              <w:pStyle w:val="TableText0"/>
              <w:keepLines/>
              <w:jc w:val="center"/>
              <w:rPr>
                <w:iCs/>
                <w:lang w:val="en-US"/>
              </w:rPr>
            </w:pPr>
            <w:r w:rsidRPr="00F11539">
              <w:rPr>
                <w:iCs/>
                <w:lang w:val="en-US"/>
              </w:rPr>
              <w:t>Low</w:t>
            </w:r>
          </w:p>
        </w:tc>
        <w:tc>
          <w:tcPr>
            <w:tcW w:w="1722" w:type="pct"/>
            <w:shd w:val="clear" w:color="auto" w:fill="auto"/>
            <w:vAlign w:val="center"/>
          </w:tcPr>
          <w:p w14:paraId="76B7271D" w14:textId="7E762BA1" w:rsidR="00891965" w:rsidRPr="00E2771E" w:rsidRDefault="00891965" w:rsidP="00105320">
            <w:pPr>
              <w:pStyle w:val="TableText0"/>
              <w:keepLines/>
              <w:rPr>
                <w:lang w:val="en-US"/>
              </w:rPr>
            </w:pPr>
            <w:r w:rsidRPr="002C3088">
              <w:rPr>
                <w:lang w:val="en-US"/>
              </w:rPr>
              <w:t xml:space="preserve">Patients with refractory mCRC who had received all current standard approved cytotoxic and targeted therapies and progressed on or were intolerant to </w:t>
            </w:r>
            <w:r w:rsidR="000B4F3F">
              <w:t>TRI/TIP</w:t>
            </w:r>
            <w:r w:rsidRPr="002C3088">
              <w:rPr>
                <w:lang w:val="en-US"/>
              </w:rPr>
              <w:t xml:space="preserve"> or regorafenib, or both</w:t>
            </w:r>
            <w:r>
              <w:rPr>
                <w:lang w:val="en-US"/>
              </w:rPr>
              <w:t>.</w:t>
            </w:r>
          </w:p>
        </w:tc>
        <w:tc>
          <w:tcPr>
            <w:tcW w:w="765" w:type="pct"/>
            <w:shd w:val="clear" w:color="auto" w:fill="auto"/>
            <w:vAlign w:val="center"/>
          </w:tcPr>
          <w:p w14:paraId="6B647FEA" w14:textId="77777777" w:rsidR="00891965" w:rsidRPr="002C3088" w:rsidRDefault="00891965" w:rsidP="00105320">
            <w:pPr>
              <w:pStyle w:val="TableText0"/>
              <w:keepLines/>
              <w:rPr>
                <w:lang w:val="en-US"/>
              </w:rPr>
            </w:pPr>
            <w:r>
              <w:rPr>
                <w:lang w:val="en-US"/>
              </w:rPr>
              <w:t xml:space="preserve">OS, PFS, </w:t>
            </w:r>
            <w:r w:rsidRPr="002C3088">
              <w:rPr>
                <w:lang w:val="en-US"/>
              </w:rPr>
              <w:t>EORTC QLQ-C30</w:t>
            </w:r>
          </w:p>
          <w:p w14:paraId="098C21EE" w14:textId="77777777" w:rsidR="00891965" w:rsidRPr="00E2771E" w:rsidRDefault="00891965" w:rsidP="00105320">
            <w:pPr>
              <w:pStyle w:val="TableText0"/>
              <w:keepLines/>
              <w:rPr>
                <w:lang w:val="en-US"/>
              </w:rPr>
            </w:pPr>
            <w:r w:rsidRPr="002C3088">
              <w:rPr>
                <w:lang w:val="en-US"/>
              </w:rPr>
              <w:t>EQ-5D</w:t>
            </w:r>
            <w:r>
              <w:rPr>
                <w:lang w:val="en-US"/>
              </w:rPr>
              <w:t>, time to worsening of ECOG PS, and safety</w:t>
            </w:r>
          </w:p>
        </w:tc>
      </w:tr>
      <w:tr w:rsidR="00891965" w:rsidRPr="00E2771E" w14:paraId="3DAEEE0A" w14:textId="77777777" w:rsidTr="004E70AA">
        <w:trPr>
          <w:cantSplit/>
        </w:trPr>
        <w:tc>
          <w:tcPr>
            <w:tcW w:w="624" w:type="pct"/>
            <w:shd w:val="clear" w:color="auto" w:fill="auto"/>
            <w:vAlign w:val="center"/>
          </w:tcPr>
          <w:p w14:paraId="3EA55BD2" w14:textId="77777777" w:rsidR="00891965" w:rsidRPr="00E2771E" w:rsidRDefault="00891965" w:rsidP="00105320">
            <w:pPr>
              <w:pStyle w:val="TableText0"/>
              <w:keepLines/>
              <w:rPr>
                <w:lang w:val="en-US"/>
              </w:rPr>
            </w:pPr>
            <w:r>
              <w:rPr>
                <w:lang w:val="en-US"/>
              </w:rPr>
              <w:t>FRESCO 1</w:t>
            </w:r>
          </w:p>
        </w:tc>
        <w:tc>
          <w:tcPr>
            <w:tcW w:w="571" w:type="pct"/>
            <w:shd w:val="clear" w:color="auto" w:fill="auto"/>
            <w:vAlign w:val="center"/>
          </w:tcPr>
          <w:p w14:paraId="68C06911" w14:textId="77777777" w:rsidR="00891965" w:rsidRPr="00DE1835" w:rsidRDefault="00891965" w:rsidP="00105320">
            <w:pPr>
              <w:pStyle w:val="TableText0"/>
              <w:keepLines/>
              <w:jc w:val="center"/>
              <w:rPr>
                <w:lang w:val="en-US"/>
              </w:rPr>
            </w:pPr>
            <w:r w:rsidRPr="00DE1835">
              <w:rPr>
                <w:lang w:val="en-US"/>
              </w:rPr>
              <w:t>416;</w:t>
            </w:r>
          </w:p>
          <w:p w14:paraId="388BB2F4" w14:textId="77777777" w:rsidR="00891965" w:rsidRPr="00E2771E" w:rsidRDefault="00891965" w:rsidP="00105320">
            <w:pPr>
              <w:pStyle w:val="TableText0"/>
              <w:keepLines/>
              <w:jc w:val="center"/>
              <w:rPr>
                <w:lang w:val="en-US"/>
              </w:rPr>
            </w:pPr>
            <w:r w:rsidRPr="00DE1835">
              <w:rPr>
                <w:lang w:val="en-US"/>
              </w:rPr>
              <w:t>FRU=278 PBO=138</w:t>
            </w:r>
          </w:p>
        </w:tc>
        <w:tc>
          <w:tcPr>
            <w:tcW w:w="925" w:type="pct"/>
            <w:shd w:val="clear" w:color="auto" w:fill="auto"/>
            <w:vAlign w:val="center"/>
          </w:tcPr>
          <w:p w14:paraId="625D0531" w14:textId="77777777" w:rsidR="00891965" w:rsidRDefault="00891965" w:rsidP="00105320">
            <w:pPr>
              <w:pStyle w:val="TableText0"/>
              <w:keepLines/>
              <w:jc w:val="center"/>
              <w:rPr>
                <w:lang w:val="en-US"/>
              </w:rPr>
            </w:pPr>
            <w:r w:rsidRPr="00F05429">
              <w:rPr>
                <w:lang w:val="en-US"/>
              </w:rPr>
              <w:t>R, DB, MC, phase III</w:t>
            </w:r>
            <w:r>
              <w:rPr>
                <w:lang w:val="en-US"/>
              </w:rPr>
              <w:t>;</w:t>
            </w:r>
          </w:p>
          <w:p w14:paraId="259D1EBD" w14:textId="77777777" w:rsidR="00891965" w:rsidRPr="00E2771E" w:rsidRDefault="00891965" w:rsidP="00105320">
            <w:pPr>
              <w:pStyle w:val="TableText0"/>
              <w:keepLines/>
              <w:jc w:val="center"/>
              <w:rPr>
                <w:lang w:val="en-US"/>
              </w:rPr>
            </w:pPr>
            <w:r>
              <w:rPr>
                <w:lang w:val="en-US"/>
              </w:rPr>
              <w:t>13.31 months</w:t>
            </w:r>
          </w:p>
        </w:tc>
        <w:tc>
          <w:tcPr>
            <w:tcW w:w="393" w:type="pct"/>
            <w:shd w:val="clear" w:color="auto" w:fill="auto"/>
            <w:vAlign w:val="center"/>
          </w:tcPr>
          <w:p w14:paraId="17B10EC1" w14:textId="77777777" w:rsidR="00891965" w:rsidRPr="00F11539" w:rsidRDefault="00891965" w:rsidP="00105320">
            <w:pPr>
              <w:pStyle w:val="TableText0"/>
              <w:keepLines/>
              <w:jc w:val="center"/>
              <w:rPr>
                <w:iCs/>
                <w:lang w:val="en-US"/>
              </w:rPr>
            </w:pPr>
            <w:r w:rsidRPr="00F11539">
              <w:rPr>
                <w:iCs/>
                <w:lang w:val="en-US"/>
              </w:rPr>
              <w:t>Low</w:t>
            </w:r>
          </w:p>
        </w:tc>
        <w:tc>
          <w:tcPr>
            <w:tcW w:w="1722" w:type="pct"/>
            <w:shd w:val="clear" w:color="auto" w:fill="auto"/>
            <w:vAlign w:val="center"/>
          </w:tcPr>
          <w:p w14:paraId="7E8FD0A2" w14:textId="77777777" w:rsidR="00891965" w:rsidRPr="00E2771E" w:rsidRDefault="00891965" w:rsidP="00105320">
            <w:pPr>
              <w:pStyle w:val="TableText0"/>
              <w:keepLines/>
              <w:rPr>
                <w:lang w:val="en-US"/>
              </w:rPr>
            </w:pPr>
            <w:r w:rsidRPr="002C3088">
              <w:rPr>
                <w:lang w:val="en-US"/>
              </w:rPr>
              <w:t>Patients with mCRC who had previously received and failed at least two standard chemotherapy lines for mCRC</w:t>
            </w:r>
          </w:p>
        </w:tc>
        <w:tc>
          <w:tcPr>
            <w:tcW w:w="765" w:type="pct"/>
            <w:shd w:val="clear" w:color="auto" w:fill="auto"/>
            <w:vAlign w:val="center"/>
          </w:tcPr>
          <w:p w14:paraId="6E43E4D7" w14:textId="77777777" w:rsidR="00891965" w:rsidRPr="00E2771E" w:rsidRDefault="00891965" w:rsidP="00105320">
            <w:pPr>
              <w:pStyle w:val="TableText0"/>
              <w:keepLines/>
              <w:rPr>
                <w:lang w:val="en-US"/>
              </w:rPr>
            </w:pPr>
            <w:r>
              <w:rPr>
                <w:lang w:val="en-US"/>
              </w:rPr>
              <w:t>OS, PFS, and safety</w:t>
            </w:r>
          </w:p>
        </w:tc>
      </w:tr>
      <w:tr w:rsidR="00891965" w:rsidRPr="00E2771E" w14:paraId="0D32F54B" w14:textId="77777777" w:rsidTr="004E70AA">
        <w:trPr>
          <w:cantSplit/>
        </w:trPr>
        <w:tc>
          <w:tcPr>
            <w:tcW w:w="624" w:type="pct"/>
            <w:shd w:val="clear" w:color="auto" w:fill="auto"/>
            <w:vAlign w:val="center"/>
          </w:tcPr>
          <w:p w14:paraId="7AEEB8B1" w14:textId="77777777" w:rsidR="00891965" w:rsidRPr="00E2771E" w:rsidRDefault="00891965" w:rsidP="00105320">
            <w:pPr>
              <w:pStyle w:val="TableText0"/>
              <w:keepLines/>
              <w:rPr>
                <w:lang w:val="en-US"/>
              </w:rPr>
            </w:pPr>
            <w:r w:rsidRPr="00964B13">
              <w:t>2012-013-00CH1</w:t>
            </w:r>
          </w:p>
        </w:tc>
        <w:tc>
          <w:tcPr>
            <w:tcW w:w="571" w:type="pct"/>
            <w:shd w:val="clear" w:color="auto" w:fill="auto"/>
            <w:vAlign w:val="center"/>
          </w:tcPr>
          <w:p w14:paraId="33304DF2" w14:textId="77777777" w:rsidR="00891965" w:rsidRPr="00DE1835" w:rsidRDefault="00891965" w:rsidP="00105320">
            <w:pPr>
              <w:pStyle w:val="TableText0"/>
              <w:keepLines/>
              <w:jc w:val="center"/>
              <w:rPr>
                <w:lang w:val="en-US"/>
              </w:rPr>
            </w:pPr>
            <w:r w:rsidRPr="00DE1835">
              <w:rPr>
                <w:lang w:val="en-US"/>
              </w:rPr>
              <w:t>71;</w:t>
            </w:r>
          </w:p>
          <w:p w14:paraId="5F2B0944" w14:textId="77777777" w:rsidR="00891965" w:rsidRPr="00E2771E" w:rsidRDefault="00891965" w:rsidP="00105320">
            <w:pPr>
              <w:pStyle w:val="TableText0"/>
              <w:keepLines/>
              <w:jc w:val="center"/>
              <w:rPr>
                <w:lang w:val="en-US"/>
              </w:rPr>
            </w:pPr>
            <w:r w:rsidRPr="00DE1835">
              <w:rPr>
                <w:lang w:val="en-US"/>
              </w:rPr>
              <w:t>FRU=47 PBO=24</w:t>
            </w:r>
          </w:p>
        </w:tc>
        <w:tc>
          <w:tcPr>
            <w:tcW w:w="925" w:type="pct"/>
            <w:shd w:val="clear" w:color="auto" w:fill="auto"/>
            <w:vAlign w:val="center"/>
          </w:tcPr>
          <w:p w14:paraId="110F5311" w14:textId="77777777" w:rsidR="00891965" w:rsidRDefault="00891965" w:rsidP="00105320">
            <w:pPr>
              <w:pStyle w:val="TableText0"/>
              <w:keepLines/>
              <w:jc w:val="center"/>
              <w:rPr>
                <w:lang w:val="en-US"/>
              </w:rPr>
            </w:pPr>
            <w:r w:rsidRPr="00F05429">
              <w:rPr>
                <w:lang w:val="en-US"/>
              </w:rPr>
              <w:t>R, DB, MC, phase II</w:t>
            </w:r>
            <w:r>
              <w:rPr>
                <w:lang w:val="en-US"/>
              </w:rPr>
              <w:t>;</w:t>
            </w:r>
          </w:p>
          <w:p w14:paraId="13F27318" w14:textId="77777777" w:rsidR="00891965" w:rsidRPr="00E2771E" w:rsidRDefault="00891965" w:rsidP="00105320">
            <w:pPr>
              <w:pStyle w:val="TableText0"/>
              <w:keepLines/>
              <w:jc w:val="center"/>
              <w:rPr>
                <w:lang w:val="en-US"/>
              </w:rPr>
            </w:pPr>
            <w:r>
              <w:rPr>
                <w:lang w:val="en-US"/>
              </w:rPr>
              <w:t>NR</w:t>
            </w:r>
          </w:p>
        </w:tc>
        <w:tc>
          <w:tcPr>
            <w:tcW w:w="393" w:type="pct"/>
            <w:shd w:val="clear" w:color="auto" w:fill="auto"/>
            <w:vAlign w:val="center"/>
          </w:tcPr>
          <w:p w14:paraId="573610DF" w14:textId="77777777" w:rsidR="00891965" w:rsidRPr="00F11539" w:rsidRDefault="00891965" w:rsidP="00105320">
            <w:pPr>
              <w:pStyle w:val="TableText0"/>
              <w:keepLines/>
              <w:jc w:val="center"/>
              <w:rPr>
                <w:iCs/>
                <w:lang w:val="en-US"/>
              </w:rPr>
            </w:pPr>
            <w:r w:rsidRPr="00F11539">
              <w:rPr>
                <w:iCs/>
                <w:lang w:val="en-US"/>
              </w:rPr>
              <w:t>Low</w:t>
            </w:r>
          </w:p>
        </w:tc>
        <w:tc>
          <w:tcPr>
            <w:tcW w:w="1722" w:type="pct"/>
            <w:shd w:val="clear" w:color="auto" w:fill="auto"/>
            <w:vAlign w:val="center"/>
          </w:tcPr>
          <w:p w14:paraId="50321AD8" w14:textId="77777777" w:rsidR="00891965" w:rsidRPr="00E2771E" w:rsidRDefault="00891965" w:rsidP="00105320">
            <w:pPr>
              <w:pStyle w:val="TableText0"/>
              <w:keepLines/>
              <w:rPr>
                <w:lang w:val="en-US"/>
              </w:rPr>
            </w:pPr>
            <w:r w:rsidRPr="002C3088">
              <w:rPr>
                <w:lang w:val="en-US"/>
              </w:rPr>
              <w:t>Patients with mCRC who had failed at least two standard chemotherapy lines</w:t>
            </w:r>
            <w:r>
              <w:rPr>
                <w:lang w:val="en-US"/>
              </w:rPr>
              <w:t>.</w:t>
            </w:r>
          </w:p>
        </w:tc>
        <w:tc>
          <w:tcPr>
            <w:tcW w:w="765" w:type="pct"/>
            <w:shd w:val="clear" w:color="auto" w:fill="auto"/>
            <w:vAlign w:val="center"/>
          </w:tcPr>
          <w:p w14:paraId="2D3CB686" w14:textId="77777777" w:rsidR="00891965" w:rsidRPr="00E2771E" w:rsidRDefault="00891965" w:rsidP="00105320">
            <w:pPr>
              <w:pStyle w:val="TableText0"/>
              <w:keepLines/>
              <w:rPr>
                <w:lang w:val="en-US"/>
              </w:rPr>
            </w:pPr>
            <w:r>
              <w:rPr>
                <w:lang w:val="en-US"/>
              </w:rPr>
              <w:t>OS, PFS, and safety</w:t>
            </w:r>
          </w:p>
        </w:tc>
      </w:tr>
      <w:tr w:rsidR="00891965" w:rsidRPr="00E2771E" w14:paraId="092A436B" w14:textId="77777777" w:rsidTr="004E70AA">
        <w:trPr>
          <w:cantSplit/>
        </w:trPr>
        <w:tc>
          <w:tcPr>
            <w:tcW w:w="1195" w:type="pct"/>
            <w:gridSpan w:val="2"/>
            <w:shd w:val="clear" w:color="auto" w:fill="auto"/>
          </w:tcPr>
          <w:p w14:paraId="76F90414" w14:textId="77777777" w:rsidR="00891965" w:rsidRPr="00E2771E" w:rsidRDefault="00891965" w:rsidP="00105320">
            <w:pPr>
              <w:pStyle w:val="TableText0"/>
              <w:keepLines/>
              <w:rPr>
                <w:lang w:val="en-US"/>
              </w:rPr>
            </w:pPr>
            <w:r w:rsidRPr="00964B13">
              <w:t>Meta-analysis</w:t>
            </w:r>
          </w:p>
        </w:tc>
        <w:tc>
          <w:tcPr>
            <w:tcW w:w="3805" w:type="pct"/>
            <w:gridSpan w:val="4"/>
            <w:shd w:val="clear" w:color="auto" w:fill="auto"/>
            <w:vAlign w:val="center"/>
          </w:tcPr>
          <w:p w14:paraId="4A1E5832" w14:textId="77777777" w:rsidR="00891965" w:rsidRPr="00E2771E" w:rsidRDefault="00891965" w:rsidP="00105320">
            <w:pPr>
              <w:pStyle w:val="TableText0"/>
              <w:keepLines/>
              <w:rPr>
                <w:lang w:val="en-US"/>
              </w:rPr>
            </w:pPr>
            <w:r w:rsidRPr="00F05429">
              <w:rPr>
                <w:lang w:val="en-US"/>
              </w:rPr>
              <w:t xml:space="preserve">Included </w:t>
            </w:r>
            <w:r>
              <w:rPr>
                <w:lang w:val="en-US"/>
              </w:rPr>
              <w:t>all three trials</w:t>
            </w:r>
            <w:r w:rsidRPr="00F05429">
              <w:rPr>
                <w:lang w:val="en-US"/>
              </w:rPr>
              <w:t>; assessed OS, PFS, and time to worsening of ECOG PS</w:t>
            </w:r>
            <w:r>
              <w:rPr>
                <w:lang w:val="en-US"/>
              </w:rPr>
              <w:t xml:space="preserve"> </w:t>
            </w:r>
          </w:p>
        </w:tc>
      </w:tr>
      <w:tr w:rsidR="00891965" w:rsidRPr="00E2771E" w14:paraId="1CA79D08" w14:textId="77777777" w:rsidTr="00B17B1E">
        <w:trPr>
          <w:cantSplit/>
        </w:trPr>
        <w:tc>
          <w:tcPr>
            <w:tcW w:w="5000" w:type="pct"/>
            <w:gridSpan w:val="6"/>
            <w:shd w:val="clear" w:color="auto" w:fill="auto"/>
            <w:vAlign w:val="center"/>
          </w:tcPr>
          <w:p w14:paraId="35691DC3" w14:textId="77777777" w:rsidR="00891965" w:rsidRPr="00DE1835" w:rsidRDefault="00891965" w:rsidP="00105320">
            <w:pPr>
              <w:pStyle w:val="TableText0"/>
              <w:keepLines/>
              <w:rPr>
                <w:b/>
                <w:bCs w:val="0"/>
                <w:lang w:val="en-US"/>
              </w:rPr>
            </w:pPr>
            <w:r w:rsidRPr="00DE1835">
              <w:rPr>
                <w:b/>
                <w:bCs w:val="0"/>
                <w:lang w:val="en-US"/>
              </w:rPr>
              <w:t>Trifluridine/tipiracil versus Placebo</w:t>
            </w:r>
          </w:p>
        </w:tc>
      </w:tr>
      <w:tr w:rsidR="00891965" w:rsidRPr="00E2771E" w14:paraId="46D4A537" w14:textId="77777777" w:rsidTr="004E70AA">
        <w:trPr>
          <w:cantSplit/>
        </w:trPr>
        <w:tc>
          <w:tcPr>
            <w:tcW w:w="624" w:type="pct"/>
            <w:shd w:val="clear" w:color="auto" w:fill="auto"/>
            <w:vAlign w:val="center"/>
          </w:tcPr>
          <w:p w14:paraId="653FF18E" w14:textId="77777777" w:rsidR="00891965" w:rsidRPr="00E2771E" w:rsidRDefault="00891965" w:rsidP="00105320">
            <w:pPr>
              <w:pStyle w:val="TableText0"/>
              <w:keepLines/>
              <w:rPr>
                <w:lang w:val="en-US"/>
              </w:rPr>
            </w:pPr>
            <w:r w:rsidRPr="009F02CC">
              <w:t>RECOURSE</w:t>
            </w:r>
          </w:p>
        </w:tc>
        <w:tc>
          <w:tcPr>
            <w:tcW w:w="571" w:type="pct"/>
            <w:shd w:val="clear" w:color="auto" w:fill="auto"/>
            <w:vAlign w:val="center"/>
          </w:tcPr>
          <w:p w14:paraId="6122B085" w14:textId="77777777" w:rsidR="00891965" w:rsidRPr="00DE1835" w:rsidRDefault="00891965" w:rsidP="00105320">
            <w:pPr>
              <w:pStyle w:val="TableText0"/>
              <w:keepLines/>
              <w:jc w:val="center"/>
              <w:rPr>
                <w:lang w:val="en-US"/>
              </w:rPr>
            </w:pPr>
            <w:r w:rsidRPr="00DE1835">
              <w:rPr>
                <w:lang w:val="en-US"/>
              </w:rPr>
              <w:t>800;</w:t>
            </w:r>
          </w:p>
          <w:p w14:paraId="0ADAD9A7" w14:textId="1E487148" w:rsidR="00891965" w:rsidRPr="00E2771E" w:rsidRDefault="000B4F3F" w:rsidP="00105320">
            <w:pPr>
              <w:pStyle w:val="TableText0"/>
              <w:keepLines/>
              <w:jc w:val="center"/>
              <w:rPr>
                <w:lang w:val="en-US"/>
              </w:rPr>
            </w:pPr>
            <w:r>
              <w:t>TRI/TIP</w:t>
            </w:r>
            <w:r w:rsidR="00891965" w:rsidRPr="00DE1835">
              <w:rPr>
                <w:lang w:val="en-US"/>
              </w:rPr>
              <w:t>=534 PBO=266</w:t>
            </w:r>
          </w:p>
        </w:tc>
        <w:tc>
          <w:tcPr>
            <w:tcW w:w="925" w:type="pct"/>
            <w:shd w:val="clear" w:color="auto" w:fill="auto"/>
            <w:vAlign w:val="center"/>
          </w:tcPr>
          <w:p w14:paraId="08DC8E66" w14:textId="336B4967" w:rsidR="00891965" w:rsidRPr="00E2771E" w:rsidRDefault="00891965" w:rsidP="00105320">
            <w:pPr>
              <w:pStyle w:val="TableText0"/>
              <w:keepLines/>
              <w:jc w:val="center"/>
              <w:rPr>
                <w:lang w:val="en-US"/>
              </w:rPr>
            </w:pPr>
            <w:r w:rsidRPr="00F05429">
              <w:rPr>
                <w:lang w:val="en-US"/>
              </w:rPr>
              <w:t>R, DB, MN, MC, phase III</w:t>
            </w:r>
            <w:r>
              <w:rPr>
                <w:lang w:val="en-US"/>
              </w:rPr>
              <w:t xml:space="preserve">; </w:t>
            </w:r>
            <w:r w:rsidR="004E70AA">
              <w:rPr>
                <w:lang w:val="en-US"/>
              </w:rPr>
              <w:br/>
            </w:r>
            <w:r>
              <w:rPr>
                <w:lang w:val="en-US"/>
              </w:rPr>
              <w:t>11.8 months</w:t>
            </w:r>
          </w:p>
        </w:tc>
        <w:tc>
          <w:tcPr>
            <w:tcW w:w="393" w:type="pct"/>
            <w:shd w:val="clear" w:color="auto" w:fill="auto"/>
            <w:vAlign w:val="center"/>
          </w:tcPr>
          <w:p w14:paraId="104F9169" w14:textId="77777777" w:rsidR="00891965" w:rsidRPr="00F11539" w:rsidRDefault="00891965" w:rsidP="00105320">
            <w:pPr>
              <w:pStyle w:val="TableText0"/>
              <w:keepLines/>
              <w:jc w:val="center"/>
              <w:rPr>
                <w:iCs/>
                <w:lang w:val="en-US"/>
              </w:rPr>
            </w:pPr>
            <w:r w:rsidRPr="00F11539">
              <w:rPr>
                <w:iCs/>
                <w:lang w:val="en-US"/>
              </w:rPr>
              <w:t>Low</w:t>
            </w:r>
          </w:p>
        </w:tc>
        <w:tc>
          <w:tcPr>
            <w:tcW w:w="1722" w:type="pct"/>
            <w:shd w:val="clear" w:color="auto" w:fill="auto"/>
            <w:vAlign w:val="center"/>
          </w:tcPr>
          <w:p w14:paraId="578A1F04" w14:textId="77777777" w:rsidR="00891965" w:rsidRPr="00E2771E" w:rsidRDefault="00891965" w:rsidP="00105320">
            <w:pPr>
              <w:pStyle w:val="TableText0"/>
              <w:keepLines/>
              <w:rPr>
                <w:lang w:val="en-US"/>
              </w:rPr>
            </w:pPr>
            <w:r w:rsidRPr="002C3088">
              <w:rPr>
                <w:lang w:val="en-US"/>
              </w:rPr>
              <w:t>Patients with refractory mCRC who had received and failed at least two prior regimens of standard chemotherapies for mCRC, and for patients with KRAS wild-type tumours cetuximab or panitumumab</w:t>
            </w:r>
            <w:r>
              <w:rPr>
                <w:lang w:val="en-US"/>
              </w:rPr>
              <w:t>.</w:t>
            </w:r>
          </w:p>
        </w:tc>
        <w:tc>
          <w:tcPr>
            <w:tcW w:w="765" w:type="pct"/>
            <w:shd w:val="clear" w:color="auto" w:fill="auto"/>
            <w:vAlign w:val="center"/>
          </w:tcPr>
          <w:p w14:paraId="68D4CD4B" w14:textId="77777777" w:rsidR="00891965" w:rsidRPr="00E2771E" w:rsidRDefault="00891965" w:rsidP="00105320">
            <w:pPr>
              <w:pStyle w:val="TableText0"/>
              <w:keepLines/>
              <w:rPr>
                <w:lang w:val="en-US"/>
              </w:rPr>
            </w:pPr>
            <w:r>
              <w:rPr>
                <w:lang w:val="en-US"/>
              </w:rPr>
              <w:t>OS, PFS, time to worsening of ECOG PS, and safety</w:t>
            </w:r>
          </w:p>
        </w:tc>
      </w:tr>
      <w:tr w:rsidR="00891965" w:rsidRPr="00E2771E" w14:paraId="2106FD7D" w14:textId="77777777" w:rsidTr="004E70AA">
        <w:trPr>
          <w:cantSplit/>
        </w:trPr>
        <w:tc>
          <w:tcPr>
            <w:tcW w:w="624" w:type="pct"/>
            <w:shd w:val="clear" w:color="auto" w:fill="auto"/>
            <w:vAlign w:val="center"/>
          </w:tcPr>
          <w:p w14:paraId="66D30931" w14:textId="77777777" w:rsidR="00891965" w:rsidRPr="00E2771E" w:rsidRDefault="00891965" w:rsidP="00105320">
            <w:pPr>
              <w:pStyle w:val="TableText0"/>
              <w:keepLines/>
              <w:rPr>
                <w:lang w:val="en-US"/>
              </w:rPr>
            </w:pPr>
            <w:r w:rsidRPr="009F02CC">
              <w:t>TERRA</w:t>
            </w:r>
          </w:p>
        </w:tc>
        <w:tc>
          <w:tcPr>
            <w:tcW w:w="571" w:type="pct"/>
            <w:shd w:val="clear" w:color="auto" w:fill="auto"/>
            <w:vAlign w:val="center"/>
          </w:tcPr>
          <w:p w14:paraId="49149150" w14:textId="77777777" w:rsidR="00891965" w:rsidRPr="00DE1835" w:rsidRDefault="00891965" w:rsidP="00105320">
            <w:pPr>
              <w:pStyle w:val="TableText0"/>
              <w:keepLines/>
              <w:jc w:val="center"/>
              <w:rPr>
                <w:lang w:val="en-US"/>
              </w:rPr>
            </w:pPr>
            <w:r w:rsidRPr="00DE1835">
              <w:rPr>
                <w:lang w:val="en-US"/>
              </w:rPr>
              <w:t>406;</w:t>
            </w:r>
          </w:p>
          <w:p w14:paraId="35179536" w14:textId="2DD35514" w:rsidR="00891965" w:rsidRPr="00E2771E" w:rsidRDefault="000B4F3F" w:rsidP="00105320">
            <w:pPr>
              <w:pStyle w:val="TableText0"/>
              <w:keepLines/>
              <w:jc w:val="center"/>
              <w:rPr>
                <w:lang w:val="en-US"/>
              </w:rPr>
            </w:pPr>
            <w:r>
              <w:t>TRI/TIP</w:t>
            </w:r>
            <w:r w:rsidR="00891965" w:rsidRPr="00DE1835">
              <w:rPr>
                <w:lang w:val="en-US"/>
              </w:rPr>
              <w:t>=271 PBO=135</w:t>
            </w:r>
          </w:p>
        </w:tc>
        <w:tc>
          <w:tcPr>
            <w:tcW w:w="925" w:type="pct"/>
            <w:shd w:val="clear" w:color="auto" w:fill="auto"/>
            <w:vAlign w:val="center"/>
          </w:tcPr>
          <w:p w14:paraId="64C408B7" w14:textId="77777777" w:rsidR="00891965" w:rsidRDefault="00891965" w:rsidP="00105320">
            <w:pPr>
              <w:pStyle w:val="TableText0"/>
              <w:keepLines/>
              <w:jc w:val="center"/>
              <w:rPr>
                <w:lang w:val="en-US"/>
              </w:rPr>
            </w:pPr>
            <w:r w:rsidRPr="00F05429">
              <w:rPr>
                <w:lang w:val="en-US"/>
              </w:rPr>
              <w:t>R, DB, MN (Asia only) MC, phase III</w:t>
            </w:r>
            <w:r>
              <w:rPr>
                <w:lang w:val="en-US"/>
              </w:rPr>
              <w:t>;</w:t>
            </w:r>
          </w:p>
          <w:p w14:paraId="4F8F34FD" w14:textId="77777777" w:rsidR="00891965" w:rsidRPr="00E2771E" w:rsidRDefault="00891965" w:rsidP="00105320">
            <w:pPr>
              <w:pStyle w:val="TableText0"/>
              <w:keepLines/>
              <w:jc w:val="center"/>
              <w:rPr>
                <w:lang w:val="en-US"/>
              </w:rPr>
            </w:pPr>
            <w:r>
              <w:rPr>
                <w:lang w:val="en-US"/>
              </w:rPr>
              <w:t>13.8 months</w:t>
            </w:r>
          </w:p>
        </w:tc>
        <w:tc>
          <w:tcPr>
            <w:tcW w:w="393" w:type="pct"/>
            <w:shd w:val="clear" w:color="auto" w:fill="auto"/>
            <w:vAlign w:val="center"/>
          </w:tcPr>
          <w:p w14:paraId="43F0A5F3" w14:textId="77777777" w:rsidR="00891965" w:rsidRPr="00F11539" w:rsidRDefault="00891965" w:rsidP="00105320">
            <w:pPr>
              <w:pStyle w:val="TableText0"/>
              <w:keepLines/>
              <w:jc w:val="center"/>
              <w:rPr>
                <w:iCs/>
                <w:lang w:val="en-US"/>
              </w:rPr>
            </w:pPr>
            <w:r w:rsidRPr="00F11539">
              <w:rPr>
                <w:iCs/>
                <w:lang w:val="en-US"/>
              </w:rPr>
              <w:t>Low</w:t>
            </w:r>
          </w:p>
        </w:tc>
        <w:tc>
          <w:tcPr>
            <w:tcW w:w="1722" w:type="pct"/>
            <w:shd w:val="clear" w:color="auto" w:fill="auto"/>
            <w:vAlign w:val="center"/>
          </w:tcPr>
          <w:p w14:paraId="021B4588" w14:textId="3C8283DE" w:rsidR="00891965" w:rsidRPr="00E2771E" w:rsidRDefault="00891965" w:rsidP="00105320">
            <w:pPr>
              <w:pStyle w:val="TableText0"/>
              <w:keepLines/>
              <w:rPr>
                <w:lang w:val="en-US"/>
              </w:rPr>
            </w:pPr>
            <w:r w:rsidRPr="002C3088">
              <w:rPr>
                <w:lang w:val="en-US"/>
              </w:rPr>
              <w:t>Patients who were refractory or intolerant to</w:t>
            </w:r>
            <w:r w:rsidR="00A16484">
              <w:rPr>
                <w:lang w:val="en-US"/>
              </w:rPr>
              <w:t xml:space="preserve"> at</w:t>
            </w:r>
            <w:r w:rsidRPr="002C3088">
              <w:rPr>
                <w:lang w:val="en-US"/>
              </w:rPr>
              <w:t xml:space="preserve"> least two prior regimens of standard chemotherapies for mCRC</w:t>
            </w:r>
            <w:r>
              <w:rPr>
                <w:lang w:val="en-US"/>
              </w:rPr>
              <w:t>.</w:t>
            </w:r>
          </w:p>
        </w:tc>
        <w:tc>
          <w:tcPr>
            <w:tcW w:w="765" w:type="pct"/>
            <w:shd w:val="clear" w:color="auto" w:fill="auto"/>
            <w:vAlign w:val="center"/>
          </w:tcPr>
          <w:p w14:paraId="6B47153F" w14:textId="77777777" w:rsidR="00891965" w:rsidRPr="00E2771E" w:rsidRDefault="00891965" w:rsidP="00105320">
            <w:pPr>
              <w:pStyle w:val="TableText0"/>
              <w:keepLines/>
              <w:rPr>
                <w:lang w:val="en-US"/>
              </w:rPr>
            </w:pPr>
            <w:r>
              <w:rPr>
                <w:lang w:val="en-US"/>
              </w:rPr>
              <w:t>OS, PFS, and safety</w:t>
            </w:r>
          </w:p>
        </w:tc>
      </w:tr>
      <w:tr w:rsidR="00891965" w:rsidRPr="00E2771E" w14:paraId="79E151D8" w14:textId="77777777" w:rsidTr="004E70AA">
        <w:trPr>
          <w:cantSplit/>
        </w:trPr>
        <w:tc>
          <w:tcPr>
            <w:tcW w:w="624" w:type="pct"/>
            <w:shd w:val="clear" w:color="auto" w:fill="auto"/>
            <w:vAlign w:val="center"/>
          </w:tcPr>
          <w:p w14:paraId="243768AC" w14:textId="77777777" w:rsidR="00891965" w:rsidRPr="00E2771E" w:rsidRDefault="00891965" w:rsidP="00105320">
            <w:pPr>
              <w:pStyle w:val="TableText0"/>
              <w:keepLines/>
              <w:rPr>
                <w:lang w:val="en-US"/>
              </w:rPr>
            </w:pPr>
            <w:r w:rsidRPr="009F02CC">
              <w:t>J003</w:t>
            </w:r>
          </w:p>
        </w:tc>
        <w:tc>
          <w:tcPr>
            <w:tcW w:w="571" w:type="pct"/>
            <w:shd w:val="clear" w:color="auto" w:fill="auto"/>
            <w:vAlign w:val="center"/>
          </w:tcPr>
          <w:p w14:paraId="7CB7542A" w14:textId="77777777" w:rsidR="00891965" w:rsidRPr="00DE1835" w:rsidRDefault="00891965" w:rsidP="00105320">
            <w:pPr>
              <w:pStyle w:val="TableText0"/>
              <w:keepLines/>
              <w:jc w:val="center"/>
              <w:rPr>
                <w:lang w:val="en-US"/>
              </w:rPr>
            </w:pPr>
            <w:r w:rsidRPr="00DE1835">
              <w:rPr>
                <w:lang w:val="en-US"/>
              </w:rPr>
              <w:t>169;</w:t>
            </w:r>
          </w:p>
          <w:p w14:paraId="2024CC9D" w14:textId="2F55D0DB" w:rsidR="00891965" w:rsidRPr="00E2771E" w:rsidRDefault="000B4F3F" w:rsidP="00105320">
            <w:pPr>
              <w:pStyle w:val="TableText0"/>
              <w:keepLines/>
              <w:jc w:val="center"/>
              <w:rPr>
                <w:lang w:val="en-US"/>
              </w:rPr>
            </w:pPr>
            <w:r>
              <w:t>TRI/TIP</w:t>
            </w:r>
            <w:r w:rsidR="00891965" w:rsidRPr="00DE1835">
              <w:rPr>
                <w:lang w:val="en-US"/>
              </w:rPr>
              <w:t>=112 PBO=57</w:t>
            </w:r>
          </w:p>
        </w:tc>
        <w:tc>
          <w:tcPr>
            <w:tcW w:w="925" w:type="pct"/>
            <w:shd w:val="clear" w:color="auto" w:fill="auto"/>
            <w:vAlign w:val="center"/>
          </w:tcPr>
          <w:p w14:paraId="3ECA7887" w14:textId="77777777" w:rsidR="00891965" w:rsidRDefault="00891965" w:rsidP="00105320">
            <w:pPr>
              <w:pStyle w:val="TableText0"/>
              <w:keepLines/>
              <w:jc w:val="center"/>
              <w:rPr>
                <w:lang w:val="en-US"/>
              </w:rPr>
            </w:pPr>
            <w:r w:rsidRPr="00F05429">
              <w:rPr>
                <w:lang w:val="en-US"/>
              </w:rPr>
              <w:t>R, DB, MC, phase II</w:t>
            </w:r>
            <w:r>
              <w:rPr>
                <w:lang w:val="en-US"/>
              </w:rPr>
              <w:t>;</w:t>
            </w:r>
          </w:p>
          <w:p w14:paraId="787EB68B" w14:textId="77777777" w:rsidR="00891965" w:rsidRPr="00E2771E" w:rsidRDefault="00891965" w:rsidP="00105320">
            <w:pPr>
              <w:pStyle w:val="TableText0"/>
              <w:keepLines/>
              <w:jc w:val="center"/>
              <w:rPr>
                <w:lang w:val="en-US"/>
              </w:rPr>
            </w:pPr>
            <w:r>
              <w:rPr>
                <w:lang w:val="en-US"/>
              </w:rPr>
              <w:t>11.3 months</w:t>
            </w:r>
          </w:p>
        </w:tc>
        <w:tc>
          <w:tcPr>
            <w:tcW w:w="393" w:type="pct"/>
            <w:shd w:val="clear" w:color="auto" w:fill="auto"/>
            <w:vAlign w:val="center"/>
          </w:tcPr>
          <w:p w14:paraId="302DFB17" w14:textId="77777777" w:rsidR="00891965" w:rsidRPr="00F11539" w:rsidRDefault="00891965" w:rsidP="00105320">
            <w:pPr>
              <w:pStyle w:val="TableText0"/>
              <w:keepLines/>
              <w:jc w:val="center"/>
              <w:rPr>
                <w:iCs/>
                <w:lang w:val="en-US"/>
              </w:rPr>
            </w:pPr>
            <w:r w:rsidRPr="00F11539">
              <w:rPr>
                <w:iCs/>
                <w:lang w:val="en-US"/>
              </w:rPr>
              <w:t>Low</w:t>
            </w:r>
          </w:p>
        </w:tc>
        <w:tc>
          <w:tcPr>
            <w:tcW w:w="1722" w:type="pct"/>
            <w:shd w:val="clear" w:color="auto" w:fill="auto"/>
            <w:vAlign w:val="center"/>
          </w:tcPr>
          <w:p w14:paraId="6F068049" w14:textId="77777777" w:rsidR="00891965" w:rsidRPr="00E2771E" w:rsidRDefault="00891965" w:rsidP="00105320">
            <w:pPr>
              <w:pStyle w:val="TableText0"/>
              <w:keepLines/>
              <w:rPr>
                <w:lang w:val="en-US"/>
              </w:rPr>
            </w:pPr>
            <w:r w:rsidRPr="002C3088">
              <w:rPr>
                <w:lang w:val="en-US"/>
              </w:rPr>
              <w:t>Patient with mCRC who had failed two or more standard chemotherapeutic regimens</w:t>
            </w:r>
            <w:r>
              <w:rPr>
                <w:lang w:val="en-US"/>
              </w:rPr>
              <w:t>.</w:t>
            </w:r>
          </w:p>
        </w:tc>
        <w:tc>
          <w:tcPr>
            <w:tcW w:w="765" w:type="pct"/>
            <w:shd w:val="clear" w:color="auto" w:fill="auto"/>
            <w:vAlign w:val="center"/>
          </w:tcPr>
          <w:p w14:paraId="6774760A" w14:textId="77777777" w:rsidR="00891965" w:rsidRPr="00E2771E" w:rsidRDefault="00891965" w:rsidP="00105320">
            <w:pPr>
              <w:pStyle w:val="TableText0"/>
              <w:keepLines/>
              <w:rPr>
                <w:lang w:val="en-US"/>
              </w:rPr>
            </w:pPr>
            <w:r>
              <w:rPr>
                <w:lang w:val="en-US"/>
              </w:rPr>
              <w:t>OS, PFS, and safety</w:t>
            </w:r>
          </w:p>
        </w:tc>
      </w:tr>
      <w:tr w:rsidR="00891965" w:rsidRPr="00E2771E" w14:paraId="1898E015" w14:textId="77777777" w:rsidTr="004E70AA">
        <w:trPr>
          <w:cantSplit/>
        </w:trPr>
        <w:tc>
          <w:tcPr>
            <w:tcW w:w="1195" w:type="pct"/>
            <w:gridSpan w:val="2"/>
            <w:shd w:val="clear" w:color="auto" w:fill="auto"/>
          </w:tcPr>
          <w:p w14:paraId="540DC11B" w14:textId="77777777" w:rsidR="00891965" w:rsidRPr="00E2771E" w:rsidRDefault="00891965" w:rsidP="00105320">
            <w:pPr>
              <w:pStyle w:val="TableText0"/>
              <w:keepLines/>
              <w:rPr>
                <w:lang w:val="en-US"/>
              </w:rPr>
            </w:pPr>
            <w:r w:rsidRPr="009F02CC">
              <w:t>Meta-analysis</w:t>
            </w:r>
          </w:p>
        </w:tc>
        <w:tc>
          <w:tcPr>
            <w:tcW w:w="3805" w:type="pct"/>
            <w:gridSpan w:val="4"/>
            <w:shd w:val="clear" w:color="auto" w:fill="auto"/>
            <w:vAlign w:val="center"/>
          </w:tcPr>
          <w:p w14:paraId="2EB6098B" w14:textId="77777777" w:rsidR="00891965" w:rsidRPr="00E2771E" w:rsidRDefault="00891965" w:rsidP="00105320">
            <w:pPr>
              <w:pStyle w:val="TableText0"/>
              <w:keepLines/>
              <w:rPr>
                <w:lang w:val="en-US"/>
              </w:rPr>
            </w:pPr>
            <w:r w:rsidRPr="00F05429">
              <w:rPr>
                <w:lang w:val="en-US"/>
              </w:rPr>
              <w:t xml:space="preserve">Included </w:t>
            </w:r>
            <w:r>
              <w:rPr>
                <w:lang w:val="en-US"/>
              </w:rPr>
              <w:t>all three trials</w:t>
            </w:r>
            <w:r w:rsidRPr="00F05429">
              <w:rPr>
                <w:lang w:val="en-US"/>
              </w:rPr>
              <w:t>; assessed OS, PFS, and time to worsening of ECOG PS</w:t>
            </w:r>
          </w:p>
        </w:tc>
      </w:tr>
    </w:tbl>
    <w:p w14:paraId="3BD93D27" w14:textId="77777777" w:rsidR="00891965" w:rsidRPr="00673CEA" w:rsidRDefault="00891965" w:rsidP="00105320">
      <w:pPr>
        <w:pStyle w:val="FooterTableFigure"/>
        <w:keepNext/>
        <w:keepLines/>
        <w:rPr>
          <w:rFonts w:eastAsiaTheme="majorEastAsia"/>
        </w:rPr>
      </w:pPr>
      <w:r w:rsidRPr="00673CEA">
        <w:rPr>
          <w:rFonts w:eastAsiaTheme="majorEastAsia"/>
        </w:rPr>
        <w:t xml:space="preserve">Source: Table 2-4, p54; Table 2-8, pp71-73 and Table 2-10, p76 of the submission. </w:t>
      </w:r>
    </w:p>
    <w:p w14:paraId="180BCB80" w14:textId="768D1A03" w:rsidR="00891965" w:rsidRPr="00673CEA" w:rsidRDefault="00891965" w:rsidP="00105320">
      <w:pPr>
        <w:pStyle w:val="FooterTableFigure"/>
        <w:keepNext/>
        <w:keepLines/>
        <w:rPr>
          <w:rFonts w:eastAsiaTheme="majorEastAsia"/>
        </w:rPr>
      </w:pPr>
      <w:r w:rsidRPr="00673CEA">
        <w:rPr>
          <w:rFonts w:eastAsiaTheme="majorEastAsia"/>
        </w:rPr>
        <w:t>DB = double blind; ECOG PS = Eastern Cooperative Oncology Group Performance Status; EORTC = European Organisation for Research and Treatment of Cancer; EQ-5D, Euro QoL</w:t>
      </w:r>
      <w:r w:rsidR="006B46D3">
        <w:rPr>
          <w:rFonts w:eastAsiaTheme="majorEastAsia"/>
        </w:rPr>
        <w:t xml:space="preserve"> =</w:t>
      </w:r>
      <w:r w:rsidRPr="00673CEA">
        <w:rPr>
          <w:rFonts w:eastAsiaTheme="majorEastAsia"/>
        </w:rPr>
        <w:t xml:space="preserve"> 5-dimensional QoL measurement; FRU = fruquintinib; </w:t>
      </w:r>
      <w:r w:rsidR="006B46D3">
        <w:rPr>
          <w:rFonts w:eastAsiaTheme="majorEastAsia"/>
        </w:rPr>
        <w:t xml:space="preserve">KRAS = </w:t>
      </w:r>
      <w:r w:rsidR="006B46D3" w:rsidRPr="006B46D3">
        <w:rPr>
          <w:rFonts w:eastAsiaTheme="majorEastAsia"/>
        </w:rPr>
        <w:t xml:space="preserve">Kristen Rat Sarcoma Viral oncogene homolog; </w:t>
      </w:r>
      <w:r w:rsidRPr="00673CEA">
        <w:rPr>
          <w:rFonts w:eastAsiaTheme="majorEastAsia"/>
        </w:rPr>
        <w:t xml:space="preserve">MC = multi-centre; mCRC = metastatic colorectal cancer; MN = multi-national; </w:t>
      </w:r>
      <w:r w:rsidR="006B46D3" w:rsidRPr="006B46D3">
        <w:rPr>
          <w:rFonts w:eastAsiaTheme="majorEastAsia"/>
        </w:rPr>
        <w:t xml:space="preserve">; N = total participants in group; NR = not reported; </w:t>
      </w:r>
      <w:r w:rsidRPr="00673CEA">
        <w:rPr>
          <w:rFonts w:eastAsiaTheme="majorEastAsia"/>
        </w:rPr>
        <w:t xml:space="preserve">OL = open label; OS = overall survival; PBO =placebo; PFS = progression-free survival; R = randomised; </w:t>
      </w:r>
      <w:r w:rsidR="000B4F3F">
        <w:t>TRI/TIP</w:t>
      </w:r>
      <w:r w:rsidR="006B46D3">
        <w:rPr>
          <w:rFonts w:eastAsiaTheme="majorEastAsia"/>
        </w:rPr>
        <w:t xml:space="preserve"> =</w:t>
      </w:r>
      <w:r w:rsidRPr="00673CEA">
        <w:rPr>
          <w:rFonts w:eastAsiaTheme="majorEastAsia"/>
        </w:rPr>
        <w:t xml:space="preserve"> trifluridine/tipiracil</w:t>
      </w:r>
      <w:r w:rsidR="006B46D3">
        <w:rPr>
          <w:rFonts w:eastAsiaTheme="majorEastAsia"/>
        </w:rPr>
        <w:t>.</w:t>
      </w:r>
    </w:p>
    <w:p w14:paraId="178AA82C" w14:textId="77777777" w:rsidR="00891965" w:rsidRPr="00673CEA" w:rsidRDefault="00891965" w:rsidP="00891965">
      <w:pPr>
        <w:pStyle w:val="FooterTableFigure"/>
        <w:rPr>
          <w:rFonts w:eastAsiaTheme="majorEastAsia"/>
        </w:rPr>
      </w:pPr>
      <w:r w:rsidRPr="00727E97">
        <w:rPr>
          <w:rFonts w:eastAsiaTheme="majorEastAsia"/>
          <w:vertAlign w:val="superscript"/>
        </w:rPr>
        <w:t>a</w:t>
      </w:r>
      <w:r w:rsidRPr="00673CEA">
        <w:rPr>
          <w:rFonts w:eastAsiaTheme="majorEastAsia"/>
        </w:rPr>
        <w:t xml:space="preserve"> Median duration of follow-up is reported for the treatment arm of each trial.</w:t>
      </w:r>
    </w:p>
    <w:p w14:paraId="017338AC" w14:textId="662531B3" w:rsidR="00891965" w:rsidRPr="00455AD4" w:rsidRDefault="00891965" w:rsidP="00891965">
      <w:pPr>
        <w:pStyle w:val="3-BodyText"/>
        <w:rPr>
          <w:color w:val="0066FF"/>
        </w:rPr>
      </w:pPr>
      <w:bookmarkStart w:id="42" w:name="_Toc22897641"/>
      <w:bookmarkStart w:id="43" w:name="_Toc107927627"/>
      <w:r>
        <w:t>The included trials differed in the following</w:t>
      </w:r>
      <w:r w:rsidR="00CD6DB0">
        <w:t xml:space="preserve"> </w:t>
      </w:r>
      <w:r>
        <w:t xml:space="preserve">eligibility criteria, </w:t>
      </w:r>
      <w:r w:rsidR="001642BD">
        <w:t>which</w:t>
      </w:r>
      <w:r w:rsidR="001642BD" w:rsidRPr="001642BD">
        <w:t xml:space="preserve"> may </w:t>
      </w:r>
      <w:r w:rsidR="00FC70CD">
        <w:t>impact</w:t>
      </w:r>
      <w:r w:rsidR="001642BD" w:rsidRPr="001642BD">
        <w:t xml:space="preserve"> on the exchangeability of the trials for the ITC analysis</w:t>
      </w:r>
      <w:r>
        <w:t>:</w:t>
      </w:r>
    </w:p>
    <w:p w14:paraId="40706D0A" w14:textId="72F8B8AE" w:rsidR="00CD6DB0" w:rsidRPr="004F3865" w:rsidRDefault="00CD6DB0" w:rsidP="004E70AA">
      <w:pPr>
        <w:pStyle w:val="ListParagraph"/>
        <w:ind w:left="1080"/>
      </w:pPr>
      <w:r w:rsidRPr="00041F9E">
        <w:t>Both FRESCO 2</w:t>
      </w:r>
      <w:r w:rsidR="0010101B">
        <w:t xml:space="preserve"> (81%)</w:t>
      </w:r>
      <w:r w:rsidRPr="00041F9E">
        <w:t xml:space="preserve"> and RECOURSE </w:t>
      </w:r>
      <w:r w:rsidR="0010101B">
        <w:t xml:space="preserve">(58%) </w:t>
      </w:r>
      <w:r w:rsidRPr="00041F9E">
        <w:t>were international trial</w:t>
      </w:r>
      <w:r w:rsidR="0010101B">
        <w:t>s</w:t>
      </w:r>
      <w:r w:rsidRPr="00041F9E">
        <w:t xml:space="preserve"> conducted within a largely Caucasian population</w:t>
      </w:r>
      <w:r w:rsidR="00F87D29">
        <w:t>, w</w:t>
      </w:r>
      <w:r w:rsidRPr="00041F9E">
        <w:t xml:space="preserve">hereas the populations in the FRESCO 1, 2012-0013-00CH1, TERRA and J003 trials were 100% Asian (China in FRESCO 1 and 2012-0013-00CH1; China, Korea, and Thailand in TERRA; and Japan in </w:t>
      </w:r>
      <w:r w:rsidRPr="004F3865">
        <w:t>J003)</w:t>
      </w:r>
      <w:r w:rsidR="008D7B9C" w:rsidRPr="004F3865">
        <w:t>.</w:t>
      </w:r>
      <w:r w:rsidRPr="004F3865">
        <w:t xml:space="preserve"> </w:t>
      </w:r>
      <w:r w:rsidR="00D36D15" w:rsidRPr="004F3865">
        <w:t>An applicability issue with these trials is that they only enrolled Asian patients</w:t>
      </w:r>
      <w:r w:rsidRPr="004F3865">
        <w:t>.</w:t>
      </w:r>
    </w:p>
    <w:p w14:paraId="1732D832" w14:textId="7722486E" w:rsidR="001642BD" w:rsidRPr="001642BD" w:rsidRDefault="00891965" w:rsidP="004E70AA">
      <w:pPr>
        <w:pStyle w:val="ListParagraph"/>
        <w:ind w:left="1080"/>
      </w:pPr>
      <w:r w:rsidRPr="00455AD4">
        <w:t>All</w:t>
      </w:r>
      <w:r>
        <w:t xml:space="preserve"> </w:t>
      </w:r>
      <w:r w:rsidRPr="00455AD4">
        <w:t xml:space="preserve">trials required patients to have histologically or cytologically confirmed mCRC </w:t>
      </w:r>
      <w:r>
        <w:t>that</w:t>
      </w:r>
      <w:r w:rsidRPr="00455AD4">
        <w:t xml:space="preserve"> progressed following at least two standard chemotherapy regimens</w:t>
      </w:r>
      <w:r>
        <w:t xml:space="preserve">. </w:t>
      </w:r>
      <w:r w:rsidR="001642BD" w:rsidRPr="001642BD">
        <w:t xml:space="preserve">However, </w:t>
      </w:r>
      <w:r w:rsidR="00876B58">
        <w:t xml:space="preserve">the </w:t>
      </w:r>
      <w:r w:rsidR="001642BD" w:rsidRPr="001642BD">
        <w:t xml:space="preserve">FRESCO 2 trial required patients to have also progressed on or been intolerant to </w:t>
      </w:r>
      <w:r w:rsidR="000B4F3F">
        <w:t>TRI/TIP</w:t>
      </w:r>
      <w:r w:rsidR="001642BD" w:rsidRPr="001642BD">
        <w:t xml:space="preserve"> or regorafenib. Additionally, patients with deficient mismatch </w:t>
      </w:r>
      <w:r w:rsidR="001642BD" w:rsidRPr="001642BD">
        <w:lastRenderedPageBreak/>
        <w:t xml:space="preserve">repair (dMMR) or microsatellite instability-high (MSI-H) tumours had to have received an immune checkpoint inhibitor, and those with </w:t>
      </w:r>
      <w:r w:rsidR="001642BD" w:rsidRPr="0010101B">
        <w:rPr>
          <w:i/>
          <w:iCs/>
        </w:rPr>
        <w:t>BRAF</w:t>
      </w:r>
      <w:r w:rsidR="001642BD" w:rsidRPr="001642BD">
        <w:t>V600E-mutant tumours needed prior treatment with a BRAF inhibitor, if approved and locally available</w:t>
      </w:r>
      <w:r w:rsidR="00876B58">
        <w:t>,</w:t>
      </w:r>
      <w:r w:rsidR="00876B58" w:rsidRPr="00876B58">
        <w:t xml:space="preserve"> </w:t>
      </w:r>
      <w:r w:rsidR="00876B58">
        <w:t>in FRESCO 2</w:t>
      </w:r>
      <w:r w:rsidR="001642BD" w:rsidRPr="001642BD">
        <w:t>.</w:t>
      </w:r>
    </w:p>
    <w:p w14:paraId="4914BE3C" w14:textId="6461182C" w:rsidR="00CD6DB0" w:rsidRDefault="00CD6DB0" w:rsidP="004E70AA">
      <w:pPr>
        <w:pStyle w:val="ListParagraph"/>
        <w:ind w:left="1080"/>
      </w:pPr>
      <w:r w:rsidRPr="00041F9E">
        <w:t>FRESCO 1, 2012-0013-00CH1, TERRA and J003 trials</w:t>
      </w:r>
      <w:r>
        <w:t xml:space="preserve"> </w:t>
      </w:r>
      <w:r w:rsidRPr="00844D9F">
        <w:t xml:space="preserve">did not </w:t>
      </w:r>
      <w:r>
        <w:t>require</w:t>
      </w:r>
      <w:r w:rsidRPr="00844D9F">
        <w:t xml:space="preserve"> patients to have previously received treatment</w:t>
      </w:r>
      <w:r>
        <w:t xml:space="preserve"> </w:t>
      </w:r>
      <w:r w:rsidRPr="00844D9F">
        <w:t xml:space="preserve">with an anti-VEGF therapy </w:t>
      </w:r>
      <w:r w:rsidR="00A16484">
        <w:t>or</w:t>
      </w:r>
      <w:r w:rsidRPr="00844D9F">
        <w:t xml:space="preserve">, if they were </w:t>
      </w:r>
      <w:r w:rsidRPr="0010101B">
        <w:rPr>
          <w:i/>
          <w:iCs/>
        </w:rPr>
        <w:t>RAS</w:t>
      </w:r>
      <w:r w:rsidRPr="00844D9F">
        <w:t>-wild type</w:t>
      </w:r>
      <w:r>
        <w:t xml:space="preserve"> (WT)</w:t>
      </w:r>
      <w:r w:rsidRPr="00844D9F">
        <w:t>, an anti-EGFR therapy</w:t>
      </w:r>
      <w:r w:rsidRPr="00013A01">
        <w:t>.</w:t>
      </w:r>
      <w:r>
        <w:t xml:space="preserve"> </w:t>
      </w:r>
    </w:p>
    <w:p w14:paraId="5F8E330E" w14:textId="7B17FC0E" w:rsidR="00334514" w:rsidRDefault="004774D0" w:rsidP="00334514">
      <w:pPr>
        <w:pStyle w:val="3-BodyText"/>
      </w:pPr>
      <w:bookmarkStart w:id="44" w:name="_Ref164681066"/>
      <w:r w:rsidRPr="00F53561">
        <w:t xml:space="preserve">The key differences in the baseline characteristics and treatments across </w:t>
      </w:r>
      <w:r>
        <w:t xml:space="preserve">FRESCO 2 and RECOURSE trials </w:t>
      </w:r>
      <w:r w:rsidRPr="00F53561">
        <w:t xml:space="preserve">that may </w:t>
      </w:r>
      <w:r w:rsidR="00DC10A4">
        <w:t xml:space="preserve">have </w:t>
      </w:r>
      <w:r w:rsidRPr="00F53561">
        <w:t>affect</w:t>
      </w:r>
      <w:r w:rsidR="00DC10A4">
        <w:t>ed</w:t>
      </w:r>
      <w:r w:rsidRPr="00F53561">
        <w:t xml:space="preserve"> the transitivity assumptions </w:t>
      </w:r>
      <w:r>
        <w:t xml:space="preserve">of the main ITC analysis </w:t>
      </w:r>
      <w:bookmarkEnd w:id="44"/>
      <w:r w:rsidR="00DC10A4">
        <w:t xml:space="preserve">include race, performance status, proportion of patients with </w:t>
      </w:r>
      <w:r w:rsidR="00DC10A4" w:rsidRPr="00E13B54">
        <w:rPr>
          <w:rFonts w:eastAsiaTheme="majorEastAsia"/>
        </w:rPr>
        <w:t>Kristen Rat Sarcoma Viral oncogene homolog - wild type</w:t>
      </w:r>
      <w:r w:rsidR="00DC10A4">
        <w:t xml:space="preserve"> (KRAS-WT) mutation status, prior treatments, number of lines of prior treatments and post progression therapies.</w:t>
      </w:r>
      <w:r w:rsidR="00D9322D">
        <w:t xml:space="preserve"> Specifically</w:t>
      </w:r>
      <w:r w:rsidR="002B4B26">
        <w:t xml:space="preserve">: </w:t>
      </w:r>
    </w:p>
    <w:p w14:paraId="6FB1DBC8" w14:textId="57164A8A" w:rsidR="00334514" w:rsidRDefault="00334514" w:rsidP="00334514">
      <w:pPr>
        <w:pStyle w:val="3-BodyText"/>
        <w:numPr>
          <w:ilvl w:val="0"/>
          <w:numId w:val="37"/>
        </w:numPr>
        <w:ind w:left="1134"/>
      </w:pPr>
      <w:r>
        <w:t xml:space="preserve">Patients received prior treatment with TRI/TIP (52%), regorafenib (8%) or both (39%) in the FRESCO 2 trial compared to only regorafenib (19%) in RECOURSE. </w:t>
      </w:r>
      <w:r w:rsidRPr="004F3865">
        <w:t xml:space="preserve">The subgroup analyses from FRESCO 2 showed that patients who received both regorafenib and </w:t>
      </w:r>
      <w:r>
        <w:t>TRI/TIP</w:t>
      </w:r>
      <w:r w:rsidRPr="004F3865">
        <w:t xml:space="preserve"> had relatively improved OS (HR of 0.60 vs. 0.66) and PFS (HR of 0.29 vs. 0.32) compared to the intention-to-treat (ITT) population; this may favour fruquintinib.</w:t>
      </w:r>
    </w:p>
    <w:p w14:paraId="42606A1A" w14:textId="6DABB7AA" w:rsidR="004774D0" w:rsidRPr="00334514" w:rsidRDefault="004774D0" w:rsidP="00334514">
      <w:pPr>
        <w:pStyle w:val="3-BodyText"/>
        <w:numPr>
          <w:ilvl w:val="0"/>
          <w:numId w:val="37"/>
        </w:numPr>
        <w:ind w:left="1134"/>
      </w:pPr>
      <w:r w:rsidRPr="00C34840">
        <w:t xml:space="preserve">RECOURSE </w:t>
      </w:r>
      <w:r w:rsidR="006D3022">
        <w:t>(42%) had a</w:t>
      </w:r>
      <w:r w:rsidR="006D3022" w:rsidRPr="00C34840">
        <w:t xml:space="preserve"> </w:t>
      </w:r>
      <w:r w:rsidR="006D3022">
        <w:t xml:space="preserve">higher </w:t>
      </w:r>
      <w:r w:rsidR="006D3022" w:rsidRPr="00C34840">
        <w:t xml:space="preserve">proportion of patients </w:t>
      </w:r>
      <w:r w:rsidR="006D3022">
        <w:t xml:space="preserve">who </w:t>
      </w:r>
      <w:r w:rsidR="006D3022" w:rsidRPr="00C34840">
        <w:t>receiv</w:t>
      </w:r>
      <w:r w:rsidR="006D3022">
        <w:t>ed</w:t>
      </w:r>
      <w:r w:rsidR="006D3022" w:rsidRPr="00C34840">
        <w:t xml:space="preserve"> one or more systemic cancer therapies post-progression in the </w:t>
      </w:r>
      <w:r w:rsidRPr="00C34840">
        <w:t xml:space="preserve">trial compared </w:t>
      </w:r>
      <w:r>
        <w:t>to</w:t>
      </w:r>
      <w:r w:rsidRPr="00C34840">
        <w:t xml:space="preserve"> FRESCO 2 trial (32%). </w:t>
      </w:r>
      <w:r w:rsidRPr="004F3865">
        <w:t xml:space="preserve">This difference could impact the </w:t>
      </w:r>
      <w:r w:rsidR="00876B58" w:rsidRPr="004F3865">
        <w:t xml:space="preserve">ITC </w:t>
      </w:r>
      <w:r w:rsidRPr="004F3865">
        <w:t xml:space="preserve">results; however, the net impact of </w:t>
      </w:r>
      <w:r w:rsidR="00A16484" w:rsidRPr="004F3865">
        <w:t xml:space="preserve">the </w:t>
      </w:r>
      <w:r w:rsidRPr="004F3865">
        <w:t xml:space="preserve">above imbalance </w:t>
      </w:r>
      <w:r w:rsidR="00876B58" w:rsidRPr="004F3865">
        <w:t>was</w:t>
      </w:r>
      <w:r w:rsidRPr="004F3865">
        <w:t xml:space="preserve"> uncertain.</w:t>
      </w:r>
    </w:p>
    <w:p w14:paraId="519F2BEC" w14:textId="32D2A26E" w:rsidR="00891965" w:rsidRPr="004F3865" w:rsidRDefault="00891965" w:rsidP="00891965">
      <w:pPr>
        <w:pStyle w:val="3-BodyText"/>
      </w:pPr>
      <w:r>
        <w:t xml:space="preserve">A claim of non-inferiority for fruquintinib over </w:t>
      </w:r>
      <w:r w:rsidR="000B4F3F">
        <w:t>TRI/TIP</w:t>
      </w:r>
      <w:r>
        <w:t xml:space="preserve"> was based on the efficacy and safety outcomes of OS, PFS, time to worsening of ECOG PS, and adverse events (AEs). </w:t>
      </w:r>
      <w:r w:rsidRPr="00FD1D27">
        <w:t xml:space="preserve">Health-related Quality of Life (HRQoL) </w:t>
      </w:r>
      <w:r>
        <w:t xml:space="preserve">data </w:t>
      </w:r>
      <w:r w:rsidRPr="00FD1D27">
        <w:t xml:space="preserve">were </w:t>
      </w:r>
      <w:r>
        <w:t xml:space="preserve">only </w:t>
      </w:r>
      <w:r w:rsidRPr="00FD1D27">
        <w:t>available from the FRESCO 2 trial</w:t>
      </w:r>
      <w:r>
        <w:t>,</w:t>
      </w:r>
      <w:r w:rsidRPr="00FD1D27">
        <w:t xml:space="preserve"> which </w:t>
      </w:r>
      <w:r>
        <w:t>used the</w:t>
      </w:r>
      <w:r w:rsidRPr="00FD1D27">
        <w:t xml:space="preserve"> European Organisation for Research and Treatment of Cancer (EORTC) QLQ-C30 and Euro-QoL, 5-dimensional Quality of Life measurement (EQ-5D-5L) questionnaires.</w:t>
      </w:r>
      <w:r>
        <w:t xml:space="preserve"> </w:t>
      </w:r>
      <w:r w:rsidRPr="004F3865">
        <w:t xml:space="preserve">The submission did not present objective response rate (ORR), disease control rate (DCR), and duration of response (DoR) from any of the </w:t>
      </w:r>
      <w:r w:rsidR="003E7B3E" w:rsidRPr="004F3865">
        <w:t xml:space="preserve">included </w:t>
      </w:r>
      <w:r w:rsidRPr="004F3865">
        <w:t>trials</w:t>
      </w:r>
      <w:r w:rsidR="003E7B3E" w:rsidRPr="004F3865">
        <w:t>.</w:t>
      </w:r>
    </w:p>
    <w:p w14:paraId="6264D573" w14:textId="74F4C62D" w:rsidR="00891965" w:rsidRDefault="00891965" w:rsidP="00891965">
      <w:pPr>
        <w:pStyle w:val="3-BodyText"/>
      </w:pPr>
      <w:r w:rsidRPr="00B545C5">
        <w:t xml:space="preserve">The submission stated that a minimal clinically important difference (MCID) </w:t>
      </w:r>
      <w:r>
        <w:t xml:space="preserve">for the treatment of refractory mCRC </w:t>
      </w:r>
      <w:r w:rsidRPr="00B545C5">
        <w:t>has not</w:t>
      </w:r>
      <w:r>
        <w:t xml:space="preserve"> </w:t>
      </w:r>
      <w:r w:rsidRPr="00B545C5">
        <w:t xml:space="preserve">been established. </w:t>
      </w:r>
      <w:r>
        <w:t>It</w:t>
      </w:r>
      <w:r w:rsidRPr="00B545C5">
        <w:t xml:space="preserve"> outlined that a consensus of Canadian medical oncologists</w:t>
      </w:r>
      <w:r>
        <w:t>,</w:t>
      </w:r>
      <w:r w:rsidRPr="00B545C5">
        <w:t xml:space="preserve"> convened by Colorectal Cancer Canada</w:t>
      </w:r>
      <w:r>
        <w:t>,</w:t>
      </w:r>
      <w:r w:rsidRPr="00B545C5">
        <w:t xml:space="preserve"> recommended a median OS of at least two months or a HR of 0.75 or </w:t>
      </w:r>
      <w:r>
        <w:t xml:space="preserve">lower </w:t>
      </w:r>
      <w:r w:rsidRPr="00B545C5">
        <w:t xml:space="preserve">for a clinically meaningful benefit in the chemo-refractory setting. </w:t>
      </w:r>
      <w:r>
        <w:t>Additionally, t</w:t>
      </w:r>
      <w:r w:rsidRPr="00B545C5">
        <w:t xml:space="preserve">he submission </w:t>
      </w:r>
      <w:r>
        <w:t>highlighted</w:t>
      </w:r>
      <w:r w:rsidRPr="00B545C5">
        <w:t xml:space="preserve"> that the PBAC also considered the median gain in OS of 2.0 months (HR = 0.69; 95% CI: 0.59, 0.81) in the RECOURSE trial </w:t>
      </w:r>
      <w:r w:rsidR="00630255">
        <w:t xml:space="preserve">(data cut-off: October 2014) </w:t>
      </w:r>
      <w:r w:rsidRPr="00B545C5">
        <w:t>to be modest and that</w:t>
      </w:r>
      <w:r w:rsidR="00A16484">
        <w:t>,</w:t>
      </w:r>
      <w:r w:rsidRPr="00B545C5">
        <w:t xml:space="preserve"> in the context of limited treatment options, the small treatment benefit of </w:t>
      </w:r>
      <w:r w:rsidR="000B4F3F">
        <w:t>TRI/TIP</w:t>
      </w:r>
      <w:r w:rsidRPr="00B545C5">
        <w:t xml:space="preserve"> may be meaningful for some patients (paragraph 5.3, </w:t>
      </w:r>
      <w:r w:rsidR="000B4F3F">
        <w:t>TRI/TIP</w:t>
      </w:r>
      <w:r w:rsidR="000B4F3F" w:rsidRPr="00B545C5">
        <w:t xml:space="preserve"> </w:t>
      </w:r>
      <w:r w:rsidRPr="00B545C5">
        <w:t>PSD, July 2018 PBAC meeting).</w:t>
      </w:r>
      <w:r w:rsidR="00D36D15">
        <w:t xml:space="preserve"> </w:t>
      </w:r>
    </w:p>
    <w:p w14:paraId="515D7903" w14:textId="310447A5" w:rsidR="00891965" w:rsidRPr="004F3865" w:rsidRDefault="00891965" w:rsidP="00891965">
      <w:pPr>
        <w:pStyle w:val="3-BodyText"/>
      </w:pPr>
      <w:r>
        <w:lastRenderedPageBreak/>
        <w:t xml:space="preserve">The submission did not propose a non-inferiority margin. </w:t>
      </w:r>
      <w:r w:rsidRPr="004F3865">
        <w:t xml:space="preserve">The absence of </w:t>
      </w:r>
      <w:r w:rsidR="00A16484" w:rsidRPr="004F3865">
        <w:t xml:space="preserve">a </w:t>
      </w:r>
      <w:r w:rsidRPr="004F3865">
        <w:t>noninferiority margin makes it difficult to assess the non-inferior</w:t>
      </w:r>
      <w:r w:rsidR="00227B27" w:rsidRPr="004F3865">
        <w:t>ity</w:t>
      </w:r>
      <w:r w:rsidRPr="004F3865">
        <w:t xml:space="preserve"> claim with certainty.</w:t>
      </w:r>
    </w:p>
    <w:p w14:paraId="09F858EF" w14:textId="77777777" w:rsidR="00891965" w:rsidRDefault="00891965" w:rsidP="00891965">
      <w:pPr>
        <w:pStyle w:val="4-SubsectionHeading"/>
      </w:pPr>
      <w:bookmarkStart w:id="45" w:name="_Toc166861360"/>
      <w:r w:rsidRPr="00A74236">
        <w:t>Comparative effectiveness</w:t>
      </w:r>
      <w:bookmarkEnd w:id="42"/>
      <w:bookmarkEnd w:id="43"/>
      <w:bookmarkEnd w:id="45"/>
    </w:p>
    <w:p w14:paraId="1778916F" w14:textId="4A57E95E" w:rsidR="00891965" w:rsidRPr="00DF621D" w:rsidRDefault="00891965" w:rsidP="00F518EF">
      <w:pPr>
        <w:pStyle w:val="3-BodyText"/>
      </w:pPr>
      <w:bookmarkStart w:id="46" w:name="_Ref164309060"/>
      <w:bookmarkStart w:id="47" w:name="_Ref164309055"/>
      <w:r w:rsidRPr="003F6AFB">
        <w:t>The results of OS for the direct and indirect comparisons are presented in</w:t>
      </w:r>
      <w:r>
        <w:t xml:space="preserve"> </w:t>
      </w:r>
      <w:r>
        <w:fldChar w:fldCharType="begin"/>
      </w:r>
      <w:r>
        <w:instrText xml:space="preserve"> REF _Ref164323572 \h </w:instrText>
      </w:r>
      <w:r>
        <w:fldChar w:fldCharType="separate"/>
      </w:r>
      <w:r w:rsidR="00F03729">
        <w:t xml:space="preserve">Table </w:t>
      </w:r>
      <w:r w:rsidR="00F03729">
        <w:rPr>
          <w:noProof/>
        </w:rPr>
        <w:t>4</w:t>
      </w:r>
      <w:r>
        <w:fldChar w:fldCharType="end"/>
      </w:r>
      <w:r>
        <w:t>.</w:t>
      </w:r>
    </w:p>
    <w:p w14:paraId="0770032E" w14:textId="31D0749B" w:rsidR="00891965" w:rsidRDefault="00891965" w:rsidP="007A7A0C">
      <w:pPr>
        <w:pStyle w:val="TableFigureHeading"/>
        <w:keepLines/>
      </w:pPr>
      <w:bookmarkStart w:id="48" w:name="_Ref164323572"/>
      <w:bookmarkStart w:id="49" w:name="_Hlk164324408"/>
      <w:r>
        <w:t xml:space="preserve">Table </w:t>
      </w:r>
      <w:r w:rsidR="00DD5C00">
        <w:fldChar w:fldCharType="begin"/>
      </w:r>
      <w:r w:rsidR="00DD5C00">
        <w:instrText xml:space="preserve"> SEQ Table \* ARABIC </w:instrText>
      </w:r>
      <w:r w:rsidR="00DD5C00">
        <w:fldChar w:fldCharType="separate"/>
      </w:r>
      <w:r w:rsidR="00F03729">
        <w:rPr>
          <w:noProof/>
        </w:rPr>
        <w:t>4</w:t>
      </w:r>
      <w:r w:rsidR="00DD5C00">
        <w:rPr>
          <w:noProof/>
        </w:rPr>
        <w:fldChar w:fldCharType="end"/>
      </w:r>
      <w:bookmarkEnd w:id="46"/>
      <w:bookmarkEnd w:id="48"/>
      <w:r>
        <w:t>:</w:t>
      </w:r>
      <w:r w:rsidRPr="00291AD9">
        <w:t xml:space="preserve"> </w:t>
      </w:r>
      <w:r w:rsidRPr="00DF621D">
        <w:t>Results of OS across the trials</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Results of OS across the trials"/>
      </w:tblPr>
      <w:tblGrid>
        <w:gridCol w:w="1146"/>
        <w:gridCol w:w="1117"/>
        <w:gridCol w:w="1419"/>
        <w:gridCol w:w="1134"/>
        <w:gridCol w:w="1558"/>
        <w:gridCol w:w="1134"/>
        <w:gridCol w:w="1509"/>
      </w:tblGrid>
      <w:tr w:rsidR="00891965" w:rsidRPr="00077E04" w14:paraId="239A8E5C" w14:textId="77777777" w:rsidTr="006B46D3">
        <w:trPr>
          <w:trHeight w:val="206"/>
          <w:tblHeader/>
        </w:trPr>
        <w:tc>
          <w:tcPr>
            <w:tcW w:w="635" w:type="pct"/>
            <w:vMerge w:val="restart"/>
            <w:tcBorders>
              <w:top w:val="single" w:sz="4" w:space="0" w:color="auto"/>
              <w:left w:val="single" w:sz="4" w:space="0" w:color="auto"/>
              <w:bottom w:val="single" w:sz="4" w:space="0" w:color="auto"/>
              <w:right w:val="single" w:sz="4" w:space="0" w:color="auto"/>
            </w:tcBorders>
            <w:vAlign w:val="center"/>
            <w:hideMark/>
          </w:tcPr>
          <w:p w14:paraId="6F36A37F" w14:textId="77777777" w:rsidR="00891965" w:rsidRPr="00077E04" w:rsidRDefault="00891965" w:rsidP="007A7A0C">
            <w:pPr>
              <w:pStyle w:val="TableFigureHeading"/>
              <w:keepLines/>
            </w:pPr>
            <w:r w:rsidRPr="00077E04">
              <w:t>Trial ID</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14:paraId="1E2B2A49" w14:textId="66839C09" w:rsidR="00891965" w:rsidRPr="00077E04" w:rsidRDefault="006B6897" w:rsidP="007A7A0C">
            <w:pPr>
              <w:pStyle w:val="TableFigureHeading"/>
              <w:keepLines/>
              <w:jc w:val="center"/>
            </w:pPr>
            <w:r>
              <w:t>Intervention</w:t>
            </w:r>
          </w:p>
        </w:tc>
        <w:tc>
          <w:tcPr>
            <w:tcW w:w="1493" w:type="pct"/>
            <w:gridSpan w:val="2"/>
            <w:tcBorders>
              <w:top w:val="single" w:sz="4" w:space="0" w:color="auto"/>
              <w:left w:val="single" w:sz="4" w:space="0" w:color="auto"/>
              <w:bottom w:val="single" w:sz="4" w:space="0" w:color="auto"/>
              <w:right w:val="single" w:sz="4" w:space="0" w:color="auto"/>
            </w:tcBorders>
            <w:vAlign w:val="center"/>
            <w:hideMark/>
          </w:tcPr>
          <w:p w14:paraId="790202C4" w14:textId="77777777" w:rsidR="00891965" w:rsidRPr="00077E04" w:rsidRDefault="00891965" w:rsidP="007A7A0C">
            <w:pPr>
              <w:pStyle w:val="TableFigureHeading"/>
              <w:keepLines/>
              <w:jc w:val="center"/>
            </w:pPr>
            <w:r w:rsidRPr="00077E04">
              <w:t>Placebo</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3CFF3B41" w14:textId="1AEBE7B9" w:rsidR="00891965" w:rsidRPr="00077E04" w:rsidRDefault="00891965" w:rsidP="007A7A0C">
            <w:pPr>
              <w:pStyle w:val="TableFigureHeading"/>
              <w:keepLines/>
              <w:jc w:val="center"/>
            </w:pPr>
            <w:r w:rsidRPr="00077E04">
              <w:t>Absolute difference in median</w:t>
            </w:r>
            <w:r w:rsidR="00126FB1" w:rsidRPr="00126FB1">
              <w:rPr>
                <w:vertAlign w:val="superscript"/>
              </w:rPr>
              <w:t>a</w:t>
            </w:r>
          </w:p>
        </w:tc>
        <w:tc>
          <w:tcPr>
            <w:tcW w:w="837" w:type="pct"/>
            <w:vMerge w:val="restart"/>
            <w:tcBorders>
              <w:top w:val="single" w:sz="4" w:space="0" w:color="auto"/>
              <w:left w:val="single" w:sz="4" w:space="0" w:color="auto"/>
              <w:right w:val="single" w:sz="4" w:space="0" w:color="auto"/>
            </w:tcBorders>
            <w:vAlign w:val="center"/>
            <w:hideMark/>
          </w:tcPr>
          <w:p w14:paraId="2690FF30" w14:textId="77777777" w:rsidR="00891965" w:rsidRPr="00077E04" w:rsidRDefault="00891965" w:rsidP="007A7A0C">
            <w:pPr>
              <w:pStyle w:val="TableFigureHeading"/>
              <w:keepLines/>
              <w:jc w:val="center"/>
            </w:pPr>
            <w:r w:rsidRPr="00077E04">
              <w:t>Hazard ratio (95% CI)</w:t>
            </w:r>
          </w:p>
        </w:tc>
      </w:tr>
      <w:tr w:rsidR="006B46D3" w:rsidRPr="00077E04" w14:paraId="1BE892A3" w14:textId="77777777" w:rsidTr="006B46D3">
        <w:tc>
          <w:tcPr>
            <w:tcW w:w="635" w:type="pct"/>
            <w:vMerge/>
            <w:tcBorders>
              <w:top w:val="single" w:sz="4" w:space="0" w:color="auto"/>
              <w:left w:val="single" w:sz="4" w:space="0" w:color="auto"/>
              <w:bottom w:val="single" w:sz="4" w:space="0" w:color="auto"/>
              <w:right w:val="single" w:sz="4" w:space="0" w:color="auto"/>
            </w:tcBorders>
            <w:vAlign w:val="center"/>
            <w:hideMark/>
          </w:tcPr>
          <w:p w14:paraId="7B54228E" w14:textId="77777777" w:rsidR="00891965" w:rsidRPr="00077E04" w:rsidRDefault="00891965" w:rsidP="007A7A0C">
            <w:pPr>
              <w:pStyle w:val="TableText0"/>
              <w:keepLines/>
              <w:rPr>
                <w:rFonts w:eastAsia="Times New Roman"/>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65BE9832" w14:textId="77777777" w:rsidR="00891965" w:rsidRPr="00077E04" w:rsidRDefault="00891965" w:rsidP="007A7A0C">
            <w:pPr>
              <w:pStyle w:val="TableFigureHeading"/>
              <w:keepLines/>
              <w:jc w:val="center"/>
            </w:pPr>
            <w:r w:rsidRPr="00077E04">
              <w:t>n with event / N (%)</w:t>
            </w:r>
          </w:p>
        </w:tc>
        <w:tc>
          <w:tcPr>
            <w:tcW w:w="787" w:type="pct"/>
            <w:tcBorders>
              <w:top w:val="single" w:sz="4" w:space="0" w:color="auto"/>
              <w:left w:val="single" w:sz="4" w:space="0" w:color="auto"/>
              <w:bottom w:val="single" w:sz="4" w:space="0" w:color="auto"/>
              <w:right w:val="single" w:sz="4" w:space="0" w:color="auto"/>
            </w:tcBorders>
            <w:vAlign w:val="center"/>
            <w:hideMark/>
          </w:tcPr>
          <w:p w14:paraId="5BE1A4AF" w14:textId="77777777" w:rsidR="00891965" w:rsidRPr="00077E04" w:rsidRDefault="00891965" w:rsidP="007A7A0C">
            <w:pPr>
              <w:pStyle w:val="TableFigureHeading"/>
              <w:keepLines/>
              <w:jc w:val="center"/>
            </w:pPr>
            <w:r w:rsidRPr="00077E04">
              <w:t>Median OS (months)</w:t>
            </w:r>
          </w:p>
          <w:p w14:paraId="7A77A457" w14:textId="77777777" w:rsidR="00891965" w:rsidRPr="00077E04" w:rsidRDefault="00891965" w:rsidP="007A7A0C">
            <w:pPr>
              <w:pStyle w:val="TableFigureHeading"/>
              <w:keepLines/>
              <w:jc w:val="center"/>
            </w:pPr>
            <w:r w:rsidRPr="00077E04">
              <w:t>(95% CI)</w:t>
            </w:r>
          </w:p>
        </w:tc>
        <w:tc>
          <w:tcPr>
            <w:tcW w:w="629" w:type="pct"/>
            <w:tcBorders>
              <w:top w:val="single" w:sz="4" w:space="0" w:color="auto"/>
              <w:left w:val="single" w:sz="4" w:space="0" w:color="auto"/>
              <w:bottom w:val="single" w:sz="4" w:space="0" w:color="auto"/>
              <w:right w:val="single" w:sz="4" w:space="0" w:color="auto"/>
            </w:tcBorders>
            <w:vAlign w:val="center"/>
            <w:hideMark/>
          </w:tcPr>
          <w:p w14:paraId="5AE8847B" w14:textId="77777777" w:rsidR="00891965" w:rsidRPr="00077E04" w:rsidRDefault="00891965" w:rsidP="007A7A0C">
            <w:pPr>
              <w:pStyle w:val="TableFigureHeading"/>
              <w:keepLines/>
              <w:jc w:val="center"/>
            </w:pPr>
            <w:r w:rsidRPr="00077E04">
              <w:t>n with event / N (%)</w:t>
            </w:r>
          </w:p>
        </w:tc>
        <w:tc>
          <w:tcPr>
            <w:tcW w:w="864" w:type="pct"/>
            <w:tcBorders>
              <w:top w:val="single" w:sz="4" w:space="0" w:color="auto"/>
              <w:left w:val="single" w:sz="4" w:space="0" w:color="auto"/>
              <w:bottom w:val="single" w:sz="4" w:space="0" w:color="auto"/>
              <w:right w:val="single" w:sz="4" w:space="0" w:color="auto"/>
            </w:tcBorders>
            <w:vAlign w:val="center"/>
            <w:hideMark/>
          </w:tcPr>
          <w:p w14:paraId="252F4BA9" w14:textId="77777777" w:rsidR="00891965" w:rsidRPr="00077E04" w:rsidRDefault="00891965" w:rsidP="007A7A0C">
            <w:pPr>
              <w:pStyle w:val="TableFigureHeading"/>
              <w:keepLines/>
              <w:jc w:val="center"/>
            </w:pPr>
            <w:r w:rsidRPr="00077E04">
              <w:t>Median OS (months)</w:t>
            </w:r>
          </w:p>
          <w:p w14:paraId="2276583B" w14:textId="77777777" w:rsidR="00891965" w:rsidRPr="00077E04" w:rsidRDefault="00891965" w:rsidP="007A7A0C">
            <w:pPr>
              <w:pStyle w:val="TableFigureHeading"/>
              <w:keepLines/>
              <w:jc w:val="center"/>
            </w:pPr>
            <w:r w:rsidRPr="00077E04">
              <w:t>(95% CI)</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1238E00" w14:textId="77777777" w:rsidR="00891965" w:rsidRPr="00077E04" w:rsidRDefault="00891965" w:rsidP="007A7A0C">
            <w:pPr>
              <w:pStyle w:val="TableText0"/>
              <w:keepLines/>
              <w:rPr>
                <w:rFonts w:eastAsia="Times New Roman"/>
              </w:rPr>
            </w:pPr>
          </w:p>
        </w:tc>
        <w:tc>
          <w:tcPr>
            <w:tcW w:w="837" w:type="pct"/>
            <w:vMerge/>
            <w:tcBorders>
              <w:left w:val="single" w:sz="4" w:space="0" w:color="auto"/>
              <w:bottom w:val="single" w:sz="4" w:space="0" w:color="auto"/>
              <w:right w:val="single" w:sz="4" w:space="0" w:color="auto"/>
            </w:tcBorders>
            <w:vAlign w:val="center"/>
            <w:hideMark/>
          </w:tcPr>
          <w:p w14:paraId="3C0B632D" w14:textId="77777777" w:rsidR="00891965" w:rsidRPr="00077E04" w:rsidRDefault="00891965" w:rsidP="007A7A0C">
            <w:pPr>
              <w:pStyle w:val="TableText0"/>
              <w:keepLines/>
              <w:rPr>
                <w:rFonts w:eastAsia="Times New Roman"/>
              </w:rPr>
            </w:pPr>
          </w:p>
        </w:tc>
      </w:tr>
      <w:tr w:rsidR="00891965" w:rsidRPr="00077E04" w14:paraId="069A7089" w14:textId="77777777" w:rsidTr="006B46D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44E3029" w14:textId="77777777" w:rsidR="00891965" w:rsidRPr="00077E04" w:rsidRDefault="00891965" w:rsidP="007A7A0C">
            <w:pPr>
              <w:pStyle w:val="TableText0"/>
              <w:keepLines/>
              <w:rPr>
                <w:b/>
                <w:bCs w:val="0"/>
              </w:rPr>
            </w:pPr>
            <w:r w:rsidRPr="00077E04">
              <w:rPr>
                <w:b/>
                <w:bCs w:val="0"/>
              </w:rPr>
              <w:t>Fruquintinib trials</w:t>
            </w:r>
          </w:p>
        </w:tc>
      </w:tr>
      <w:tr w:rsidR="006B46D3" w:rsidRPr="00077E04" w14:paraId="7581D325" w14:textId="77777777" w:rsidTr="006B46D3">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BF0DD" w14:textId="77777777" w:rsidR="00891965" w:rsidRPr="00077E04" w:rsidRDefault="00891965" w:rsidP="007A7A0C">
            <w:pPr>
              <w:pStyle w:val="TableText0"/>
              <w:keepLines/>
            </w:pPr>
            <w:r w:rsidRPr="00077E04">
              <w:t>FRESCO 2</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9B437DC" w14:textId="77777777" w:rsidR="00891965" w:rsidRPr="00077E04" w:rsidRDefault="00891965" w:rsidP="007A7A0C">
            <w:pPr>
              <w:pStyle w:val="TableText0"/>
              <w:keepLines/>
              <w:jc w:val="center"/>
            </w:pPr>
            <w:r w:rsidRPr="00077E04">
              <w:t>317/461 (68.8%)</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1CFCA38" w14:textId="77777777" w:rsidR="00891965" w:rsidRPr="00077E04" w:rsidRDefault="00891965" w:rsidP="007A7A0C">
            <w:pPr>
              <w:pStyle w:val="TableText0"/>
              <w:keepLines/>
              <w:jc w:val="center"/>
            </w:pPr>
            <w:r w:rsidRPr="00077E04">
              <w:t>7.4 (6.7, 8.2)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1B8D6AE9" w14:textId="77777777" w:rsidR="00891965" w:rsidRPr="00077E04" w:rsidRDefault="00891965" w:rsidP="007A7A0C">
            <w:pPr>
              <w:pStyle w:val="TableText0"/>
              <w:keepLines/>
              <w:jc w:val="center"/>
              <w:rPr>
                <w:rFonts w:eastAsia="Times New Roman"/>
              </w:rPr>
            </w:pPr>
            <w:r w:rsidRPr="00077E04">
              <w:rPr>
                <w:rFonts w:eastAsia="Times New Roman"/>
              </w:rPr>
              <w:t>173/230 (75.2%)</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1B4B38B4" w14:textId="77777777" w:rsidR="00891965" w:rsidRPr="00077E04" w:rsidRDefault="00891965" w:rsidP="007A7A0C">
            <w:pPr>
              <w:pStyle w:val="TableText0"/>
              <w:keepLines/>
              <w:jc w:val="center"/>
              <w:rPr>
                <w:rFonts w:eastAsia="Times New Roman"/>
              </w:rPr>
            </w:pPr>
            <w:r w:rsidRPr="00077E04">
              <w:rPr>
                <w:rFonts w:eastAsia="Times New Roman"/>
              </w:rPr>
              <w:t>4.8 (4.0, 5.8)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FCB0385" w14:textId="77777777" w:rsidR="00891965" w:rsidRPr="00126FB1" w:rsidRDefault="00891965" w:rsidP="007A7A0C">
            <w:pPr>
              <w:pStyle w:val="TableText0"/>
              <w:keepLines/>
              <w:jc w:val="center"/>
            </w:pPr>
            <w:r w:rsidRPr="00126FB1">
              <w:t>2.6 months</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1A52CCA7" w14:textId="77777777" w:rsidR="00891965" w:rsidRPr="00077E04" w:rsidRDefault="00891965" w:rsidP="007A7A0C">
            <w:pPr>
              <w:pStyle w:val="TableText0"/>
              <w:keepLines/>
              <w:jc w:val="center"/>
              <w:rPr>
                <w:rFonts w:eastAsia="Times New Roman"/>
                <w:b/>
                <w:bCs w:val="0"/>
              </w:rPr>
            </w:pPr>
            <w:r w:rsidRPr="00077E04">
              <w:rPr>
                <w:rFonts w:eastAsia="Times New Roman"/>
                <w:b/>
                <w:bCs w:val="0"/>
              </w:rPr>
              <w:t>0.66 (0.55, 0.80)</w:t>
            </w:r>
          </w:p>
        </w:tc>
      </w:tr>
      <w:tr w:rsidR="006B46D3" w:rsidRPr="00077E04" w14:paraId="76E44216" w14:textId="77777777" w:rsidTr="006B46D3">
        <w:tc>
          <w:tcPr>
            <w:tcW w:w="635" w:type="pct"/>
            <w:tcBorders>
              <w:top w:val="single" w:sz="4" w:space="0" w:color="auto"/>
              <w:left w:val="single" w:sz="4" w:space="0" w:color="auto"/>
              <w:bottom w:val="single" w:sz="4" w:space="0" w:color="auto"/>
              <w:right w:val="single" w:sz="4" w:space="0" w:color="auto"/>
            </w:tcBorders>
            <w:vAlign w:val="center"/>
            <w:hideMark/>
          </w:tcPr>
          <w:p w14:paraId="108E204A" w14:textId="77777777" w:rsidR="00891965" w:rsidRPr="00077E04" w:rsidRDefault="00891965" w:rsidP="007A7A0C">
            <w:pPr>
              <w:pStyle w:val="TableText0"/>
              <w:keepLines/>
            </w:pPr>
            <w:r w:rsidRPr="00077E04">
              <w:t>FRESCO 1</w:t>
            </w:r>
          </w:p>
        </w:tc>
        <w:tc>
          <w:tcPr>
            <w:tcW w:w="619" w:type="pct"/>
            <w:tcBorders>
              <w:top w:val="single" w:sz="4" w:space="0" w:color="auto"/>
              <w:left w:val="single" w:sz="4" w:space="0" w:color="auto"/>
              <w:bottom w:val="single" w:sz="4" w:space="0" w:color="auto"/>
              <w:right w:val="single" w:sz="4" w:space="0" w:color="auto"/>
            </w:tcBorders>
            <w:vAlign w:val="center"/>
          </w:tcPr>
          <w:p w14:paraId="37797573" w14:textId="77777777" w:rsidR="00891965" w:rsidRPr="00077E04" w:rsidRDefault="00891965" w:rsidP="007A7A0C">
            <w:pPr>
              <w:pStyle w:val="TableText0"/>
              <w:keepLines/>
              <w:jc w:val="center"/>
            </w:pPr>
            <w:r w:rsidRPr="00077E04">
              <w:t>188/278 (67.6%)</w:t>
            </w:r>
          </w:p>
        </w:tc>
        <w:tc>
          <w:tcPr>
            <w:tcW w:w="787" w:type="pct"/>
            <w:tcBorders>
              <w:top w:val="single" w:sz="4" w:space="0" w:color="auto"/>
              <w:left w:val="single" w:sz="4" w:space="0" w:color="auto"/>
              <w:bottom w:val="single" w:sz="4" w:space="0" w:color="auto"/>
              <w:right w:val="single" w:sz="4" w:space="0" w:color="auto"/>
            </w:tcBorders>
            <w:vAlign w:val="center"/>
          </w:tcPr>
          <w:p w14:paraId="499B89F4" w14:textId="77777777" w:rsidR="00891965" w:rsidRPr="00077E04" w:rsidRDefault="00891965" w:rsidP="007A7A0C">
            <w:pPr>
              <w:pStyle w:val="TableText0"/>
              <w:keepLines/>
              <w:jc w:val="center"/>
            </w:pPr>
            <w:r w:rsidRPr="00077E04">
              <w:t>9.3 (8.2, 10.5)</w:t>
            </w:r>
          </w:p>
        </w:tc>
        <w:tc>
          <w:tcPr>
            <w:tcW w:w="629" w:type="pct"/>
            <w:tcBorders>
              <w:top w:val="single" w:sz="4" w:space="0" w:color="auto"/>
              <w:left w:val="single" w:sz="4" w:space="0" w:color="auto"/>
              <w:bottom w:val="single" w:sz="4" w:space="0" w:color="auto"/>
              <w:right w:val="single" w:sz="4" w:space="0" w:color="auto"/>
            </w:tcBorders>
            <w:vAlign w:val="center"/>
          </w:tcPr>
          <w:p w14:paraId="6F0832EC" w14:textId="77777777" w:rsidR="00891965" w:rsidRPr="00077E04" w:rsidRDefault="00891965" w:rsidP="007A7A0C">
            <w:pPr>
              <w:pStyle w:val="TableText0"/>
              <w:keepLines/>
              <w:jc w:val="center"/>
            </w:pPr>
            <w:r w:rsidRPr="00077E04">
              <w:t>109/138 (79.0%)</w:t>
            </w:r>
          </w:p>
        </w:tc>
        <w:tc>
          <w:tcPr>
            <w:tcW w:w="864" w:type="pct"/>
            <w:tcBorders>
              <w:top w:val="single" w:sz="4" w:space="0" w:color="auto"/>
              <w:left w:val="single" w:sz="4" w:space="0" w:color="auto"/>
              <w:bottom w:val="single" w:sz="4" w:space="0" w:color="auto"/>
              <w:right w:val="single" w:sz="4" w:space="0" w:color="auto"/>
            </w:tcBorders>
            <w:vAlign w:val="center"/>
          </w:tcPr>
          <w:p w14:paraId="28968D68" w14:textId="77777777" w:rsidR="00891965" w:rsidRPr="00077E04" w:rsidRDefault="00891965" w:rsidP="007A7A0C">
            <w:pPr>
              <w:pStyle w:val="TableText0"/>
              <w:keepLines/>
              <w:jc w:val="center"/>
            </w:pPr>
            <w:r w:rsidRPr="00077E04">
              <w:t>6.6 (5.9, 8.1)</w:t>
            </w:r>
          </w:p>
        </w:tc>
        <w:tc>
          <w:tcPr>
            <w:tcW w:w="629" w:type="pct"/>
            <w:tcBorders>
              <w:top w:val="single" w:sz="4" w:space="0" w:color="auto"/>
              <w:left w:val="single" w:sz="4" w:space="0" w:color="auto"/>
              <w:bottom w:val="single" w:sz="4" w:space="0" w:color="auto"/>
              <w:right w:val="single" w:sz="4" w:space="0" w:color="auto"/>
            </w:tcBorders>
            <w:vAlign w:val="center"/>
          </w:tcPr>
          <w:p w14:paraId="32BBAA6B" w14:textId="77777777" w:rsidR="00891965" w:rsidRPr="00126FB1" w:rsidRDefault="00891965" w:rsidP="007A7A0C">
            <w:pPr>
              <w:pStyle w:val="TableText0"/>
              <w:keepLines/>
              <w:jc w:val="center"/>
            </w:pPr>
            <w:r w:rsidRPr="00126FB1">
              <w:t>2.7 months</w:t>
            </w:r>
          </w:p>
        </w:tc>
        <w:tc>
          <w:tcPr>
            <w:tcW w:w="837" w:type="pct"/>
            <w:tcBorders>
              <w:top w:val="single" w:sz="4" w:space="0" w:color="auto"/>
              <w:left w:val="single" w:sz="4" w:space="0" w:color="auto"/>
              <w:bottom w:val="single" w:sz="4" w:space="0" w:color="auto"/>
              <w:right w:val="single" w:sz="4" w:space="0" w:color="auto"/>
            </w:tcBorders>
            <w:vAlign w:val="center"/>
          </w:tcPr>
          <w:p w14:paraId="6485AA54" w14:textId="77777777" w:rsidR="00891965" w:rsidRPr="00077E04" w:rsidRDefault="00891965" w:rsidP="007A7A0C">
            <w:pPr>
              <w:pStyle w:val="TableText0"/>
              <w:keepLines/>
              <w:jc w:val="center"/>
              <w:rPr>
                <w:b/>
                <w:bCs w:val="0"/>
              </w:rPr>
            </w:pPr>
            <w:r w:rsidRPr="00077E04">
              <w:rPr>
                <w:b/>
                <w:bCs w:val="0"/>
              </w:rPr>
              <w:t>0.65 (0.51, 0.83)</w:t>
            </w:r>
          </w:p>
        </w:tc>
      </w:tr>
      <w:tr w:rsidR="006B46D3" w:rsidRPr="00077E04" w14:paraId="2AB13BB8" w14:textId="77777777" w:rsidTr="006B46D3">
        <w:tc>
          <w:tcPr>
            <w:tcW w:w="635" w:type="pct"/>
            <w:tcBorders>
              <w:top w:val="single" w:sz="4" w:space="0" w:color="auto"/>
              <w:left w:val="single" w:sz="4" w:space="0" w:color="auto"/>
              <w:bottom w:val="single" w:sz="4" w:space="0" w:color="auto"/>
              <w:right w:val="single" w:sz="4" w:space="0" w:color="auto"/>
            </w:tcBorders>
            <w:vAlign w:val="center"/>
          </w:tcPr>
          <w:p w14:paraId="2DC84393" w14:textId="77777777" w:rsidR="00891965" w:rsidRPr="00077E04" w:rsidRDefault="00891965" w:rsidP="007A7A0C">
            <w:pPr>
              <w:pStyle w:val="TableText0"/>
              <w:keepLines/>
            </w:pPr>
            <w:r w:rsidRPr="00077E04">
              <w:t>2012-013-00CH1</w:t>
            </w:r>
          </w:p>
        </w:tc>
        <w:tc>
          <w:tcPr>
            <w:tcW w:w="619" w:type="pct"/>
            <w:tcBorders>
              <w:top w:val="single" w:sz="4" w:space="0" w:color="auto"/>
              <w:left w:val="single" w:sz="4" w:space="0" w:color="auto"/>
              <w:bottom w:val="single" w:sz="4" w:space="0" w:color="auto"/>
              <w:right w:val="single" w:sz="4" w:space="0" w:color="auto"/>
            </w:tcBorders>
            <w:vAlign w:val="center"/>
          </w:tcPr>
          <w:p w14:paraId="76D5225C" w14:textId="77777777" w:rsidR="00891965" w:rsidRPr="00077E04" w:rsidRDefault="00891965" w:rsidP="007A7A0C">
            <w:pPr>
              <w:pStyle w:val="TableText0"/>
              <w:keepLines/>
              <w:jc w:val="center"/>
            </w:pPr>
            <w:r w:rsidRPr="00077E04">
              <w:t>38/47 (80.9%)</w:t>
            </w:r>
          </w:p>
        </w:tc>
        <w:tc>
          <w:tcPr>
            <w:tcW w:w="787" w:type="pct"/>
            <w:tcBorders>
              <w:top w:val="single" w:sz="4" w:space="0" w:color="auto"/>
              <w:left w:val="single" w:sz="4" w:space="0" w:color="auto"/>
              <w:bottom w:val="single" w:sz="4" w:space="0" w:color="auto"/>
              <w:right w:val="single" w:sz="4" w:space="0" w:color="auto"/>
            </w:tcBorders>
            <w:vAlign w:val="center"/>
          </w:tcPr>
          <w:p w14:paraId="699419F5" w14:textId="77777777" w:rsidR="00891965" w:rsidRPr="00077E04" w:rsidRDefault="00891965" w:rsidP="007A7A0C">
            <w:pPr>
              <w:pStyle w:val="TableText0"/>
              <w:keepLines/>
              <w:jc w:val="center"/>
            </w:pPr>
            <w:r w:rsidRPr="00077E04">
              <w:t>7.7 (6.9, 10.3)</w:t>
            </w:r>
          </w:p>
        </w:tc>
        <w:tc>
          <w:tcPr>
            <w:tcW w:w="629" w:type="pct"/>
            <w:tcBorders>
              <w:top w:val="single" w:sz="4" w:space="0" w:color="auto"/>
              <w:left w:val="single" w:sz="4" w:space="0" w:color="auto"/>
              <w:bottom w:val="single" w:sz="4" w:space="0" w:color="auto"/>
              <w:right w:val="single" w:sz="4" w:space="0" w:color="auto"/>
            </w:tcBorders>
            <w:vAlign w:val="center"/>
          </w:tcPr>
          <w:p w14:paraId="01E06B12" w14:textId="77777777" w:rsidR="006B46D3" w:rsidRDefault="00891965" w:rsidP="007A7A0C">
            <w:pPr>
              <w:pStyle w:val="TableText0"/>
              <w:keepLines/>
              <w:jc w:val="center"/>
            </w:pPr>
            <w:r w:rsidRPr="00077E04">
              <w:t xml:space="preserve">19/24 </w:t>
            </w:r>
          </w:p>
          <w:p w14:paraId="71B4B3A1" w14:textId="519FFE02" w:rsidR="00891965" w:rsidRPr="00077E04" w:rsidRDefault="00891965" w:rsidP="007A7A0C">
            <w:pPr>
              <w:pStyle w:val="TableText0"/>
              <w:keepLines/>
              <w:jc w:val="center"/>
            </w:pPr>
            <w:r w:rsidRPr="00077E04">
              <w:t>(79.2%)</w:t>
            </w:r>
          </w:p>
        </w:tc>
        <w:tc>
          <w:tcPr>
            <w:tcW w:w="864" w:type="pct"/>
            <w:tcBorders>
              <w:top w:val="single" w:sz="4" w:space="0" w:color="auto"/>
              <w:left w:val="single" w:sz="4" w:space="0" w:color="auto"/>
              <w:bottom w:val="single" w:sz="4" w:space="0" w:color="auto"/>
              <w:right w:val="single" w:sz="4" w:space="0" w:color="auto"/>
            </w:tcBorders>
            <w:vAlign w:val="center"/>
          </w:tcPr>
          <w:p w14:paraId="3C5C0958" w14:textId="77777777" w:rsidR="00891965" w:rsidRPr="00077E04" w:rsidRDefault="00891965" w:rsidP="007A7A0C">
            <w:pPr>
              <w:pStyle w:val="TableText0"/>
              <w:keepLines/>
              <w:jc w:val="center"/>
            </w:pPr>
            <w:r w:rsidRPr="00077E04">
              <w:t>5.5 (3.6, 11.3)</w:t>
            </w:r>
          </w:p>
        </w:tc>
        <w:tc>
          <w:tcPr>
            <w:tcW w:w="629" w:type="pct"/>
            <w:tcBorders>
              <w:top w:val="single" w:sz="4" w:space="0" w:color="auto"/>
              <w:left w:val="single" w:sz="4" w:space="0" w:color="auto"/>
              <w:bottom w:val="single" w:sz="4" w:space="0" w:color="auto"/>
              <w:right w:val="single" w:sz="4" w:space="0" w:color="auto"/>
            </w:tcBorders>
            <w:vAlign w:val="center"/>
          </w:tcPr>
          <w:p w14:paraId="31DF5780" w14:textId="77777777" w:rsidR="00891965" w:rsidRPr="00126FB1" w:rsidRDefault="00891965" w:rsidP="007A7A0C">
            <w:pPr>
              <w:pStyle w:val="TableText0"/>
              <w:keepLines/>
              <w:jc w:val="center"/>
            </w:pPr>
            <w:r w:rsidRPr="00126FB1">
              <w:t>2.2 months</w:t>
            </w:r>
          </w:p>
        </w:tc>
        <w:tc>
          <w:tcPr>
            <w:tcW w:w="837" w:type="pct"/>
            <w:tcBorders>
              <w:top w:val="single" w:sz="4" w:space="0" w:color="auto"/>
              <w:left w:val="single" w:sz="4" w:space="0" w:color="auto"/>
              <w:bottom w:val="single" w:sz="4" w:space="0" w:color="auto"/>
              <w:right w:val="single" w:sz="4" w:space="0" w:color="auto"/>
            </w:tcBorders>
            <w:vAlign w:val="center"/>
          </w:tcPr>
          <w:p w14:paraId="602C9DDE" w14:textId="77777777" w:rsidR="00891965" w:rsidRPr="00077E04" w:rsidRDefault="00891965" w:rsidP="007A7A0C">
            <w:pPr>
              <w:pStyle w:val="TableText0"/>
              <w:keepLines/>
              <w:jc w:val="center"/>
            </w:pPr>
            <w:r w:rsidRPr="00077E04">
              <w:t>0.7</w:t>
            </w:r>
            <w:r>
              <w:t>1</w:t>
            </w:r>
            <w:r w:rsidRPr="00077E04">
              <w:t xml:space="preserve"> (0.38, 1.3</w:t>
            </w:r>
            <w:r>
              <w:t>4</w:t>
            </w:r>
            <w:r w:rsidRPr="00077E04">
              <w:t>)</w:t>
            </w:r>
          </w:p>
        </w:tc>
      </w:tr>
      <w:tr w:rsidR="00891965" w:rsidRPr="00077E04" w14:paraId="75003FDC" w14:textId="77777777" w:rsidTr="006B46D3">
        <w:tc>
          <w:tcPr>
            <w:tcW w:w="4163" w:type="pct"/>
            <w:gridSpan w:val="6"/>
            <w:tcBorders>
              <w:top w:val="single" w:sz="4" w:space="0" w:color="auto"/>
              <w:left w:val="single" w:sz="4" w:space="0" w:color="auto"/>
              <w:bottom w:val="single" w:sz="4" w:space="0" w:color="auto"/>
              <w:right w:val="single" w:sz="4" w:space="0" w:color="auto"/>
            </w:tcBorders>
            <w:vAlign w:val="center"/>
          </w:tcPr>
          <w:p w14:paraId="6C4CD529" w14:textId="77777777" w:rsidR="00891965" w:rsidRPr="00077E04" w:rsidRDefault="00891965" w:rsidP="007A7A0C">
            <w:pPr>
              <w:pStyle w:val="TableText0"/>
              <w:keepLines/>
              <w:jc w:val="right"/>
              <w:rPr>
                <w:i/>
                <w:iCs/>
              </w:rPr>
            </w:pPr>
            <w:r w:rsidRPr="00551C76">
              <w:t xml:space="preserve">Meta-analysis of </w:t>
            </w:r>
            <w:r>
              <w:rPr>
                <w:bCs w:val="0"/>
              </w:rPr>
              <w:t>fruquintinib</w:t>
            </w:r>
            <w:r w:rsidRPr="00551C76">
              <w:t xml:space="preserve"> trials</w:t>
            </w:r>
            <w:r>
              <w:t xml:space="preserve"> </w:t>
            </w:r>
            <w:r w:rsidRPr="00551C76">
              <w:rPr>
                <w:rFonts w:cs="Arial"/>
              </w:rPr>
              <w:t>(Chi</w:t>
            </w:r>
            <w:r w:rsidRPr="00551C76">
              <w:rPr>
                <w:rFonts w:cs="Arial"/>
                <w:vertAlign w:val="superscript"/>
              </w:rPr>
              <w:t>2</w:t>
            </w:r>
            <w:r>
              <w:rPr>
                <w:rFonts w:cs="Arial"/>
              </w:rPr>
              <w:t>= 0.08</w:t>
            </w:r>
            <w:r w:rsidRPr="00551C76">
              <w:rPr>
                <w:rFonts w:cs="Arial"/>
              </w:rPr>
              <w:t>; I</w:t>
            </w:r>
            <w:r w:rsidRPr="00551C76">
              <w:rPr>
                <w:rFonts w:cs="Arial"/>
                <w:vertAlign w:val="superscript"/>
              </w:rPr>
              <w:t>2</w:t>
            </w:r>
            <w:r w:rsidRPr="00551C76">
              <w:rPr>
                <w:rFonts w:cs="Arial"/>
              </w:rPr>
              <w:t xml:space="preserve"> </w:t>
            </w:r>
            <w:r>
              <w:rPr>
                <w:rFonts w:cs="Arial"/>
              </w:rPr>
              <w:t>= 0</w:t>
            </w:r>
            <w:r w:rsidRPr="00551C76">
              <w:rPr>
                <w:rFonts w:cs="Arial"/>
              </w:rPr>
              <w:t>%; P</w:t>
            </w:r>
            <w:r>
              <w:rPr>
                <w:rFonts w:cs="Arial"/>
              </w:rPr>
              <w:t>= </w:t>
            </w:r>
            <w:r w:rsidRPr="00551C76">
              <w:rPr>
                <w:rFonts w:cs="Arial"/>
              </w:rPr>
              <w:t>0.</w:t>
            </w:r>
            <w:r>
              <w:rPr>
                <w:rFonts w:cs="Arial"/>
              </w:rPr>
              <w:t>96</w:t>
            </w:r>
            <w:r w:rsidRPr="00551C76">
              <w:rPr>
                <w:rFonts w:cs="Arial"/>
              </w:rPr>
              <w:t>)</w:t>
            </w:r>
          </w:p>
        </w:tc>
        <w:tc>
          <w:tcPr>
            <w:tcW w:w="837" w:type="pct"/>
            <w:tcBorders>
              <w:top w:val="single" w:sz="4" w:space="0" w:color="auto"/>
              <w:left w:val="single" w:sz="4" w:space="0" w:color="auto"/>
              <w:bottom w:val="single" w:sz="4" w:space="0" w:color="auto"/>
              <w:right w:val="single" w:sz="4" w:space="0" w:color="auto"/>
            </w:tcBorders>
            <w:vAlign w:val="center"/>
          </w:tcPr>
          <w:p w14:paraId="5A9A857F" w14:textId="77777777" w:rsidR="00891965" w:rsidRPr="00445536" w:rsidRDefault="00891965" w:rsidP="007A7A0C">
            <w:pPr>
              <w:pStyle w:val="TableText0"/>
              <w:keepLines/>
              <w:jc w:val="center"/>
              <w:rPr>
                <w:b/>
                <w:bCs w:val="0"/>
              </w:rPr>
            </w:pPr>
            <w:r w:rsidRPr="00445536">
              <w:rPr>
                <w:b/>
                <w:bCs w:val="0"/>
              </w:rPr>
              <w:t>0.66 (0.57, 0.76)</w:t>
            </w:r>
          </w:p>
        </w:tc>
      </w:tr>
      <w:tr w:rsidR="00891965" w:rsidRPr="00077E04" w14:paraId="5A744A81" w14:textId="77777777" w:rsidTr="006B46D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59EDC40" w14:textId="77777777" w:rsidR="00891965" w:rsidRPr="00077E04" w:rsidRDefault="00891965" w:rsidP="007A7A0C">
            <w:pPr>
              <w:pStyle w:val="TableText0"/>
              <w:keepLines/>
              <w:rPr>
                <w:b/>
                <w:bCs w:val="0"/>
              </w:rPr>
            </w:pPr>
            <w:r w:rsidRPr="00077E04">
              <w:rPr>
                <w:b/>
                <w:bCs w:val="0"/>
              </w:rPr>
              <w:t>Trifluridine/tipiracil trials</w:t>
            </w:r>
          </w:p>
        </w:tc>
      </w:tr>
      <w:tr w:rsidR="006B46D3" w:rsidRPr="00077E04" w14:paraId="0BC51A09" w14:textId="77777777" w:rsidTr="006B46D3">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B2D1A" w14:textId="77777777" w:rsidR="00891965" w:rsidRPr="00077E04" w:rsidRDefault="00891965" w:rsidP="007A7A0C">
            <w:pPr>
              <w:pStyle w:val="TableText0"/>
              <w:keepLines/>
            </w:pPr>
            <w:r w:rsidRPr="00077E04">
              <w:t>RECOURSE</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E0A0C" w14:textId="77777777" w:rsidR="00891965" w:rsidRPr="00077E04" w:rsidRDefault="00891965" w:rsidP="007A7A0C">
            <w:pPr>
              <w:pStyle w:val="TableText0"/>
              <w:keepLines/>
              <w:jc w:val="center"/>
            </w:pPr>
            <w:r w:rsidRPr="00077E04">
              <w:t>364/534 (68.2%)</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452C4" w14:textId="77777777" w:rsidR="00891965" w:rsidRPr="00077E04" w:rsidRDefault="00891965" w:rsidP="007A7A0C">
            <w:pPr>
              <w:pStyle w:val="TableText0"/>
              <w:keepLines/>
              <w:jc w:val="center"/>
            </w:pPr>
            <w:r w:rsidRPr="00077E04">
              <w:t>7.1 (6.5, 7.8)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7EBF7" w14:textId="77777777" w:rsidR="00891965" w:rsidRPr="00077E04" w:rsidRDefault="00891965" w:rsidP="007A7A0C">
            <w:pPr>
              <w:pStyle w:val="TableText0"/>
              <w:keepLines/>
              <w:jc w:val="center"/>
            </w:pPr>
            <w:r w:rsidRPr="00077E04">
              <w:t>210/266 (78.9%)</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43681" w14:textId="77777777" w:rsidR="00891965" w:rsidRPr="00077E04" w:rsidRDefault="00891965" w:rsidP="007A7A0C">
            <w:pPr>
              <w:pStyle w:val="TableText0"/>
              <w:keepLines/>
              <w:jc w:val="center"/>
            </w:pPr>
            <w:r w:rsidRPr="00077E04">
              <w:t>5.3 (4.6, 6.0)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BA931" w14:textId="77777777" w:rsidR="00891965" w:rsidRPr="00126FB1" w:rsidRDefault="00891965" w:rsidP="007A7A0C">
            <w:pPr>
              <w:pStyle w:val="TableText0"/>
              <w:keepLines/>
              <w:jc w:val="center"/>
            </w:pPr>
            <w:r w:rsidRPr="00126FB1">
              <w:t>1.8 months</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645D" w14:textId="77777777" w:rsidR="00891965" w:rsidRPr="00077E04" w:rsidRDefault="00891965" w:rsidP="007A7A0C">
            <w:pPr>
              <w:pStyle w:val="TableText0"/>
              <w:keepLines/>
              <w:jc w:val="center"/>
              <w:rPr>
                <w:b/>
                <w:bCs w:val="0"/>
              </w:rPr>
            </w:pPr>
            <w:r w:rsidRPr="00077E04">
              <w:rPr>
                <w:b/>
                <w:bCs w:val="0"/>
              </w:rPr>
              <w:t>0.68 (0.58, 0.81)</w:t>
            </w:r>
          </w:p>
        </w:tc>
      </w:tr>
      <w:tr w:rsidR="006B46D3" w:rsidRPr="00077E04" w14:paraId="4502AF25" w14:textId="77777777" w:rsidTr="006B46D3">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47202" w14:textId="77777777" w:rsidR="00891965" w:rsidRPr="00077E04" w:rsidRDefault="00891965" w:rsidP="007A7A0C">
            <w:pPr>
              <w:pStyle w:val="TableText0"/>
              <w:keepLines/>
            </w:pPr>
            <w:r w:rsidRPr="00077E04">
              <w:t>TERRA</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68D0C" w14:textId="77777777" w:rsidR="00891965" w:rsidRPr="00077E04" w:rsidRDefault="00891965" w:rsidP="007A7A0C">
            <w:pPr>
              <w:pStyle w:val="TableText0"/>
              <w:keepLines/>
              <w:jc w:val="center"/>
            </w:pPr>
            <w:r w:rsidRPr="00077E04">
              <w:t>205/271 (75.7%)</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DC26E" w14:textId="77777777" w:rsidR="00891965" w:rsidRPr="00077E04" w:rsidRDefault="00891965" w:rsidP="007A7A0C">
            <w:pPr>
              <w:pStyle w:val="TableText0"/>
              <w:keepLines/>
              <w:jc w:val="center"/>
            </w:pPr>
            <w:r w:rsidRPr="00077E04">
              <w:t>7.8 (7.1, 8.8)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8AADC" w14:textId="77777777" w:rsidR="00891965" w:rsidRPr="00077E04" w:rsidRDefault="00891965" w:rsidP="007A7A0C">
            <w:pPr>
              <w:pStyle w:val="TableText0"/>
              <w:keepLines/>
              <w:jc w:val="center"/>
            </w:pPr>
            <w:r w:rsidRPr="00077E04">
              <w:t>111/135 (82.2%)</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F9CE7" w14:textId="77777777" w:rsidR="00891965" w:rsidRPr="00077E04" w:rsidRDefault="00891965" w:rsidP="007A7A0C">
            <w:pPr>
              <w:pStyle w:val="TableText0"/>
              <w:keepLines/>
              <w:jc w:val="center"/>
            </w:pPr>
            <w:r w:rsidRPr="00077E04">
              <w:t>7.1 (5.9, 8.2)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321BD" w14:textId="77777777" w:rsidR="00891965" w:rsidRPr="00126FB1" w:rsidRDefault="00891965" w:rsidP="007A7A0C">
            <w:pPr>
              <w:pStyle w:val="TableText0"/>
              <w:keepLines/>
              <w:jc w:val="center"/>
            </w:pPr>
            <w:r w:rsidRPr="00126FB1">
              <w:t>0.7 month</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1FEA5" w14:textId="77777777" w:rsidR="00891965" w:rsidRPr="00077E04" w:rsidRDefault="00891965" w:rsidP="007A7A0C">
            <w:pPr>
              <w:pStyle w:val="TableText0"/>
              <w:keepLines/>
              <w:jc w:val="center"/>
              <w:rPr>
                <w:b/>
                <w:bCs w:val="0"/>
              </w:rPr>
            </w:pPr>
            <w:r w:rsidRPr="00077E04">
              <w:rPr>
                <w:b/>
                <w:bCs w:val="0"/>
              </w:rPr>
              <w:t>0.79 (0.62, 0.99)</w:t>
            </w:r>
          </w:p>
        </w:tc>
      </w:tr>
      <w:tr w:rsidR="006B46D3" w:rsidRPr="00077E04" w14:paraId="0B3C58A6" w14:textId="77777777" w:rsidTr="006B46D3">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608EB" w14:textId="77777777" w:rsidR="00891965" w:rsidRPr="00077E04" w:rsidRDefault="00891965" w:rsidP="007A7A0C">
            <w:pPr>
              <w:pStyle w:val="TableText0"/>
              <w:keepLines/>
            </w:pPr>
            <w:r w:rsidRPr="00077E04">
              <w:t>J003</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0D71E" w14:textId="77777777" w:rsidR="00891965" w:rsidRPr="00077E04" w:rsidRDefault="00891965" w:rsidP="007A7A0C">
            <w:pPr>
              <w:pStyle w:val="TableText0"/>
              <w:keepLines/>
              <w:jc w:val="center"/>
            </w:pPr>
            <w:r w:rsidRPr="00077E04">
              <w:t>75/112 (67.0%)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97921" w14:textId="77777777" w:rsidR="00891965" w:rsidRPr="00077E04" w:rsidRDefault="00891965" w:rsidP="007A7A0C">
            <w:pPr>
              <w:pStyle w:val="TableText0"/>
              <w:keepLines/>
              <w:jc w:val="center"/>
            </w:pPr>
            <w:r w:rsidRPr="00077E04">
              <w:t>9.0 (7.3, 11.3)</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2981E" w14:textId="77777777" w:rsidR="006B46D3" w:rsidRDefault="00891965" w:rsidP="007A7A0C">
            <w:pPr>
              <w:pStyle w:val="TableText0"/>
              <w:keepLines/>
              <w:jc w:val="center"/>
            </w:pPr>
            <w:r w:rsidRPr="00077E04">
              <w:t xml:space="preserve">48/57 </w:t>
            </w:r>
          </w:p>
          <w:p w14:paraId="3EC8E205" w14:textId="7D2D9D90" w:rsidR="00891965" w:rsidRPr="00077E04" w:rsidRDefault="00891965" w:rsidP="007A7A0C">
            <w:pPr>
              <w:pStyle w:val="TableText0"/>
              <w:keepLines/>
              <w:jc w:val="center"/>
            </w:pPr>
            <w:r w:rsidRPr="00077E04">
              <w:t>(84.2%)</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3BD8C" w14:textId="77777777" w:rsidR="00891965" w:rsidRPr="00077E04" w:rsidRDefault="00891965" w:rsidP="007A7A0C">
            <w:pPr>
              <w:pStyle w:val="TableText0"/>
              <w:keepLines/>
              <w:jc w:val="center"/>
            </w:pPr>
            <w:r w:rsidRPr="00077E04">
              <w:t>6.6 (4.9, 8.0)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B74A2" w14:textId="77777777" w:rsidR="00891965" w:rsidRPr="00126FB1" w:rsidRDefault="00891965" w:rsidP="007A7A0C">
            <w:pPr>
              <w:pStyle w:val="TableText0"/>
              <w:keepLines/>
              <w:jc w:val="center"/>
            </w:pPr>
            <w:r w:rsidRPr="00126FB1">
              <w:t>2.4 months</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63D59" w14:textId="77777777" w:rsidR="00891965" w:rsidRPr="00077E04" w:rsidRDefault="00891965" w:rsidP="007A7A0C">
            <w:pPr>
              <w:pStyle w:val="TableText0"/>
              <w:keepLines/>
              <w:jc w:val="center"/>
              <w:rPr>
                <w:b/>
                <w:bCs w:val="0"/>
              </w:rPr>
            </w:pPr>
            <w:r w:rsidRPr="00077E04">
              <w:rPr>
                <w:b/>
                <w:bCs w:val="0"/>
              </w:rPr>
              <w:t>0.56 (0.39, 0.81)</w:t>
            </w:r>
          </w:p>
        </w:tc>
      </w:tr>
      <w:tr w:rsidR="00891965" w:rsidRPr="00077E04" w14:paraId="2C33280B" w14:textId="77777777" w:rsidTr="006B46D3">
        <w:tc>
          <w:tcPr>
            <w:tcW w:w="41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219F90" w14:textId="1E93A274" w:rsidR="00891965" w:rsidRPr="00077E04" w:rsidRDefault="00891965" w:rsidP="007A7A0C">
            <w:pPr>
              <w:pStyle w:val="TableText0"/>
              <w:keepLines/>
              <w:jc w:val="right"/>
              <w:rPr>
                <w:i/>
                <w:iCs/>
              </w:rPr>
            </w:pPr>
            <w:r w:rsidRPr="00551C76">
              <w:t xml:space="preserve">Meta-analysis of </w:t>
            </w:r>
            <w:r w:rsidR="000B4F3F">
              <w:t>TRI/TIP</w:t>
            </w:r>
            <w:r w:rsidR="000B4F3F" w:rsidRPr="00551C76">
              <w:t xml:space="preserve"> </w:t>
            </w:r>
            <w:r w:rsidRPr="00551C76">
              <w:t>trials</w:t>
            </w:r>
            <w:r>
              <w:t xml:space="preserve"> </w:t>
            </w:r>
            <w:r w:rsidRPr="00551C76">
              <w:rPr>
                <w:rFonts w:cs="Arial"/>
              </w:rPr>
              <w:t>(Chi</w:t>
            </w:r>
            <w:r w:rsidRPr="00551C76">
              <w:rPr>
                <w:rFonts w:cs="Arial"/>
                <w:vertAlign w:val="superscript"/>
              </w:rPr>
              <w:t>2</w:t>
            </w:r>
            <w:r>
              <w:rPr>
                <w:rFonts w:cs="Arial"/>
              </w:rPr>
              <w:t>= 2.51</w:t>
            </w:r>
            <w:r w:rsidRPr="00551C76">
              <w:rPr>
                <w:rFonts w:cs="Arial"/>
              </w:rPr>
              <w:t>; I</w:t>
            </w:r>
            <w:r w:rsidRPr="00551C76">
              <w:rPr>
                <w:rFonts w:cs="Arial"/>
                <w:vertAlign w:val="superscript"/>
              </w:rPr>
              <w:t>2</w:t>
            </w:r>
            <w:r w:rsidRPr="00551C76">
              <w:rPr>
                <w:rFonts w:cs="Arial"/>
              </w:rPr>
              <w:t xml:space="preserve"> </w:t>
            </w:r>
            <w:r>
              <w:rPr>
                <w:rFonts w:cs="Arial"/>
              </w:rPr>
              <w:t>= </w:t>
            </w:r>
            <w:r w:rsidRPr="00551C76">
              <w:rPr>
                <w:rFonts w:cs="Arial"/>
              </w:rPr>
              <w:t>2</w:t>
            </w:r>
            <w:r>
              <w:rPr>
                <w:rFonts w:cs="Arial"/>
              </w:rPr>
              <w:t>0</w:t>
            </w:r>
            <w:r w:rsidRPr="00551C76">
              <w:rPr>
                <w:rFonts w:cs="Arial"/>
              </w:rPr>
              <w:t>%; P</w:t>
            </w:r>
            <w:r>
              <w:rPr>
                <w:rFonts w:cs="Arial"/>
              </w:rPr>
              <w:t>= </w:t>
            </w:r>
            <w:r w:rsidRPr="00551C76">
              <w:rPr>
                <w:rFonts w:cs="Arial"/>
              </w:rPr>
              <w:t>0.</w:t>
            </w:r>
            <w:r>
              <w:rPr>
                <w:rFonts w:cs="Arial"/>
              </w:rPr>
              <w:t>29</w:t>
            </w:r>
            <w:r w:rsidRPr="00551C76">
              <w:rPr>
                <w:rFonts w:cs="Arial"/>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15F32730" w14:textId="77777777" w:rsidR="00891965" w:rsidRPr="00077E04" w:rsidRDefault="00891965" w:rsidP="007A7A0C">
            <w:pPr>
              <w:pStyle w:val="TableText0"/>
              <w:keepLines/>
              <w:jc w:val="center"/>
              <w:rPr>
                <w:b/>
                <w:bCs w:val="0"/>
              </w:rPr>
            </w:pPr>
            <w:r>
              <w:rPr>
                <w:b/>
                <w:bCs w:val="0"/>
              </w:rPr>
              <w:t>0.69 (0.60, 0.80)</w:t>
            </w:r>
          </w:p>
        </w:tc>
      </w:tr>
      <w:tr w:rsidR="00891965" w:rsidRPr="00077E04" w14:paraId="53763C76" w14:textId="77777777" w:rsidTr="006B46D3">
        <w:tc>
          <w:tcPr>
            <w:tcW w:w="4163" w:type="pct"/>
            <w:gridSpan w:val="6"/>
            <w:tcBorders>
              <w:top w:val="single" w:sz="4" w:space="0" w:color="auto"/>
              <w:left w:val="single" w:sz="4" w:space="0" w:color="auto"/>
              <w:bottom w:val="single" w:sz="4" w:space="0" w:color="auto"/>
              <w:right w:val="single" w:sz="4" w:space="0" w:color="auto"/>
            </w:tcBorders>
            <w:shd w:val="clear" w:color="auto" w:fill="auto"/>
          </w:tcPr>
          <w:p w14:paraId="4193EC09" w14:textId="78DD8A49" w:rsidR="00891965" w:rsidRPr="00077E04" w:rsidRDefault="00891965" w:rsidP="007A7A0C">
            <w:pPr>
              <w:pStyle w:val="TableText0"/>
              <w:keepLines/>
              <w:jc w:val="right"/>
              <w:rPr>
                <w:i/>
                <w:iCs/>
              </w:rPr>
            </w:pPr>
            <w:r w:rsidRPr="00A72855">
              <w:t>Main ITC (</w:t>
            </w:r>
            <w:r>
              <w:t>fruquintinib [FRESCO 2]</w:t>
            </w:r>
            <w:r w:rsidRPr="00A72855">
              <w:t xml:space="preserve"> vs.</w:t>
            </w:r>
            <w:r>
              <w:t xml:space="preserve"> </w:t>
            </w:r>
            <w:r w:rsidR="000B4F3F">
              <w:t xml:space="preserve">TRI/TIP </w:t>
            </w:r>
            <w:r>
              <w:t>[RECOURSE]</w:t>
            </w:r>
            <w:r w:rsidRPr="00A72855">
              <w: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2D2FE64" w14:textId="77777777" w:rsidR="00891965" w:rsidRPr="00077E04" w:rsidRDefault="00891965" w:rsidP="007A7A0C">
            <w:pPr>
              <w:pStyle w:val="TableText0"/>
              <w:keepLines/>
              <w:jc w:val="center"/>
              <w:rPr>
                <w:b/>
                <w:bCs w:val="0"/>
              </w:rPr>
            </w:pPr>
            <w:r w:rsidRPr="004C67CC">
              <w:rPr>
                <w:rFonts w:cs="Times New Roman"/>
                <w:snapToGrid w:val="0"/>
              </w:rPr>
              <w:t xml:space="preserve">0.97 (0.76, 1.25) </w:t>
            </w:r>
          </w:p>
        </w:tc>
      </w:tr>
      <w:tr w:rsidR="00891965" w:rsidRPr="00077E04" w14:paraId="066967D6" w14:textId="77777777" w:rsidTr="006B46D3">
        <w:tc>
          <w:tcPr>
            <w:tcW w:w="4163" w:type="pct"/>
            <w:gridSpan w:val="6"/>
            <w:tcBorders>
              <w:top w:val="single" w:sz="4" w:space="0" w:color="auto"/>
              <w:left w:val="single" w:sz="4" w:space="0" w:color="auto"/>
              <w:bottom w:val="single" w:sz="4" w:space="0" w:color="auto"/>
              <w:right w:val="single" w:sz="4" w:space="0" w:color="auto"/>
            </w:tcBorders>
            <w:shd w:val="clear" w:color="auto" w:fill="auto"/>
          </w:tcPr>
          <w:p w14:paraId="79FA578D" w14:textId="37859DBF" w:rsidR="00891965" w:rsidRPr="00077E04" w:rsidRDefault="00891965" w:rsidP="007A7A0C">
            <w:pPr>
              <w:pStyle w:val="TableText0"/>
              <w:keepLines/>
              <w:jc w:val="right"/>
              <w:rPr>
                <w:i/>
                <w:iCs/>
              </w:rPr>
            </w:pPr>
            <w:r w:rsidRPr="00A72855">
              <w:t>ITC sensitivity analysis (</w:t>
            </w:r>
            <w:r>
              <w:t>fruquintinib</w:t>
            </w:r>
            <w:r w:rsidRPr="00A72855">
              <w:t xml:space="preserve"> [meta-analysis] vs.</w:t>
            </w:r>
            <w:r>
              <w:t xml:space="preserve"> </w:t>
            </w:r>
            <w:r w:rsidR="000B4F3F">
              <w:t>TRI/TIP</w:t>
            </w:r>
            <w:r w:rsidR="000B4F3F" w:rsidRPr="00A72855">
              <w:t xml:space="preserve"> </w:t>
            </w:r>
            <w:r w:rsidRPr="00A72855">
              <w:t>[meta-analysis])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3FDB084" w14:textId="77777777" w:rsidR="00891965" w:rsidRPr="00077E04" w:rsidRDefault="00891965" w:rsidP="007A7A0C">
            <w:pPr>
              <w:pStyle w:val="TableText0"/>
              <w:keepLines/>
              <w:jc w:val="center"/>
              <w:rPr>
                <w:b/>
                <w:bCs w:val="0"/>
              </w:rPr>
            </w:pPr>
            <w:r w:rsidRPr="004C67CC">
              <w:rPr>
                <w:rFonts w:cs="Times New Roman"/>
                <w:snapToGrid w:val="0"/>
              </w:rPr>
              <w:t xml:space="preserve">0.96 (0.78, 1.17) </w:t>
            </w:r>
          </w:p>
        </w:tc>
      </w:tr>
    </w:tbl>
    <w:p w14:paraId="14C132D8" w14:textId="77777777" w:rsidR="00891965" w:rsidRPr="00077E04" w:rsidRDefault="00891965" w:rsidP="007A7A0C">
      <w:pPr>
        <w:pStyle w:val="FooterTableFigure"/>
        <w:keepNext/>
        <w:keepLines/>
      </w:pPr>
      <w:r w:rsidRPr="00077E04">
        <w:t>Source: Table 2-14, p90; Table 2-17, p96; Table 2-19, p99; Table 2-21, p102; Table 2-24, p106</w:t>
      </w:r>
      <w:r>
        <w:t>;</w:t>
      </w:r>
      <w:r w:rsidRPr="00077E04">
        <w:t xml:space="preserve"> Table 2-26, p108</w:t>
      </w:r>
      <w:r>
        <w:t>; Table 2-25, p163 and Figure 2-51, p158</w:t>
      </w:r>
      <w:r w:rsidRPr="00077E04">
        <w:t xml:space="preserve"> of the submission.</w:t>
      </w:r>
    </w:p>
    <w:p w14:paraId="52C8417D" w14:textId="567B8C3A" w:rsidR="00891965" w:rsidRPr="00077E04" w:rsidRDefault="00891965" w:rsidP="007A7A0C">
      <w:pPr>
        <w:pStyle w:val="FooterTableFigure"/>
        <w:keepNext/>
        <w:keepLines/>
      </w:pPr>
      <w:r w:rsidRPr="00077E04">
        <w:t>CI = confidence interval,</w:t>
      </w:r>
      <w:r>
        <w:t xml:space="preserve"> </w:t>
      </w:r>
      <w:r>
        <w:rPr>
          <w:rFonts w:eastAsia="Calibri"/>
        </w:rPr>
        <w:t xml:space="preserve">ITC = indirect treatment comparison; </w:t>
      </w:r>
      <w:r w:rsidRPr="00077E04">
        <w:t>n = number of participants reporting data, N = total participants in group,</w:t>
      </w:r>
      <w:r>
        <w:t xml:space="preserve"> </w:t>
      </w:r>
      <w:r w:rsidRPr="00077E04">
        <w:t>OS = overall survival</w:t>
      </w:r>
      <w:r w:rsidR="000B4F3F">
        <w:t>; TRI/TIP =</w:t>
      </w:r>
      <w:r w:rsidR="000B4F3F" w:rsidRPr="000B4F3F">
        <w:t xml:space="preserve"> </w:t>
      </w:r>
      <w:r w:rsidR="000B4F3F" w:rsidRPr="004F3865">
        <w:t>trifluridine/tipiracil</w:t>
      </w:r>
      <w:r w:rsidR="000B4F3F">
        <w:t>.</w:t>
      </w:r>
    </w:p>
    <w:p w14:paraId="67853B04" w14:textId="77777777" w:rsidR="00891965" w:rsidRDefault="00891965" w:rsidP="007A7A0C">
      <w:pPr>
        <w:pStyle w:val="FooterTableFigure"/>
        <w:keepNext/>
        <w:keepLines/>
      </w:pPr>
      <w:r w:rsidRPr="00077E04">
        <w:rPr>
          <w:b/>
        </w:rPr>
        <w:t>Bold</w:t>
      </w:r>
      <w:r w:rsidRPr="00077E04">
        <w:t xml:space="preserve"> indicates statistically significant results.</w:t>
      </w:r>
    </w:p>
    <w:p w14:paraId="7D35E3CA" w14:textId="2EBD76F6" w:rsidR="00891965" w:rsidRPr="00126FB1" w:rsidRDefault="00126FB1" w:rsidP="00891965">
      <w:pPr>
        <w:pStyle w:val="FooterTableFigure"/>
      </w:pPr>
      <w:r w:rsidRPr="00126FB1">
        <w:rPr>
          <w:vertAlign w:val="superscript"/>
        </w:rPr>
        <w:t>a</w:t>
      </w:r>
      <w:r>
        <w:t xml:space="preserve"> C</w:t>
      </w:r>
      <w:r w:rsidR="00891965" w:rsidRPr="00126FB1">
        <w:t>alculated during</w:t>
      </w:r>
      <w:r>
        <w:t xml:space="preserve"> the</w:t>
      </w:r>
      <w:r w:rsidR="00891965" w:rsidRPr="00126FB1">
        <w:t xml:space="preserve"> evaluation. </w:t>
      </w:r>
    </w:p>
    <w:p w14:paraId="1770A656" w14:textId="6040C9FA" w:rsidR="00891965" w:rsidRPr="004F3865" w:rsidRDefault="00891965" w:rsidP="00160CB0">
      <w:pPr>
        <w:pStyle w:val="3-BodyText"/>
      </w:pPr>
      <w:bookmarkStart w:id="50" w:name="_Ref167051569"/>
      <w:bookmarkEnd w:id="49"/>
      <w:r>
        <w:t xml:space="preserve">The results of the OS </w:t>
      </w:r>
      <w:r w:rsidR="00DE218F">
        <w:t xml:space="preserve">analysis </w:t>
      </w:r>
      <w:r>
        <w:t>showed that fruquintinib was associated with</w:t>
      </w:r>
      <w:r w:rsidR="00A16484">
        <w:t xml:space="preserve"> a</w:t>
      </w:r>
      <w:r>
        <w:t xml:space="preserve"> statistically significant reduction in the risk of death</w:t>
      </w:r>
      <w:r w:rsidRPr="0098025D">
        <w:t xml:space="preserve"> </w:t>
      </w:r>
      <w:r>
        <w:t xml:space="preserve">compared to placebo in both </w:t>
      </w:r>
      <w:r w:rsidR="00A16484">
        <w:t xml:space="preserve">the </w:t>
      </w:r>
      <w:r>
        <w:t xml:space="preserve">FRESCO 2 (34%) and FRESCO 1 (35%) trials. In the 2012-013-00CH1 trial, there was </w:t>
      </w:r>
      <w:r w:rsidR="00DE218F">
        <w:t xml:space="preserve">a </w:t>
      </w:r>
      <w:r w:rsidR="00BC7C69">
        <w:t xml:space="preserve">similar </w:t>
      </w:r>
      <w:r>
        <w:t>reduction in the risk of death compared to placebo (29%)</w:t>
      </w:r>
      <w:r w:rsidR="00BC7C69">
        <w:t xml:space="preserve"> although</w:t>
      </w:r>
      <w:r>
        <w:t xml:space="preserve"> this was not statistically significant</w:t>
      </w:r>
      <w:r w:rsidR="00BC7C69">
        <w:t xml:space="preserve"> likely due to the small sample size</w:t>
      </w:r>
      <w:r>
        <w:t xml:space="preserve">. </w:t>
      </w:r>
      <w:r w:rsidRPr="005360F1">
        <w:t>The meta-analysis of</w:t>
      </w:r>
      <w:r>
        <w:t xml:space="preserve"> the three fruquintinib trials </w:t>
      </w:r>
      <w:r w:rsidRPr="005360F1">
        <w:t>estimated a HR of 0.6</w:t>
      </w:r>
      <w:r>
        <w:t>6</w:t>
      </w:r>
      <w:r w:rsidRPr="005360F1">
        <w:t xml:space="preserve"> (95% CI: 0.5</w:t>
      </w:r>
      <w:r>
        <w:t>7</w:t>
      </w:r>
      <w:r w:rsidRPr="005360F1">
        <w:t>, 0.7</w:t>
      </w:r>
      <w:r>
        <w:t>6</w:t>
      </w:r>
      <w:r w:rsidRPr="005360F1">
        <w:t xml:space="preserve">), </w:t>
      </w:r>
      <w:r>
        <w:t>consistent with the</w:t>
      </w:r>
      <w:r w:rsidRPr="005360F1">
        <w:t xml:space="preserve"> </w:t>
      </w:r>
      <w:r>
        <w:t>results from FRESCO 2 (HR =</w:t>
      </w:r>
      <w:r w:rsidRPr="009F4000">
        <w:t xml:space="preserve"> 0.66</w:t>
      </w:r>
      <w:r>
        <w:t xml:space="preserve">; 95% CI: </w:t>
      </w:r>
      <w:r w:rsidRPr="009F4000">
        <w:t>0.55, 0.80)</w:t>
      </w:r>
      <w:r>
        <w:t>. No statistical</w:t>
      </w:r>
      <w:r w:rsidR="003D3061">
        <w:t>ly significant</w:t>
      </w:r>
      <w:r>
        <w:t xml:space="preserve"> heterogeneity was detected across the</w:t>
      </w:r>
      <w:r w:rsidR="00FB2153">
        <w:t xml:space="preserve"> fruquintinib</w:t>
      </w:r>
      <w:r>
        <w:t xml:space="preserve"> trial</w:t>
      </w:r>
      <w:r w:rsidR="00DE218F">
        <w:t>s</w:t>
      </w:r>
      <w:r>
        <w:t xml:space="preserve"> </w:t>
      </w:r>
      <w:r w:rsidRPr="00DD545E">
        <w:t>(I²=</w:t>
      </w:r>
      <w:r>
        <w:t>0</w:t>
      </w:r>
      <w:r w:rsidRPr="00DD545E">
        <w:t>%, p=0.</w:t>
      </w:r>
      <w:r>
        <w:t>96</w:t>
      </w:r>
      <w:r w:rsidRPr="00DD545E">
        <w:t>)</w:t>
      </w:r>
      <w:r>
        <w:t xml:space="preserve">. </w:t>
      </w:r>
      <w:r w:rsidR="003E7B3E" w:rsidRPr="004F3865">
        <w:t>Overall,</w:t>
      </w:r>
      <w:r w:rsidR="008E630D" w:rsidRPr="004F3865">
        <w:t xml:space="preserve"> the results of</w:t>
      </w:r>
      <w:r w:rsidR="0035142B" w:rsidRPr="004F3865">
        <w:t xml:space="preserve"> the</w:t>
      </w:r>
      <w:r w:rsidR="008E630D" w:rsidRPr="004F3865">
        <w:t xml:space="preserve"> OS analysis were similar across the three trials. </w:t>
      </w:r>
      <w:r w:rsidR="001F046F">
        <w:t>T</w:t>
      </w:r>
      <w:r w:rsidR="003E7B3E" w:rsidRPr="004F3865">
        <w:t xml:space="preserve">he OS benefit with fruquintinib compared to placebo was </w:t>
      </w:r>
      <w:r w:rsidR="00CA1549">
        <w:t xml:space="preserve">a median increase of </w:t>
      </w:r>
      <w:r w:rsidR="003E7B3E" w:rsidRPr="004F3865">
        <w:t>2.6 months in FRESCO 2 trial and 2.7 months in the FRESCO 1 trial</w:t>
      </w:r>
      <w:r w:rsidR="00A42CA4" w:rsidRPr="004F3865">
        <w:t>.</w:t>
      </w:r>
      <w:bookmarkEnd w:id="50"/>
    </w:p>
    <w:p w14:paraId="33B52F37" w14:textId="2940E667" w:rsidR="00EC0BC7" w:rsidRPr="004F3865" w:rsidRDefault="00AD2586" w:rsidP="00891965">
      <w:pPr>
        <w:pStyle w:val="3-BodyText"/>
      </w:pPr>
      <w:r w:rsidRPr="004F3865">
        <w:t>Numerically, t</w:t>
      </w:r>
      <w:r w:rsidR="00EC0BC7" w:rsidRPr="004F3865">
        <w:t xml:space="preserve">he median OS was longer in the fruquintinib </w:t>
      </w:r>
      <w:r w:rsidR="009C47DF" w:rsidRPr="004F3865">
        <w:t xml:space="preserve">and placebo arms </w:t>
      </w:r>
      <w:r w:rsidR="00EC0BC7" w:rsidRPr="004F3865">
        <w:t>of FRESCO 1 compared to FRESCO 2 (9.3 months</w:t>
      </w:r>
      <w:r w:rsidR="009C47DF" w:rsidRPr="004F3865">
        <w:t xml:space="preserve"> for the drug and 6.6 for placebo</w:t>
      </w:r>
      <w:r w:rsidR="00EC0BC7" w:rsidRPr="004F3865">
        <w:t xml:space="preserve"> vs. 7.4 </w:t>
      </w:r>
      <w:r w:rsidR="00EC0BC7" w:rsidRPr="004F3865">
        <w:lastRenderedPageBreak/>
        <w:t>months</w:t>
      </w:r>
      <w:r w:rsidR="009C47DF" w:rsidRPr="004F3865">
        <w:t xml:space="preserve"> for the drug and </w:t>
      </w:r>
      <w:r w:rsidR="00157C79" w:rsidRPr="004F3865">
        <w:t>4.8 months for placebo)</w:t>
      </w:r>
      <w:r w:rsidR="00EC0BC7" w:rsidRPr="004F3865">
        <w:t xml:space="preserve">. This </w:t>
      </w:r>
      <w:r w:rsidR="00157C79" w:rsidRPr="004F3865">
        <w:t xml:space="preserve">may suggest better prognosis in Asian patients compared to </w:t>
      </w:r>
      <w:r w:rsidR="00CB5169" w:rsidRPr="004F3865">
        <w:t>other populations</w:t>
      </w:r>
      <w:r w:rsidR="00157C79" w:rsidRPr="004F3865">
        <w:t>.</w:t>
      </w:r>
    </w:p>
    <w:p w14:paraId="57A9DEB9" w14:textId="037691F0" w:rsidR="00891965" w:rsidRPr="000600EB" w:rsidRDefault="00891965" w:rsidP="00891965">
      <w:pPr>
        <w:pStyle w:val="3-BodyText"/>
      </w:pPr>
      <w:r>
        <w:t xml:space="preserve">Treatment with </w:t>
      </w:r>
      <w:r w:rsidR="000B4F3F">
        <w:t xml:space="preserve">TRI/TIP </w:t>
      </w:r>
      <w:r>
        <w:t xml:space="preserve">was also associated with </w:t>
      </w:r>
      <w:r w:rsidR="002A0DF7">
        <w:t xml:space="preserve">a </w:t>
      </w:r>
      <w:r>
        <w:t xml:space="preserve">statistically significant reduction in the risk of death in </w:t>
      </w:r>
      <w:r w:rsidR="00A16484">
        <w:t xml:space="preserve">the </w:t>
      </w:r>
      <w:r>
        <w:t xml:space="preserve">RECOURSE (32%), TERRA (21%) and J003 (44%) trials. </w:t>
      </w:r>
      <w:r w:rsidRPr="005360F1">
        <w:t>The meta-analysis of</w:t>
      </w:r>
      <w:r>
        <w:t xml:space="preserve"> the three </w:t>
      </w:r>
      <w:r w:rsidR="000B4F3F">
        <w:t>TRI/TIP</w:t>
      </w:r>
      <w:r>
        <w:t xml:space="preserve"> trials </w:t>
      </w:r>
      <w:r w:rsidRPr="005360F1">
        <w:t>estimated a HR of 0.6</w:t>
      </w:r>
      <w:r>
        <w:t>9</w:t>
      </w:r>
      <w:r w:rsidRPr="005360F1">
        <w:t xml:space="preserve"> (95% CI: 0.</w:t>
      </w:r>
      <w:r>
        <w:t>60</w:t>
      </w:r>
      <w:r w:rsidRPr="005360F1">
        <w:t>, 0.</w:t>
      </w:r>
      <w:r>
        <w:t>80)</w:t>
      </w:r>
      <w:r w:rsidR="002A0DF7">
        <w:t xml:space="preserve">, which </w:t>
      </w:r>
      <w:r w:rsidR="008715E1">
        <w:t>was</w:t>
      </w:r>
      <w:r>
        <w:t xml:space="preserve"> consistent with the results from </w:t>
      </w:r>
      <w:r w:rsidR="002A0DF7">
        <w:t xml:space="preserve">the </w:t>
      </w:r>
      <w:r>
        <w:t>RECOURSE trial</w:t>
      </w:r>
      <w:r w:rsidR="008715E1">
        <w:t xml:space="preserve"> (HR = </w:t>
      </w:r>
      <w:r w:rsidR="008715E1" w:rsidRPr="008715E1">
        <w:t>0.68</w:t>
      </w:r>
      <w:r w:rsidR="008715E1">
        <w:t xml:space="preserve">; 95% CI: </w:t>
      </w:r>
      <w:r w:rsidR="008715E1" w:rsidRPr="008715E1">
        <w:t>0.58, 0.81)</w:t>
      </w:r>
      <w:r>
        <w:t xml:space="preserve">. </w:t>
      </w:r>
      <w:r w:rsidRPr="000600EB">
        <w:t>The heterogeneity was low across the three</w:t>
      </w:r>
      <w:r w:rsidR="00FB2153">
        <w:t xml:space="preserve"> </w:t>
      </w:r>
      <w:r w:rsidR="000B4F3F">
        <w:t>TRI/TIP</w:t>
      </w:r>
      <w:r w:rsidRPr="000600EB">
        <w:t xml:space="preserve"> trials </w:t>
      </w:r>
      <w:r w:rsidR="003D3061">
        <w:t>and</w:t>
      </w:r>
      <w:r w:rsidR="003D3061" w:rsidRPr="000600EB">
        <w:t xml:space="preserve"> </w:t>
      </w:r>
      <w:r w:rsidRPr="000600EB">
        <w:t>not statistically significant (I²=20%, p=0.29)</w:t>
      </w:r>
      <w:r w:rsidR="00FB2153">
        <w:t xml:space="preserve">, although there was more heterogeneity than in the fruquintinib trials (paragraph </w:t>
      </w:r>
      <w:r w:rsidR="00FB2153">
        <w:fldChar w:fldCharType="begin"/>
      </w:r>
      <w:r w:rsidR="00FB2153">
        <w:instrText xml:space="preserve"> REF _Ref167051569 \r \h </w:instrText>
      </w:r>
      <w:r w:rsidR="00FB2153">
        <w:fldChar w:fldCharType="separate"/>
      </w:r>
      <w:r w:rsidR="00F03729">
        <w:t>6.15</w:t>
      </w:r>
      <w:r w:rsidR="00FB2153">
        <w:fldChar w:fldCharType="end"/>
      </w:r>
      <w:r w:rsidR="00FB2153">
        <w:t>)</w:t>
      </w:r>
      <w:r w:rsidRPr="000600EB">
        <w:t>.</w:t>
      </w:r>
      <w:r w:rsidR="008715E1">
        <w:t xml:space="preserve"> </w:t>
      </w:r>
    </w:p>
    <w:p w14:paraId="2AD242DD" w14:textId="16A8D6A8" w:rsidR="00891965" w:rsidRPr="004F3865" w:rsidRDefault="00891965" w:rsidP="00891965">
      <w:pPr>
        <w:pStyle w:val="3-BodyText"/>
      </w:pPr>
      <w:r w:rsidRPr="00580A48">
        <w:t xml:space="preserve">The results of the </w:t>
      </w:r>
      <w:r>
        <w:t xml:space="preserve">main </w:t>
      </w:r>
      <w:r w:rsidRPr="00580A48">
        <w:t xml:space="preserve">ITC between </w:t>
      </w:r>
      <w:r>
        <w:t>fruquintinib</w:t>
      </w:r>
      <w:r w:rsidRPr="00580A48">
        <w:t xml:space="preserve"> and </w:t>
      </w:r>
      <w:r w:rsidR="000B4F3F">
        <w:t>TRI/TIP</w:t>
      </w:r>
      <w:r>
        <w:t>, based on</w:t>
      </w:r>
      <w:r w:rsidR="00A16484">
        <w:t xml:space="preserve"> the</w:t>
      </w:r>
      <w:r>
        <w:t xml:space="preserve"> FRESCO 2 and RECOURSE trials,</w:t>
      </w:r>
      <w:r w:rsidRPr="00580A48">
        <w:t xml:space="preserve"> found no statistically significant differences </w:t>
      </w:r>
      <w:r w:rsidR="003E7B3E">
        <w:t xml:space="preserve">in OS </w:t>
      </w:r>
      <w:r w:rsidRPr="00580A48">
        <w:t>between the two treatments (HR = 0.97; 95% CI: 0.7</w:t>
      </w:r>
      <w:r>
        <w:t>6</w:t>
      </w:r>
      <w:r w:rsidRPr="00580A48">
        <w:t>, 1.2</w:t>
      </w:r>
      <w:r>
        <w:t>5</w:t>
      </w:r>
      <w:r w:rsidRPr="00580A48">
        <w:t xml:space="preserve">). </w:t>
      </w:r>
      <w:r>
        <w:rPr>
          <w:lang w:eastAsia="en-GB"/>
        </w:rPr>
        <w:t xml:space="preserve">The results of </w:t>
      </w:r>
      <w:r w:rsidR="002A0DF7">
        <w:rPr>
          <w:lang w:eastAsia="en-GB"/>
        </w:rPr>
        <w:t xml:space="preserve">the </w:t>
      </w:r>
      <w:r>
        <w:rPr>
          <w:lang w:eastAsia="en-GB"/>
        </w:rPr>
        <w:t>sensitivity analysis for OS</w:t>
      </w:r>
      <w:r w:rsidR="00015A20">
        <w:rPr>
          <w:lang w:eastAsia="en-GB"/>
        </w:rPr>
        <w:t xml:space="preserve"> (ITC using meta-analys</w:t>
      </w:r>
      <w:r w:rsidR="005B0471">
        <w:rPr>
          <w:lang w:eastAsia="en-GB"/>
        </w:rPr>
        <w:t>e</w:t>
      </w:r>
      <w:r w:rsidR="00015A20">
        <w:rPr>
          <w:lang w:eastAsia="en-GB"/>
        </w:rPr>
        <w:t>s)</w:t>
      </w:r>
      <w:r>
        <w:rPr>
          <w:lang w:eastAsia="en-GB"/>
        </w:rPr>
        <w:t xml:space="preserve"> were consistent with the main ITC </w:t>
      </w:r>
      <w:r w:rsidR="002A0DF7">
        <w:rPr>
          <w:lang w:eastAsia="en-GB"/>
        </w:rPr>
        <w:t>analysis</w:t>
      </w:r>
      <w:r w:rsidR="00DE218F">
        <w:rPr>
          <w:lang w:eastAsia="en-GB"/>
        </w:rPr>
        <w:t xml:space="preserve"> (HR = </w:t>
      </w:r>
      <w:r w:rsidR="00DE218F" w:rsidRPr="00DE218F">
        <w:rPr>
          <w:lang w:eastAsia="en-GB"/>
        </w:rPr>
        <w:t>0.96</w:t>
      </w:r>
      <w:r w:rsidR="00DE218F">
        <w:rPr>
          <w:lang w:eastAsia="en-GB"/>
        </w:rPr>
        <w:t xml:space="preserve">; 95% CI: </w:t>
      </w:r>
      <w:r w:rsidR="00DE218F" w:rsidRPr="00DE218F">
        <w:rPr>
          <w:lang w:eastAsia="en-GB"/>
        </w:rPr>
        <w:t>0.78, 1.17)</w:t>
      </w:r>
      <w:r>
        <w:rPr>
          <w:lang w:eastAsia="en-GB"/>
        </w:rPr>
        <w:t xml:space="preserve">. </w:t>
      </w:r>
      <w:r w:rsidR="00650BB8" w:rsidRPr="004F3865">
        <w:t>The results of the ITC analysis remained consistent when updated data from the RECOURSE trial (data cut-off: October 2014) was incorporated (HR = 0.96 (95% CI: 0.75, 1.22)</w:t>
      </w:r>
      <w:r w:rsidR="00F72D5B" w:rsidRPr="004F3865">
        <w:t>.</w:t>
      </w:r>
    </w:p>
    <w:p w14:paraId="5F5BE217" w14:textId="5C948C0A" w:rsidR="00891965" w:rsidRDefault="00891965" w:rsidP="00891965">
      <w:pPr>
        <w:pStyle w:val="3-BodyText"/>
      </w:pPr>
      <w:r>
        <w:fldChar w:fldCharType="begin"/>
      </w:r>
      <w:r>
        <w:instrText xml:space="preserve"> REF _Ref164308210 \h </w:instrText>
      </w:r>
      <w:r>
        <w:fldChar w:fldCharType="separate"/>
      </w:r>
      <w:r w:rsidR="00F03729">
        <w:t xml:space="preserve">Figure </w:t>
      </w:r>
      <w:r w:rsidR="00F03729">
        <w:rPr>
          <w:noProof/>
        </w:rPr>
        <w:t>2</w:t>
      </w:r>
      <w:r>
        <w:fldChar w:fldCharType="end"/>
      </w:r>
      <w:r>
        <w:t xml:space="preserve"> </w:t>
      </w:r>
      <w:r w:rsidRPr="004C67CC">
        <w:t>present</w:t>
      </w:r>
      <w:r>
        <w:t>s</w:t>
      </w:r>
      <w:r w:rsidRPr="004C67CC">
        <w:t xml:space="preserve"> an overlay of the </w:t>
      </w:r>
      <w:r>
        <w:t xml:space="preserve">Kaplan-Meier (KM) </w:t>
      </w:r>
      <w:r w:rsidRPr="004C67CC">
        <w:t>curves</w:t>
      </w:r>
      <w:r>
        <w:t xml:space="preserve"> for OS</w:t>
      </w:r>
      <w:r w:rsidRPr="004C67CC">
        <w:t xml:space="preserve"> from</w:t>
      </w:r>
      <w:r w:rsidR="00A16484">
        <w:t xml:space="preserve"> the</w:t>
      </w:r>
      <w:r w:rsidRPr="004C67CC">
        <w:t xml:space="preserve"> FRESCO 2 and RECOURSE</w:t>
      </w:r>
      <w:r>
        <w:t xml:space="preserve"> trials.</w:t>
      </w:r>
      <w:r w:rsidR="00465CC3" w:rsidRPr="00465CC3">
        <w:t xml:space="preserve"> </w:t>
      </w:r>
      <w:r w:rsidR="00465CC3" w:rsidRPr="004F3865">
        <w:t xml:space="preserve">The overlaid KM curves from FRESCO 2 and RECOURSE trials illustrated that OS was similar between fruquintinib and </w:t>
      </w:r>
      <w:r w:rsidR="00465CC3">
        <w:t>TRI/TIP</w:t>
      </w:r>
      <w:r w:rsidR="00465CC3" w:rsidRPr="004F3865">
        <w:t xml:space="preserve"> at all timepoints</w:t>
      </w:r>
      <w:r w:rsidR="00465CC3">
        <w:t>.</w:t>
      </w:r>
    </w:p>
    <w:p w14:paraId="62FD62F9" w14:textId="3E0BFA24" w:rsidR="00891965" w:rsidRDefault="00891965" w:rsidP="00215C60">
      <w:pPr>
        <w:pStyle w:val="Caption"/>
        <w:jc w:val="left"/>
      </w:pPr>
      <w:bookmarkStart w:id="51" w:name="_Ref164308210"/>
      <w:r>
        <w:t xml:space="preserve">Figure </w:t>
      </w:r>
      <w:r w:rsidR="00DD5C00">
        <w:fldChar w:fldCharType="begin"/>
      </w:r>
      <w:r w:rsidR="00DD5C00">
        <w:instrText xml:space="preserve"> SEQ Figure \* ARABIC </w:instrText>
      </w:r>
      <w:r w:rsidR="00DD5C00">
        <w:fldChar w:fldCharType="separate"/>
      </w:r>
      <w:r w:rsidR="00F03729">
        <w:rPr>
          <w:noProof/>
        </w:rPr>
        <w:t>2</w:t>
      </w:r>
      <w:r w:rsidR="00DD5C00">
        <w:rPr>
          <w:noProof/>
        </w:rPr>
        <w:fldChar w:fldCharType="end"/>
      </w:r>
      <w:bookmarkEnd w:id="51"/>
      <w:r>
        <w:t xml:space="preserve">: </w:t>
      </w:r>
      <w:r w:rsidRPr="00B318E3">
        <w:t>Overlay of KM curves for OS from FRESCO 2 and RECOURSE</w:t>
      </w:r>
    </w:p>
    <w:p w14:paraId="2DCAC366" w14:textId="77777777" w:rsidR="00891965" w:rsidRDefault="00891965" w:rsidP="00215C60">
      <w:pPr>
        <w:pStyle w:val="TableFigureHeading"/>
        <w:rPr>
          <w:rFonts w:eastAsia="Times New Roman" w:cs="Arial"/>
          <w:b w:val="0"/>
          <w:bCs w:val="0"/>
          <w:snapToGrid w:val="0"/>
          <w:sz w:val="18"/>
          <w:szCs w:val="22"/>
        </w:rPr>
      </w:pPr>
      <w:r w:rsidRPr="00367B31">
        <w:rPr>
          <w:noProof/>
        </w:rPr>
        <w:drawing>
          <wp:inline distT="0" distB="0" distL="0" distR="0" wp14:anchorId="055CCBB9" wp14:editId="13469BD5">
            <wp:extent cx="4945075" cy="3576955"/>
            <wp:effectExtent l="0" t="0" r="8255" b="4445"/>
            <wp:docPr id="77892275" name="Picture 77892275" descr="Figure 2: Overlay of KM curves for OS from FRESCO 2 and R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2275" name="Picture 77892275" descr="Figure 2: Overlay of KM curves for OS from FRESCO 2 and RECOURSE"/>
                    <pic:cNvPicPr/>
                  </pic:nvPicPr>
                  <pic:blipFill>
                    <a:blip r:embed="rId8"/>
                    <a:stretch>
                      <a:fillRect/>
                    </a:stretch>
                  </pic:blipFill>
                  <pic:spPr>
                    <a:xfrm>
                      <a:off x="0" y="0"/>
                      <a:ext cx="5034234" cy="3641447"/>
                    </a:xfrm>
                    <a:prstGeom prst="rect">
                      <a:avLst/>
                    </a:prstGeom>
                  </pic:spPr>
                </pic:pic>
              </a:graphicData>
            </a:graphic>
          </wp:inline>
        </w:drawing>
      </w:r>
    </w:p>
    <w:p w14:paraId="578EAEA6" w14:textId="655E514E" w:rsidR="00891965" w:rsidRPr="00615ADE" w:rsidRDefault="00891965" w:rsidP="007A7A0C">
      <w:pPr>
        <w:pStyle w:val="TableFigureHeading"/>
        <w:keepNext w:val="0"/>
        <w:spacing w:after="120"/>
        <w:rPr>
          <w:rFonts w:eastAsia="Times New Roman" w:cs="Arial"/>
          <w:b w:val="0"/>
          <w:snapToGrid w:val="0"/>
          <w:sz w:val="18"/>
          <w:szCs w:val="22"/>
        </w:rPr>
      </w:pPr>
      <w:r w:rsidRPr="0033051C">
        <w:rPr>
          <w:rFonts w:eastAsia="Times New Roman" w:cs="Arial"/>
          <w:b w:val="0"/>
          <w:bCs w:val="0"/>
          <w:snapToGrid w:val="0"/>
          <w:sz w:val="18"/>
          <w:szCs w:val="22"/>
        </w:rPr>
        <w:t>Source: Figure 2-</w:t>
      </w:r>
      <w:r>
        <w:rPr>
          <w:rFonts w:eastAsia="Times New Roman" w:cs="Arial"/>
          <w:b w:val="0"/>
          <w:bCs w:val="0"/>
          <w:snapToGrid w:val="0"/>
          <w:sz w:val="18"/>
          <w:szCs w:val="22"/>
        </w:rPr>
        <w:t>53</w:t>
      </w:r>
      <w:r w:rsidRPr="0033051C">
        <w:rPr>
          <w:rFonts w:eastAsia="Times New Roman" w:cs="Arial"/>
          <w:b w:val="0"/>
          <w:bCs w:val="0"/>
          <w:snapToGrid w:val="0"/>
          <w:sz w:val="18"/>
          <w:szCs w:val="22"/>
        </w:rPr>
        <w:t>, p1</w:t>
      </w:r>
      <w:r>
        <w:rPr>
          <w:rFonts w:eastAsia="Times New Roman" w:cs="Arial"/>
          <w:b w:val="0"/>
          <w:bCs w:val="0"/>
          <w:snapToGrid w:val="0"/>
          <w:sz w:val="18"/>
          <w:szCs w:val="22"/>
        </w:rPr>
        <w:t>63</w:t>
      </w:r>
      <w:r w:rsidRPr="0033051C">
        <w:rPr>
          <w:rFonts w:eastAsia="Times New Roman" w:cs="Arial"/>
          <w:b w:val="0"/>
          <w:bCs w:val="0"/>
          <w:snapToGrid w:val="0"/>
          <w:sz w:val="18"/>
          <w:szCs w:val="22"/>
        </w:rPr>
        <w:t xml:space="preserve"> of the </w:t>
      </w:r>
      <w:r w:rsidR="007E3DEE">
        <w:rPr>
          <w:rFonts w:eastAsia="Times New Roman" w:cs="Arial"/>
          <w:b w:val="0"/>
          <w:bCs w:val="0"/>
          <w:snapToGrid w:val="0"/>
          <w:sz w:val="18"/>
          <w:szCs w:val="22"/>
        </w:rPr>
        <w:t>s</w:t>
      </w:r>
      <w:r w:rsidR="007E3DEE" w:rsidRPr="0033051C">
        <w:rPr>
          <w:rFonts w:eastAsia="Times New Roman" w:cs="Arial"/>
          <w:b w:val="0"/>
          <w:bCs w:val="0"/>
          <w:snapToGrid w:val="0"/>
          <w:sz w:val="18"/>
          <w:szCs w:val="22"/>
        </w:rPr>
        <w:t>ubmission.</w:t>
      </w:r>
      <w:r w:rsidR="007E3DEE" w:rsidRPr="00284372">
        <w:rPr>
          <w:rFonts w:eastAsia="Times New Roman" w:cs="Arial"/>
          <w:b w:val="0"/>
          <w:snapToGrid w:val="0"/>
          <w:sz w:val="18"/>
          <w:szCs w:val="22"/>
        </w:rPr>
        <w:t xml:space="preserve"> FRU</w:t>
      </w:r>
      <w:r w:rsidRPr="00284372">
        <w:rPr>
          <w:rFonts w:eastAsia="Times New Roman" w:cs="Arial"/>
          <w:b w:val="0"/>
          <w:snapToGrid w:val="0"/>
          <w:sz w:val="18"/>
          <w:szCs w:val="22"/>
        </w:rPr>
        <w:t xml:space="preserve"> = fruquintinib; KM= Kaplan-Meier; OS = overall survival</w:t>
      </w:r>
      <w:r>
        <w:rPr>
          <w:rFonts w:eastAsia="Times New Roman" w:cs="Arial"/>
          <w:b w:val="0"/>
          <w:snapToGrid w:val="0"/>
          <w:sz w:val="18"/>
          <w:szCs w:val="22"/>
        </w:rPr>
        <w:t xml:space="preserve">; </w:t>
      </w:r>
      <w:r w:rsidR="000B4F3F" w:rsidRPr="000B4F3F">
        <w:rPr>
          <w:rFonts w:eastAsia="Times New Roman" w:cs="Arial"/>
          <w:b w:val="0"/>
          <w:snapToGrid w:val="0"/>
          <w:sz w:val="18"/>
          <w:szCs w:val="22"/>
        </w:rPr>
        <w:t xml:space="preserve">TRI/TIP </w:t>
      </w:r>
      <w:r w:rsidRPr="00284372">
        <w:rPr>
          <w:rFonts w:eastAsia="Times New Roman" w:cs="Arial"/>
          <w:b w:val="0"/>
          <w:snapToGrid w:val="0"/>
          <w:sz w:val="18"/>
          <w:szCs w:val="22"/>
        </w:rPr>
        <w:t>= trifluridine/tipiracil.</w:t>
      </w:r>
    </w:p>
    <w:p w14:paraId="7D185C7C" w14:textId="2F1AE871" w:rsidR="00891965" w:rsidRPr="00DF621D" w:rsidRDefault="00891965" w:rsidP="00891965">
      <w:pPr>
        <w:pStyle w:val="3-BodyText"/>
      </w:pPr>
      <w:r w:rsidRPr="00EE272A">
        <w:rPr>
          <w:color w:val="000000" w:themeColor="text1"/>
        </w:rPr>
        <w:lastRenderedPageBreak/>
        <w:t xml:space="preserve">The results of </w:t>
      </w:r>
      <w:r w:rsidR="003D3061">
        <w:rPr>
          <w:color w:val="000000" w:themeColor="text1"/>
        </w:rPr>
        <w:t xml:space="preserve">the </w:t>
      </w:r>
      <w:r w:rsidRPr="00EE272A">
        <w:rPr>
          <w:color w:val="000000" w:themeColor="text1"/>
        </w:rPr>
        <w:t xml:space="preserve">PFS </w:t>
      </w:r>
      <w:r w:rsidR="003D3061">
        <w:rPr>
          <w:color w:val="000000" w:themeColor="text1"/>
        </w:rPr>
        <w:t xml:space="preserve">analysis </w:t>
      </w:r>
      <w:r w:rsidRPr="00EE272A">
        <w:rPr>
          <w:color w:val="000000" w:themeColor="text1"/>
        </w:rPr>
        <w:t xml:space="preserve">for the direct and indirect comparisons are presented in </w:t>
      </w:r>
      <w:r>
        <w:fldChar w:fldCharType="begin"/>
      </w:r>
      <w:r>
        <w:instrText xml:space="preserve"> REF _Ref164309155 \h </w:instrText>
      </w:r>
      <w:r>
        <w:fldChar w:fldCharType="separate"/>
      </w:r>
      <w:r w:rsidR="00F03729">
        <w:t xml:space="preserve">Table </w:t>
      </w:r>
      <w:r w:rsidR="00F03729">
        <w:rPr>
          <w:noProof/>
        </w:rPr>
        <w:t>5</w:t>
      </w:r>
      <w:r>
        <w:fldChar w:fldCharType="end"/>
      </w:r>
      <w:r w:rsidRPr="00DF621D">
        <w:t>.</w:t>
      </w:r>
    </w:p>
    <w:p w14:paraId="2AA0F1D1" w14:textId="6AA70F61" w:rsidR="00891965" w:rsidRDefault="00891965" w:rsidP="009C12CD">
      <w:pPr>
        <w:pStyle w:val="Caption"/>
      </w:pPr>
      <w:bookmarkStart w:id="52" w:name="_Ref164309155"/>
      <w:r>
        <w:t xml:space="preserve">Table </w:t>
      </w:r>
      <w:r w:rsidR="00DD5C00">
        <w:fldChar w:fldCharType="begin"/>
      </w:r>
      <w:r w:rsidR="00DD5C00">
        <w:instrText xml:space="preserve"> SEQ Table \* ARABIC </w:instrText>
      </w:r>
      <w:r w:rsidR="00DD5C00">
        <w:fldChar w:fldCharType="separate"/>
      </w:r>
      <w:r w:rsidR="00F03729">
        <w:rPr>
          <w:noProof/>
        </w:rPr>
        <w:t>5</w:t>
      </w:r>
      <w:r w:rsidR="00DD5C00">
        <w:rPr>
          <w:noProof/>
        </w:rPr>
        <w:fldChar w:fldCharType="end"/>
      </w:r>
      <w:bookmarkEnd w:id="52"/>
      <w:r>
        <w:t xml:space="preserve">: </w:t>
      </w:r>
      <w:r w:rsidRPr="00216E5E">
        <w:rPr>
          <w:rStyle w:val="CommentReference"/>
          <w:b/>
          <w:szCs w:val="24"/>
        </w:rPr>
        <w:t xml:space="preserve">Results of </w:t>
      </w:r>
      <w:r>
        <w:rPr>
          <w:rStyle w:val="CommentReference"/>
          <w:b/>
          <w:szCs w:val="24"/>
        </w:rPr>
        <w:t>PF</w:t>
      </w:r>
      <w:r w:rsidRPr="00216E5E">
        <w:rPr>
          <w:rStyle w:val="CommentReference"/>
          <w:b/>
          <w:szCs w:val="24"/>
        </w:rPr>
        <w:t>S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PFS across the trials"/>
      </w:tblPr>
      <w:tblGrid>
        <w:gridCol w:w="1146"/>
        <w:gridCol w:w="1116"/>
        <w:gridCol w:w="1419"/>
        <w:gridCol w:w="1133"/>
        <w:gridCol w:w="1417"/>
        <w:gridCol w:w="1277"/>
        <w:gridCol w:w="1509"/>
      </w:tblGrid>
      <w:tr w:rsidR="00891965" w14:paraId="0A83CA96" w14:textId="77777777" w:rsidTr="00DB2E12">
        <w:trPr>
          <w:trHeight w:val="56"/>
          <w:tblHeader/>
        </w:trPr>
        <w:tc>
          <w:tcPr>
            <w:tcW w:w="635" w:type="pct"/>
            <w:vMerge w:val="restart"/>
            <w:tcBorders>
              <w:top w:val="single" w:sz="4" w:space="0" w:color="auto"/>
              <w:left w:val="single" w:sz="4" w:space="0" w:color="auto"/>
              <w:bottom w:val="single" w:sz="4" w:space="0" w:color="auto"/>
              <w:right w:val="single" w:sz="4" w:space="0" w:color="auto"/>
            </w:tcBorders>
            <w:vAlign w:val="center"/>
            <w:hideMark/>
          </w:tcPr>
          <w:p w14:paraId="7B69A0A2" w14:textId="77777777" w:rsidR="00891965" w:rsidRDefault="00891965" w:rsidP="009C12CD">
            <w:pPr>
              <w:pStyle w:val="TableFigureHeading"/>
              <w:keepLines/>
            </w:pPr>
            <w:r>
              <w:t>Trial ID</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14:paraId="1E447285" w14:textId="3A81C86B" w:rsidR="00891965" w:rsidRDefault="00E52DFB" w:rsidP="009C12CD">
            <w:pPr>
              <w:pStyle w:val="TableFigureHeading"/>
              <w:keepLines/>
              <w:jc w:val="center"/>
            </w:pPr>
            <w:r>
              <w:t>Intervention</w:t>
            </w:r>
          </w:p>
        </w:tc>
        <w:tc>
          <w:tcPr>
            <w:tcW w:w="1414" w:type="pct"/>
            <w:gridSpan w:val="2"/>
            <w:tcBorders>
              <w:top w:val="single" w:sz="4" w:space="0" w:color="auto"/>
              <w:left w:val="single" w:sz="4" w:space="0" w:color="auto"/>
              <w:bottom w:val="single" w:sz="4" w:space="0" w:color="auto"/>
              <w:right w:val="single" w:sz="4" w:space="0" w:color="auto"/>
            </w:tcBorders>
            <w:vAlign w:val="center"/>
            <w:hideMark/>
          </w:tcPr>
          <w:p w14:paraId="42EA21F9" w14:textId="77777777" w:rsidR="00891965" w:rsidRDefault="00891965" w:rsidP="009C12CD">
            <w:pPr>
              <w:pStyle w:val="TableFigureHeading"/>
              <w:keepLines/>
              <w:jc w:val="center"/>
            </w:pPr>
            <w:r>
              <w:t>Placebo</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14:paraId="2B261624" w14:textId="177BEA99" w:rsidR="00891965" w:rsidRDefault="00891965" w:rsidP="009C12CD">
            <w:pPr>
              <w:pStyle w:val="TableFigureHeading"/>
              <w:keepLines/>
              <w:jc w:val="center"/>
            </w:pPr>
            <w:r>
              <w:t>Absolute difference in median</w:t>
            </w:r>
            <w:r w:rsidR="00126FB1" w:rsidRPr="00126FB1">
              <w:rPr>
                <w:vertAlign w:val="superscript"/>
              </w:rPr>
              <w:t>a</w:t>
            </w:r>
          </w:p>
        </w:tc>
        <w:tc>
          <w:tcPr>
            <w:tcW w:w="837" w:type="pct"/>
            <w:vMerge w:val="restart"/>
            <w:tcBorders>
              <w:top w:val="single" w:sz="4" w:space="0" w:color="auto"/>
              <w:left w:val="single" w:sz="4" w:space="0" w:color="auto"/>
              <w:right w:val="single" w:sz="4" w:space="0" w:color="auto"/>
            </w:tcBorders>
            <w:vAlign w:val="center"/>
            <w:hideMark/>
          </w:tcPr>
          <w:p w14:paraId="6F2C1DE5" w14:textId="77777777" w:rsidR="00891965" w:rsidRDefault="00891965" w:rsidP="009C12CD">
            <w:pPr>
              <w:pStyle w:val="TableFigureHeading"/>
              <w:keepLines/>
              <w:jc w:val="center"/>
            </w:pPr>
            <w:r>
              <w:t>Hazard ratio (95% CI)</w:t>
            </w:r>
          </w:p>
        </w:tc>
      </w:tr>
      <w:tr w:rsidR="00891965" w14:paraId="75E25AE9" w14:textId="77777777" w:rsidTr="00DB2E12">
        <w:tc>
          <w:tcPr>
            <w:tcW w:w="635" w:type="pct"/>
            <w:vMerge/>
            <w:tcBorders>
              <w:top w:val="single" w:sz="4" w:space="0" w:color="auto"/>
              <w:left w:val="single" w:sz="4" w:space="0" w:color="auto"/>
              <w:bottom w:val="single" w:sz="4" w:space="0" w:color="auto"/>
              <w:right w:val="single" w:sz="4" w:space="0" w:color="auto"/>
            </w:tcBorders>
            <w:vAlign w:val="center"/>
            <w:hideMark/>
          </w:tcPr>
          <w:p w14:paraId="7CFFA1A6" w14:textId="77777777" w:rsidR="00891965" w:rsidRDefault="00891965" w:rsidP="009C12CD">
            <w:pPr>
              <w:keepNext/>
              <w:keepLines/>
              <w:jc w:val="left"/>
              <w:rPr>
                <w:rFonts w:ascii="Arial Narrow" w:eastAsiaTheme="majorEastAsia" w:hAnsi="Arial Narrow" w:cstheme="majorBidi"/>
                <w:b/>
                <w:bCs/>
                <w:sz w:val="20"/>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75E9503E" w14:textId="77777777" w:rsidR="00891965" w:rsidRDefault="00891965" w:rsidP="009C12CD">
            <w:pPr>
              <w:pStyle w:val="TableText0"/>
              <w:keepLines/>
              <w:jc w:val="center"/>
              <w:rPr>
                <w:b/>
                <w:bCs w:val="0"/>
              </w:rPr>
            </w:pPr>
            <w:r>
              <w:rPr>
                <w:b/>
                <w:bCs w:val="0"/>
              </w:rPr>
              <w:t>n with event / N (%)</w:t>
            </w:r>
          </w:p>
        </w:tc>
        <w:tc>
          <w:tcPr>
            <w:tcW w:w="787" w:type="pct"/>
            <w:tcBorders>
              <w:top w:val="single" w:sz="4" w:space="0" w:color="auto"/>
              <w:left w:val="single" w:sz="4" w:space="0" w:color="auto"/>
              <w:bottom w:val="single" w:sz="4" w:space="0" w:color="auto"/>
              <w:right w:val="single" w:sz="4" w:space="0" w:color="auto"/>
            </w:tcBorders>
            <w:vAlign w:val="center"/>
            <w:hideMark/>
          </w:tcPr>
          <w:p w14:paraId="12B84CF1" w14:textId="77777777" w:rsidR="00891965" w:rsidRDefault="00891965" w:rsidP="009C12CD">
            <w:pPr>
              <w:pStyle w:val="TableText0"/>
              <w:keepLines/>
              <w:jc w:val="center"/>
              <w:rPr>
                <w:b/>
                <w:bCs w:val="0"/>
              </w:rPr>
            </w:pPr>
            <w:r>
              <w:rPr>
                <w:b/>
                <w:bCs w:val="0"/>
              </w:rPr>
              <w:t>Median PFS (months)</w:t>
            </w:r>
          </w:p>
          <w:p w14:paraId="436C7B1D" w14:textId="77777777" w:rsidR="00891965" w:rsidRDefault="00891965" w:rsidP="009C12CD">
            <w:pPr>
              <w:pStyle w:val="TableText0"/>
              <w:keepLines/>
              <w:jc w:val="center"/>
              <w:rPr>
                <w:b/>
                <w:bCs w:val="0"/>
              </w:rPr>
            </w:pPr>
            <w:r>
              <w:rPr>
                <w:b/>
                <w:bCs w:val="0"/>
              </w:rPr>
              <w:t xml:space="preserve"> (95% CI)</w:t>
            </w:r>
          </w:p>
        </w:tc>
        <w:tc>
          <w:tcPr>
            <w:tcW w:w="628" w:type="pct"/>
            <w:tcBorders>
              <w:top w:val="single" w:sz="4" w:space="0" w:color="auto"/>
              <w:left w:val="single" w:sz="4" w:space="0" w:color="auto"/>
              <w:bottom w:val="single" w:sz="4" w:space="0" w:color="auto"/>
              <w:right w:val="single" w:sz="4" w:space="0" w:color="auto"/>
            </w:tcBorders>
            <w:vAlign w:val="center"/>
            <w:hideMark/>
          </w:tcPr>
          <w:p w14:paraId="33BBDEE7" w14:textId="77777777" w:rsidR="00891965" w:rsidRDefault="00891965" w:rsidP="009C12CD">
            <w:pPr>
              <w:pStyle w:val="TableText0"/>
              <w:keepLines/>
              <w:jc w:val="center"/>
            </w:pPr>
            <w:r>
              <w:rPr>
                <w:b/>
                <w:bCs w:val="0"/>
              </w:rPr>
              <w:t>n with event / N (%)</w:t>
            </w:r>
          </w:p>
        </w:tc>
        <w:tc>
          <w:tcPr>
            <w:tcW w:w="786" w:type="pct"/>
            <w:tcBorders>
              <w:top w:val="single" w:sz="4" w:space="0" w:color="auto"/>
              <w:left w:val="single" w:sz="4" w:space="0" w:color="auto"/>
              <w:bottom w:val="single" w:sz="4" w:space="0" w:color="auto"/>
              <w:right w:val="single" w:sz="4" w:space="0" w:color="auto"/>
            </w:tcBorders>
            <w:vAlign w:val="center"/>
            <w:hideMark/>
          </w:tcPr>
          <w:p w14:paraId="496315D0" w14:textId="77777777" w:rsidR="00891965" w:rsidRDefault="00891965" w:rsidP="009C12CD">
            <w:pPr>
              <w:pStyle w:val="TableText0"/>
              <w:keepLines/>
              <w:jc w:val="center"/>
              <w:rPr>
                <w:b/>
                <w:bCs w:val="0"/>
              </w:rPr>
            </w:pPr>
            <w:r>
              <w:rPr>
                <w:b/>
                <w:bCs w:val="0"/>
              </w:rPr>
              <w:t xml:space="preserve">Median PFS (months) </w:t>
            </w:r>
          </w:p>
          <w:p w14:paraId="7948BADB" w14:textId="77777777" w:rsidR="00891965" w:rsidRDefault="00891965" w:rsidP="009C12CD">
            <w:pPr>
              <w:pStyle w:val="TableText0"/>
              <w:keepLines/>
              <w:jc w:val="center"/>
            </w:pPr>
            <w:r>
              <w:rPr>
                <w:b/>
                <w:bCs w:val="0"/>
              </w:rPr>
              <w:t>(95% CI)</w:t>
            </w: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76354BC8" w14:textId="77777777" w:rsidR="00891965" w:rsidRDefault="00891965" w:rsidP="009C12CD">
            <w:pPr>
              <w:keepNext/>
              <w:keepLines/>
              <w:jc w:val="left"/>
              <w:rPr>
                <w:rFonts w:ascii="Arial Narrow" w:eastAsiaTheme="majorEastAsia" w:hAnsi="Arial Narrow" w:cstheme="majorBidi"/>
                <w:bCs/>
                <w:sz w:val="20"/>
              </w:rPr>
            </w:pPr>
          </w:p>
        </w:tc>
        <w:tc>
          <w:tcPr>
            <w:tcW w:w="837" w:type="pct"/>
            <w:vMerge/>
            <w:tcBorders>
              <w:left w:val="single" w:sz="4" w:space="0" w:color="auto"/>
              <w:bottom w:val="single" w:sz="4" w:space="0" w:color="auto"/>
              <w:right w:val="single" w:sz="4" w:space="0" w:color="auto"/>
            </w:tcBorders>
            <w:vAlign w:val="center"/>
            <w:hideMark/>
          </w:tcPr>
          <w:p w14:paraId="75A92AF8" w14:textId="77777777" w:rsidR="00891965" w:rsidRDefault="00891965" w:rsidP="009C12CD">
            <w:pPr>
              <w:keepNext/>
              <w:keepLines/>
              <w:jc w:val="left"/>
              <w:rPr>
                <w:rFonts w:ascii="Arial Narrow" w:eastAsiaTheme="majorEastAsia" w:hAnsi="Arial Narrow" w:cstheme="majorBidi"/>
                <w:b/>
                <w:bCs/>
                <w:sz w:val="20"/>
              </w:rPr>
            </w:pPr>
          </w:p>
        </w:tc>
      </w:tr>
      <w:tr w:rsidR="00891965" w14:paraId="677699DB" w14:textId="77777777" w:rsidTr="00DB2E12">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7C68F5D" w14:textId="77777777" w:rsidR="00891965" w:rsidRDefault="00891965" w:rsidP="009C12CD">
            <w:pPr>
              <w:pStyle w:val="TableText0"/>
              <w:keepLines/>
              <w:rPr>
                <w:b/>
                <w:bCs w:val="0"/>
              </w:rPr>
            </w:pPr>
            <w:r>
              <w:rPr>
                <w:b/>
                <w:bCs w:val="0"/>
              </w:rPr>
              <w:t>Fruquintinib trials</w:t>
            </w:r>
          </w:p>
        </w:tc>
      </w:tr>
      <w:tr w:rsidR="00891965" w14:paraId="7A20C2B9" w14:textId="77777777" w:rsidTr="00DB2E12">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953CE" w14:textId="77777777" w:rsidR="00891965" w:rsidRDefault="00891965" w:rsidP="009C12CD">
            <w:pPr>
              <w:pStyle w:val="TableText0"/>
              <w:keepLines/>
            </w:pPr>
            <w:r>
              <w:t>FRESCO 2</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710D93B" w14:textId="77777777" w:rsidR="00891965" w:rsidRDefault="00891965" w:rsidP="009C12CD">
            <w:pPr>
              <w:pStyle w:val="TableText0"/>
              <w:keepLines/>
              <w:jc w:val="center"/>
            </w:pPr>
            <w:r>
              <w:t>392/461 (85.0%)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C6A8CA5" w14:textId="77777777" w:rsidR="00891965" w:rsidRPr="002306C1" w:rsidRDefault="00891965" w:rsidP="009C12CD">
            <w:pPr>
              <w:pStyle w:val="TableText0"/>
              <w:keepLines/>
              <w:jc w:val="center"/>
            </w:pPr>
            <w:r w:rsidRPr="003C5F2C">
              <w:t>3.7 (3.5, 3.8)</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3EA2521C" w14:textId="77777777" w:rsidR="00891965" w:rsidRPr="003C5F2C" w:rsidRDefault="00891965" w:rsidP="009C12CD">
            <w:pPr>
              <w:pStyle w:val="Default"/>
              <w:keepNext/>
              <w:keepLines/>
              <w:jc w:val="center"/>
              <w:rPr>
                <w:rFonts w:ascii="Arial Narrow" w:eastAsiaTheme="majorEastAsia" w:hAnsi="Arial Narrow" w:cstheme="majorBidi"/>
                <w:bCs/>
                <w:i/>
                <w:iCs/>
                <w:color w:val="auto"/>
                <w:sz w:val="20"/>
              </w:rPr>
            </w:pPr>
            <w:r w:rsidRPr="00D26801">
              <w:rPr>
                <w:rFonts w:ascii="Arial Narrow" w:eastAsiaTheme="majorEastAsia" w:hAnsi="Arial Narrow" w:cstheme="majorBidi"/>
                <w:bCs/>
                <w:color w:val="auto"/>
                <w:sz w:val="20"/>
              </w:rPr>
              <w:t>213/230</w:t>
            </w:r>
            <w:r w:rsidRPr="003C5F2C">
              <w:rPr>
                <w:rFonts w:ascii="Arial Narrow" w:eastAsiaTheme="majorEastAsia" w:hAnsi="Arial Narrow" w:cstheme="majorBidi"/>
                <w:bCs/>
                <w:i/>
                <w:iCs/>
                <w:color w:val="auto"/>
                <w:sz w:val="20"/>
              </w:rPr>
              <w:t xml:space="preserve"> (93</w:t>
            </w:r>
            <w:r>
              <w:rPr>
                <w:rFonts w:ascii="Arial Narrow" w:eastAsiaTheme="majorEastAsia" w:hAnsi="Arial Narrow" w:cstheme="majorBidi"/>
                <w:bCs/>
                <w:i/>
                <w:iCs/>
                <w:color w:val="auto"/>
                <w:sz w:val="20"/>
              </w:rPr>
              <w:t>.0</w:t>
            </w:r>
            <w:r w:rsidRPr="003C5F2C">
              <w:rPr>
                <w:rFonts w:ascii="Arial Narrow" w:eastAsiaTheme="majorEastAsia" w:hAnsi="Arial Narrow" w:cstheme="majorBidi"/>
                <w:bCs/>
                <w:i/>
                <w:iCs/>
                <w:color w:val="auto"/>
                <w:sz w:val="20"/>
              </w:rPr>
              <w: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434D08A" w14:textId="77777777" w:rsidR="00891965" w:rsidRDefault="00891965" w:rsidP="009C12CD">
            <w:pPr>
              <w:pStyle w:val="Default"/>
              <w:keepNext/>
              <w:keepLines/>
              <w:jc w:val="center"/>
              <w:rPr>
                <w:rFonts w:ascii="Arial Narrow" w:eastAsiaTheme="majorEastAsia" w:hAnsi="Arial Narrow" w:cstheme="majorBidi"/>
                <w:bCs/>
                <w:color w:val="auto"/>
                <w:sz w:val="20"/>
              </w:rPr>
            </w:pPr>
            <w:r w:rsidRPr="003C5F2C">
              <w:rPr>
                <w:rFonts w:ascii="Arial Narrow" w:eastAsiaTheme="majorEastAsia" w:hAnsi="Arial Narrow" w:cstheme="majorBidi"/>
                <w:bCs/>
                <w:color w:val="auto"/>
                <w:sz w:val="20"/>
              </w:rPr>
              <w:t>1.8 (1.8, 1.9)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312C34" w14:textId="77777777" w:rsidR="00891965" w:rsidRPr="00126FB1" w:rsidRDefault="00891965" w:rsidP="009C12CD">
            <w:pPr>
              <w:pStyle w:val="TableText0"/>
              <w:keepLines/>
              <w:jc w:val="center"/>
            </w:pPr>
            <w:r w:rsidRPr="00126FB1">
              <w:t>1.9 months</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E799A49" w14:textId="77777777" w:rsidR="00891965" w:rsidRPr="002306C1" w:rsidRDefault="00891965" w:rsidP="009C12CD">
            <w:pPr>
              <w:pStyle w:val="Default"/>
              <w:keepNext/>
              <w:keepLines/>
              <w:jc w:val="center"/>
              <w:rPr>
                <w:rFonts w:ascii="Arial Narrow" w:eastAsiaTheme="majorEastAsia" w:hAnsi="Arial Narrow" w:cstheme="majorBidi"/>
                <w:b/>
                <w:color w:val="auto"/>
                <w:sz w:val="20"/>
              </w:rPr>
            </w:pPr>
            <w:r w:rsidRPr="003C5F2C">
              <w:rPr>
                <w:rFonts w:ascii="Arial Narrow" w:eastAsiaTheme="majorEastAsia" w:hAnsi="Arial Narrow" w:cstheme="majorBidi"/>
                <w:b/>
                <w:color w:val="auto"/>
                <w:sz w:val="20"/>
              </w:rPr>
              <w:t>0.32 (0.2</w:t>
            </w:r>
            <w:r>
              <w:rPr>
                <w:rFonts w:ascii="Arial Narrow" w:eastAsiaTheme="majorEastAsia" w:hAnsi="Arial Narrow" w:cstheme="majorBidi"/>
                <w:b/>
                <w:color w:val="auto"/>
                <w:sz w:val="20"/>
              </w:rPr>
              <w:t>7</w:t>
            </w:r>
            <w:r w:rsidRPr="003C5F2C">
              <w:rPr>
                <w:rFonts w:ascii="Arial Narrow" w:eastAsiaTheme="majorEastAsia" w:hAnsi="Arial Narrow" w:cstheme="majorBidi"/>
                <w:b/>
                <w:color w:val="auto"/>
                <w:sz w:val="20"/>
              </w:rPr>
              <w:t>, 0.3</w:t>
            </w:r>
            <w:r>
              <w:rPr>
                <w:rFonts w:ascii="Arial Narrow" w:eastAsiaTheme="majorEastAsia" w:hAnsi="Arial Narrow" w:cstheme="majorBidi"/>
                <w:b/>
                <w:color w:val="auto"/>
                <w:sz w:val="20"/>
              </w:rPr>
              <w:t>9</w:t>
            </w:r>
            <w:r w:rsidRPr="003C5F2C">
              <w:rPr>
                <w:rFonts w:ascii="Arial Narrow" w:eastAsiaTheme="majorEastAsia" w:hAnsi="Arial Narrow" w:cstheme="majorBidi"/>
                <w:b/>
                <w:color w:val="auto"/>
                <w:sz w:val="20"/>
              </w:rPr>
              <w:t>)</w:t>
            </w:r>
          </w:p>
        </w:tc>
      </w:tr>
      <w:tr w:rsidR="00891965" w14:paraId="7F0AA158" w14:textId="77777777" w:rsidTr="00DB2E12">
        <w:tc>
          <w:tcPr>
            <w:tcW w:w="635" w:type="pct"/>
            <w:tcBorders>
              <w:top w:val="single" w:sz="4" w:space="0" w:color="auto"/>
              <w:left w:val="single" w:sz="4" w:space="0" w:color="auto"/>
              <w:bottom w:val="single" w:sz="4" w:space="0" w:color="auto"/>
              <w:right w:val="single" w:sz="4" w:space="0" w:color="auto"/>
            </w:tcBorders>
            <w:vAlign w:val="center"/>
            <w:hideMark/>
          </w:tcPr>
          <w:p w14:paraId="55DB3C1A" w14:textId="77777777" w:rsidR="00891965" w:rsidRDefault="00891965" w:rsidP="009C12CD">
            <w:pPr>
              <w:pStyle w:val="TableText0"/>
              <w:keepLines/>
            </w:pPr>
            <w:r>
              <w:t>FRESCO 1</w:t>
            </w:r>
          </w:p>
        </w:tc>
        <w:tc>
          <w:tcPr>
            <w:tcW w:w="619" w:type="pct"/>
            <w:tcBorders>
              <w:top w:val="single" w:sz="4" w:space="0" w:color="auto"/>
              <w:left w:val="single" w:sz="4" w:space="0" w:color="auto"/>
              <w:bottom w:val="single" w:sz="4" w:space="0" w:color="auto"/>
              <w:right w:val="single" w:sz="4" w:space="0" w:color="auto"/>
            </w:tcBorders>
            <w:vAlign w:val="center"/>
          </w:tcPr>
          <w:p w14:paraId="569D85E3" w14:textId="77777777" w:rsidR="00891965" w:rsidRDefault="00891965" w:rsidP="009C12CD">
            <w:pPr>
              <w:pStyle w:val="TableText0"/>
              <w:keepLines/>
              <w:jc w:val="center"/>
            </w:pPr>
            <w:r>
              <w:t>235/278 (84.5%)</w:t>
            </w:r>
          </w:p>
        </w:tc>
        <w:tc>
          <w:tcPr>
            <w:tcW w:w="787" w:type="pct"/>
            <w:tcBorders>
              <w:top w:val="single" w:sz="4" w:space="0" w:color="auto"/>
              <w:left w:val="single" w:sz="4" w:space="0" w:color="auto"/>
              <w:bottom w:val="single" w:sz="4" w:space="0" w:color="auto"/>
              <w:right w:val="single" w:sz="4" w:space="0" w:color="auto"/>
            </w:tcBorders>
            <w:vAlign w:val="center"/>
          </w:tcPr>
          <w:p w14:paraId="74264A80" w14:textId="77777777" w:rsidR="00891965" w:rsidRDefault="00891965" w:rsidP="009C12CD">
            <w:pPr>
              <w:pStyle w:val="TableText0"/>
              <w:keepLines/>
              <w:jc w:val="center"/>
            </w:pPr>
            <w:r w:rsidRPr="003C5F2C">
              <w:t>3.7 (3.</w:t>
            </w:r>
            <w:r>
              <w:t xml:space="preserve">7, </w:t>
            </w:r>
            <w:r w:rsidRPr="003C5F2C">
              <w:t>4.</w:t>
            </w:r>
            <w:r>
              <w:t>6</w:t>
            </w:r>
            <w:r w:rsidRPr="003C5F2C">
              <w:t>)</w:t>
            </w:r>
          </w:p>
        </w:tc>
        <w:tc>
          <w:tcPr>
            <w:tcW w:w="628" w:type="pct"/>
            <w:tcBorders>
              <w:top w:val="single" w:sz="4" w:space="0" w:color="auto"/>
              <w:left w:val="single" w:sz="4" w:space="0" w:color="auto"/>
              <w:bottom w:val="single" w:sz="4" w:space="0" w:color="auto"/>
              <w:right w:val="single" w:sz="4" w:space="0" w:color="auto"/>
            </w:tcBorders>
            <w:vAlign w:val="center"/>
          </w:tcPr>
          <w:p w14:paraId="7C05060F" w14:textId="77777777" w:rsidR="00891965" w:rsidRDefault="00891965" w:rsidP="009C12CD">
            <w:pPr>
              <w:pStyle w:val="TableText0"/>
              <w:keepLines/>
              <w:jc w:val="center"/>
            </w:pPr>
            <w:r>
              <w:t>125/138 (90.6%)</w:t>
            </w:r>
          </w:p>
        </w:tc>
        <w:tc>
          <w:tcPr>
            <w:tcW w:w="786" w:type="pct"/>
            <w:tcBorders>
              <w:top w:val="single" w:sz="4" w:space="0" w:color="auto"/>
              <w:left w:val="single" w:sz="4" w:space="0" w:color="auto"/>
              <w:bottom w:val="single" w:sz="4" w:space="0" w:color="auto"/>
              <w:right w:val="single" w:sz="4" w:space="0" w:color="auto"/>
            </w:tcBorders>
            <w:vAlign w:val="center"/>
          </w:tcPr>
          <w:p w14:paraId="67C66D80" w14:textId="77777777" w:rsidR="00891965" w:rsidRDefault="00891965" w:rsidP="009C12CD">
            <w:pPr>
              <w:pStyle w:val="TableText0"/>
              <w:keepLines/>
              <w:jc w:val="center"/>
            </w:pPr>
            <w:r w:rsidRPr="003C5F2C">
              <w:t>1.8 (1.8, 1.8)</w:t>
            </w:r>
          </w:p>
        </w:tc>
        <w:tc>
          <w:tcPr>
            <w:tcW w:w="708" w:type="pct"/>
            <w:tcBorders>
              <w:top w:val="single" w:sz="4" w:space="0" w:color="auto"/>
              <w:left w:val="single" w:sz="4" w:space="0" w:color="auto"/>
              <w:bottom w:val="single" w:sz="4" w:space="0" w:color="auto"/>
              <w:right w:val="single" w:sz="4" w:space="0" w:color="auto"/>
            </w:tcBorders>
            <w:vAlign w:val="center"/>
          </w:tcPr>
          <w:p w14:paraId="4263B1AC" w14:textId="77777777" w:rsidR="00891965" w:rsidRPr="00126FB1" w:rsidRDefault="00891965" w:rsidP="009C12CD">
            <w:pPr>
              <w:pStyle w:val="TableText0"/>
              <w:keepLines/>
              <w:jc w:val="center"/>
            </w:pPr>
            <w:r w:rsidRPr="00126FB1">
              <w:t>1.9 months</w:t>
            </w:r>
          </w:p>
        </w:tc>
        <w:tc>
          <w:tcPr>
            <w:tcW w:w="837" w:type="pct"/>
            <w:tcBorders>
              <w:top w:val="single" w:sz="4" w:space="0" w:color="auto"/>
              <w:left w:val="single" w:sz="4" w:space="0" w:color="auto"/>
              <w:bottom w:val="single" w:sz="4" w:space="0" w:color="auto"/>
              <w:right w:val="single" w:sz="4" w:space="0" w:color="auto"/>
            </w:tcBorders>
            <w:vAlign w:val="center"/>
          </w:tcPr>
          <w:p w14:paraId="05A3FC17" w14:textId="77777777" w:rsidR="00891965" w:rsidRDefault="00891965" w:rsidP="009C12CD">
            <w:pPr>
              <w:pStyle w:val="TableText0"/>
              <w:keepLines/>
              <w:jc w:val="center"/>
              <w:rPr>
                <w:b/>
                <w:bCs w:val="0"/>
              </w:rPr>
            </w:pPr>
            <w:r w:rsidRPr="003C5F2C">
              <w:rPr>
                <w:b/>
                <w:bCs w:val="0"/>
              </w:rPr>
              <w:t>0.26 (0.21, 0.34)</w:t>
            </w:r>
          </w:p>
        </w:tc>
      </w:tr>
      <w:tr w:rsidR="00891965" w14:paraId="7E31582A" w14:textId="77777777" w:rsidTr="00DB2E12">
        <w:tc>
          <w:tcPr>
            <w:tcW w:w="635" w:type="pct"/>
            <w:tcBorders>
              <w:top w:val="single" w:sz="4" w:space="0" w:color="auto"/>
              <w:left w:val="single" w:sz="4" w:space="0" w:color="auto"/>
              <w:bottom w:val="single" w:sz="4" w:space="0" w:color="auto"/>
              <w:right w:val="single" w:sz="4" w:space="0" w:color="auto"/>
            </w:tcBorders>
            <w:vAlign w:val="center"/>
          </w:tcPr>
          <w:p w14:paraId="55DCA680" w14:textId="77777777" w:rsidR="00891965" w:rsidRDefault="00891965" w:rsidP="009C12CD">
            <w:pPr>
              <w:pStyle w:val="TableText0"/>
              <w:keepLines/>
            </w:pPr>
            <w:r w:rsidRPr="002306C1">
              <w:t>2012-013-00CH1</w:t>
            </w:r>
          </w:p>
        </w:tc>
        <w:tc>
          <w:tcPr>
            <w:tcW w:w="619" w:type="pct"/>
            <w:tcBorders>
              <w:top w:val="single" w:sz="4" w:space="0" w:color="auto"/>
              <w:left w:val="single" w:sz="4" w:space="0" w:color="auto"/>
              <w:bottom w:val="single" w:sz="4" w:space="0" w:color="auto"/>
              <w:right w:val="single" w:sz="4" w:space="0" w:color="auto"/>
            </w:tcBorders>
            <w:vAlign w:val="center"/>
          </w:tcPr>
          <w:p w14:paraId="0CEC6E52" w14:textId="77777777" w:rsidR="00891965" w:rsidRDefault="00891965" w:rsidP="009C12CD">
            <w:pPr>
              <w:pStyle w:val="TableText0"/>
              <w:keepLines/>
              <w:jc w:val="center"/>
            </w:pPr>
            <w:r>
              <w:t>36/47 (76.6%)</w:t>
            </w:r>
          </w:p>
        </w:tc>
        <w:tc>
          <w:tcPr>
            <w:tcW w:w="787" w:type="pct"/>
            <w:tcBorders>
              <w:top w:val="single" w:sz="4" w:space="0" w:color="auto"/>
              <w:left w:val="single" w:sz="4" w:space="0" w:color="auto"/>
              <w:bottom w:val="single" w:sz="4" w:space="0" w:color="auto"/>
              <w:right w:val="single" w:sz="4" w:space="0" w:color="auto"/>
            </w:tcBorders>
            <w:vAlign w:val="center"/>
          </w:tcPr>
          <w:p w14:paraId="6550EFE4" w14:textId="77777777" w:rsidR="00891965" w:rsidRDefault="00891965" w:rsidP="009C12CD">
            <w:pPr>
              <w:pStyle w:val="TableText0"/>
              <w:keepLines/>
              <w:jc w:val="center"/>
            </w:pPr>
            <w:r>
              <w:t>4.7 (2.9, 5.6)</w:t>
            </w:r>
          </w:p>
        </w:tc>
        <w:tc>
          <w:tcPr>
            <w:tcW w:w="628" w:type="pct"/>
            <w:tcBorders>
              <w:top w:val="single" w:sz="4" w:space="0" w:color="auto"/>
              <w:left w:val="single" w:sz="4" w:space="0" w:color="auto"/>
              <w:bottom w:val="single" w:sz="4" w:space="0" w:color="auto"/>
              <w:right w:val="single" w:sz="4" w:space="0" w:color="auto"/>
            </w:tcBorders>
            <w:vAlign w:val="center"/>
          </w:tcPr>
          <w:p w14:paraId="6D0FEF31" w14:textId="77777777" w:rsidR="00891965" w:rsidRDefault="00891965" w:rsidP="009C12CD">
            <w:pPr>
              <w:pStyle w:val="TableText0"/>
              <w:keepLines/>
              <w:jc w:val="center"/>
            </w:pPr>
            <w:r>
              <w:t>21/24 (87.5%)</w:t>
            </w:r>
          </w:p>
        </w:tc>
        <w:tc>
          <w:tcPr>
            <w:tcW w:w="786" w:type="pct"/>
            <w:tcBorders>
              <w:top w:val="single" w:sz="4" w:space="0" w:color="auto"/>
              <w:left w:val="single" w:sz="4" w:space="0" w:color="auto"/>
              <w:bottom w:val="single" w:sz="4" w:space="0" w:color="auto"/>
              <w:right w:val="single" w:sz="4" w:space="0" w:color="auto"/>
            </w:tcBorders>
            <w:vAlign w:val="center"/>
          </w:tcPr>
          <w:p w14:paraId="17582430" w14:textId="77777777" w:rsidR="00891965" w:rsidRDefault="00891965" w:rsidP="009C12CD">
            <w:pPr>
              <w:pStyle w:val="TableText0"/>
              <w:keepLines/>
              <w:jc w:val="center"/>
            </w:pPr>
            <w:r>
              <w:t>1.0 (1.0, 1.6)</w:t>
            </w:r>
          </w:p>
        </w:tc>
        <w:tc>
          <w:tcPr>
            <w:tcW w:w="708" w:type="pct"/>
            <w:tcBorders>
              <w:top w:val="single" w:sz="4" w:space="0" w:color="auto"/>
              <w:left w:val="single" w:sz="4" w:space="0" w:color="auto"/>
              <w:bottom w:val="single" w:sz="4" w:space="0" w:color="auto"/>
              <w:right w:val="single" w:sz="4" w:space="0" w:color="auto"/>
            </w:tcBorders>
            <w:vAlign w:val="center"/>
          </w:tcPr>
          <w:p w14:paraId="2B7102CE" w14:textId="77777777" w:rsidR="00891965" w:rsidRPr="00126FB1" w:rsidRDefault="00891965" w:rsidP="009C12CD">
            <w:pPr>
              <w:pStyle w:val="TableText0"/>
              <w:keepLines/>
              <w:jc w:val="center"/>
            </w:pPr>
            <w:r w:rsidRPr="00126FB1">
              <w:t>3.7 months</w:t>
            </w:r>
          </w:p>
        </w:tc>
        <w:tc>
          <w:tcPr>
            <w:tcW w:w="837" w:type="pct"/>
            <w:tcBorders>
              <w:top w:val="single" w:sz="4" w:space="0" w:color="auto"/>
              <w:left w:val="single" w:sz="4" w:space="0" w:color="auto"/>
              <w:bottom w:val="single" w:sz="4" w:space="0" w:color="auto"/>
              <w:right w:val="single" w:sz="4" w:space="0" w:color="auto"/>
            </w:tcBorders>
            <w:vAlign w:val="center"/>
          </w:tcPr>
          <w:p w14:paraId="2985699C" w14:textId="77777777" w:rsidR="00891965" w:rsidRDefault="00891965" w:rsidP="009C12CD">
            <w:pPr>
              <w:pStyle w:val="TableText0"/>
              <w:keepLines/>
              <w:jc w:val="center"/>
              <w:rPr>
                <w:b/>
                <w:bCs w:val="0"/>
              </w:rPr>
            </w:pPr>
            <w:r w:rsidRPr="007C7707">
              <w:rPr>
                <w:b/>
                <w:bCs w:val="0"/>
              </w:rPr>
              <w:t>0.30 (0.15, 0.5</w:t>
            </w:r>
            <w:r>
              <w:rPr>
                <w:b/>
                <w:bCs w:val="0"/>
              </w:rPr>
              <w:t>9</w:t>
            </w:r>
            <w:r w:rsidRPr="007C7707">
              <w:rPr>
                <w:b/>
                <w:bCs w:val="0"/>
              </w:rPr>
              <w:t>)</w:t>
            </w:r>
          </w:p>
        </w:tc>
      </w:tr>
      <w:tr w:rsidR="00891965" w14:paraId="7984BD49" w14:textId="77777777" w:rsidTr="00DB2E12">
        <w:tc>
          <w:tcPr>
            <w:tcW w:w="4163" w:type="pct"/>
            <w:gridSpan w:val="6"/>
            <w:tcBorders>
              <w:top w:val="single" w:sz="4" w:space="0" w:color="auto"/>
              <w:left w:val="single" w:sz="4" w:space="0" w:color="auto"/>
              <w:bottom w:val="single" w:sz="4" w:space="0" w:color="auto"/>
              <w:right w:val="single" w:sz="4" w:space="0" w:color="auto"/>
            </w:tcBorders>
            <w:vAlign w:val="center"/>
          </w:tcPr>
          <w:p w14:paraId="461042F0" w14:textId="77777777" w:rsidR="00891965" w:rsidRPr="00B37626" w:rsidRDefault="00891965" w:rsidP="009C12CD">
            <w:pPr>
              <w:pStyle w:val="TableText0"/>
              <w:keepLines/>
              <w:jc w:val="right"/>
              <w:rPr>
                <w:i/>
                <w:iCs/>
              </w:rPr>
            </w:pPr>
            <w:r w:rsidRPr="00551C76">
              <w:t xml:space="preserve">Meta-analysis of </w:t>
            </w:r>
            <w:r>
              <w:rPr>
                <w:bCs w:val="0"/>
              </w:rPr>
              <w:t>fruquintinib</w:t>
            </w:r>
            <w:r w:rsidRPr="00551C76">
              <w:t xml:space="preserve"> trials</w:t>
            </w:r>
            <w:r>
              <w:t xml:space="preserve"> </w:t>
            </w:r>
            <w:r w:rsidRPr="00551C76">
              <w:rPr>
                <w:rFonts w:cs="Arial"/>
              </w:rPr>
              <w:t>(Chi</w:t>
            </w:r>
            <w:r w:rsidRPr="00551C76">
              <w:rPr>
                <w:rFonts w:cs="Arial"/>
                <w:vertAlign w:val="superscript"/>
              </w:rPr>
              <w:t>2</w:t>
            </w:r>
            <w:r>
              <w:rPr>
                <w:rFonts w:cs="Arial"/>
              </w:rPr>
              <w:t>= 2.15</w:t>
            </w:r>
            <w:r w:rsidRPr="00551C76">
              <w:rPr>
                <w:rFonts w:cs="Arial"/>
              </w:rPr>
              <w:t>; I</w:t>
            </w:r>
            <w:r w:rsidRPr="00551C76">
              <w:rPr>
                <w:rFonts w:cs="Arial"/>
                <w:vertAlign w:val="superscript"/>
              </w:rPr>
              <w:t>2</w:t>
            </w:r>
            <w:r w:rsidRPr="00551C76">
              <w:rPr>
                <w:rFonts w:cs="Arial"/>
              </w:rPr>
              <w:t xml:space="preserve"> </w:t>
            </w:r>
            <w:r>
              <w:rPr>
                <w:rFonts w:cs="Arial"/>
              </w:rPr>
              <w:t>= 7</w:t>
            </w:r>
            <w:r w:rsidRPr="00551C76">
              <w:rPr>
                <w:rFonts w:cs="Arial"/>
              </w:rPr>
              <w:t>%; P</w:t>
            </w:r>
            <w:r>
              <w:rPr>
                <w:rFonts w:cs="Arial"/>
              </w:rPr>
              <w:t>= </w:t>
            </w:r>
            <w:r w:rsidRPr="00551C76">
              <w:rPr>
                <w:rFonts w:cs="Arial"/>
              </w:rPr>
              <w:t>0.</w:t>
            </w:r>
            <w:r>
              <w:rPr>
                <w:rFonts w:cs="Arial"/>
              </w:rPr>
              <w:t>34</w:t>
            </w:r>
            <w:r w:rsidRPr="00551C76">
              <w:rPr>
                <w:rFonts w:cs="Arial"/>
              </w:rPr>
              <w:t>)</w:t>
            </w:r>
          </w:p>
        </w:tc>
        <w:tc>
          <w:tcPr>
            <w:tcW w:w="837" w:type="pct"/>
            <w:tcBorders>
              <w:top w:val="single" w:sz="4" w:space="0" w:color="auto"/>
              <w:left w:val="single" w:sz="4" w:space="0" w:color="auto"/>
              <w:bottom w:val="single" w:sz="4" w:space="0" w:color="auto"/>
              <w:right w:val="single" w:sz="4" w:space="0" w:color="auto"/>
            </w:tcBorders>
            <w:vAlign w:val="center"/>
          </w:tcPr>
          <w:p w14:paraId="78E4B871" w14:textId="77777777" w:rsidR="00891965" w:rsidRPr="007C7707" w:rsidRDefault="00891965" w:rsidP="009C12CD">
            <w:pPr>
              <w:pStyle w:val="TableText0"/>
              <w:keepLines/>
              <w:jc w:val="center"/>
              <w:rPr>
                <w:b/>
                <w:bCs w:val="0"/>
              </w:rPr>
            </w:pPr>
            <w:r>
              <w:rPr>
                <w:b/>
                <w:bCs w:val="0"/>
              </w:rPr>
              <w:t>0.29 (0.25, 0.34)</w:t>
            </w:r>
          </w:p>
        </w:tc>
      </w:tr>
      <w:tr w:rsidR="00891965" w14:paraId="6A1FB844" w14:textId="77777777" w:rsidTr="00DB2E12">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45E8BA2" w14:textId="77777777" w:rsidR="00891965" w:rsidRDefault="00891965" w:rsidP="009C12CD">
            <w:pPr>
              <w:pStyle w:val="TableText0"/>
              <w:keepLines/>
              <w:rPr>
                <w:b/>
                <w:bCs w:val="0"/>
              </w:rPr>
            </w:pPr>
            <w:r>
              <w:rPr>
                <w:b/>
                <w:bCs w:val="0"/>
              </w:rPr>
              <w:t>Trifluridine/tipiracil trials</w:t>
            </w:r>
          </w:p>
        </w:tc>
      </w:tr>
      <w:tr w:rsidR="00891965" w14:paraId="504AA55A" w14:textId="77777777" w:rsidTr="00DB2E12">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CF0A1" w14:textId="77777777" w:rsidR="00891965" w:rsidRDefault="00891965" w:rsidP="009C12CD">
            <w:pPr>
              <w:pStyle w:val="TableText0"/>
              <w:keepLines/>
            </w:pPr>
            <w:r>
              <w:t>RECOURSE</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5D827DA" w14:textId="77777777" w:rsidR="00891965" w:rsidRDefault="00891965" w:rsidP="009C12CD">
            <w:pPr>
              <w:pStyle w:val="TableText0"/>
              <w:keepLines/>
              <w:jc w:val="center"/>
            </w:pPr>
            <w:r w:rsidRPr="00B32B8B">
              <w:t>472/534 (88.4%)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07DCE75" w14:textId="77777777" w:rsidR="00891965" w:rsidRDefault="00891965" w:rsidP="009C12CD">
            <w:pPr>
              <w:pStyle w:val="TableText0"/>
              <w:keepLines/>
              <w:jc w:val="center"/>
            </w:pPr>
            <w:r w:rsidRPr="00B32B8B">
              <w:t>2.0 (1.9, 2.1)</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6566266F" w14:textId="77777777" w:rsidR="00891965" w:rsidRDefault="00891965" w:rsidP="009C12CD">
            <w:pPr>
              <w:pStyle w:val="TableText0"/>
              <w:keepLines/>
              <w:jc w:val="center"/>
            </w:pPr>
            <w:r w:rsidRPr="00B32B8B">
              <w:t>251/266 (94.4%)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ADD588D" w14:textId="77777777" w:rsidR="00891965" w:rsidRDefault="00891965" w:rsidP="009C12CD">
            <w:pPr>
              <w:pStyle w:val="TableText0"/>
              <w:keepLines/>
              <w:jc w:val="center"/>
            </w:pPr>
            <w:r w:rsidRPr="00B32B8B">
              <w:t>1.7 (1.7, 1.9)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9AE61A" w14:textId="77777777" w:rsidR="00891965" w:rsidRPr="00126FB1" w:rsidRDefault="00891965" w:rsidP="009C12CD">
            <w:pPr>
              <w:pStyle w:val="TableText0"/>
              <w:keepLines/>
              <w:jc w:val="center"/>
            </w:pPr>
            <w:r w:rsidRPr="00126FB1">
              <w:t>0.3 month</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97A34DC" w14:textId="77777777" w:rsidR="00891965" w:rsidRPr="007C7707" w:rsidRDefault="00891965" w:rsidP="009C12CD">
            <w:pPr>
              <w:pStyle w:val="TableText0"/>
              <w:keepLines/>
              <w:jc w:val="center"/>
              <w:rPr>
                <w:b/>
                <w:bCs w:val="0"/>
              </w:rPr>
            </w:pPr>
            <w:r w:rsidRPr="007C7707">
              <w:rPr>
                <w:b/>
                <w:bCs w:val="0"/>
              </w:rPr>
              <w:t>0.48 (0.41, 0.57)</w:t>
            </w:r>
          </w:p>
        </w:tc>
      </w:tr>
      <w:tr w:rsidR="00891965" w14:paraId="5AFC703A" w14:textId="77777777" w:rsidTr="00DB2E12">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647D5" w14:textId="77777777" w:rsidR="00891965" w:rsidRDefault="00891965" w:rsidP="009C12CD">
            <w:pPr>
              <w:pStyle w:val="TableText0"/>
              <w:keepLines/>
            </w:pPr>
            <w:r>
              <w:t>TERRA</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DEEA3ED" w14:textId="77777777" w:rsidR="00891965" w:rsidRDefault="00891965" w:rsidP="009C12CD">
            <w:pPr>
              <w:pStyle w:val="TableText0"/>
              <w:keepLines/>
              <w:jc w:val="center"/>
            </w:pPr>
            <w:r w:rsidRPr="00B32B8B">
              <w:t>NR</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7138400" w14:textId="77777777" w:rsidR="00891965" w:rsidRDefault="00891965" w:rsidP="009C12CD">
            <w:pPr>
              <w:pStyle w:val="TableText0"/>
              <w:keepLines/>
              <w:jc w:val="center"/>
            </w:pPr>
            <w:r w:rsidRPr="00B32B8B">
              <w:t>2.0 (1.9, 2.8)</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2BBEA16" w14:textId="77777777" w:rsidR="00891965" w:rsidRDefault="00891965" w:rsidP="009C12CD">
            <w:pPr>
              <w:pStyle w:val="TableText0"/>
              <w:keepLines/>
              <w:jc w:val="center"/>
            </w:pPr>
            <w:r w:rsidRPr="00B32B8B">
              <w:t>NR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E103206" w14:textId="77777777" w:rsidR="00891965" w:rsidRDefault="00891965" w:rsidP="009C12CD">
            <w:pPr>
              <w:pStyle w:val="TableText0"/>
              <w:keepLines/>
              <w:jc w:val="center"/>
            </w:pPr>
            <w:r w:rsidRPr="00B32B8B">
              <w:t>1.8 (1.7, 1.8)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E5BD68A" w14:textId="77777777" w:rsidR="00891965" w:rsidRPr="00126FB1" w:rsidRDefault="00891965" w:rsidP="009C12CD">
            <w:pPr>
              <w:pStyle w:val="TableText0"/>
              <w:keepLines/>
              <w:jc w:val="center"/>
            </w:pPr>
            <w:r w:rsidRPr="00126FB1">
              <w:t>0.2 month</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442351C" w14:textId="77777777" w:rsidR="00891965" w:rsidRPr="007C7707" w:rsidRDefault="00891965" w:rsidP="009C12CD">
            <w:pPr>
              <w:pStyle w:val="TableText0"/>
              <w:keepLines/>
              <w:jc w:val="center"/>
              <w:rPr>
                <w:b/>
                <w:bCs w:val="0"/>
              </w:rPr>
            </w:pPr>
            <w:r w:rsidRPr="007C7707">
              <w:rPr>
                <w:b/>
                <w:bCs w:val="0"/>
              </w:rPr>
              <w:t>0.43 (0.34, 0.54)</w:t>
            </w:r>
          </w:p>
        </w:tc>
      </w:tr>
      <w:tr w:rsidR="00891965" w14:paraId="67026C94" w14:textId="77777777" w:rsidTr="00DB2E12">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A40FB" w14:textId="77777777" w:rsidR="00891965" w:rsidRDefault="00891965" w:rsidP="009C12CD">
            <w:pPr>
              <w:pStyle w:val="TableText0"/>
              <w:keepLines/>
            </w:pPr>
            <w:r>
              <w:t>J003</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44BA3D8" w14:textId="77777777" w:rsidR="00891965" w:rsidRDefault="00891965" w:rsidP="009C12CD">
            <w:pPr>
              <w:pStyle w:val="TableText0"/>
              <w:keepLines/>
              <w:jc w:val="center"/>
            </w:pPr>
            <w:r w:rsidRPr="00B32B8B">
              <w:t>NR</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D953F5" w14:textId="77777777" w:rsidR="00891965" w:rsidRDefault="00891965" w:rsidP="009C12CD">
            <w:pPr>
              <w:pStyle w:val="TableText0"/>
              <w:keepLines/>
              <w:jc w:val="center"/>
            </w:pPr>
            <w:r w:rsidRPr="00B32B8B">
              <w:t>2.0 (1.9, 2.8)</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076CA94" w14:textId="77777777" w:rsidR="00891965" w:rsidRDefault="00891965" w:rsidP="009C12CD">
            <w:pPr>
              <w:pStyle w:val="TableText0"/>
              <w:keepLines/>
              <w:jc w:val="center"/>
            </w:pPr>
            <w:r w:rsidRPr="00B32B8B">
              <w:t>NR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8464ACF" w14:textId="77777777" w:rsidR="00891965" w:rsidRDefault="00891965" w:rsidP="009C12CD">
            <w:pPr>
              <w:pStyle w:val="TableText0"/>
              <w:keepLines/>
              <w:jc w:val="center"/>
            </w:pPr>
            <w:r w:rsidRPr="00B32B8B">
              <w:t>1.0 (1.0, 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BB0C622" w14:textId="5CBF700D" w:rsidR="00891965" w:rsidRPr="00126FB1" w:rsidRDefault="00891965" w:rsidP="009C12CD">
            <w:pPr>
              <w:pStyle w:val="TableText0"/>
              <w:keepLines/>
              <w:jc w:val="center"/>
            </w:pPr>
            <w:r w:rsidRPr="00126FB1">
              <w:t>1.0 month</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7ADF0F9" w14:textId="77777777" w:rsidR="00891965" w:rsidRPr="007C7707" w:rsidRDefault="00891965" w:rsidP="009C12CD">
            <w:pPr>
              <w:pStyle w:val="TableText0"/>
              <w:keepLines/>
              <w:jc w:val="center"/>
              <w:rPr>
                <w:b/>
                <w:bCs w:val="0"/>
              </w:rPr>
            </w:pPr>
            <w:r w:rsidRPr="007C7707">
              <w:rPr>
                <w:b/>
                <w:bCs w:val="0"/>
              </w:rPr>
              <w:t xml:space="preserve">0.41 (0.28, 0.59) </w:t>
            </w:r>
          </w:p>
        </w:tc>
      </w:tr>
      <w:tr w:rsidR="00891965" w14:paraId="3F6B3A73" w14:textId="77777777" w:rsidTr="00DB2E12">
        <w:tc>
          <w:tcPr>
            <w:tcW w:w="41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0C47CC" w14:textId="5F170F51" w:rsidR="00891965" w:rsidRPr="00B37626" w:rsidRDefault="00891965" w:rsidP="009C12CD">
            <w:pPr>
              <w:pStyle w:val="TableText0"/>
              <w:keepLines/>
              <w:jc w:val="right"/>
              <w:rPr>
                <w:i/>
                <w:iCs/>
              </w:rPr>
            </w:pPr>
            <w:r w:rsidRPr="00551C76">
              <w:t xml:space="preserve">Meta-analysis of </w:t>
            </w:r>
            <w:r w:rsidR="000B4F3F">
              <w:t>TRI/TIP</w:t>
            </w:r>
            <w:r w:rsidR="000B4F3F" w:rsidRPr="00551C76">
              <w:t xml:space="preserve"> </w:t>
            </w:r>
            <w:r w:rsidRPr="00551C76">
              <w:t>trials</w:t>
            </w:r>
            <w:r>
              <w:t xml:space="preserve"> </w:t>
            </w:r>
            <w:r w:rsidRPr="00551C76">
              <w:rPr>
                <w:rFonts w:cs="Arial"/>
              </w:rPr>
              <w:t>(Chi</w:t>
            </w:r>
            <w:r w:rsidRPr="00551C76">
              <w:rPr>
                <w:rFonts w:cs="Arial"/>
                <w:vertAlign w:val="superscript"/>
              </w:rPr>
              <w:t>2</w:t>
            </w:r>
            <w:r>
              <w:rPr>
                <w:rFonts w:cs="Arial"/>
              </w:rPr>
              <w:t>= 0.94</w:t>
            </w:r>
            <w:r w:rsidRPr="00551C76">
              <w:rPr>
                <w:rFonts w:cs="Arial"/>
              </w:rPr>
              <w:t>; I</w:t>
            </w:r>
            <w:r w:rsidRPr="00551C76">
              <w:rPr>
                <w:rFonts w:cs="Arial"/>
                <w:vertAlign w:val="superscript"/>
              </w:rPr>
              <w:t>2</w:t>
            </w:r>
            <w:r w:rsidRPr="00551C76">
              <w:rPr>
                <w:rFonts w:cs="Arial"/>
              </w:rPr>
              <w:t xml:space="preserve"> </w:t>
            </w:r>
            <w:r>
              <w:rPr>
                <w:rFonts w:cs="Arial"/>
              </w:rPr>
              <w:t>= 0</w:t>
            </w:r>
            <w:r w:rsidRPr="00551C76">
              <w:rPr>
                <w:rFonts w:cs="Arial"/>
              </w:rPr>
              <w:t>%; P</w:t>
            </w:r>
            <w:r>
              <w:rPr>
                <w:rFonts w:cs="Arial"/>
              </w:rPr>
              <w:t>= 0.62</w:t>
            </w:r>
            <w:r w:rsidRPr="00551C76">
              <w:rPr>
                <w:rFonts w:cs="Arial"/>
              </w:rPr>
              <w: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92B5BBC" w14:textId="3E3AA890" w:rsidR="00891965" w:rsidRPr="007C7707" w:rsidRDefault="00891965" w:rsidP="009C12CD">
            <w:pPr>
              <w:pStyle w:val="TableText0"/>
              <w:keepLines/>
              <w:jc w:val="center"/>
              <w:rPr>
                <w:b/>
                <w:bCs w:val="0"/>
              </w:rPr>
            </w:pPr>
            <w:r>
              <w:rPr>
                <w:b/>
                <w:bCs w:val="0"/>
              </w:rPr>
              <w:t>0.</w:t>
            </w:r>
            <w:r w:rsidR="00C25340">
              <w:rPr>
                <w:b/>
                <w:bCs w:val="0"/>
              </w:rPr>
              <w:t>4</w:t>
            </w:r>
            <w:r>
              <w:rPr>
                <w:b/>
                <w:bCs w:val="0"/>
              </w:rPr>
              <w:t>6 (0.40, 0.52)</w:t>
            </w:r>
          </w:p>
        </w:tc>
      </w:tr>
      <w:tr w:rsidR="00891965" w14:paraId="36150243" w14:textId="77777777" w:rsidTr="00DB2E12">
        <w:tc>
          <w:tcPr>
            <w:tcW w:w="4163" w:type="pct"/>
            <w:gridSpan w:val="6"/>
            <w:tcBorders>
              <w:top w:val="single" w:sz="4" w:space="0" w:color="auto"/>
              <w:left w:val="single" w:sz="4" w:space="0" w:color="auto"/>
              <w:bottom w:val="single" w:sz="4" w:space="0" w:color="auto"/>
              <w:right w:val="single" w:sz="4" w:space="0" w:color="auto"/>
            </w:tcBorders>
            <w:shd w:val="clear" w:color="auto" w:fill="auto"/>
          </w:tcPr>
          <w:p w14:paraId="0FAE30FC" w14:textId="66F0466A" w:rsidR="00891965" w:rsidRPr="00B37626" w:rsidRDefault="00891965" w:rsidP="009C12CD">
            <w:pPr>
              <w:pStyle w:val="TableText0"/>
              <w:keepLines/>
              <w:jc w:val="right"/>
              <w:rPr>
                <w:i/>
                <w:iCs/>
              </w:rPr>
            </w:pPr>
            <w:r w:rsidRPr="00A72855">
              <w:t>Main ITC (</w:t>
            </w:r>
            <w:r>
              <w:t>fruquintinib [FRESCO 2]</w:t>
            </w:r>
            <w:r w:rsidRPr="00A72855">
              <w:t xml:space="preserve"> vs.</w:t>
            </w:r>
            <w:r>
              <w:t xml:space="preserve"> </w:t>
            </w:r>
            <w:r w:rsidR="000B4F3F">
              <w:t>TRI/TIP</w:t>
            </w:r>
            <w:r>
              <w:t xml:space="preserve"> [RECOURSE]</w:t>
            </w:r>
            <w:r w:rsidRPr="00A72855">
              <w: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899F9E8" w14:textId="77777777" w:rsidR="00891965" w:rsidRPr="007C7707" w:rsidRDefault="00891965" w:rsidP="009C12CD">
            <w:pPr>
              <w:pStyle w:val="TableText0"/>
              <w:keepLines/>
              <w:jc w:val="center"/>
              <w:rPr>
                <w:b/>
                <w:bCs w:val="0"/>
              </w:rPr>
            </w:pPr>
            <w:r w:rsidRPr="00D341B7">
              <w:t>0.67 (0.4</w:t>
            </w:r>
            <w:r>
              <w:t>3</w:t>
            </w:r>
            <w:r w:rsidRPr="00D341B7">
              <w:t xml:space="preserve">, 1.04) </w:t>
            </w:r>
          </w:p>
        </w:tc>
      </w:tr>
      <w:tr w:rsidR="00891965" w14:paraId="2C015596" w14:textId="77777777" w:rsidTr="00DB2E12">
        <w:tc>
          <w:tcPr>
            <w:tcW w:w="4163" w:type="pct"/>
            <w:gridSpan w:val="6"/>
            <w:tcBorders>
              <w:top w:val="single" w:sz="4" w:space="0" w:color="auto"/>
              <w:left w:val="single" w:sz="4" w:space="0" w:color="auto"/>
              <w:bottom w:val="single" w:sz="4" w:space="0" w:color="auto"/>
              <w:right w:val="single" w:sz="4" w:space="0" w:color="auto"/>
            </w:tcBorders>
            <w:shd w:val="clear" w:color="auto" w:fill="auto"/>
          </w:tcPr>
          <w:p w14:paraId="5F049B08" w14:textId="1B359705" w:rsidR="00891965" w:rsidRPr="00B37626" w:rsidRDefault="00891965" w:rsidP="009C12CD">
            <w:pPr>
              <w:pStyle w:val="TableText0"/>
              <w:keepLines/>
              <w:jc w:val="right"/>
              <w:rPr>
                <w:i/>
                <w:iCs/>
              </w:rPr>
            </w:pPr>
            <w:r w:rsidRPr="00A72855">
              <w:t>ITC sensitivity analysis (</w:t>
            </w:r>
            <w:r>
              <w:t>fruquintinib</w:t>
            </w:r>
            <w:r w:rsidRPr="00A72855">
              <w:t xml:space="preserve"> [meta-analysis] vs.</w:t>
            </w:r>
            <w:r>
              <w:t xml:space="preserve"> </w:t>
            </w:r>
            <w:r w:rsidR="000B4F3F">
              <w:t>TRI/TIP</w:t>
            </w:r>
            <w:r>
              <w:t xml:space="preserve"> </w:t>
            </w:r>
            <w:r w:rsidRPr="00A72855">
              <w:t>[meta-analysis])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EBC61D0" w14:textId="77777777" w:rsidR="00891965" w:rsidRPr="00EE272A" w:rsidRDefault="00891965" w:rsidP="009C12CD">
            <w:pPr>
              <w:pStyle w:val="TableText0"/>
              <w:keepLines/>
              <w:jc w:val="center"/>
              <w:rPr>
                <w:b/>
                <w:bCs w:val="0"/>
              </w:rPr>
            </w:pPr>
            <w:r w:rsidRPr="00EE272A">
              <w:rPr>
                <w:b/>
                <w:bCs w:val="0"/>
              </w:rPr>
              <w:t xml:space="preserve">0.63 (0.52, 0.77) </w:t>
            </w:r>
          </w:p>
        </w:tc>
      </w:tr>
    </w:tbl>
    <w:p w14:paraId="4A3D19FB" w14:textId="1243D618" w:rsidR="00891965" w:rsidRPr="00373923" w:rsidRDefault="00891965" w:rsidP="009C12CD">
      <w:pPr>
        <w:pStyle w:val="TableFigureFooter"/>
        <w:keepNext/>
        <w:keepLines/>
        <w:rPr>
          <w:rFonts w:eastAsia="Calibri"/>
        </w:rPr>
      </w:pPr>
      <w:r w:rsidRPr="00373923">
        <w:rPr>
          <w:rFonts w:eastAsia="Calibri"/>
        </w:rPr>
        <w:t>Source: Table 2-15, p91; Table 2-18, p97; Table 2-20, p100; Table 2-22, p103; Table 2-25, p107</w:t>
      </w:r>
      <w:r>
        <w:rPr>
          <w:rFonts w:eastAsia="Calibri"/>
        </w:rPr>
        <w:t xml:space="preserve">; </w:t>
      </w:r>
      <w:r w:rsidRPr="00373923">
        <w:rPr>
          <w:rFonts w:eastAsia="Calibri"/>
        </w:rPr>
        <w:t>Table 2-27, p109</w:t>
      </w:r>
      <w:r>
        <w:rPr>
          <w:rFonts w:eastAsia="Calibri"/>
        </w:rPr>
        <w:t>, Table 2-53, p164</w:t>
      </w:r>
      <w:r w:rsidR="006B46D3">
        <w:rPr>
          <w:rFonts w:eastAsia="Calibri"/>
        </w:rPr>
        <w:t>;</w:t>
      </w:r>
      <w:r w:rsidR="00C25340">
        <w:rPr>
          <w:rFonts w:eastAsia="Calibri"/>
        </w:rPr>
        <w:t xml:space="preserve"> </w:t>
      </w:r>
      <w:r>
        <w:rPr>
          <w:rFonts w:eastAsia="Calibri"/>
        </w:rPr>
        <w:t>Figure</w:t>
      </w:r>
      <w:r w:rsidR="006B46D3">
        <w:rPr>
          <w:rFonts w:eastAsia="Calibri"/>
        </w:rPr>
        <w:t xml:space="preserve"> </w:t>
      </w:r>
      <w:r>
        <w:rPr>
          <w:rFonts w:eastAsia="Calibri"/>
        </w:rPr>
        <w:t>2-52, p159</w:t>
      </w:r>
      <w:r w:rsidR="006B46D3">
        <w:rPr>
          <w:rFonts w:eastAsia="Calibri"/>
        </w:rPr>
        <w:t>; and Table 2-52, p163</w:t>
      </w:r>
      <w:r w:rsidRPr="00373923">
        <w:rPr>
          <w:rFonts w:eastAsia="Calibri"/>
        </w:rPr>
        <w:t xml:space="preserve"> of the submission.</w:t>
      </w:r>
    </w:p>
    <w:p w14:paraId="251A9EC2" w14:textId="73F3B8BB" w:rsidR="00891965" w:rsidRDefault="00891965" w:rsidP="009C12CD">
      <w:pPr>
        <w:pStyle w:val="TableFigureFooter"/>
        <w:keepNext/>
        <w:keepLines/>
        <w:rPr>
          <w:rFonts w:eastAsia="Calibri"/>
        </w:rPr>
      </w:pPr>
      <w:r>
        <w:rPr>
          <w:rFonts w:eastAsia="Calibri"/>
        </w:rPr>
        <w:t>CI = confidence interval, ITC = indirect treatment comparison; n = number of participants reporting data, N = total participants in group, PFS = progression-free survival</w:t>
      </w:r>
      <w:r w:rsidR="000B4F3F">
        <w:rPr>
          <w:rFonts w:eastAsia="Calibri"/>
        </w:rPr>
        <w:t xml:space="preserve">; TRI/TIP = </w:t>
      </w:r>
      <w:r w:rsidR="000B4F3F" w:rsidRPr="000B4F3F">
        <w:rPr>
          <w:rFonts w:eastAsia="Calibri"/>
        </w:rPr>
        <w:t>trifluridine/tipiracil</w:t>
      </w:r>
      <w:r>
        <w:rPr>
          <w:rFonts w:eastAsia="Calibri"/>
        </w:rPr>
        <w:t>.</w:t>
      </w:r>
    </w:p>
    <w:p w14:paraId="09493386" w14:textId="77777777" w:rsidR="00891965" w:rsidRDefault="00891965" w:rsidP="009C12CD">
      <w:pPr>
        <w:pStyle w:val="TableFigureFooter"/>
        <w:keepNext/>
        <w:keepLines/>
        <w:rPr>
          <w:rFonts w:eastAsia="Calibri"/>
        </w:rPr>
      </w:pPr>
      <w:r>
        <w:rPr>
          <w:rFonts w:eastAsia="Calibri"/>
          <w:b/>
        </w:rPr>
        <w:t>Bold</w:t>
      </w:r>
      <w:r>
        <w:rPr>
          <w:rFonts w:eastAsia="Calibri"/>
        </w:rPr>
        <w:t xml:space="preserve"> indicates statistically significant results.</w:t>
      </w:r>
    </w:p>
    <w:p w14:paraId="584A5440" w14:textId="7C04DF0F" w:rsidR="00891965" w:rsidRPr="00EE272A" w:rsidRDefault="00126FB1" w:rsidP="007A7A0C">
      <w:pPr>
        <w:pStyle w:val="TableFigureFooter"/>
        <w:keepLines/>
        <w:rPr>
          <w:rFonts w:eastAsia="Calibri"/>
        </w:rPr>
      </w:pPr>
      <w:r w:rsidRPr="00126FB1">
        <w:rPr>
          <w:rFonts w:eastAsia="Calibri"/>
          <w:vertAlign w:val="superscript"/>
        </w:rPr>
        <w:t>a</w:t>
      </w:r>
      <w:r>
        <w:rPr>
          <w:rFonts w:eastAsia="Calibri"/>
        </w:rPr>
        <w:t xml:space="preserve"> C</w:t>
      </w:r>
      <w:r w:rsidR="00891965">
        <w:rPr>
          <w:rFonts w:eastAsia="Calibri"/>
        </w:rPr>
        <w:t>orrected and calculated during evaluation</w:t>
      </w:r>
      <w:bookmarkStart w:id="53" w:name="_Ref164308213"/>
      <w:r>
        <w:rPr>
          <w:rFonts w:eastAsia="Calibri"/>
        </w:rPr>
        <w:t>.</w:t>
      </w:r>
    </w:p>
    <w:p w14:paraId="368EFA69" w14:textId="5C38D693" w:rsidR="00891965" w:rsidRDefault="00891965" w:rsidP="00891965">
      <w:pPr>
        <w:pStyle w:val="3-BodyText"/>
      </w:pPr>
      <w:r w:rsidRPr="00EE272A">
        <w:t xml:space="preserve">All three trials of fruquintinib showed statistically significant improvement in PFS </w:t>
      </w:r>
      <w:r w:rsidR="00A42CA4">
        <w:t xml:space="preserve">for </w:t>
      </w:r>
      <w:r w:rsidR="00A42CA4" w:rsidRPr="00EE272A">
        <w:t>patients</w:t>
      </w:r>
      <w:r w:rsidRPr="00EE272A">
        <w:t xml:space="preserve"> in the fruquintinib arm compared to the placebo arm. </w:t>
      </w:r>
      <w:r w:rsidRPr="005360F1">
        <w:t>The meta-analysis of</w:t>
      </w:r>
      <w:r>
        <w:t xml:space="preserve"> the three fruquintinib trials </w:t>
      </w:r>
      <w:r w:rsidRPr="005360F1">
        <w:t>estimated a HR of 0.</w:t>
      </w:r>
      <w:r>
        <w:t>29</w:t>
      </w:r>
      <w:r w:rsidRPr="005360F1">
        <w:t xml:space="preserve"> (95% CI: 0.</w:t>
      </w:r>
      <w:r>
        <w:t>25</w:t>
      </w:r>
      <w:r w:rsidRPr="005360F1">
        <w:t>, 0.</w:t>
      </w:r>
      <w:r>
        <w:t>34</w:t>
      </w:r>
      <w:r w:rsidRPr="005360F1">
        <w:t xml:space="preserve">), </w:t>
      </w:r>
      <w:r>
        <w:t>consistent with the</w:t>
      </w:r>
      <w:r w:rsidRPr="005360F1">
        <w:t xml:space="preserve"> </w:t>
      </w:r>
      <w:r>
        <w:t>results from FRESCO 2 (HR =</w:t>
      </w:r>
      <w:r w:rsidRPr="009F4000">
        <w:t xml:space="preserve"> 0.</w:t>
      </w:r>
      <w:r>
        <w:t xml:space="preserve">32; 95% CI: </w:t>
      </w:r>
      <w:r w:rsidRPr="009F4000">
        <w:t>0.</w:t>
      </w:r>
      <w:r>
        <w:t>27</w:t>
      </w:r>
      <w:r w:rsidRPr="009F4000">
        <w:t>, 0.</w:t>
      </w:r>
      <w:r>
        <w:t>39</w:t>
      </w:r>
      <w:r w:rsidRPr="009F4000">
        <w:t>)</w:t>
      </w:r>
      <w:r>
        <w:t xml:space="preserve">. </w:t>
      </w:r>
      <w:r w:rsidRPr="000600EB">
        <w:t xml:space="preserve">The heterogeneity was low across the three trials </w:t>
      </w:r>
      <w:r w:rsidR="003D3061">
        <w:t>and</w:t>
      </w:r>
      <w:r w:rsidR="003D3061" w:rsidRPr="000600EB">
        <w:t xml:space="preserve"> </w:t>
      </w:r>
      <w:r w:rsidRPr="000600EB">
        <w:t>not statistically significant (I²=</w:t>
      </w:r>
      <w:r>
        <w:t>7</w:t>
      </w:r>
      <w:r w:rsidRPr="000600EB">
        <w:t>%, p=0.</w:t>
      </w:r>
      <w:r>
        <w:t>34</w:t>
      </w:r>
      <w:r w:rsidRPr="000600EB">
        <w:t>).</w:t>
      </w:r>
    </w:p>
    <w:p w14:paraId="736CA2C9" w14:textId="74E963BB" w:rsidR="00630255" w:rsidRDefault="00891965" w:rsidP="00891965">
      <w:pPr>
        <w:pStyle w:val="3-BodyText"/>
      </w:pPr>
      <w:r w:rsidRPr="00EE272A">
        <w:t xml:space="preserve">Treatment with </w:t>
      </w:r>
      <w:r w:rsidR="000B4F3F">
        <w:rPr>
          <w:rFonts w:eastAsia="Calibri"/>
        </w:rPr>
        <w:t>TRI/TIP</w:t>
      </w:r>
      <w:r w:rsidRPr="00EE272A">
        <w:t xml:space="preserve"> in the RECOURSE, TERRA and J003 </w:t>
      </w:r>
      <w:r w:rsidR="00A16484">
        <w:t xml:space="preserve">trial </w:t>
      </w:r>
      <w:r w:rsidRPr="00EE272A">
        <w:t xml:space="preserve">was also associated with </w:t>
      </w:r>
      <w:r w:rsidR="00D92A03">
        <w:t xml:space="preserve">a </w:t>
      </w:r>
      <w:r w:rsidRPr="00EE272A">
        <w:t>statistically significant improvement in PFS compared to the placebo arm.</w:t>
      </w:r>
      <w:r w:rsidR="003D3061">
        <w:t xml:space="preserve"> </w:t>
      </w:r>
      <w:r w:rsidRPr="00EE272A">
        <w:t xml:space="preserve"> </w:t>
      </w:r>
    </w:p>
    <w:p w14:paraId="1BB5552C" w14:textId="5F5B6F7D" w:rsidR="00891965" w:rsidRDefault="00891965" w:rsidP="00891965">
      <w:pPr>
        <w:pStyle w:val="3-BodyText"/>
      </w:pPr>
      <w:r w:rsidRPr="00580A48">
        <w:t xml:space="preserve">The results of the </w:t>
      </w:r>
      <w:r>
        <w:t xml:space="preserve">main </w:t>
      </w:r>
      <w:r w:rsidRPr="00580A48">
        <w:t>ITC</w:t>
      </w:r>
      <w:r>
        <w:t xml:space="preserve"> </w:t>
      </w:r>
      <w:r w:rsidRPr="00580A48">
        <w:t xml:space="preserve">between </w:t>
      </w:r>
      <w:r>
        <w:t>fruquintinib</w:t>
      </w:r>
      <w:r w:rsidRPr="00580A48">
        <w:t xml:space="preserve"> and </w:t>
      </w:r>
      <w:r w:rsidR="000B4F3F">
        <w:rPr>
          <w:rFonts w:eastAsia="Calibri"/>
        </w:rPr>
        <w:t>TRI/TIP</w:t>
      </w:r>
      <w:r>
        <w:t xml:space="preserve">, based on </w:t>
      </w:r>
      <w:r w:rsidR="00A16484">
        <w:t xml:space="preserve">the </w:t>
      </w:r>
      <w:r>
        <w:t>FRESCO 2 and RECOURSE trials,</w:t>
      </w:r>
      <w:r w:rsidRPr="00580A48">
        <w:t xml:space="preserve"> found no statistically significant differences</w:t>
      </w:r>
      <w:r w:rsidR="003E7B3E">
        <w:t xml:space="preserve"> in PFS</w:t>
      </w:r>
      <w:r w:rsidRPr="00580A48">
        <w:t xml:space="preserve"> between the two treatments (HR = 0.</w:t>
      </w:r>
      <w:r>
        <w:t>67</w:t>
      </w:r>
      <w:r w:rsidRPr="00580A48">
        <w:t>; 95% CI: 0.</w:t>
      </w:r>
      <w:r>
        <w:t>43</w:t>
      </w:r>
      <w:r w:rsidRPr="00580A48">
        <w:t>, 1.</w:t>
      </w:r>
      <w:r>
        <w:t>04</w:t>
      </w:r>
      <w:r w:rsidRPr="00580A48">
        <w:t xml:space="preserve">). </w:t>
      </w:r>
      <w:r>
        <w:t xml:space="preserve">However, the </w:t>
      </w:r>
      <w:r w:rsidRPr="00EE272A">
        <w:rPr>
          <w:lang w:eastAsia="en-GB"/>
        </w:rPr>
        <w:t xml:space="preserve">results of the sensitivity analysis for PFS showed statistically significant difference between fruquintinib and </w:t>
      </w:r>
      <w:r w:rsidR="000B4F3F">
        <w:rPr>
          <w:rFonts w:eastAsia="Calibri"/>
        </w:rPr>
        <w:t>TRI/TIP</w:t>
      </w:r>
      <w:r>
        <w:rPr>
          <w:lang w:eastAsia="en-GB"/>
        </w:rPr>
        <w:t>, in favour of fruquintinib</w:t>
      </w:r>
      <w:r w:rsidRPr="00EE272A">
        <w:rPr>
          <w:lang w:eastAsia="en-GB"/>
        </w:rPr>
        <w:t>.</w:t>
      </w:r>
    </w:p>
    <w:p w14:paraId="16913B73" w14:textId="3363306E" w:rsidR="00891965" w:rsidRPr="00B318E3" w:rsidRDefault="00764E56" w:rsidP="00891965">
      <w:pPr>
        <w:pStyle w:val="3-BodyText"/>
      </w:pPr>
      <w:r>
        <w:fldChar w:fldCharType="begin"/>
      </w:r>
      <w:r>
        <w:instrText xml:space="preserve"> REF _Ref164681312 \h </w:instrText>
      </w:r>
      <w:r>
        <w:fldChar w:fldCharType="separate"/>
      </w:r>
      <w:r w:rsidR="00F03729">
        <w:t xml:space="preserve">Figure </w:t>
      </w:r>
      <w:r w:rsidR="00F03729">
        <w:rPr>
          <w:noProof/>
        </w:rPr>
        <w:t>3</w:t>
      </w:r>
      <w:r>
        <w:fldChar w:fldCharType="end"/>
      </w:r>
      <w:r>
        <w:t xml:space="preserve"> </w:t>
      </w:r>
      <w:r w:rsidR="00891965" w:rsidRPr="004C67CC">
        <w:t>present</w:t>
      </w:r>
      <w:r w:rsidR="00891965">
        <w:t>s</w:t>
      </w:r>
      <w:r w:rsidR="00891965" w:rsidRPr="004C67CC">
        <w:t xml:space="preserve"> an overlay of the </w:t>
      </w:r>
      <w:r w:rsidR="00891965">
        <w:t xml:space="preserve">KM </w:t>
      </w:r>
      <w:r w:rsidR="00891965" w:rsidRPr="004C67CC">
        <w:t>curves</w:t>
      </w:r>
      <w:r w:rsidR="00891965">
        <w:t xml:space="preserve"> for PFS</w:t>
      </w:r>
      <w:r w:rsidR="00891965" w:rsidRPr="004C67CC">
        <w:t xml:space="preserve"> from </w:t>
      </w:r>
      <w:r w:rsidR="00A16484">
        <w:t xml:space="preserve">the </w:t>
      </w:r>
      <w:r w:rsidR="00891965" w:rsidRPr="004C67CC">
        <w:t>FRESCO 2 and RECOURSE</w:t>
      </w:r>
      <w:r w:rsidR="00891965">
        <w:t xml:space="preserve"> trials.</w:t>
      </w:r>
    </w:p>
    <w:p w14:paraId="5CA262AC" w14:textId="65034934" w:rsidR="00891965" w:rsidRDefault="00891965" w:rsidP="00215C60">
      <w:pPr>
        <w:pStyle w:val="Caption"/>
      </w:pPr>
      <w:bookmarkStart w:id="54" w:name="_Ref164681312"/>
      <w:r>
        <w:lastRenderedPageBreak/>
        <w:t xml:space="preserve">Figure </w:t>
      </w:r>
      <w:r w:rsidR="00DD5C00">
        <w:fldChar w:fldCharType="begin"/>
      </w:r>
      <w:r w:rsidR="00DD5C00">
        <w:instrText xml:space="preserve"> SEQ Figure \* ARABIC </w:instrText>
      </w:r>
      <w:r w:rsidR="00DD5C00">
        <w:fldChar w:fldCharType="separate"/>
      </w:r>
      <w:r w:rsidR="00F03729">
        <w:rPr>
          <w:noProof/>
        </w:rPr>
        <w:t>3</w:t>
      </w:r>
      <w:r w:rsidR="00DD5C00">
        <w:rPr>
          <w:noProof/>
        </w:rPr>
        <w:fldChar w:fldCharType="end"/>
      </w:r>
      <w:bookmarkEnd w:id="53"/>
      <w:bookmarkEnd w:id="54"/>
      <w:r>
        <w:t xml:space="preserve">: </w:t>
      </w:r>
      <w:r w:rsidRPr="00F16470">
        <w:t>Overlay of KM curves for PFS from FRESCO 2 and RECOURSE</w:t>
      </w:r>
    </w:p>
    <w:p w14:paraId="5CB04DA7" w14:textId="77777777" w:rsidR="00891965" w:rsidRDefault="00891965" w:rsidP="00215C60">
      <w:pPr>
        <w:pStyle w:val="TableFigureFooter"/>
        <w:keepNext/>
      </w:pPr>
      <w:r w:rsidRPr="00367B31">
        <w:rPr>
          <w:noProof/>
        </w:rPr>
        <w:drawing>
          <wp:inline distT="0" distB="0" distL="0" distR="0" wp14:anchorId="27255867" wp14:editId="09D56174">
            <wp:extent cx="4789657" cy="3082681"/>
            <wp:effectExtent l="0" t="0" r="0" b="0"/>
            <wp:docPr id="1362678945" name="Picture 1362678945" descr="Figure 3: Overlay of KM curves for PFS from FRESCO 2 and R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78945" name="Picture 1362678945" descr="Figure 3: Overlay of KM curves for PFS from FRESCO 2 and RECOURSE"/>
                    <pic:cNvPicPr/>
                  </pic:nvPicPr>
                  <pic:blipFill rotWithShape="1">
                    <a:blip r:embed="rId9"/>
                    <a:srcRect t="8903"/>
                    <a:stretch/>
                  </pic:blipFill>
                  <pic:spPr bwMode="auto">
                    <a:xfrm>
                      <a:off x="0" y="0"/>
                      <a:ext cx="4840056" cy="3115118"/>
                    </a:xfrm>
                    <a:prstGeom prst="rect">
                      <a:avLst/>
                    </a:prstGeom>
                    <a:ln>
                      <a:noFill/>
                    </a:ln>
                    <a:extLst>
                      <a:ext uri="{53640926-AAD7-44D8-BBD7-CCE9431645EC}">
                        <a14:shadowObscured xmlns:a14="http://schemas.microsoft.com/office/drawing/2010/main"/>
                      </a:ext>
                    </a:extLst>
                  </pic:spPr>
                </pic:pic>
              </a:graphicData>
            </a:graphic>
          </wp:inline>
        </w:drawing>
      </w:r>
    </w:p>
    <w:p w14:paraId="729FF275" w14:textId="77777777" w:rsidR="00891965" w:rsidRDefault="00891965" w:rsidP="00215C60">
      <w:pPr>
        <w:pStyle w:val="TableFigureFooter"/>
        <w:keepNext/>
      </w:pPr>
      <w:r>
        <w:t xml:space="preserve">Source: Figure 2-54, p164 </w:t>
      </w:r>
      <w:r w:rsidRPr="00D13A3E">
        <w:t xml:space="preserve">of the </w:t>
      </w:r>
      <w:r>
        <w:t>submission.</w:t>
      </w:r>
    </w:p>
    <w:p w14:paraId="7D2556D4" w14:textId="77777777" w:rsidR="00891965" w:rsidRDefault="00891965" w:rsidP="00891965">
      <w:pPr>
        <w:pStyle w:val="TableFigureFooter"/>
        <w:rPr>
          <w:lang w:eastAsia="en-GB"/>
        </w:rPr>
      </w:pPr>
      <w:r w:rsidRPr="00284372">
        <w:t xml:space="preserve">FRU = fruquintinib; KM= Kaplan-Meier; </w:t>
      </w:r>
      <w:r>
        <w:t>PF</w:t>
      </w:r>
      <w:r w:rsidRPr="00284372">
        <w:t xml:space="preserve">S = </w:t>
      </w:r>
      <w:r>
        <w:t xml:space="preserve">progression-free </w:t>
      </w:r>
      <w:r w:rsidRPr="00284372">
        <w:t>survival</w:t>
      </w:r>
      <w:r>
        <w:t xml:space="preserve">; </w:t>
      </w:r>
      <w:r>
        <w:rPr>
          <w:lang w:eastAsia="en-GB"/>
        </w:rPr>
        <w:t>T/T = trifluridine/tipiracil.</w:t>
      </w:r>
    </w:p>
    <w:p w14:paraId="1DA73E9C" w14:textId="45C565F8" w:rsidR="00891965" w:rsidRPr="001838C7" w:rsidRDefault="00891965" w:rsidP="00891965">
      <w:pPr>
        <w:pStyle w:val="3-BodyText"/>
        <w:rPr>
          <w:i/>
          <w:iCs/>
        </w:rPr>
      </w:pPr>
      <w:r w:rsidRPr="004C67CC">
        <w:rPr>
          <w:lang w:eastAsia="en-GB"/>
        </w:rPr>
        <w:t xml:space="preserve">The results of </w:t>
      </w:r>
      <w:r w:rsidR="00A16484">
        <w:rPr>
          <w:lang w:eastAsia="en-GB"/>
        </w:rPr>
        <w:t xml:space="preserve">the </w:t>
      </w:r>
      <w:r>
        <w:rPr>
          <w:lang w:eastAsia="en-GB"/>
        </w:rPr>
        <w:t xml:space="preserve">direct and indirect comparison of </w:t>
      </w:r>
      <w:r w:rsidRPr="004C67CC">
        <w:rPr>
          <w:lang w:eastAsia="en-GB"/>
        </w:rPr>
        <w:t xml:space="preserve">time to worsening of ECOG PS (score ≥2), based on </w:t>
      </w:r>
      <w:r w:rsidR="00A16484">
        <w:rPr>
          <w:lang w:eastAsia="en-GB"/>
        </w:rPr>
        <w:t xml:space="preserve">the </w:t>
      </w:r>
      <w:r w:rsidRPr="004C67CC">
        <w:rPr>
          <w:lang w:eastAsia="en-GB"/>
        </w:rPr>
        <w:t>FRESCO 2 and RECOURSE trials</w:t>
      </w:r>
      <w:r w:rsidR="005C7075">
        <w:rPr>
          <w:lang w:eastAsia="en-GB"/>
        </w:rPr>
        <w:t xml:space="preserve"> only</w:t>
      </w:r>
      <w:r w:rsidRPr="004C67CC">
        <w:rPr>
          <w:lang w:eastAsia="en-GB"/>
        </w:rPr>
        <w:t xml:space="preserve">, </w:t>
      </w:r>
      <w:r>
        <w:rPr>
          <w:lang w:eastAsia="en-GB"/>
        </w:rPr>
        <w:t>are</w:t>
      </w:r>
      <w:r w:rsidRPr="004C67CC">
        <w:rPr>
          <w:lang w:eastAsia="en-GB"/>
        </w:rPr>
        <w:t xml:space="preserve"> summarised i</w:t>
      </w:r>
      <w:r>
        <w:rPr>
          <w:lang w:eastAsia="en-GB"/>
        </w:rPr>
        <w:t>n</w:t>
      </w:r>
      <w:r w:rsidR="009C12CD">
        <w:rPr>
          <w:lang w:eastAsia="en-GB"/>
        </w:rPr>
        <w:t xml:space="preserve"> Table 6</w:t>
      </w:r>
      <w:r w:rsidRPr="004C67CC">
        <w:rPr>
          <w:lang w:eastAsia="en-GB"/>
        </w:rPr>
        <w:t>.</w:t>
      </w:r>
    </w:p>
    <w:p w14:paraId="34199F78" w14:textId="469899A8" w:rsidR="00891965" w:rsidRDefault="00891965" w:rsidP="00891965">
      <w:pPr>
        <w:pStyle w:val="Caption"/>
      </w:pPr>
      <w:bookmarkStart w:id="55" w:name="_Ref164310755"/>
      <w:r>
        <w:t xml:space="preserve">Table </w:t>
      </w:r>
      <w:r w:rsidR="00DD5C00">
        <w:fldChar w:fldCharType="begin"/>
      </w:r>
      <w:r w:rsidR="00DD5C00">
        <w:instrText xml:space="preserve"> SEQ Table \* ARABIC </w:instrText>
      </w:r>
      <w:r w:rsidR="00DD5C00">
        <w:fldChar w:fldCharType="separate"/>
      </w:r>
      <w:r w:rsidR="00F03729">
        <w:rPr>
          <w:noProof/>
        </w:rPr>
        <w:t>6</w:t>
      </w:r>
      <w:r w:rsidR="00DD5C00">
        <w:rPr>
          <w:noProof/>
        </w:rPr>
        <w:fldChar w:fldCharType="end"/>
      </w:r>
      <w:bookmarkEnd w:id="55"/>
      <w:r>
        <w:t xml:space="preserve">: </w:t>
      </w:r>
      <w:r w:rsidRPr="00216E5E">
        <w:rPr>
          <w:rStyle w:val="CommentReference"/>
          <w:b/>
          <w:szCs w:val="24"/>
        </w:rPr>
        <w:t xml:space="preserve">Results of </w:t>
      </w:r>
      <w:r w:rsidRPr="00DC6B8A">
        <w:rPr>
          <w:rStyle w:val="CommentReference"/>
          <w:b/>
          <w:szCs w:val="24"/>
        </w:rPr>
        <w:t>time to worsening of ECOG PS (score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of time to worsening of ECOG PS (score ≥2)"/>
      </w:tblPr>
      <w:tblGrid>
        <w:gridCol w:w="2204"/>
        <w:gridCol w:w="810"/>
        <w:gridCol w:w="1365"/>
        <w:gridCol w:w="810"/>
        <w:gridCol w:w="1188"/>
        <w:gridCol w:w="1174"/>
        <w:gridCol w:w="1466"/>
      </w:tblGrid>
      <w:tr w:rsidR="00B8663F" w14:paraId="7E57AACF" w14:textId="77777777" w:rsidTr="007B2206">
        <w:trPr>
          <w:trHeight w:val="178"/>
          <w:tblHeader/>
        </w:trPr>
        <w:tc>
          <w:tcPr>
            <w:tcW w:w="1222" w:type="pct"/>
            <w:vMerge w:val="restart"/>
            <w:tcBorders>
              <w:top w:val="single" w:sz="4" w:space="0" w:color="auto"/>
              <w:left w:val="single" w:sz="4" w:space="0" w:color="auto"/>
              <w:bottom w:val="single" w:sz="4" w:space="0" w:color="auto"/>
              <w:right w:val="single" w:sz="4" w:space="0" w:color="auto"/>
            </w:tcBorders>
            <w:vAlign w:val="center"/>
            <w:hideMark/>
          </w:tcPr>
          <w:p w14:paraId="56078C4B" w14:textId="77777777" w:rsidR="00891965" w:rsidRDefault="00891965" w:rsidP="00DB2E12">
            <w:pPr>
              <w:pStyle w:val="TableFigureHeading"/>
            </w:pPr>
            <w:r>
              <w:t>Trial ID</w:t>
            </w:r>
          </w:p>
        </w:tc>
        <w:tc>
          <w:tcPr>
            <w:tcW w:w="1206" w:type="pct"/>
            <w:gridSpan w:val="2"/>
            <w:tcBorders>
              <w:top w:val="single" w:sz="4" w:space="0" w:color="auto"/>
              <w:left w:val="single" w:sz="4" w:space="0" w:color="auto"/>
              <w:bottom w:val="single" w:sz="4" w:space="0" w:color="auto"/>
              <w:right w:val="single" w:sz="4" w:space="0" w:color="auto"/>
            </w:tcBorders>
            <w:vAlign w:val="center"/>
            <w:hideMark/>
          </w:tcPr>
          <w:p w14:paraId="7A9E00F2" w14:textId="11B19676" w:rsidR="00891965" w:rsidRDefault="00E52DFB" w:rsidP="00DB2E12">
            <w:pPr>
              <w:pStyle w:val="TableFigureHeading"/>
              <w:jc w:val="center"/>
            </w:pPr>
            <w:r>
              <w:t>Intervention</w:t>
            </w:r>
          </w:p>
        </w:tc>
        <w:tc>
          <w:tcPr>
            <w:tcW w:w="1107" w:type="pct"/>
            <w:gridSpan w:val="2"/>
            <w:tcBorders>
              <w:top w:val="single" w:sz="4" w:space="0" w:color="auto"/>
              <w:left w:val="single" w:sz="4" w:space="0" w:color="auto"/>
              <w:bottom w:val="single" w:sz="4" w:space="0" w:color="auto"/>
              <w:right w:val="single" w:sz="4" w:space="0" w:color="auto"/>
            </w:tcBorders>
            <w:vAlign w:val="center"/>
            <w:hideMark/>
          </w:tcPr>
          <w:p w14:paraId="1A972CBE" w14:textId="77777777" w:rsidR="00891965" w:rsidRDefault="00891965" w:rsidP="00DB2E12">
            <w:pPr>
              <w:pStyle w:val="TableFigureHeading"/>
              <w:jc w:val="center"/>
            </w:pPr>
            <w:r>
              <w:t>Placebo</w:t>
            </w:r>
          </w:p>
        </w:tc>
        <w:tc>
          <w:tcPr>
            <w:tcW w:w="651" w:type="pct"/>
            <w:vMerge w:val="restart"/>
            <w:tcBorders>
              <w:top w:val="single" w:sz="4" w:space="0" w:color="auto"/>
              <w:left w:val="single" w:sz="4" w:space="0" w:color="auto"/>
              <w:bottom w:val="single" w:sz="4" w:space="0" w:color="auto"/>
              <w:right w:val="single" w:sz="4" w:space="0" w:color="auto"/>
            </w:tcBorders>
            <w:vAlign w:val="center"/>
          </w:tcPr>
          <w:p w14:paraId="349C2CFF" w14:textId="07E3A5E9" w:rsidR="00891965" w:rsidRDefault="00891965" w:rsidP="00DB2E12">
            <w:pPr>
              <w:pStyle w:val="TableFigureHeading"/>
              <w:jc w:val="center"/>
            </w:pPr>
            <w:r>
              <w:t>Absolute difference in median</w:t>
            </w:r>
            <w:r w:rsidR="00126FB1" w:rsidRPr="00126FB1">
              <w:rPr>
                <w:vertAlign w:val="superscript"/>
              </w:rPr>
              <w:t>c</w:t>
            </w:r>
          </w:p>
        </w:tc>
        <w:tc>
          <w:tcPr>
            <w:tcW w:w="815" w:type="pct"/>
            <w:vMerge w:val="restart"/>
            <w:tcBorders>
              <w:top w:val="single" w:sz="4" w:space="0" w:color="auto"/>
              <w:left w:val="single" w:sz="4" w:space="0" w:color="auto"/>
              <w:right w:val="single" w:sz="4" w:space="0" w:color="auto"/>
            </w:tcBorders>
            <w:vAlign w:val="center"/>
            <w:hideMark/>
          </w:tcPr>
          <w:p w14:paraId="11A40C49" w14:textId="77777777" w:rsidR="00B8663F" w:rsidRDefault="00891965" w:rsidP="00DB2E12">
            <w:pPr>
              <w:pStyle w:val="TableFigureHeading"/>
              <w:jc w:val="center"/>
            </w:pPr>
            <w:r>
              <w:t xml:space="preserve">Hazard ratio </w:t>
            </w:r>
          </w:p>
          <w:p w14:paraId="66770069" w14:textId="2A4E1C65" w:rsidR="00891965" w:rsidRDefault="00891965" w:rsidP="00DB2E12">
            <w:pPr>
              <w:pStyle w:val="TableFigureHeading"/>
              <w:jc w:val="center"/>
            </w:pPr>
            <w:r>
              <w:t>(95% CI)</w:t>
            </w:r>
          </w:p>
        </w:tc>
      </w:tr>
      <w:tr w:rsidR="00B8663F" w14:paraId="672A43B4" w14:textId="77777777" w:rsidTr="007B2206">
        <w:tc>
          <w:tcPr>
            <w:tcW w:w="1222" w:type="pct"/>
            <w:vMerge/>
            <w:tcBorders>
              <w:top w:val="single" w:sz="4" w:space="0" w:color="auto"/>
              <w:left w:val="single" w:sz="4" w:space="0" w:color="auto"/>
              <w:bottom w:val="single" w:sz="4" w:space="0" w:color="auto"/>
              <w:right w:val="single" w:sz="4" w:space="0" w:color="auto"/>
            </w:tcBorders>
            <w:vAlign w:val="center"/>
            <w:hideMark/>
          </w:tcPr>
          <w:p w14:paraId="0440D245" w14:textId="77777777" w:rsidR="00891965" w:rsidRDefault="00891965" w:rsidP="00DB2E12">
            <w:pPr>
              <w:jc w:val="left"/>
              <w:rPr>
                <w:rFonts w:ascii="Arial Narrow" w:eastAsiaTheme="majorEastAsia" w:hAnsi="Arial Narrow" w:cstheme="majorBidi"/>
                <w:b/>
                <w:bCs/>
                <w:sz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45CF5956" w14:textId="77777777" w:rsidR="00891965" w:rsidRDefault="00891965" w:rsidP="00DB2E12">
            <w:pPr>
              <w:pStyle w:val="TableText0"/>
              <w:jc w:val="center"/>
              <w:rPr>
                <w:b/>
                <w:bCs w:val="0"/>
              </w:rPr>
            </w:pPr>
            <w:r>
              <w:rPr>
                <w:b/>
                <w:bCs w:val="0"/>
              </w:rPr>
              <w:t>n with event / N (%)</w:t>
            </w:r>
          </w:p>
        </w:tc>
        <w:tc>
          <w:tcPr>
            <w:tcW w:w="757" w:type="pct"/>
            <w:tcBorders>
              <w:top w:val="single" w:sz="4" w:space="0" w:color="auto"/>
              <w:left w:val="single" w:sz="4" w:space="0" w:color="auto"/>
              <w:bottom w:val="single" w:sz="4" w:space="0" w:color="auto"/>
              <w:right w:val="single" w:sz="4" w:space="0" w:color="auto"/>
            </w:tcBorders>
            <w:vAlign w:val="center"/>
            <w:hideMark/>
          </w:tcPr>
          <w:p w14:paraId="3EA321E4" w14:textId="77777777" w:rsidR="00891965" w:rsidRDefault="00891965" w:rsidP="00DB2E12">
            <w:pPr>
              <w:pStyle w:val="TableText0"/>
              <w:jc w:val="center"/>
              <w:rPr>
                <w:b/>
                <w:bCs w:val="0"/>
              </w:rPr>
            </w:pPr>
            <w:r w:rsidRPr="00DC6B8A">
              <w:rPr>
                <w:b/>
                <w:bCs w:val="0"/>
              </w:rPr>
              <w:t xml:space="preserve">Median time to ECOG PS </w:t>
            </w:r>
            <w:r>
              <w:rPr>
                <w:b/>
                <w:bCs w:val="0"/>
              </w:rPr>
              <w:t>w</w:t>
            </w:r>
            <w:r w:rsidRPr="00DC6B8A">
              <w:rPr>
                <w:b/>
                <w:bCs w:val="0"/>
              </w:rPr>
              <w:t>orsening</w:t>
            </w:r>
            <w:r>
              <w:rPr>
                <w:b/>
                <w:bCs w:val="0"/>
              </w:rPr>
              <w:t xml:space="preserve"> (</w:t>
            </w:r>
            <w:r w:rsidRPr="00DC6B8A">
              <w:rPr>
                <w:b/>
                <w:bCs w:val="0"/>
              </w:rPr>
              <w:t>months</w:t>
            </w:r>
            <w:r>
              <w:rPr>
                <w:b/>
                <w:bCs w:val="0"/>
              </w:rPr>
              <w:t>)</w:t>
            </w:r>
            <w:r w:rsidRPr="00DC6B8A">
              <w:rPr>
                <w:b/>
                <w:bCs w:val="0"/>
              </w:rPr>
              <w:t xml:space="preserve"> (95% CI)</w:t>
            </w:r>
          </w:p>
        </w:tc>
        <w:tc>
          <w:tcPr>
            <w:tcW w:w="449" w:type="pct"/>
            <w:tcBorders>
              <w:top w:val="single" w:sz="4" w:space="0" w:color="auto"/>
              <w:left w:val="single" w:sz="4" w:space="0" w:color="auto"/>
              <w:bottom w:val="single" w:sz="4" w:space="0" w:color="auto"/>
              <w:right w:val="single" w:sz="4" w:space="0" w:color="auto"/>
            </w:tcBorders>
            <w:vAlign w:val="center"/>
            <w:hideMark/>
          </w:tcPr>
          <w:p w14:paraId="13580604" w14:textId="77777777" w:rsidR="00891965" w:rsidRDefault="00891965" w:rsidP="00DB2E12">
            <w:pPr>
              <w:pStyle w:val="TableText0"/>
              <w:jc w:val="center"/>
            </w:pPr>
            <w:r>
              <w:rPr>
                <w:b/>
                <w:bCs w:val="0"/>
              </w:rPr>
              <w:t>n with event / N (%)</w:t>
            </w:r>
          </w:p>
        </w:tc>
        <w:tc>
          <w:tcPr>
            <w:tcW w:w="659" w:type="pct"/>
            <w:tcBorders>
              <w:top w:val="single" w:sz="4" w:space="0" w:color="auto"/>
              <w:left w:val="single" w:sz="4" w:space="0" w:color="auto"/>
              <w:bottom w:val="single" w:sz="4" w:space="0" w:color="auto"/>
              <w:right w:val="single" w:sz="4" w:space="0" w:color="auto"/>
            </w:tcBorders>
            <w:vAlign w:val="center"/>
            <w:hideMark/>
          </w:tcPr>
          <w:p w14:paraId="32EB874B" w14:textId="77777777" w:rsidR="00891965" w:rsidRDefault="00891965" w:rsidP="00DB2E12">
            <w:pPr>
              <w:pStyle w:val="TableText0"/>
              <w:jc w:val="center"/>
            </w:pPr>
            <w:r w:rsidRPr="00DC6B8A">
              <w:rPr>
                <w:b/>
                <w:bCs w:val="0"/>
              </w:rPr>
              <w:t xml:space="preserve">Median time to ECOG PS </w:t>
            </w:r>
            <w:r>
              <w:rPr>
                <w:b/>
                <w:bCs w:val="0"/>
              </w:rPr>
              <w:t>w</w:t>
            </w:r>
            <w:r w:rsidRPr="00DC6B8A">
              <w:rPr>
                <w:b/>
                <w:bCs w:val="0"/>
              </w:rPr>
              <w:t>orsening</w:t>
            </w:r>
            <w:r>
              <w:rPr>
                <w:b/>
                <w:bCs w:val="0"/>
              </w:rPr>
              <w:t xml:space="preserve"> (</w:t>
            </w:r>
            <w:r w:rsidRPr="00DC6B8A">
              <w:rPr>
                <w:b/>
                <w:bCs w:val="0"/>
              </w:rPr>
              <w:t>months</w:t>
            </w:r>
            <w:r>
              <w:rPr>
                <w:b/>
                <w:bCs w:val="0"/>
              </w:rPr>
              <w:t>)</w:t>
            </w:r>
            <w:r w:rsidRPr="00DC6B8A">
              <w:rPr>
                <w:b/>
                <w:bCs w:val="0"/>
              </w:rPr>
              <w:t xml:space="preserve"> (95% CI)</w:t>
            </w:r>
          </w:p>
        </w:tc>
        <w:tc>
          <w:tcPr>
            <w:tcW w:w="651" w:type="pct"/>
            <w:vMerge/>
            <w:tcBorders>
              <w:top w:val="single" w:sz="4" w:space="0" w:color="auto"/>
              <w:left w:val="single" w:sz="4" w:space="0" w:color="auto"/>
              <w:bottom w:val="single" w:sz="4" w:space="0" w:color="auto"/>
              <w:right w:val="single" w:sz="4" w:space="0" w:color="auto"/>
            </w:tcBorders>
            <w:vAlign w:val="center"/>
            <w:hideMark/>
          </w:tcPr>
          <w:p w14:paraId="10B218CC" w14:textId="77777777" w:rsidR="00891965" w:rsidRDefault="00891965" w:rsidP="00DB2E12">
            <w:pPr>
              <w:jc w:val="left"/>
              <w:rPr>
                <w:rFonts w:ascii="Arial Narrow" w:eastAsiaTheme="majorEastAsia" w:hAnsi="Arial Narrow" w:cstheme="majorBidi"/>
                <w:bCs/>
                <w:sz w:val="20"/>
              </w:rPr>
            </w:pPr>
          </w:p>
        </w:tc>
        <w:tc>
          <w:tcPr>
            <w:tcW w:w="815" w:type="pct"/>
            <w:vMerge/>
            <w:tcBorders>
              <w:left w:val="single" w:sz="4" w:space="0" w:color="auto"/>
              <w:bottom w:val="single" w:sz="4" w:space="0" w:color="auto"/>
              <w:right w:val="single" w:sz="4" w:space="0" w:color="auto"/>
            </w:tcBorders>
            <w:vAlign w:val="center"/>
            <w:hideMark/>
          </w:tcPr>
          <w:p w14:paraId="1B6E07B4" w14:textId="77777777" w:rsidR="00891965" w:rsidRDefault="00891965" w:rsidP="00DB2E12">
            <w:pPr>
              <w:jc w:val="left"/>
              <w:rPr>
                <w:rFonts w:ascii="Arial Narrow" w:eastAsiaTheme="majorEastAsia" w:hAnsi="Arial Narrow" w:cstheme="majorBidi"/>
                <w:b/>
                <w:bCs/>
                <w:sz w:val="20"/>
              </w:rPr>
            </w:pPr>
          </w:p>
        </w:tc>
      </w:tr>
      <w:tr w:rsidR="00B8663F" w14:paraId="6E8460A9" w14:textId="77777777" w:rsidTr="007B2206">
        <w:tc>
          <w:tcPr>
            <w:tcW w:w="1222" w:type="pct"/>
            <w:tcBorders>
              <w:top w:val="single" w:sz="4" w:space="0" w:color="auto"/>
              <w:left w:val="single" w:sz="4" w:space="0" w:color="auto"/>
              <w:bottom w:val="single" w:sz="4" w:space="0" w:color="auto"/>
              <w:right w:val="single" w:sz="4" w:space="0" w:color="auto"/>
            </w:tcBorders>
            <w:vAlign w:val="center"/>
            <w:hideMark/>
          </w:tcPr>
          <w:p w14:paraId="0AF0D10D" w14:textId="2C73D147" w:rsidR="00891965" w:rsidRDefault="00891965" w:rsidP="00DB2E12">
            <w:pPr>
              <w:pStyle w:val="TableText0"/>
            </w:pPr>
            <w:r>
              <w:t>FRESCO 2</w:t>
            </w:r>
            <w:r w:rsidR="007B2206" w:rsidRPr="007B2206">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5390857C" w14:textId="77777777" w:rsidR="00891965" w:rsidRDefault="00891965" w:rsidP="00DB2E12">
            <w:pPr>
              <w:pStyle w:val="TableText0"/>
              <w:jc w:val="center"/>
            </w:pPr>
            <w:r w:rsidRPr="00484CBD">
              <w:t>354</w:t>
            </w:r>
            <w:r>
              <w:t xml:space="preserve">/461 </w:t>
            </w:r>
            <w:r w:rsidRPr="00484CBD">
              <w:t>(76.8</w:t>
            </w:r>
            <w:r>
              <w:t>%</w:t>
            </w:r>
            <w:r w:rsidRPr="00484CBD">
              <w:t>)</w:t>
            </w:r>
          </w:p>
        </w:tc>
        <w:tc>
          <w:tcPr>
            <w:tcW w:w="757" w:type="pct"/>
            <w:tcBorders>
              <w:top w:val="single" w:sz="4" w:space="0" w:color="auto"/>
              <w:left w:val="single" w:sz="4" w:space="0" w:color="auto"/>
              <w:bottom w:val="single" w:sz="4" w:space="0" w:color="auto"/>
              <w:right w:val="single" w:sz="4" w:space="0" w:color="auto"/>
            </w:tcBorders>
            <w:vAlign w:val="center"/>
          </w:tcPr>
          <w:p w14:paraId="6A5DD4DD" w14:textId="77777777" w:rsidR="00891965" w:rsidRDefault="00891965" w:rsidP="00DB2E12">
            <w:pPr>
              <w:pStyle w:val="TableText0"/>
              <w:jc w:val="center"/>
            </w:pPr>
            <w:r w:rsidRPr="00DC6B8A">
              <w:t>5.3 (4.5, 5.8)</w:t>
            </w:r>
          </w:p>
        </w:tc>
        <w:tc>
          <w:tcPr>
            <w:tcW w:w="449" w:type="pct"/>
            <w:tcBorders>
              <w:top w:val="single" w:sz="4" w:space="0" w:color="auto"/>
              <w:left w:val="single" w:sz="4" w:space="0" w:color="auto"/>
              <w:bottom w:val="single" w:sz="4" w:space="0" w:color="auto"/>
              <w:right w:val="single" w:sz="4" w:space="0" w:color="auto"/>
            </w:tcBorders>
            <w:vAlign w:val="center"/>
          </w:tcPr>
          <w:p w14:paraId="2CBC14ED" w14:textId="77777777" w:rsidR="00891965" w:rsidRDefault="00891965" w:rsidP="00DB2E12">
            <w:pPr>
              <w:pStyle w:val="TableText0"/>
              <w:jc w:val="center"/>
            </w:pPr>
            <w:r w:rsidRPr="00484CBD">
              <w:t>183</w:t>
            </w:r>
            <w:r>
              <w:t>/230</w:t>
            </w:r>
            <w:r w:rsidRPr="00484CBD">
              <w:t xml:space="preserve"> </w:t>
            </w:r>
          </w:p>
          <w:p w14:paraId="467B9E7D" w14:textId="77777777" w:rsidR="00891965" w:rsidRDefault="00891965" w:rsidP="00DB2E12">
            <w:pPr>
              <w:pStyle w:val="TableText0"/>
              <w:jc w:val="center"/>
            </w:pPr>
            <w:r w:rsidRPr="00484CBD">
              <w:t>(79.6</w:t>
            </w:r>
            <w:r>
              <w:t>%</w:t>
            </w:r>
            <w:r w:rsidRPr="00484CBD">
              <w:t>)</w:t>
            </w:r>
          </w:p>
        </w:tc>
        <w:tc>
          <w:tcPr>
            <w:tcW w:w="659" w:type="pct"/>
            <w:tcBorders>
              <w:top w:val="single" w:sz="4" w:space="0" w:color="auto"/>
              <w:left w:val="single" w:sz="4" w:space="0" w:color="auto"/>
              <w:bottom w:val="single" w:sz="4" w:space="0" w:color="auto"/>
              <w:right w:val="single" w:sz="4" w:space="0" w:color="auto"/>
            </w:tcBorders>
            <w:vAlign w:val="center"/>
          </w:tcPr>
          <w:p w14:paraId="0F7C0BD0" w14:textId="77777777" w:rsidR="00891965" w:rsidRDefault="00891965" w:rsidP="00DB2E12">
            <w:pPr>
              <w:pStyle w:val="TableText0"/>
              <w:jc w:val="center"/>
            </w:pPr>
            <w:r w:rsidRPr="00DC6B8A">
              <w:t>2.9 (2.5, 3.5)</w:t>
            </w:r>
          </w:p>
        </w:tc>
        <w:tc>
          <w:tcPr>
            <w:tcW w:w="651" w:type="pct"/>
            <w:tcBorders>
              <w:top w:val="single" w:sz="4" w:space="0" w:color="auto"/>
              <w:left w:val="single" w:sz="4" w:space="0" w:color="auto"/>
              <w:bottom w:val="single" w:sz="4" w:space="0" w:color="auto"/>
              <w:right w:val="single" w:sz="4" w:space="0" w:color="auto"/>
            </w:tcBorders>
            <w:vAlign w:val="center"/>
          </w:tcPr>
          <w:p w14:paraId="24DDDB58" w14:textId="77777777" w:rsidR="00891965" w:rsidRPr="00126FB1" w:rsidRDefault="00891965" w:rsidP="00DB2E12">
            <w:pPr>
              <w:pStyle w:val="TableText0"/>
              <w:jc w:val="center"/>
            </w:pPr>
            <w:r w:rsidRPr="00126FB1">
              <w:t>2.4 months</w:t>
            </w:r>
          </w:p>
        </w:tc>
        <w:tc>
          <w:tcPr>
            <w:tcW w:w="815" w:type="pct"/>
            <w:tcBorders>
              <w:top w:val="single" w:sz="4" w:space="0" w:color="auto"/>
              <w:left w:val="single" w:sz="4" w:space="0" w:color="auto"/>
              <w:bottom w:val="single" w:sz="4" w:space="0" w:color="auto"/>
              <w:right w:val="single" w:sz="4" w:space="0" w:color="auto"/>
            </w:tcBorders>
            <w:vAlign w:val="center"/>
          </w:tcPr>
          <w:p w14:paraId="6E347BF5" w14:textId="77777777" w:rsidR="00891965" w:rsidRDefault="00891965" w:rsidP="00DB2E12">
            <w:pPr>
              <w:pStyle w:val="TableText0"/>
              <w:jc w:val="center"/>
              <w:rPr>
                <w:b/>
                <w:bCs w:val="0"/>
              </w:rPr>
            </w:pPr>
            <w:r w:rsidRPr="00E40AD2">
              <w:rPr>
                <w:b/>
                <w:bCs w:val="0"/>
              </w:rPr>
              <w:t>0.6</w:t>
            </w:r>
            <w:r>
              <w:rPr>
                <w:b/>
                <w:bCs w:val="0"/>
              </w:rPr>
              <w:t>4</w:t>
            </w:r>
            <w:r w:rsidRPr="00E40AD2">
              <w:rPr>
                <w:b/>
                <w:bCs w:val="0"/>
              </w:rPr>
              <w:t xml:space="preserve"> (0.</w:t>
            </w:r>
            <w:r w:rsidRPr="00E40AD2">
              <w:rPr>
                <w:b/>
                <w:bCs w:val="0"/>
                <w:lang w:eastAsia="en-GB"/>
              </w:rPr>
              <w:t>5</w:t>
            </w:r>
            <w:r>
              <w:rPr>
                <w:b/>
                <w:bCs w:val="0"/>
                <w:lang w:eastAsia="en-GB"/>
              </w:rPr>
              <w:t>3</w:t>
            </w:r>
            <w:r w:rsidRPr="00E40AD2">
              <w:rPr>
                <w:b/>
                <w:bCs w:val="0"/>
                <w:lang w:eastAsia="en-GB"/>
              </w:rPr>
              <w:t>,0.7</w:t>
            </w:r>
            <w:r>
              <w:rPr>
                <w:b/>
                <w:bCs w:val="0"/>
                <w:lang w:eastAsia="en-GB"/>
              </w:rPr>
              <w:t>7</w:t>
            </w:r>
            <w:r w:rsidRPr="00E40AD2">
              <w:rPr>
                <w:b/>
                <w:bCs w:val="0"/>
                <w:lang w:eastAsia="en-GB"/>
              </w:rPr>
              <w:t>)</w:t>
            </w:r>
          </w:p>
        </w:tc>
      </w:tr>
      <w:tr w:rsidR="00B8663F" w14:paraId="153D368B" w14:textId="77777777" w:rsidTr="007B2206">
        <w:tc>
          <w:tcPr>
            <w:tcW w:w="1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D1A92" w14:textId="7A1AD884" w:rsidR="00891965" w:rsidRDefault="00891965" w:rsidP="00DB2E12">
            <w:pPr>
              <w:pStyle w:val="TableText0"/>
            </w:pPr>
            <w:r>
              <w:t>RECOURSE</w:t>
            </w:r>
            <w:r w:rsidR="007B2206" w:rsidRPr="007B2206">
              <w:rPr>
                <w:vertAlign w:val="superscript"/>
              </w:rPr>
              <w:t>b</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5713186" w14:textId="77777777" w:rsidR="00891965" w:rsidRDefault="00891965" w:rsidP="00DB2E12">
            <w:pPr>
              <w:pStyle w:val="TableText0"/>
              <w:jc w:val="center"/>
            </w:pPr>
            <w:r w:rsidRPr="00E60882">
              <w:t>383/534 (71.7%)</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285BD65" w14:textId="77777777" w:rsidR="00891965" w:rsidRDefault="00891965" w:rsidP="00DB2E12">
            <w:pPr>
              <w:pStyle w:val="TableText0"/>
              <w:jc w:val="center"/>
            </w:pPr>
            <w:r w:rsidRPr="00DC6B8A">
              <w:t>5.7 (NR</w:t>
            </w:r>
            <w: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7FBF8BC0" w14:textId="77777777" w:rsidR="00891965" w:rsidRDefault="00891965" w:rsidP="00DB2E12">
            <w:pPr>
              <w:pStyle w:val="TableText0"/>
              <w:jc w:val="center"/>
            </w:pPr>
            <w:r w:rsidRPr="00E60882">
              <w:t xml:space="preserve">216/266 </w:t>
            </w:r>
          </w:p>
          <w:p w14:paraId="72615090" w14:textId="77777777" w:rsidR="00891965" w:rsidRDefault="00891965" w:rsidP="00DB2E12">
            <w:pPr>
              <w:pStyle w:val="TableText0"/>
              <w:jc w:val="center"/>
            </w:pPr>
            <w:r w:rsidRPr="00E60882">
              <w:t>(81.2%)</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A5CA26B" w14:textId="77777777" w:rsidR="00891965" w:rsidRDefault="00891965" w:rsidP="00DB2E12">
            <w:pPr>
              <w:pStyle w:val="TableText0"/>
              <w:jc w:val="center"/>
            </w:pPr>
            <w:r w:rsidRPr="00DC6B8A">
              <w:t>4.0 (NR)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ECFB152" w14:textId="77777777" w:rsidR="00891965" w:rsidRPr="00126FB1" w:rsidRDefault="00891965" w:rsidP="00DB2E12">
            <w:pPr>
              <w:pStyle w:val="TableText0"/>
              <w:jc w:val="center"/>
            </w:pPr>
            <w:r w:rsidRPr="00126FB1">
              <w:t>1.7 months</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30D27773" w14:textId="77777777" w:rsidR="00891965" w:rsidRPr="007C7707" w:rsidRDefault="00891965" w:rsidP="00DB2E12">
            <w:pPr>
              <w:pStyle w:val="TableText0"/>
              <w:jc w:val="center"/>
              <w:rPr>
                <w:b/>
                <w:bCs w:val="0"/>
              </w:rPr>
            </w:pPr>
            <w:r w:rsidRPr="00D17E2F">
              <w:rPr>
                <w:b/>
                <w:bCs w:val="0"/>
              </w:rPr>
              <w:t>0.66 (0.56, 0.78)</w:t>
            </w:r>
          </w:p>
        </w:tc>
      </w:tr>
      <w:tr w:rsidR="00891965" w14:paraId="0A3111EE" w14:textId="77777777" w:rsidTr="007B2206">
        <w:tc>
          <w:tcPr>
            <w:tcW w:w="4185" w:type="pct"/>
            <w:gridSpan w:val="6"/>
            <w:tcBorders>
              <w:top w:val="single" w:sz="4" w:space="0" w:color="auto"/>
              <w:left w:val="single" w:sz="4" w:space="0" w:color="auto"/>
              <w:bottom w:val="single" w:sz="4" w:space="0" w:color="auto"/>
              <w:right w:val="single" w:sz="4" w:space="0" w:color="auto"/>
            </w:tcBorders>
            <w:shd w:val="clear" w:color="auto" w:fill="auto"/>
          </w:tcPr>
          <w:p w14:paraId="52EDED47" w14:textId="08326992" w:rsidR="00891965" w:rsidRPr="00B37626" w:rsidRDefault="00891965" w:rsidP="00DB2E12">
            <w:pPr>
              <w:pStyle w:val="TableText0"/>
              <w:jc w:val="right"/>
              <w:rPr>
                <w:i/>
                <w:iCs/>
              </w:rPr>
            </w:pPr>
            <w:r>
              <w:t>ITC Analysis 2</w:t>
            </w:r>
            <w:r w:rsidRPr="00CE5502">
              <w:rPr>
                <w:vertAlign w:val="superscript"/>
              </w:rPr>
              <w:t>b</w:t>
            </w:r>
            <w:r w:rsidRPr="00A72855">
              <w:t xml:space="preserve"> (</w:t>
            </w:r>
            <w:r>
              <w:t>fruquintinib [FRESCO 2]</w:t>
            </w:r>
            <w:r w:rsidRPr="00A72855">
              <w:t xml:space="preserve"> vs.</w:t>
            </w:r>
            <w:r>
              <w:t xml:space="preserve"> </w:t>
            </w:r>
            <w:r w:rsidR="000B4F3F">
              <w:rPr>
                <w:rFonts w:eastAsia="Calibri"/>
              </w:rPr>
              <w:t>TRI/TIP</w:t>
            </w:r>
            <w:r>
              <w:t xml:space="preserve"> [RECOURSE]</w:t>
            </w:r>
            <w:r w:rsidRPr="00A72855">
              <w:t>)</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CB4ABD7" w14:textId="77777777" w:rsidR="00891965" w:rsidRPr="007C7707" w:rsidRDefault="00891965" w:rsidP="00DB2E12">
            <w:pPr>
              <w:pStyle w:val="TableText0"/>
              <w:jc w:val="center"/>
              <w:rPr>
                <w:b/>
                <w:bCs w:val="0"/>
              </w:rPr>
            </w:pPr>
            <w:r w:rsidRPr="007523CF">
              <w:t>0.9</w:t>
            </w:r>
            <w:r>
              <w:t>7</w:t>
            </w:r>
            <w:r w:rsidRPr="007523CF">
              <w:t xml:space="preserve"> </w:t>
            </w:r>
            <w:r>
              <w:t>(</w:t>
            </w:r>
            <w:r w:rsidRPr="007523CF">
              <w:t>0.75, 1.2</w:t>
            </w:r>
            <w:r>
              <w:t>4)</w:t>
            </w:r>
          </w:p>
        </w:tc>
      </w:tr>
    </w:tbl>
    <w:p w14:paraId="5C48C484" w14:textId="2F1ADA8B" w:rsidR="000540F9" w:rsidRPr="00373923" w:rsidRDefault="000540F9" w:rsidP="000540F9">
      <w:pPr>
        <w:pStyle w:val="TableFigureFooter"/>
        <w:rPr>
          <w:rFonts w:eastAsia="Calibri"/>
        </w:rPr>
      </w:pPr>
      <w:r w:rsidRPr="00373923">
        <w:rPr>
          <w:rFonts w:eastAsia="Calibri"/>
        </w:rPr>
        <w:t>Source: Table 2-1</w:t>
      </w:r>
      <w:r>
        <w:rPr>
          <w:rFonts w:eastAsia="Calibri"/>
        </w:rPr>
        <w:t>6</w:t>
      </w:r>
      <w:r w:rsidRPr="00373923">
        <w:rPr>
          <w:rFonts w:eastAsia="Calibri"/>
        </w:rPr>
        <w:t>, p9</w:t>
      </w:r>
      <w:r>
        <w:rPr>
          <w:rFonts w:eastAsia="Calibri"/>
        </w:rPr>
        <w:t>4</w:t>
      </w:r>
      <w:r w:rsidRPr="00373923">
        <w:rPr>
          <w:rFonts w:eastAsia="Calibri"/>
        </w:rPr>
        <w:t>; Table 2-</w:t>
      </w:r>
      <w:r>
        <w:rPr>
          <w:rFonts w:eastAsia="Calibri"/>
        </w:rPr>
        <w:t>23</w:t>
      </w:r>
      <w:r w:rsidRPr="00373923">
        <w:rPr>
          <w:rFonts w:eastAsia="Calibri"/>
        </w:rPr>
        <w:t>, p</w:t>
      </w:r>
      <w:r>
        <w:rPr>
          <w:rFonts w:eastAsia="Calibri"/>
        </w:rPr>
        <w:t>105</w:t>
      </w:r>
      <w:r w:rsidRPr="00373923">
        <w:rPr>
          <w:rFonts w:eastAsia="Calibri"/>
        </w:rPr>
        <w:t>; Table 2-</w:t>
      </w:r>
      <w:r>
        <w:rPr>
          <w:rFonts w:eastAsia="Calibri"/>
        </w:rPr>
        <w:t>54</w:t>
      </w:r>
      <w:r w:rsidRPr="00373923">
        <w:rPr>
          <w:rFonts w:eastAsia="Calibri"/>
        </w:rPr>
        <w:t>, p1</w:t>
      </w:r>
      <w:r>
        <w:rPr>
          <w:rFonts w:eastAsia="Calibri"/>
        </w:rPr>
        <w:t>65</w:t>
      </w:r>
      <w:r w:rsidRPr="00373923">
        <w:rPr>
          <w:rFonts w:eastAsia="Calibri"/>
        </w:rPr>
        <w:t>; of the submission.</w:t>
      </w:r>
    </w:p>
    <w:p w14:paraId="10456626" w14:textId="729FDC40" w:rsidR="00891965" w:rsidRDefault="00891965" w:rsidP="00891965">
      <w:pPr>
        <w:pStyle w:val="TableFigureFooter"/>
        <w:rPr>
          <w:rFonts w:eastAsia="Calibri"/>
        </w:rPr>
      </w:pPr>
      <w:r>
        <w:rPr>
          <w:rFonts w:eastAsia="Calibri"/>
        </w:rPr>
        <w:t xml:space="preserve">CI = confidence interval; ITC = indirect treatment comparison; n = number of participants reporting data; N = total participants in group; </w:t>
      </w:r>
      <w:r w:rsidR="00493129">
        <w:rPr>
          <w:rFonts w:eastAsia="Calibri"/>
        </w:rPr>
        <w:t xml:space="preserve">NR = not reported; </w:t>
      </w:r>
      <w:r>
        <w:rPr>
          <w:rFonts w:eastAsia="Calibri"/>
        </w:rPr>
        <w:t>PFS = progression-free survival</w:t>
      </w:r>
      <w:r w:rsidR="000B4F3F">
        <w:rPr>
          <w:rFonts w:eastAsia="Calibri"/>
        </w:rPr>
        <w:t xml:space="preserve">; TRI/TIP = </w:t>
      </w:r>
      <w:r w:rsidR="000B4F3F">
        <w:rPr>
          <w:lang w:eastAsia="en-GB"/>
        </w:rPr>
        <w:t>trifluridine/tipiracil</w:t>
      </w:r>
      <w:r>
        <w:rPr>
          <w:rFonts w:eastAsia="Calibri"/>
        </w:rPr>
        <w:t>.</w:t>
      </w:r>
    </w:p>
    <w:p w14:paraId="516C8C61" w14:textId="77777777" w:rsidR="00891965" w:rsidRDefault="00891965" w:rsidP="00891965">
      <w:pPr>
        <w:pStyle w:val="TableFigureFooter"/>
        <w:rPr>
          <w:rFonts w:eastAsia="Calibri"/>
        </w:rPr>
      </w:pPr>
      <w:r>
        <w:rPr>
          <w:rFonts w:eastAsia="Calibri"/>
          <w:b/>
        </w:rPr>
        <w:t>Bold</w:t>
      </w:r>
      <w:r>
        <w:rPr>
          <w:rFonts w:eastAsia="Calibri"/>
        </w:rPr>
        <w:t xml:space="preserve"> indicates statistically significant results.</w:t>
      </w:r>
    </w:p>
    <w:p w14:paraId="4C525781" w14:textId="50FE2BED" w:rsidR="00891965" w:rsidRDefault="00891965" w:rsidP="00891965">
      <w:pPr>
        <w:pStyle w:val="TableFigureFooter"/>
        <w:rPr>
          <w:rFonts w:eastAsia="Calibri"/>
        </w:rPr>
      </w:pPr>
      <w:r>
        <w:rPr>
          <w:rFonts w:eastAsia="Calibri"/>
          <w:i/>
          <w:iCs/>
        </w:rPr>
        <w:t xml:space="preserve">Italics </w:t>
      </w:r>
    </w:p>
    <w:p w14:paraId="5C90AFEF" w14:textId="74A819E0" w:rsidR="00891965" w:rsidRDefault="007B2206" w:rsidP="00891965">
      <w:pPr>
        <w:pStyle w:val="TableFigureFooter"/>
      </w:pPr>
      <w:r w:rsidRPr="007B2206">
        <w:rPr>
          <w:vertAlign w:val="superscript"/>
        </w:rPr>
        <w:t>a</w:t>
      </w:r>
      <w:r w:rsidR="00891965">
        <w:t xml:space="preserve"> Analysis 2 uses the ‘Time (months) to First Occurrence of an ECOG PS ≥ 2 or Death outcome’. </w:t>
      </w:r>
    </w:p>
    <w:p w14:paraId="35BA3918" w14:textId="6FF596FD" w:rsidR="00891965" w:rsidRDefault="007B2206" w:rsidP="00891965">
      <w:pPr>
        <w:pStyle w:val="TableFigureFooter"/>
      </w:pPr>
      <w:r w:rsidRPr="007B2206">
        <w:rPr>
          <w:vertAlign w:val="superscript"/>
        </w:rPr>
        <w:t>b</w:t>
      </w:r>
      <w:r w:rsidR="00891965">
        <w:t xml:space="preserve"> In both analyses, </w:t>
      </w:r>
      <w:r w:rsidR="00EA0E77">
        <w:t>t</w:t>
      </w:r>
      <w:r w:rsidR="00891965">
        <w:t xml:space="preserve">ime to </w:t>
      </w:r>
      <w:r w:rsidR="00EA0E77">
        <w:t>w</w:t>
      </w:r>
      <w:r w:rsidR="00891965">
        <w:t>orsening of ECOG PS in the RECOURSE trial was defined the time between randomisation and assessed as having an ECOG PS ≥ 2 (no further information available).</w:t>
      </w:r>
    </w:p>
    <w:p w14:paraId="36DE1DF0" w14:textId="51C5493B" w:rsidR="00126FB1" w:rsidRDefault="00126FB1" w:rsidP="00891965">
      <w:pPr>
        <w:pStyle w:val="TableFigureFooter"/>
      </w:pPr>
      <w:r w:rsidRPr="00126FB1">
        <w:rPr>
          <w:vertAlign w:val="superscript"/>
        </w:rPr>
        <w:t>c</w:t>
      </w:r>
      <w:r>
        <w:t xml:space="preserve"> </w:t>
      </w:r>
      <w:r>
        <w:rPr>
          <w:rFonts w:eastAsia="Calibri"/>
        </w:rPr>
        <w:t>Calculated during the evaluation.</w:t>
      </w:r>
    </w:p>
    <w:p w14:paraId="442D1C52" w14:textId="091BB1E8" w:rsidR="00891965" w:rsidRDefault="00891965" w:rsidP="00891965">
      <w:pPr>
        <w:pStyle w:val="3-BodyText"/>
      </w:pPr>
      <w:r w:rsidRPr="001838C7">
        <w:t xml:space="preserve">Treatment with fruquintinib compared with placebo </w:t>
      </w:r>
      <w:r>
        <w:t>led to a statistically</w:t>
      </w:r>
      <w:r w:rsidRPr="001838C7">
        <w:t xml:space="preserve"> significant delay in the </w:t>
      </w:r>
      <w:r>
        <w:t>onset of</w:t>
      </w:r>
      <w:r w:rsidRPr="001838C7">
        <w:t xml:space="preserve"> ECOG PS ≥2</w:t>
      </w:r>
      <w:r>
        <w:t>, with a</w:t>
      </w:r>
      <w:r w:rsidR="00465CC3">
        <w:t xml:space="preserve"> median</w:t>
      </w:r>
      <w:r>
        <w:t xml:space="preserve"> difference of </w:t>
      </w:r>
      <w:r w:rsidR="007B2206">
        <w:t>2.4</w:t>
      </w:r>
      <w:r>
        <w:t xml:space="preserve"> months</w:t>
      </w:r>
      <w:r w:rsidR="008715E1">
        <w:t xml:space="preserve">. </w:t>
      </w:r>
      <w:r w:rsidR="008D0CEB">
        <w:t>Similarly,</w:t>
      </w:r>
      <w:r>
        <w:t xml:space="preserve"> t</w:t>
      </w:r>
      <w:r w:rsidRPr="001838C7">
        <w:t xml:space="preserve">reatment with </w:t>
      </w:r>
      <w:r w:rsidR="000B4F3F">
        <w:rPr>
          <w:rFonts w:eastAsia="Calibri"/>
        </w:rPr>
        <w:t>TRI/TIP</w:t>
      </w:r>
      <w:r w:rsidR="000B4F3F" w:rsidRPr="001838C7">
        <w:t xml:space="preserve"> </w:t>
      </w:r>
      <w:r w:rsidRPr="001838C7">
        <w:t>compared with placebo</w:t>
      </w:r>
      <w:r>
        <w:t xml:space="preserve"> </w:t>
      </w:r>
      <w:r w:rsidRPr="001838C7">
        <w:t>significant</w:t>
      </w:r>
      <w:r w:rsidR="00D92A03">
        <w:t>ly</w:t>
      </w:r>
      <w:r w:rsidRPr="001838C7">
        <w:t xml:space="preserve"> delay</w:t>
      </w:r>
      <w:r>
        <w:t>ed</w:t>
      </w:r>
      <w:r w:rsidRPr="001838C7">
        <w:t xml:space="preserve"> the time to the first occurrence of ECOG PS ≥2</w:t>
      </w:r>
      <w:r>
        <w:t xml:space="preserve">, </w:t>
      </w:r>
      <w:r w:rsidRPr="004E039F">
        <w:t>with a</w:t>
      </w:r>
      <w:r w:rsidR="00465CC3">
        <w:t xml:space="preserve"> median</w:t>
      </w:r>
      <w:r w:rsidRPr="004E039F">
        <w:t xml:space="preserve"> difference of 1.7 months.</w:t>
      </w:r>
      <w:r w:rsidR="00493129">
        <w:t xml:space="preserve"> </w:t>
      </w:r>
    </w:p>
    <w:p w14:paraId="64EC238D" w14:textId="57C1BFA3" w:rsidR="00891965" w:rsidRPr="00B318E3" w:rsidRDefault="00891965" w:rsidP="006A2339">
      <w:pPr>
        <w:pStyle w:val="3-BodyText"/>
      </w:pPr>
      <w:r>
        <w:lastRenderedPageBreak/>
        <w:t>T</w:t>
      </w:r>
      <w:r w:rsidRPr="001838C7">
        <w:t>he ITC</w:t>
      </w:r>
      <w:r>
        <w:t xml:space="preserve"> analysis</w:t>
      </w:r>
      <w:r w:rsidRPr="001838C7">
        <w:t xml:space="preserve"> for time to worsening of ECOG PS ≥2 showed no statistically significant difference between fruquintinib and </w:t>
      </w:r>
      <w:r w:rsidR="000B4F3F">
        <w:rPr>
          <w:rFonts w:eastAsia="Calibri"/>
        </w:rPr>
        <w:t>TRI/TIP</w:t>
      </w:r>
      <w:r w:rsidR="00860CDE">
        <w:t xml:space="preserve"> </w:t>
      </w:r>
      <w:r w:rsidR="007B2206">
        <w:t>(</w:t>
      </w:r>
      <w:r w:rsidR="00860CDE">
        <w:t xml:space="preserve">HR = </w:t>
      </w:r>
      <w:r w:rsidR="00860CDE" w:rsidRPr="00860CDE">
        <w:t>0.97</w:t>
      </w:r>
      <w:r w:rsidR="00860CDE">
        <w:t xml:space="preserve">; 95% CI </w:t>
      </w:r>
      <w:r w:rsidR="00860CDE" w:rsidRPr="00860CDE">
        <w:t>0.75, 1.24)</w:t>
      </w:r>
      <w:r w:rsidRPr="001838C7">
        <w:t>.</w:t>
      </w:r>
      <w:r>
        <w:t xml:space="preserve"> </w:t>
      </w:r>
      <w:r>
        <w:fldChar w:fldCharType="begin"/>
      </w:r>
      <w:r>
        <w:instrText xml:space="preserve"> REF _Ref164332771 \h </w:instrText>
      </w:r>
      <w:r>
        <w:fldChar w:fldCharType="separate"/>
      </w:r>
      <w:r w:rsidR="00F03729">
        <w:t xml:space="preserve">Figure </w:t>
      </w:r>
      <w:r w:rsidR="00F03729">
        <w:rPr>
          <w:noProof/>
        </w:rPr>
        <w:t>4</w:t>
      </w:r>
      <w:r>
        <w:fldChar w:fldCharType="end"/>
      </w:r>
      <w:r>
        <w:t xml:space="preserve"> </w:t>
      </w:r>
      <w:r w:rsidRPr="004C67CC">
        <w:t>present</w:t>
      </w:r>
      <w:r>
        <w:t>s</w:t>
      </w:r>
      <w:r w:rsidRPr="004C67CC">
        <w:t xml:space="preserve"> an overlay of the </w:t>
      </w:r>
      <w:r>
        <w:t xml:space="preserve">KM </w:t>
      </w:r>
      <w:r w:rsidRPr="004C67CC">
        <w:t>curves</w:t>
      </w:r>
      <w:r>
        <w:t xml:space="preserve"> for time to worsening of</w:t>
      </w:r>
      <w:r w:rsidRPr="004C67CC">
        <w:t xml:space="preserve"> </w:t>
      </w:r>
      <w:r w:rsidRPr="001838C7">
        <w:t>ECOG PS ≥2</w:t>
      </w:r>
      <w:r>
        <w:t xml:space="preserve"> </w:t>
      </w:r>
      <w:r w:rsidRPr="004C67CC">
        <w:t xml:space="preserve">from </w:t>
      </w:r>
      <w:r w:rsidR="00A16484">
        <w:t xml:space="preserve">the </w:t>
      </w:r>
      <w:r w:rsidRPr="004C67CC">
        <w:t xml:space="preserve">FRESCO 2 </w:t>
      </w:r>
      <w:r w:rsidR="00493129">
        <w:t xml:space="preserve">(including all deaths in the trial) </w:t>
      </w:r>
      <w:r w:rsidRPr="004C67CC">
        <w:t>and RECOURSE</w:t>
      </w:r>
      <w:r>
        <w:t xml:space="preserve"> trials.</w:t>
      </w:r>
    </w:p>
    <w:p w14:paraId="521CBAFA" w14:textId="474C3BF0" w:rsidR="00891965" w:rsidRDefault="00891965" w:rsidP="00E144AE">
      <w:pPr>
        <w:pStyle w:val="Caption"/>
      </w:pPr>
      <w:bookmarkStart w:id="56" w:name="_Ref164332771"/>
      <w:bookmarkStart w:id="57" w:name="_Hlk164308491"/>
      <w:r>
        <w:t xml:space="preserve">Figure </w:t>
      </w:r>
      <w:r w:rsidR="00DD5C00">
        <w:fldChar w:fldCharType="begin"/>
      </w:r>
      <w:r w:rsidR="00DD5C00">
        <w:instrText xml:space="preserve"> SEQ Figure \* ARABIC </w:instrText>
      </w:r>
      <w:r w:rsidR="00DD5C00">
        <w:fldChar w:fldCharType="separate"/>
      </w:r>
      <w:r w:rsidR="00F03729">
        <w:rPr>
          <w:noProof/>
        </w:rPr>
        <w:t>4</w:t>
      </w:r>
      <w:r w:rsidR="00DD5C00">
        <w:rPr>
          <w:noProof/>
        </w:rPr>
        <w:fldChar w:fldCharType="end"/>
      </w:r>
      <w:bookmarkEnd w:id="56"/>
      <w:r>
        <w:t xml:space="preserve">: </w:t>
      </w:r>
      <w:r w:rsidRPr="00661F87">
        <w:rPr>
          <w:rStyle w:val="CommentReference"/>
          <w:b/>
          <w:szCs w:val="24"/>
        </w:rPr>
        <w:t xml:space="preserve">Overlay of KM curves for </w:t>
      </w:r>
      <w:r>
        <w:rPr>
          <w:rStyle w:val="CommentReference"/>
          <w:b/>
          <w:szCs w:val="24"/>
        </w:rPr>
        <w:t xml:space="preserve">time to worsening of </w:t>
      </w:r>
      <w:r w:rsidRPr="00661F87">
        <w:rPr>
          <w:rStyle w:val="CommentReference"/>
          <w:b/>
          <w:szCs w:val="24"/>
        </w:rPr>
        <w:t xml:space="preserve">ECOG PS </w:t>
      </w:r>
      <w:r w:rsidRPr="001838C7">
        <w:t>≥2</w:t>
      </w:r>
      <w:r>
        <w:t xml:space="preserve"> </w:t>
      </w:r>
      <w:r w:rsidRPr="00661F87">
        <w:rPr>
          <w:rStyle w:val="CommentReference"/>
          <w:b/>
          <w:szCs w:val="24"/>
        </w:rPr>
        <w:t>from FRESCO 2 and RECOURSE</w:t>
      </w:r>
    </w:p>
    <w:p w14:paraId="333DF218" w14:textId="77777777" w:rsidR="00891965" w:rsidRDefault="00891965" w:rsidP="00E144AE">
      <w:pPr>
        <w:pStyle w:val="TableFigureFooter"/>
        <w:keepNext/>
      </w:pPr>
      <w:r w:rsidRPr="00367B31">
        <w:rPr>
          <w:noProof/>
        </w:rPr>
        <w:drawing>
          <wp:inline distT="0" distB="0" distL="0" distR="0" wp14:anchorId="18AF0A01" wp14:editId="3D63BAEB">
            <wp:extent cx="4449045" cy="3181350"/>
            <wp:effectExtent l="0" t="0" r="8890" b="0"/>
            <wp:docPr id="1653355367" name="Picture 1653355367" descr="Figure 4: Overlay of KM curves for time to worsening of ECOG PS ≥2 from FRESCO 2 and R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55367" name="Picture 1653355367" descr="Figure 4: Overlay of KM curves for time to worsening of ECOG PS ≥2 from FRESCO 2 and RECOURSE"/>
                    <pic:cNvPicPr/>
                  </pic:nvPicPr>
                  <pic:blipFill>
                    <a:blip r:embed="rId10"/>
                    <a:stretch>
                      <a:fillRect/>
                    </a:stretch>
                  </pic:blipFill>
                  <pic:spPr>
                    <a:xfrm>
                      <a:off x="0" y="0"/>
                      <a:ext cx="4454471" cy="3185230"/>
                    </a:xfrm>
                    <a:prstGeom prst="rect">
                      <a:avLst/>
                    </a:prstGeom>
                  </pic:spPr>
                </pic:pic>
              </a:graphicData>
            </a:graphic>
          </wp:inline>
        </w:drawing>
      </w:r>
    </w:p>
    <w:p w14:paraId="6A7D646C" w14:textId="44F3FD6C" w:rsidR="00891965" w:rsidRDefault="00891965" w:rsidP="00E144AE">
      <w:pPr>
        <w:pStyle w:val="TableFigureFooter"/>
        <w:keepNext/>
      </w:pPr>
      <w:r>
        <w:t>Source: Figure 2-</w:t>
      </w:r>
      <w:r w:rsidR="000540F9">
        <w:t>5</w:t>
      </w:r>
      <w:r>
        <w:t>4, p16</w:t>
      </w:r>
      <w:r w:rsidR="000540F9">
        <w:t>5</w:t>
      </w:r>
      <w:r>
        <w:t xml:space="preserve"> </w:t>
      </w:r>
      <w:r w:rsidRPr="00D13A3E">
        <w:t xml:space="preserve">of the </w:t>
      </w:r>
      <w:r>
        <w:t>submission.</w:t>
      </w:r>
    </w:p>
    <w:p w14:paraId="67827E0A" w14:textId="77777777" w:rsidR="00891965" w:rsidRDefault="00891965" w:rsidP="00891965">
      <w:pPr>
        <w:pStyle w:val="TableFigureFooter"/>
        <w:rPr>
          <w:lang w:eastAsia="en-GB"/>
        </w:rPr>
      </w:pPr>
      <w:r>
        <w:rPr>
          <w:lang w:eastAsia="en-GB"/>
        </w:rPr>
        <w:t xml:space="preserve">ECOG PS = </w:t>
      </w:r>
      <w:r w:rsidRPr="00284372">
        <w:rPr>
          <w:lang w:eastAsia="en-GB"/>
        </w:rPr>
        <w:t>Eastern Cooperative Oncology Group</w:t>
      </w:r>
      <w:r>
        <w:rPr>
          <w:lang w:eastAsia="en-GB"/>
        </w:rPr>
        <w:t xml:space="preserve"> performance status</w:t>
      </w:r>
      <w:r>
        <w:t xml:space="preserve">; </w:t>
      </w:r>
      <w:r w:rsidRPr="00284372">
        <w:t xml:space="preserve">FRU = fruquintinib; KM= Kaplan-Meier; </w:t>
      </w:r>
      <w:r>
        <w:t>PBO = placebo; PF</w:t>
      </w:r>
      <w:r w:rsidRPr="00284372">
        <w:t xml:space="preserve">S = </w:t>
      </w:r>
      <w:r>
        <w:t xml:space="preserve">progression-free </w:t>
      </w:r>
      <w:r w:rsidRPr="00284372">
        <w:t>survival</w:t>
      </w:r>
      <w:r>
        <w:t xml:space="preserve">; </w:t>
      </w:r>
      <w:r>
        <w:rPr>
          <w:lang w:eastAsia="en-GB"/>
        </w:rPr>
        <w:t>T/T = trifluridine/tipiracil.</w:t>
      </w:r>
    </w:p>
    <w:bookmarkEnd w:id="57"/>
    <w:p w14:paraId="3319A7AF" w14:textId="46448E54" w:rsidR="00891965" w:rsidRPr="00990136" w:rsidRDefault="00891965" w:rsidP="00891965">
      <w:pPr>
        <w:pStyle w:val="3-BodyText"/>
      </w:pPr>
      <w:r w:rsidRPr="00CE5502">
        <w:t>The Least Square Mean (LSM) change from baseline for QLQ-C30 Global Health Status</w:t>
      </w:r>
      <w:r>
        <w:t xml:space="preserve"> (GHS)</w:t>
      </w:r>
      <w:r w:rsidRPr="00CE5502">
        <w:t xml:space="preserve"> and EQ-5D-5L visual analogue scale (VAS) in the FRESCO 2 trial is presented in </w:t>
      </w:r>
      <w:r>
        <w:fldChar w:fldCharType="begin"/>
      </w:r>
      <w:r>
        <w:instrText xml:space="preserve"> REF _Ref164310910 \h </w:instrText>
      </w:r>
      <w:r>
        <w:fldChar w:fldCharType="separate"/>
      </w:r>
      <w:r w:rsidR="00F03729">
        <w:t xml:space="preserve">Figure </w:t>
      </w:r>
      <w:r w:rsidR="00F03729">
        <w:rPr>
          <w:noProof/>
        </w:rPr>
        <w:t>5</w:t>
      </w:r>
      <w:r>
        <w:fldChar w:fldCharType="end"/>
      </w:r>
      <w:r>
        <w:t>.</w:t>
      </w:r>
      <w:r w:rsidR="00465CC3">
        <w:t xml:space="preserve"> </w:t>
      </w:r>
      <w:r w:rsidR="00465CC3" w:rsidRPr="006E7759">
        <w:t>QLQ-C30 global health status scores were</w:t>
      </w:r>
      <w:r w:rsidR="00465CC3">
        <w:t xml:space="preserve"> </w:t>
      </w:r>
      <w:r w:rsidR="00465CC3" w:rsidRPr="006E7759">
        <w:t xml:space="preserve">similar between the fruquintinib and placebo </w:t>
      </w:r>
      <w:r w:rsidR="00465CC3">
        <w:t>arms</w:t>
      </w:r>
      <w:r w:rsidR="00465CC3" w:rsidRPr="00104F6B">
        <w:t xml:space="preserve"> at baseline</w:t>
      </w:r>
      <w:r w:rsidR="00465CC3" w:rsidRPr="006E7759">
        <w:t xml:space="preserve">. </w:t>
      </w:r>
      <w:r w:rsidR="007B2206" w:rsidRPr="00990136">
        <w:t xml:space="preserve">HRQoL data was not available for </w:t>
      </w:r>
      <w:r w:rsidR="000B4F3F">
        <w:rPr>
          <w:rFonts w:eastAsia="Calibri"/>
        </w:rPr>
        <w:t>TRI/TIP</w:t>
      </w:r>
      <w:r w:rsidR="007B2206" w:rsidRPr="00990136">
        <w:t>.</w:t>
      </w:r>
    </w:p>
    <w:p w14:paraId="7A42BE2F" w14:textId="4EEF2F35" w:rsidR="00891965" w:rsidRDefault="00891965" w:rsidP="00891965">
      <w:pPr>
        <w:pStyle w:val="Caption"/>
      </w:pPr>
      <w:bookmarkStart w:id="58" w:name="_Ref164310910"/>
      <w:r>
        <w:lastRenderedPageBreak/>
        <w:t xml:space="preserve">Figure </w:t>
      </w:r>
      <w:r w:rsidR="00DD5C00">
        <w:fldChar w:fldCharType="begin"/>
      </w:r>
      <w:r w:rsidR="00DD5C00">
        <w:instrText xml:space="preserve"> SEQ Figure \* ARABIC </w:instrText>
      </w:r>
      <w:r w:rsidR="00DD5C00">
        <w:fldChar w:fldCharType="separate"/>
      </w:r>
      <w:r w:rsidR="00F03729">
        <w:rPr>
          <w:noProof/>
        </w:rPr>
        <w:t>5</w:t>
      </w:r>
      <w:r w:rsidR="00DD5C00">
        <w:rPr>
          <w:noProof/>
        </w:rPr>
        <w:fldChar w:fldCharType="end"/>
      </w:r>
      <w:bookmarkEnd w:id="58"/>
      <w:r>
        <w:t>:</w:t>
      </w:r>
      <w:r w:rsidRPr="00B9769C">
        <w:rPr>
          <w:rStyle w:val="CommentReference"/>
          <w:b/>
          <w:szCs w:val="24"/>
        </w:rPr>
        <w:t xml:space="preserve"> </w:t>
      </w:r>
      <w:r>
        <w:rPr>
          <w:rStyle w:val="CommentReference"/>
          <w:b/>
          <w:szCs w:val="24"/>
        </w:rPr>
        <w:t>LSM</w:t>
      </w:r>
      <w:r w:rsidRPr="00B9769C">
        <w:rPr>
          <w:rStyle w:val="CommentReference"/>
          <w:b/>
          <w:szCs w:val="24"/>
        </w:rPr>
        <w:t xml:space="preserve"> Change from Baseline: QLQ-C30 Global Health Status and EQ-5D-5L VAS in the FRESCO 2 trial</w:t>
      </w:r>
    </w:p>
    <w:p w14:paraId="6D871A91" w14:textId="77777777" w:rsidR="00891965" w:rsidRDefault="00891965" w:rsidP="00891965">
      <w:pPr>
        <w:keepNext/>
        <w:rPr>
          <w:b/>
          <w:bCs/>
          <w:u w:val="single"/>
        </w:rPr>
      </w:pPr>
      <w:r w:rsidRPr="00367B31">
        <w:rPr>
          <w:noProof/>
        </w:rPr>
        <w:drawing>
          <wp:inline distT="0" distB="0" distL="0" distR="0" wp14:anchorId="68AAFB1A" wp14:editId="24CA2486">
            <wp:extent cx="5758180" cy="2374265"/>
            <wp:effectExtent l="0" t="0" r="0" b="6985"/>
            <wp:docPr id="61249792" name="Picture 61249792" descr="Figure 5: LSM Change from Baseline: QLQ-C30 Global Health Status and EQ-5D-5L VAS in the FRESCO 2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9792" name="Picture 61249792" descr="Figure 5: LSM Change from Baseline: QLQ-C30 Global Health Status and EQ-5D-5L VAS in the FRESCO 2 trial"/>
                    <pic:cNvPicPr/>
                  </pic:nvPicPr>
                  <pic:blipFill rotWithShape="1">
                    <a:blip r:embed="rId11"/>
                    <a:srcRect t="1878" b="2655"/>
                    <a:stretch/>
                  </pic:blipFill>
                  <pic:spPr bwMode="auto">
                    <a:xfrm>
                      <a:off x="0" y="0"/>
                      <a:ext cx="5809818" cy="2395557"/>
                    </a:xfrm>
                    <a:prstGeom prst="rect">
                      <a:avLst/>
                    </a:prstGeom>
                    <a:ln>
                      <a:noFill/>
                    </a:ln>
                    <a:extLst>
                      <a:ext uri="{53640926-AAD7-44D8-BBD7-CCE9431645EC}">
                        <a14:shadowObscured xmlns:a14="http://schemas.microsoft.com/office/drawing/2010/main"/>
                      </a:ext>
                    </a:extLst>
                  </pic:spPr>
                </pic:pic>
              </a:graphicData>
            </a:graphic>
          </wp:inline>
        </w:drawing>
      </w:r>
    </w:p>
    <w:p w14:paraId="73131280" w14:textId="77777777" w:rsidR="00891965" w:rsidRDefault="00891965" w:rsidP="00DE7B7E">
      <w:pPr>
        <w:pStyle w:val="TableFigureFooter"/>
        <w:keepNext/>
      </w:pPr>
      <w:r>
        <w:t>Source: Figure 2-12, p93 of the submission.</w:t>
      </w:r>
    </w:p>
    <w:p w14:paraId="01FF1A5A" w14:textId="3D71C23D" w:rsidR="006B6FC0" w:rsidRPr="006A36C8" w:rsidRDefault="00891965" w:rsidP="006A36C8">
      <w:pPr>
        <w:pStyle w:val="TableFigureFooter"/>
      </w:pPr>
      <w:r w:rsidRPr="001B0782">
        <w:t>F</w:t>
      </w:r>
      <w:r>
        <w:t xml:space="preserve"> =</w:t>
      </w:r>
      <w:r w:rsidRPr="001B0782">
        <w:t xml:space="preserve"> fruquintinib; GHS</w:t>
      </w:r>
      <w:r>
        <w:t xml:space="preserve"> = </w:t>
      </w:r>
      <w:r w:rsidRPr="001B0782">
        <w:t>global health status; ITT</w:t>
      </w:r>
      <w:r>
        <w:t xml:space="preserve"> =</w:t>
      </w:r>
      <w:r w:rsidRPr="001B0782">
        <w:t xml:space="preserve"> intention-to-treat; LSM</w:t>
      </w:r>
      <w:r>
        <w:t xml:space="preserve"> =</w:t>
      </w:r>
      <w:r w:rsidRPr="001B0782">
        <w:t xml:space="preserve"> least squares mean; P</w:t>
      </w:r>
      <w:r>
        <w:t xml:space="preserve"> =</w:t>
      </w:r>
      <w:r w:rsidRPr="001B0782">
        <w:t xml:space="preserve"> placebo; VAS</w:t>
      </w:r>
      <w:r>
        <w:t xml:space="preserve"> =</w:t>
      </w:r>
      <w:r w:rsidRPr="001B0782">
        <w:t xml:space="preserve"> Visual Analogue Scale.</w:t>
      </w:r>
      <w:bookmarkStart w:id="59" w:name="_Hlk164356611"/>
    </w:p>
    <w:p w14:paraId="49D8D92E" w14:textId="77777777" w:rsidR="00891965" w:rsidRPr="00A74236" w:rsidRDefault="00891965" w:rsidP="00891965">
      <w:pPr>
        <w:pStyle w:val="4-SubsectionHeading"/>
      </w:pPr>
      <w:bookmarkStart w:id="60" w:name="_Toc22897642"/>
      <w:bookmarkStart w:id="61" w:name="_Toc107927628"/>
      <w:bookmarkStart w:id="62" w:name="_Toc166861361"/>
      <w:bookmarkEnd w:id="59"/>
      <w:r w:rsidRPr="00A74236">
        <w:t>Comparative harms</w:t>
      </w:r>
      <w:bookmarkEnd w:id="60"/>
      <w:bookmarkEnd w:id="61"/>
      <w:bookmarkEnd w:id="62"/>
    </w:p>
    <w:p w14:paraId="3AC1A25B" w14:textId="0125C75F" w:rsidR="0074688F" w:rsidRDefault="007B2206" w:rsidP="007B2206">
      <w:pPr>
        <w:pStyle w:val="3-BodyText"/>
        <w:sectPr w:rsidR="0074688F" w:rsidSect="00963E40">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pPr>
      <w:bookmarkStart w:id="63" w:name="_Toc22897643"/>
      <w:bookmarkStart w:id="64" w:name="_Toc107927629"/>
      <w:r>
        <w:t xml:space="preserve">A summary of clinical </w:t>
      </w:r>
      <w:r w:rsidR="00597289" w:rsidRPr="00597289">
        <w:t>treatment emergent adverse event</w:t>
      </w:r>
      <w:r w:rsidR="00BD4F3F">
        <w:t>s</w:t>
      </w:r>
      <w:r w:rsidR="00597289" w:rsidRPr="00597289">
        <w:t xml:space="preserve"> (TEAE</w:t>
      </w:r>
      <w:r w:rsidR="00BD4F3F">
        <w:t>s</w:t>
      </w:r>
      <w:r w:rsidR="00597289" w:rsidRPr="00597289">
        <w:t>)</w:t>
      </w:r>
      <w:r>
        <w:t xml:space="preserve"> reported in the FRESCO 2 and RECOURSE trials are presented in</w:t>
      </w:r>
      <w:r w:rsidR="00392986">
        <w:t xml:space="preserve"> </w:t>
      </w:r>
      <w:r w:rsidR="00392986">
        <w:fldChar w:fldCharType="begin"/>
      </w:r>
      <w:r w:rsidR="00392986">
        <w:instrText xml:space="preserve"> REF _Ref167277880 \h </w:instrText>
      </w:r>
      <w:r w:rsidR="00392986">
        <w:fldChar w:fldCharType="separate"/>
      </w:r>
      <w:r w:rsidR="00F03729">
        <w:t xml:space="preserve">Table </w:t>
      </w:r>
      <w:r w:rsidR="00F03729">
        <w:rPr>
          <w:noProof/>
        </w:rPr>
        <w:t>7</w:t>
      </w:r>
      <w:r w:rsidR="00392986">
        <w:fldChar w:fldCharType="end"/>
      </w:r>
      <w:r w:rsidR="00DB0057">
        <w:t>.</w:t>
      </w:r>
      <w:bookmarkStart w:id="65" w:name="_Ref166726378"/>
    </w:p>
    <w:p w14:paraId="541E6680" w14:textId="37AEFE9B" w:rsidR="007B2206" w:rsidRDefault="007B2206" w:rsidP="007B2206">
      <w:pPr>
        <w:pStyle w:val="TableFigureHeading"/>
      </w:pPr>
      <w:bookmarkStart w:id="66" w:name="_Ref167277880"/>
      <w:r>
        <w:lastRenderedPageBreak/>
        <w:t xml:space="preserve">Table </w:t>
      </w:r>
      <w:r w:rsidR="00DD5C00">
        <w:fldChar w:fldCharType="begin"/>
      </w:r>
      <w:r w:rsidR="00DD5C00">
        <w:instrText xml:space="preserve"> SEQ Table \* ARABIC </w:instrText>
      </w:r>
      <w:r w:rsidR="00DD5C00">
        <w:fldChar w:fldCharType="separate"/>
      </w:r>
      <w:r w:rsidR="00F03729">
        <w:rPr>
          <w:noProof/>
        </w:rPr>
        <w:t>7</w:t>
      </w:r>
      <w:r w:rsidR="00DD5C00">
        <w:rPr>
          <w:noProof/>
        </w:rPr>
        <w:fldChar w:fldCharType="end"/>
      </w:r>
      <w:bookmarkEnd w:id="65"/>
      <w:bookmarkEnd w:id="66"/>
      <w:r>
        <w:t xml:space="preserve">: Summary of key adverse events in the fruquintinib and </w:t>
      </w:r>
      <w:r w:rsidR="000B4F3F">
        <w:rPr>
          <w:rFonts w:eastAsia="Calibri"/>
        </w:rPr>
        <w:t>TRI/TIP</w:t>
      </w:r>
      <w:r>
        <w:t xml:space="preserv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key adverse events in the fruquintinib and TRI/TIP trials"/>
      </w:tblPr>
      <w:tblGrid>
        <w:gridCol w:w="3903"/>
        <w:gridCol w:w="2176"/>
        <w:gridCol w:w="2684"/>
        <w:gridCol w:w="2631"/>
        <w:gridCol w:w="2556"/>
      </w:tblGrid>
      <w:tr w:rsidR="0074688F" w:rsidRPr="006A15DB" w14:paraId="15F6A5AA" w14:textId="77777777" w:rsidTr="00990136">
        <w:trPr>
          <w:trHeight w:hRule="exact" w:val="198"/>
          <w:tblHeader/>
        </w:trPr>
        <w:tc>
          <w:tcPr>
            <w:tcW w:w="1399" w:type="pct"/>
            <w:tcBorders>
              <w:top w:val="single" w:sz="4" w:space="0" w:color="auto"/>
              <w:left w:val="single" w:sz="4" w:space="0" w:color="auto"/>
              <w:bottom w:val="single" w:sz="4" w:space="0" w:color="auto"/>
              <w:right w:val="single" w:sz="4" w:space="0" w:color="auto"/>
            </w:tcBorders>
            <w:vAlign w:val="center"/>
            <w:hideMark/>
          </w:tcPr>
          <w:p w14:paraId="2D4F1930" w14:textId="77777777" w:rsidR="0074688F" w:rsidRPr="006A15DB" w:rsidRDefault="0074688F" w:rsidP="00990136">
            <w:pPr>
              <w:pStyle w:val="In-tableHeading"/>
              <w:keepNext w:val="0"/>
              <w:rPr>
                <w:sz w:val="19"/>
                <w:szCs w:val="19"/>
              </w:rPr>
            </w:pPr>
            <w:r w:rsidRPr="006A15DB">
              <w:rPr>
                <w:sz w:val="19"/>
                <w:szCs w:val="19"/>
              </w:rPr>
              <w:t>Trial ID</w:t>
            </w:r>
          </w:p>
        </w:tc>
        <w:tc>
          <w:tcPr>
            <w:tcW w:w="780" w:type="pct"/>
            <w:tcBorders>
              <w:top w:val="single" w:sz="4" w:space="0" w:color="auto"/>
              <w:left w:val="single" w:sz="4" w:space="0" w:color="auto"/>
              <w:bottom w:val="single" w:sz="4" w:space="0" w:color="auto"/>
              <w:right w:val="single" w:sz="4" w:space="0" w:color="auto"/>
            </w:tcBorders>
            <w:vAlign w:val="center"/>
            <w:hideMark/>
          </w:tcPr>
          <w:p w14:paraId="08C80A08" w14:textId="00B1DC7C" w:rsidR="0074688F" w:rsidRPr="006A15DB" w:rsidRDefault="006B6897" w:rsidP="00990136">
            <w:pPr>
              <w:pStyle w:val="In-tableHeading"/>
              <w:keepNext w:val="0"/>
              <w:jc w:val="center"/>
              <w:rPr>
                <w:sz w:val="19"/>
                <w:szCs w:val="19"/>
              </w:rPr>
            </w:pPr>
            <w:r w:rsidRPr="006A15DB">
              <w:rPr>
                <w:sz w:val="19"/>
                <w:szCs w:val="19"/>
              </w:rPr>
              <w:t xml:space="preserve">Intervention </w:t>
            </w:r>
            <w:r w:rsidR="0074688F" w:rsidRPr="006A15DB">
              <w:rPr>
                <w:sz w:val="19"/>
                <w:szCs w:val="19"/>
              </w:rPr>
              <w:t>n/N (%)</w:t>
            </w:r>
          </w:p>
        </w:tc>
        <w:tc>
          <w:tcPr>
            <w:tcW w:w="962" w:type="pct"/>
            <w:tcBorders>
              <w:top w:val="single" w:sz="4" w:space="0" w:color="auto"/>
              <w:left w:val="single" w:sz="4" w:space="0" w:color="auto"/>
              <w:bottom w:val="single" w:sz="4" w:space="0" w:color="auto"/>
              <w:right w:val="single" w:sz="4" w:space="0" w:color="auto"/>
            </w:tcBorders>
            <w:vAlign w:val="center"/>
            <w:hideMark/>
          </w:tcPr>
          <w:p w14:paraId="0A2284C0" w14:textId="4240F6ED" w:rsidR="0074688F" w:rsidRPr="006A15DB" w:rsidRDefault="0074688F" w:rsidP="00990136">
            <w:pPr>
              <w:pStyle w:val="In-tableHeading"/>
              <w:keepNext w:val="0"/>
              <w:jc w:val="center"/>
              <w:rPr>
                <w:sz w:val="19"/>
                <w:szCs w:val="19"/>
              </w:rPr>
            </w:pPr>
            <w:r w:rsidRPr="006A15DB">
              <w:rPr>
                <w:sz w:val="19"/>
                <w:szCs w:val="19"/>
              </w:rPr>
              <w:t>Placebo n/N (%)</w:t>
            </w:r>
          </w:p>
        </w:tc>
        <w:tc>
          <w:tcPr>
            <w:tcW w:w="943" w:type="pct"/>
            <w:tcBorders>
              <w:top w:val="single" w:sz="4" w:space="0" w:color="auto"/>
              <w:left w:val="single" w:sz="4" w:space="0" w:color="auto"/>
              <w:bottom w:val="single" w:sz="4" w:space="0" w:color="auto"/>
              <w:right w:val="single" w:sz="4" w:space="0" w:color="auto"/>
            </w:tcBorders>
            <w:vAlign w:val="center"/>
            <w:hideMark/>
          </w:tcPr>
          <w:p w14:paraId="0EFD4C7C" w14:textId="77777777" w:rsidR="0074688F" w:rsidRPr="006A15DB" w:rsidRDefault="0074688F" w:rsidP="00990136">
            <w:pPr>
              <w:pStyle w:val="In-tableHeading"/>
              <w:keepNext w:val="0"/>
              <w:jc w:val="center"/>
              <w:rPr>
                <w:sz w:val="19"/>
                <w:szCs w:val="19"/>
              </w:rPr>
            </w:pPr>
            <w:r w:rsidRPr="006A15DB">
              <w:rPr>
                <w:sz w:val="19"/>
                <w:szCs w:val="19"/>
              </w:rPr>
              <w:t>RR (95% CI)</w:t>
            </w:r>
          </w:p>
        </w:tc>
        <w:tc>
          <w:tcPr>
            <w:tcW w:w="916" w:type="pct"/>
            <w:tcBorders>
              <w:top w:val="single" w:sz="4" w:space="0" w:color="auto"/>
              <w:left w:val="single" w:sz="4" w:space="0" w:color="auto"/>
              <w:bottom w:val="single" w:sz="4" w:space="0" w:color="auto"/>
              <w:right w:val="single" w:sz="4" w:space="0" w:color="auto"/>
            </w:tcBorders>
            <w:vAlign w:val="center"/>
            <w:hideMark/>
          </w:tcPr>
          <w:p w14:paraId="266BF083" w14:textId="77777777" w:rsidR="0074688F" w:rsidRPr="006A15DB" w:rsidRDefault="0074688F" w:rsidP="00990136">
            <w:pPr>
              <w:pStyle w:val="In-tableHeading"/>
              <w:keepNext w:val="0"/>
              <w:jc w:val="center"/>
              <w:rPr>
                <w:sz w:val="19"/>
                <w:szCs w:val="19"/>
              </w:rPr>
            </w:pPr>
            <w:r w:rsidRPr="006A15DB">
              <w:rPr>
                <w:sz w:val="19"/>
                <w:szCs w:val="19"/>
              </w:rPr>
              <w:t>RD (95% CI)</w:t>
            </w:r>
          </w:p>
        </w:tc>
      </w:tr>
      <w:tr w:rsidR="007B2206" w:rsidRPr="006A15DB" w14:paraId="12F582AA" w14:textId="77777777" w:rsidTr="00990136">
        <w:trPr>
          <w:trHeight w:hRule="exact" w:val="19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E1698" w14:textId="37BD1C5C" w:rsidR="007B2206" w:rsidRPr="006A15DB" w:rsidRDefault="007B2206" w:rsidP="00990136">
            <w:pPr>
              <w:pStyle w:val="TableText0"/>
              <w:keepNext w:val="0"/>
              <w:rPr>
                <w:b/>
                <w:bCs w:val="0"/>
                <w:sz w:val="19"/>
                <w:szCs w:val="19"/>
              </w:rPr>
            </w:pPr>
            <w:r w:rsidRPr="006A15DB">
              <w:rPr>
                <w:b/>
                <w:bCs w:val="0"/>
                <w:sz w:val="19"/>
                <w:szCs w:val="19"/>
              </w:rPr>
              <w:t>FRESCO 2</w:t>
            </w:r>
            <w:r w:rsidR="006B6897" w:rsidRPr="006A15DB">
              <w:rPr>
                <w:b/>
                <w:bCs w:val="0"/>
                <w:sz w:val="19"/>
                <w:szCs w:val="19"/>
              </w:rPr>
              <w:t xml:space="preserve"> (fruquintinib versus placebo)</w:t>
            </w:r>
          </w:p>
        </w:tc>
      </w:tr>
      <w:tr w:rsidR="0074688F" w:rsidRPr="006A15DB" w14:paraId="0FBB6764"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6FA26522" w14:textId="77777777" w:rsidR="0074688F" w:rsidRPr="006A15DB" w:rsidRDefault="0074688F" w:rsidP="00990136">
            <w:pPr>
              <w:pStyle w:val="TableText0"/>
              <w:keepNext w:val="0"/>
              <w:rPr>
                <w:sz w:val="19"/>
                <w:szCs w:val="19"/>
              </w:rPr>
            </w:pPr>
            <w:r w:rsidRPr="006A15DB">
              <w:rPr>
                <w:sz w:val="19"/>
                <w:szCs w:val="19"/>
              </w:rPr>
              <w:t>Any cause TEAE</w:t>
            </w:r>
          </w:p>
        </w:tc>
        <w:tc>
          <w:tcPr>
            <w:tcW w:w="780" w:type="pct"/>
            <w:tcBorders>
              <w:top w:val="single" w:sz="4" w:space="0" w:color="auto"/>
              <w:left w:val="single" w:sz="4" w:space="0" w:color="auto"/>
              <w:bottom w:val="single" w:sz="4" w:space="0" w:color="auto"/>
              <w:right w:val="single" w:sz="4" w:space="0" w:color="auto"/>
            </w:tcBorders>
            <w:vAlign w:val="center"/>
            <w:hideMark/>
          </w:tcPr>
          <w:p w14:paraId="440EBE17" w14:textId="77777777" w:rsidR="0074688F" w:rsidRPr="006A15DB" w:rsidRDefault="0074688F" w:rsidP="00990136">
            <w:pPr>
              <w:pStyle w:val="Default"/>
              <w:jc w:val="center"/>
              <w:rPr>
                <w:rFonts w:ascii="Arial Narrow" w:eastAsiaTheme="majorEastAsia" w:hAnsi="Arial Narrow" w:cstheme="majorBidi"/>
                <w:bCs/>
                <w:color w:val="auto"/>
                <w:sz w:val="19"/>
                <w:szCs w:val="19"/>
              </w:rPr>
            </w:pPr>
            <w:r w:rsidRPr="006A15DB">
              <w:rPr>
                <w:rFonts w:ascii="Arial Narrow" w:eastAsiaTheme="majorEastAsia" w:hAnsi="Arial Narrow" w:cstheme="majorBidi"/>
                <w:bCs/>
                <w:color w:val="auto"/>
                <w:sz w:val="19"/>
                <w:szCs w:val="19"/>
              </w:rPr>
              <w:t xml:space="preserve">451/456 (98.90%) </w:t>
            </w:r>
          </w:p>
        </w:tc>
        <w:tc>
          <w:tcPr>
            <w:tcW w:w="962" w:type="pct"/>
            <w:tcBorders>
              <w:top w:val="single" w:sz="4" w:space="0" w:color="auto"/>
              <w:left w:val="single" w:sz="4" w:space="0" w:color="auto"/>
              <w:bottom w:val="single" w:sz="4" w:space="0" w:color="auto"/>
              <w:right w:val="single" w:sz="4" w:space="0" w:color="auto"/>
            </w:tcBorders>
            <w:vAlign w:val="center"/>
            <w:hideMark/>
          </w:tcPr>
          <w:p w14:paraId="049F5233" w14:textId="77777777" w:rsidR="0074688F" w:rsidRPr="006A15DB" w:rsidRDefault="0074688F" w:rsidP="00990136">
            <w:pPr>
              <w:pStyle w:val="Default"/>
              <w:jc w:val="center"/>
              <w:rPr>
                <w:rFonts w:ascii="Arial Narrow" w:eastAsiaTheme="majorEastAsia" w:hAnsi="Arial Narrow" w:cstheme="majorBidi"/>
                <w:bCs/>
                <w:color w:val="auto"/>
                <w:sz w:val="19"/>
                <w:szCs w:val="19"/>
              </w:rPr>
            </w:pPr>
            <w:r w:rsidRPr="006A15DB">
              <w:rPr>
                <w:rFonts w:ascii="Arial Narrow" w:eastAsiaTheme="majorEastAsia" w:hAnsi="Arial Narrow" w:cstheme="majorBidi"/>
                <w:bCs/>
                <w:color w:val="auto"/>
                <w:sz w:val="19"/>
                <w:szCs w:val="19"/>
              </w:rPr>
              <w:t xml:space="preserve">213/230 (92.61%) </w:t>
            </w:r>
          </w:p>
        </w:tc>
        <w:tc>
          <w:tcPr>
            <w:tcW w:w="943" w:type="pct"/>
            <w:tcBorders>
              <w:top w:val="single" w:sz="4" w:space="0" w:color="auto"/>
              <w:left w:val="single" w:sz="4" w:space="0" w:color="auto"/>
              <w:bottom w:val="single" w:sz="4" w:space="0" w:color="auto"/>
              <w:right w:val="single" w:sz="4" w:space="0" w:color="auto"/>
            </w:tcBorders>
            <w:vAlign w:val="center"/>
            <w:hideMark/>
          </w:tcPr>
          <w:p w14:paraId="63E90021" w14:textId="77777777" w:rsidR="0074688F" w:rsidRPr="006A15DB" w:rsidRDefault="0074688F" w:rsidP="00990136">
            <w:pPr>
              <w:pStyle w:val="TableText0"/>
              <w:keepNext w:val="0"/>
              <w:jc w:val="center"/>
              <w:rPr>
                <w:b/>
                <w:bCs w:val="0"/>
                <w:sz w:val="19"/>
                <w:szCs w:val="19"/>
              </w:rPr>
            </w:pPr>
            <w:r w:rsidRPr="006A15DB">
              <w:rPr>
                <w:b/>
                <w:bCs w:val="0"/>
                <w:sz w:val="19"/>
                <w:szCs w:val="19"/>
              </w:rPr>
              <w:t>1.07 (1.03, 1.11)</w:t>
            </w:r>
          </w:p>
        </w:tc>
        <w:tc>
          <w:tcPr>
            <w:tcW w:w="916" w:type="pct"/>
            <w:tcBorders>
              <w:top w:val="single" w:sz="4" w:space="0" w:color="auto"/>
              <w:left w:val="single" w:sz="4" w:space="0" w:color="auto"/>
              <w:bottom w:val="single" w:sz="4" w:space="0" w:color="auto"/>
              <w:right w:val="single" w:sz="4" w:space="0" w:color="auto"/>
            </w:tcBorders>
            <w:vAlign w:val="center"/>
            <w:hideMark/>
          </w:tcPr>
          <w:p w14:paraId="7CB6E6A6" w14:textId="77777777" w:rsidR="0074688F" w:rsidRPr="006A15DB" w:rsidRDefault="0074688F" w:rsidP="00990136">
            <w:pPr>
              <w:pStyle w:val="TableText0"/>
              <w:keepNext w:val="0"/>
              <w:jc w:val="center"/>
              <w:rPr>
                <w:b/>
                <w:bCs w:val="0"/>
                <w:sz w:val="19"/>
                <w:szCs w:val="19"/>
              </w:rPr>
            </w:pPr>
            <w:r w:rsidRPr="006A15DB">
              <w:rPr>
                <w:b/>
                <w:bCs w:val="0"/>
                <w:sz w:val="19"/>
                <w:szCs w:val="19"/>
              </w:rPr>
              <w:t>0.06 (0.04, 0.09)</w:t>
            </w:r>
          </w:p>
        </w:tc>
      </w:tr>
      <w:tr w:rsidR="0074688F" w:rsidRPr="006A15DB" w14:paraId="33993060"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237A2F30" w14:textId="77777777" w:rsidR="0074688F" w:rsidRPr="006A15DB" w:rsidRDefault="0074688F" w:rsidP="00990136">
            <w:pPr>
              <w:pStyle w:val="TableText0"/>
              <w:keepNext w:val="0"/>
              <w:rPr>
                <w:sz w:val="19"/>
                <w:szCs w:val="19"/>
              </w:rPr>
            </w:pPr>
            <w:r w:rsidRPr="006A15DB">
              <w:rPr>
                <w:sz w:val="19"/>
                <w:szCs w:val="19"/>
              </w:rPr>
              <w:t>Study drug related TEAE</w:t>
            </w:r>
          </w:p>
        </w:tc>
        <w:tc>
          <w:tcPr>
            <w:tcW w:w="780" w:type="pct"/>
            <w:tcBorders>
              <w:top w:val="single" w:sz="4" w:space="0" w:color="auto"/>
              <w:left w:val="single" w:sz="4" w:space="0" w:color="auto"/>
              <w:bottom w:val="single" w:sz="4" w:space="0" w:color="auto"/>
              <w:right w:val="single" w:sz="4" w:space="0" w:color="auto"/>
            </w:tcBorders>
            <w:vAlign w:val="center"/>
            <w:hideMark/>
          </w:tcPr>
          <w:p w14:paraId="2170FF55" w14:textId="77777777" w:rsidR="0074688F" w:rsidRPr="006A15DB" w:rsidRDefault="0074688F" w:rsidP="00990136">
            <w:pPr>
              <w:pStyle w:val="TableText0"/>
              <w:keepNext w:val="0"/>
              <w:jc w:val="center"/>
              <w:rPr>
                <w:sz w:val="19"/>
                <w:szCs w:val="19"/>
              </w:rPr>
            </w:pPr>
            <w:r w:rsidRPr="006A15DB">
              <w:rPr>
                <w:sz w:val="19"/>
                <w:szCs w:val="19"/>
              </w:rPr>
              <w:t>395/456 (86.62%)</w:t>
            </w:r>
          </w:p>
        </w:tc>
        <w:tc>
          <w:tcPr>
            <w:tcW w:w="962" w:type="pct"/>
            <w:tcBorders>
              <w:top w:val="single" w:sz="4" w:space="0" w:color="auto"/>
              <w:left w:val="single" w:sz="4" w:space="0" w:color="auto"/>
              <w:bottom w:val="single" w:sz="4" w:space="0" w:color="auto"/>
              <w:right w:val="single" w:sz="4" w:space="0" w:color="auto"/>
            </w:tcBorders>
            <w:vAlign w:val="center"/>
            <w:hideMark/>
          </w:tcPr>
          <w:p w14:paraId="070030E1" w14:textId="77777777" w:rsidR="0074688F" w:rsidRPr="006A15DB" w:rsidRDefault="0074688F" w:rsidP="00990136">
            <w:pPr>
              <w:pStyle w:val="TableText0"/>
              <w:keepNext w:val="0"/>
              <w:jc w:val="center"/>
              <w:rPr>
                <w:sz w:val="19"/>
                <w:szCs w:val="19"/>
              </w:rPr>
            </w:pPr>
            <w:r w:rsidRPr="006A15DB">
              <w:rPr>
                <w:sz w:val="19"/>
                <w:szCs w:val="19"/>
              </w:rPr>
              <w:t>130/230 (56.52%)</w:t>
            </w:r>
          </w:p>
        </w:tc>
        <w:tc>
          <w:tcPr>
            <w:tcW w:w="943" w:type="pct"/>
            <w:tcBorders>
              <w:top w:val="single" w:sz="4" w:space="0" w:color="auto"/>
              <w:left w:val="single" w:sz="4" w:space="0" w:color="auto"/>
              <w:bottom w:val="single" w:sz="4" w:space="0" w:color="auto"/>
              <w:right w:val="single" w:sz="4" w:space="0" w:color="auto"/>
            </w:tcBorders>
            <w:vAlign w:val="center"/>
            <w:hideMark/>
          </w:tcPr>
          <w:p w14:paraId="5371E73E" w14:textId="77777777" w:rsidR="0074688F" w:rsidRPr="006A15DB" w:rsidRDefault="0074688F" w:rsidP="00990136">
            <w:pPr>
              <w:pStyle w:val="TableText0"/>
              <w:keepNext w:val="0"/>
              <w:jc w:val="center"/>
              <w:rPr>
                <w:b/>
                <w:bCs w:val="0"/>
                <w:sz w:val="19"/>
                <w:szCs w:val="19"/>
              </w:rPr>
            </w:pPr>
            <w:r w:rsidRPr="006A15DB">
              <w:rPr>
                <w:b/>
                <w:bCs w:val="0"/>
                <w:sz w:val="19"/>
                <w:szCs w:val="19"/>
              </w:rPr>
              <w:t>1.53 (1.36, 1.73)</w:t>
            </w:r>
          </w:p>
        </w:tc>
        <w:tc>
          <w:tcPr>
            <w:tcW w:w="916" w:type="pct"/>
            <w:tcBorders>
              <w:top w:val="single" w:sz="4" w:space="0" w:color="auto"/>
              <w:left w:val="single" w:sz="4" w:space="0" w:color="auto"/>
              <w:bottom w:val="single" w:sz="4" w:space="0" w:color="auto"/>
              <w:right w:val="single" w:sz="4" w:space="0" w:color="auto"/>
            </w:tcBorders>
            <w:vAlign w:val="center"/>
            <w:hideMark/>
          </w:tcPr>
          <w:p w14:paraId="53C12444" w14:textId="77777777" w:rsidR="0074688F" w:rsidRPr="006A15DB" w:rsidRDefault="0074688F" w:rsidP="00990136">
            <w:pPr>
              <w:pStyle w:val="TableText0"/>
              <w:keepNext w:val="0"/>
              <w:jc w:val="center"/>
              <w:rPr>
                <w:b/>
                <w:bCs w:val="0"/>
                <w:sz w:val="19"/>
                <w:szCs w:val="19"/>
              </w:rPr>
            </w:pPr>
            <w:r w:rsidRPr="006A15DB">
              <w:rPr>
                <w:b/>
                <w:bCs w:val="0"/>
                <w:sz w:val="19"/>
                <w:szCs w:val="19"/>
              </w:rPr>
              <w:t>0.30 (0.23, 0.37)</w:t>
            </w:r>
          </w:p>
        </w:tc>
      </w:tr>
      <w:tr w:rsidR="0074688F" w:rsidRPr="006A15DB" w14:paraId="2D97F7FD"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16E1AD64" w14:textId="77777777" w:rsidR="0074688F" w:rsidRPr="006A15DB" w:rsidRDefault="0074688F" w:rsidP="00990136">
            <w:pPr>
              <w:pStyle w:val="TableText0"/>
              <w:keepNext w:val="0"/>
              <w:rPr>
                <w:sz w:val="19"/>
                <w:szCs w:val="19"/>
              </w:rPr>
            </w:pPr>
            <w:r w:rsidRPr="006A15DB">
              <w:rPr>
                <w:sz w:val="19"/>
                <w:szCs w:val="19"/>
              </w:rPr>
              <w:t xml:space="preserve">Any cause severe (Grade ≥3) TEAE </w:t>
            </w:r>
          </w:p>
        </w:tc>
        <w:tc>
          <w:tcPr>
            <w:tcW w:w="780" w:type="pct"/>
            <w:tcBorders>
              <w:top w:val="single" w:sz="4" w:space="0" w:color="auto"/>
              <w:left w:val="single" w:sz="4" w:space="0" w:color="auto"/>
              <w:bottom w:val="single" w:sz="4" w:space="0" w:color="auto"/>
              <w:right w:val="single" w:sz="4" w:space="0" w:color="auto"/>
            </w:tcBorders>
            <w:vAlign w:val="center"/>
            <w:hideMark/>
          </w:tcPr>
          <w:p w14:paraId="6AC598FC" w14:textId="77777777" w:rsidR="0074688F" w:rsidRPr="006A15DB" w:rsidRDefault="0074688F" w:rsidP="00990136">
            <w:pPr>
              <w:pStyle w:val="TableText0"/>
              <w:keepNext w:val="0"/>
              <w:jc w:val="center"/>
              <w:rPr>
                <w:sz w:val="19"/>
                <w:szCs w:val="19"/>
              </w:rPr>
            </w:pPr>
            <w:r w:rsidRPr="006A15DB">
              <w:rPr>
                <w:sz w:val="19"/>
                <w:szCs w:val="19"/>
              </w:rPr>
              <w:t>286/456 (62.72%)</w:t>
            </w:r>
          </w:p>
        </w:tc>
        <w:tc>
          <w:tcPr>
            <w:tcW w:w="962" w:type="pct"/>
            <w:tcBorders>
              <w:top w:val="single" w:sz="4" w:space="0" w:color="auto"/>
              <w:left w:val="single" w:sz="4" w:space="0" w:color="auto"/>
              <w:bottom w:val="single" w:sz="4" w:space="0" w:color="auto"/>
              <w:right w:val="single" w:sz="4" w:space="0" w:color="auto"/>
            </w:tcBorders>
            <w:vAlign w:val="center"/>
            <w:hideMark/>
          </w:tcPr>
          <w:p w14:paraId="398AFC93" w14:textId="77777777" w:rsidR="0074688F" w:rsidRPr="006A15DB" w:rsidRDefault="0074688F" w:rsidP="00990136">
            <w:pPr>
              <w:pStyle w:val="TableText0"/>
              <w:keepNext w:val="0"/>
              <w:jc w:val="center"/>
              <w:rPr>
                <w:sz w:val="19"/>
                <w:szCs w:val="19"/>
              </w:rPr>
            </w:pPr>
            <w:r w:rsidRPr="006A15DB">
              <w:rPr>
                <w:sz w:val="19"/>
                <w:szCs w:val="19"/>
              </w:rPr>
              <w:t>116/230 (50.43%)</w:t>
            </w:r>
          </w:p>
        </w:tc>
        <w:tc>
          <w:tcPr>
            <w:tcW w:w="943" w:type="pct"/>
            <w:tcBorders>
              <w:top w:val="single" w:sz="4" w:space="0" w:color="auto"/>
              <w:left w:val="single" w:sz="4" w:space="0" w:color="auto"/>
              <w:bottom w:val="single" w:sz="4" w:space="0" w:color="auto"/>
              <w:right w:val="single" w:sz="4" w:space="0" w:color="auto"/>
            </w:tcBorders>
            <w:vAlign w:val="center"/>
            <w:hideMark/>
          </w:tcPr>
          <w:p w14:paraId="711D4329" w14:textId="77777777" w:rsidR="0074688F" w:rsidRPr="006A15DB" w:rsidRDefault="0074688F" w:rsidP="00990136">
            <w:pPr>
              <w:pStyle w:val="TableText0"/>
              <w:keepNext w:val="0"/>
              <w:jc w:val="center"/>
              <w:rPr>
                <w:b/>
                <w:bCs w:val="0"/>
                <w:sz w:val="19"/>
                <w:szCs w:val="19"/>
              </w:rPr>
            </w:pPr>
            <w:r w:rsidRPr="006A15DB">
              <w:rPr>
                <w:b/>
                <w:bCs w:val="0"/>
                <w:sz w:val="19"/>
                <w:szCs w:val="19"/>
              </w:rPr>
              <w:t>1.24 (1.07, 1.44)</w:t>
            </w:r>
          </w:p>
        </w:tc>
        <w:tc>
          <w:tcPr>
            <w:tcW w:w="916" w:type="pct"/>
            <w:tcBorders>
              <w:top w:val="single" w:sz="4" w:space="0" w:color="auto"/>
              <w:left w:val="single" w:sz="4" w:space="0" w:color="auto"/>
              <w:bottom w:val="single" w:sz="4" w:space="0" w:color="auto"/>
              <w:right w:val="single" w:sz="4" w:space="0" w:color="auto"/>
            </w:tcBorders>
            <w:vAlign w:val="center"/>
            <w:hideMark/>
          </w:tcPr>
          <w:p w14:paraId="0AA66C5E" w14:textId="77777777" w:rsidR="0074688F" w:rsidRPr="006A15DB" w:rsidRDefault="0074688F" w:rsidP="00990136">
            <w:pPr>
              <w:pStyle w:val="TableText0"/>
              <w:keepNext w:val="0"/>
              <w:jc w:val="center"/>
              <w:rPr>
                <w:b/>
                <w:bCs w:val="0"/>
                <w:sz w:val="19"/>
                <w:szCs w:val="19"/>
              </w:rPr>
            </w:pPr>
            <w:r w:rsidRPr="006A15DB">
              <w:rPr>
                <w:b/>
                <w:bCs w:val="0"/>
                <w:sz w:val="19"/>
                <w:szCs w:val="19"/>
              </w:rPr>
              <w:t>0.12 (0.04, 0.20)</w:t>
            </w:r>
          </w:p>
        </w:tc>
      </w:tr>
      <w:tr w:rsidR="0074688F" w:rsidRPr="006A15DB" w14:paraId="14001387"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3A117456" w14:textId="77777777" w:rsidR="0074688F" w:rsidRPr="006A15DB" w:rsidRDefault="0074688F" w:rsidP="00990136">
            <w:pPr>
              <w:pStyle w:val="TableText0"/>
              <w:keepNext w:val="0"/>
              <w:rPr>
                <w:sz w:val="19"/>
                <w:szCs w:val="19"/>
              </w:rPr>
            </w:pPr>
            <w:r w:rsidRPr="006A15DB">
              <w:rPr>
                <w:sz w:val="19"/>
                <w:szCs w:val="19"/>
              </w:rPr>
              <w:t>Study drug related severe (Grade≥ 3) TEAE</w:t>
            </w:r>
          </w:p>
        </w:tc>
        <w:tc>
          <w:tcPr>
            <w:tcW w:w="780" w:type="pct"/>
            <w:tcBorders>
              <w:top w:val="single" w:sz="4" w:space="0" w:color="auto"/>
              <w:left w:val="single" w:sz="4" w:space="0" w:color="auto"/>
              <w:bottom w:val="nil"/>
              <w:right w:val="single" w:sz="4" w:space="0" w:color="auto"/>
            </w:tcBorders>
            <w:vAlign w:val="center"/>
            <w:hideMark/>
          </w:tcPr>
          <w:p w14:paraId="4AA8CF66" w14:textId="77777777" w:rsidR="0074688F" w:rsidRPr="006A15DB" w:rsidRDefault="0074688F" w:rsidP="00990136">
            <w:pPr>
              <w:pStyle w:val="TableText0"/>
              <w:keepNext w:val="0"/>
              <w:jc w:val="center"/>
              <w:rPr>
                <w:sz w:val="19"/>
                <w:szCs w:val="19"/>
              </w:rPr>
            </w:pPr>
            <w:r w:rsidRPr="006A15DB">
              <w:rPr>
                <w:sz w:val="19"/>
                <w:szCs w:val="19"/>
              </w:rPr>
              <w:t>164/456 (35.96%)</w:t>
            </w:r>
          </w:p>
        </w:tc>
        <w:tc>
          <w:tcPr>
            <w:tcW w:w="962" w:type="pct"/>
            <w:tcBorders>
              <w:top w:val="single" w:sz="4" w:space="0" w:color="auto"/>
              <w:left w:val="single" w:sz="4" w:space="0" w:color="auto"/>
              <w:bottom w:val="nil"/>
              <w:right w:val="single" w:sz="4" w:space="0" w:color="auto"/>
            </w:tcBorders>
            <w:vAlign w:val="center"/>
            <w:hideMark/>
          </w:tcPr>
          <w:p w14:paraId="492952D2" w14:textId="77777777" w:rsidR="0074688F" w:rsidRPr="006A15DB" w:rsidRDefault="0074688F" w:rsidP="00990136">
            <w:pPr>
              <w:pStyle w:val="TableText0"/>
              <w:keepNext w:val="0"/>
              <w:jc w:val="center"/>
              <w:rPr>
                <w:sz w:val="19"/>
                <w:szCs w:val="19"/>
              </w:rPr>
            </w:pPr>
            <w:r w:rsidRPr="006A15DB">
              <w:rPr>
                <w:sz w:val="19"/>
                <w:szCs w:val="19"/>
              </w:rPr>
              <w:t>26/230 (11.30%)</w:t>
            </w:r>
          </w:p>
        </w:tc>
        <w:tc>
          <w:tcPr>
            <w:tcW w:w="943" w:type="pct"/>
            <w:tcBorders>
              <w:top w:val="single" w:sz="4" w:space="0" w:color="auto"/>
              <w:left w:val="single" w:sz="4" w:space="0" w:color="auto"/>
              <w:bottom w:val="nil"/>
              <w:right w:val="single" w:sz="4" w:space="0" w:color="auto"/>
            </w:tcBorders>
            <w:vAlign w:val="center"/>
            <w:hideMark/>
          </w:tcPr>
          <w:p w14:paraId="31471929" w14:textId="77777777" w:rsidR="0074688F" w:rsidRPr="006A15DB" w:rsidRDefault="0074688F" w:rsidP="00990136">
            <w:pPr>
              <w:pStyle w:val="TableText0"/>
              <w:keepNext w:val="0"/>
              <w:jc w:val="center"/>
              <w:rPr>
                <w:b/>
                <w:bCs w:val="0"/>
                <w:sz w:val="19"/>
                <w:szCs w:val="19"/>
              </w:rPr>
            </w:pPr>
            <w:r w:rsidRPr="006A15DB">
              <w:rPr>
                <w:b/>
                <w:bCs w:val="0"/>
                <w:sz w:val="19"/>
                <w:szCs w:val="19"/>
              </w:rPr>
              <w:t>3.18 (2.17, 4.66)</w:t>
            </w:r>
          </w:p>
        </w:tc>
        <w:tc>
          <w:tcPr>
            <w:tcW w:w="916" w:type="pct"/>
            <w:tcBorders>
              <w:top w:val="single" w:sz="4" w:space="0" w:color="auto"/>
              <w:left w:val="single" w:sz="4" w:space="0" w:color="auto"/>
              <w:bottom w:val="nil"/>
              <w:right w:val="single" w:sz="4" w:space="0" w:color="auto"/>
            </w:tcBorders>
            <w:vAlign w:val="center"/>
            <w:hideMark/>
          </w:tcPr>
          <w:p w14:paraId="0F9CF8C3" w14:textId="77777777" w:rsidR="0074688F" w:rsidRPr="006A15DB" w:rsidRDefault="0074688F" w:rsidP="00990136">
            <w:pPr>
              <w:pStyle w:val="TableText0"/>
              <w:keepNext w:val="0"/>
              <w:jc w:val="center"/>
              <w:rPr>
                <w:b/>
                <w:bCs w:val="0"/>
                <w:sz w:val="19"/>
                <w:szCs w:val="19"/>
              </w:rPr>
            </w:pPr>
            <w:r w:rsidRPr="006A15DB">
              <w:rPr>
                <w:b/>
                <w:bCs w:val="0"/>
                <w:sz w:val="19"/>
                <w:szCs w:val="19"/>
              </w:rPr>
              <w:t>0.25 (0.18, 0.32)</w:t>
            </w:r>
          </w:p>
        </w:tc>
      </w:tr>
      <w:tr w:rsidR="0074688F" w:rsidRPr="006A15DB" w14:paraId="2633BD72" w14:textId="77777777" w:rsidTr="00990136">
        <w:trPr>
          <w:trHeight w:hRule="exact" w:val="198"/>
        </w:trPr>
        <w:tc>
          <w:tcPr>
            <w:tcW w:w="1399" w:type="pct"/>
            <w:tcBorders>
              <w:top w:val="nil"/>
              <w:left w:val="single" w:sz="4" w:space="0" w:color="auto"/>
              <w:bottom w:val="nil"/>
              <w:right w:val="single" w:sz="4" w:space="0" w:color="auto"/>
            </w:tcBorders>
            <w:vAlign w:val="center"/>
            <w:hideMark/>
          </w:tcPr>
          <w:p w14:paraId="61F9EED8" w14:textId="027EE383" w:rsidR="0074688F" w:rsidRPr="006A15DB" w:rsidRDefault="0074688F" w:rsidP="001256BC">
            <w:pPr>
              <w:pStyle w:val="TableText0"/>
              <w:keepNext w:val="0"/>
              <w:numPr>
                <w:ilvl w:val="0"/>
                <w:numId w:val="12"/>
              </w:numPr>
              <w:ind w:left="176" w:hanging="141"/>
              <w:rPr>
                <w:sz w:val="19"/>
                <w:szCs w:val="19"/>
              </w:rPr>
            </w:pPr>
            <w:r w:rsidRPr="006A15DB">
              <w:rPr>
                <w:sz w:val="19"/>
                <w:szCs w:val="19"/>
              </w:rPr>
              <w:t>Hypertension</w:t>
            </w:r>
          </w:p>
        </w:tc>
        <w:tc>
          <w:tcPr>
            <w:tcW w:w="780" w:type="pct"/>
            <w:tcBorders>
              <w:top w:val="nil"/>
              <w:left w:val="single" w:sz="4" w:space="0" w:color="auto"/>
              <w:bottom w:val="nil"/>
              <w:right w:val="single" w:sz="4" w:space="0" w:color="auto"/>
            </w:tcBorders>
            <w:vAlign w:val="center"/>
            <w:hideMark/>
          </w:tcPr>
          <w:p w14:paraId="4C4CB547" w14:textId="77777777" w:rsidR="0074688F" w:rsidRPr="006A15DB" w:rsidRDefault="0074688F" w:rsidP="00990136">
            <w:pPr>
              <w:pStyle w:val="TableText0"/>
              <w:keepNext w:val="0"/>
              <w:jc w:val="center"/>
              <w:rPr>
                <w:sz w:val="19"/>
                <w:szCs w:val="19"/>
              </w:rPr>
            </w:pPr>
            <w:r w:rsidRPr="006A15DB">
              <w:rPr>
                <w:sz w:val="19"/>
                <w:szCs w:val="19"/>
              </w:rPr>
              <w:t>49/456 (10.75%)</w:t>
            </w:r>
          </w:p>
        </w:tc>
        <w:tc>
          <w:tcPr>
            <w:tcW w:w="962" w:type="pct"/>
            <w:tcBorders>
              <w:top w:val="nil"/>
              <w:left w:val="single" w:sz="4" w:space="0" w:color="auto"/>
              <w:bottom w:val="nil"/>
              <w:right w:val="single" w:sz="4" w:space="0" w:color="auto"/>
            </w:tcBorders>
            <w:vAlign w:val="center"/>
            <w:hideMark/>
          </w:tcPr>
          <w:p w14:paraId="35D33258" w14:textId="77777777" w:rsidR="0074688F" w:rsidRPr="006A15DB" w:rsidRDefault="0074688F" w:rsidP="00990136">
            <w:pPr>
              <w:pStyle w:val="TableText0"/>
              <w:keepNext w:val="0"/>
              <w:jc w:val="center"/>
              <w:rPr>
                <w:sz w:val="19"/>
                <w:szCs w:val="19"/>
              </w:rPr>
            </w:pPr>
            <w:r w:rsidRPr="006A15DB">
              <w:rPr>
                <w:sz w:val="19"/>
                <w:szCs w:val="19"/>
              </w:rPr>
              <w:t>2/230 (0.87%)</w:t>
            </w:r>
          </w:p>
        </w:tc>
        <w:tc>
          <w:tcPr>
            <w:tcW w:w="943" w:type="pct"/>
            <w:tcBorders>
              <w:top w:val="nil"/>
              <w:left w:val="single" w:sz="4" w:space="0" w:color="auto"/>
              <w:bottom w:val="nil"/>
              <w:right w:val="single" w:sz="4" w:space="0" w:color="auto"/>
            </w:tcBorders>
            <w:vAlign w:val="center"/>
            <w:hideMark/>
          </w:tcPr>
          <w:p w14:paraId="4DB07E00" w14:textId="77777777" w:rsidR="0074688F" w:rsidRPr="006A15DB" w:rsidRDefault="0074688F" w:rsidP="00990136">
            <w:pPr>
              <w:pStyle w:val="TableText0"/>
              <w:keepNext w:val="0"/>
              <w:jc w:val="center"/>
              <w:rPr>
                <w:b/>
                <w:bCs w:val="0"/>
                <w:sz w:val="19"/>
                <w:szCs w:val="19"/>
              </w:rPr>
            </w:pPr>
            <w:r w:rsidRPr="006A15DB">
              <w:rPr>
                <w:b/>
                <w:bCs w:val="0"/>
                <w:sz w:val="19"/>
                <w:szCs w:val="19"/>
              </w:rPr>
              <w:t>12.36 (3.03, 50.36)</w:t>
            </w:r>
          </w:p>
        </w:tc>
        <w:tc>
          <w:tcPr>
            <w:tcW w:w="916" w:type="pct"/>
            <w:tcBorders>
              <w:top w:val="nil"/>
              <w:left w:val="single" w:sz="4" w:space="0" w:color="auto"/>
              <w:bottom w:val="nil"/>
              <w:right w:val="single" w:sz="4" w:space="0" w:color="auto"/>
            </w:tcBorders>
            <w:vAlign w:val="center"/>
            <w:hideMark/>
          </w:tcPr>
          <w:p w14:paraId="06DEA384" w14:textId="77777777" w:rsidR="0074688F" w:rsidRPr="006A15DB" w:rsidRDefault="0074688F" w:rsidP="00990136">
            <w:pPr>
              <w:pStyle w:val="TableText0"/>
              <w:keepNext w:val="0"/>
              <w:jc w:val="center"/>
              <w:rPr>
                <w:b/>
                <w:bCs w:val="0"/>
                <w:sz w:val="19"/>
                <w:szCs w:val="19"/>
              </w:rPr>
            </w:pPr>
            <w:r w:rsidRPr="006A15DB">
              <w:rPr>
                <w:b/>
                <w:bCs w:val="0"/>
                <w:sz w:val="19"/>
                <w:szCs w:val="19"/>
              </w:rPr>
              <w:t>0.10 (0.06, 0.14)</w:t>
            </w:r>
          </w:p>
        </w:tc>
      </w:tr>
      <w:tr w:rsidR="0074688F" w:rsidRPr="006A15DB" w14:paraId="6AB0BFF5" w14:textId="77777777" w:rsidTr="00990136">
        <w:trPr>
          <w:trHeight w:hRule="exact" w:val="198"/>
        </w:trPr>
        <w:tc>
          <w:tcPr>
            <w:tcW w:w="1399" w:type="pct"/>
            <w:tcBorders>
              <w:top w:val="nil"/>
              <w:left w:val="single" w:sz="4" w:space="0" w:color="auto"/>
              <w:bottom w:val="nil"/>
              <w:right w:val="single" w:sz="4" w:space="0" w:color="auto"/>
            </w:tcBorders>
            <w:vAlign w:val="center"/>
            <w:hideMark/>
          </w:tcPr>
          <w:p w14:paraId="29F784A0" w14:textId="3F3EFA2C" w:rsidR="0074688F" w:rsidRPr="006A15DB" w:rsidRDefault="0074688F" w:rsidP="001256BC">
            <w:pPr>
              <w:pStyle w:val="TableText0"/>
              <w:keepNext w:val="0"/>
              <w:numPr>
                <w:ilvl w:val="0"/>
                <w:numId w:val="12"/>
              </w:numPr>
              <w:ind w:left="176" w:hanging="141"/>
              <w:rPr>
                <w:sz w:val="19"/>
                <w:szCs w:val="19"/>
              </w:rPr>
            </w:pPr>
            <w:r w:rsidRPr="006A15DB">
              <w:rPr>
                <w:sz w:val="19"/>
                <w:szCs w:val="19"/>
              </w:rPr>
              <w:t>PPE</w:t>
            </w:r>
          </w:p>
        </w:tc>
        <w:tc>
          <w:tcPr>
            <w:tcW w:w="780" w:type="pct"/>
            <w:tcBorders>
              <w:top w:val="nil"/>
              <w:left w:val="single" w:sz="4" w:space="0" w:color="auto"/>
              <w:bottom w:val="nil"/>
              <w:right w:val="single" w:sz="4" w:space="0" w:color="auto"/>
            </w:tcBorders>
            <w:vAlign w:val="center"/>
            <w:hideMark/>
          </w:tcPr>
          <w:p w14:paraId="17A7A92C" w14:textId="77777777" w:rsidR="0074688F" w:rsidRPr="006A15DB" w:rsidRDefault="0074688F" w:rsidP="00990136">
            <w:pPr>
              <w:pStyle w:val="TableText0"/>
              <w:keepNext w:val="0"/>
              <w:jc w:val="center"/>
              <w:rPr>
                <w:sz w:val="19"/>
                <w:szCs w:val="19"/>
              </w:rPr>
            </w:pPr>
            <w:r w:rsidRPr="006A15DB">
              <w:rPr>
                <w:sz w:val="19"/>
                <w:szCs w:val="19"/>
              </w:rPr>
              <w:t>28/456 (6.14%)</w:t>
            </w:r>
          </w:p>
        </w:tc>
        <w:tc>
          <w:tcPr>
            <w:tcW w:w="962" w:type="pct"/>
            <w:tcBorders>
              <w:top w:val="nil"/>
              <w:left w:val="single" w:sz="4" w:space="0" w:color="auto"/>
              <w:bottom w:val="nil"/>
              <w:right w:val="single" w:sz="4" w:space="0" w:color="auto"/>
            </w:tcBorders>
            <w:vAlign w:val="center"/>
            <w:hideMark/>
          </w:tcPr>
          <w:p w14:paraId="406EE7BF" w14:textId="76944402" w:rsidR="0074688F" w:rsidRPr="006A15DB" w:rsidRDefault="0074688F" w:rsidP="00990136">
            <w:pPr>
              <w:pStyle w:val="TableText0"/>
              <w:keepNext w:val="0"/>
              <w:jc w:val="center"/>
              <w:rPr>
                <w:sz w:val="19"/>
                <w:szCs w:val="19"/>
              </w:rPr>
            </w:pPr>
            <w:r w:rsidRPr="006A15DB">
              <w:rPr>
                <w:sz w:val="19"/>
                <w:szCs w:val="19"/>
              </w:rPr>
              <w:t>0/230 (0%)</w:t>
            </w:r>
          </w:p>
        </w:tc>
        <w:tc>
          <w:tcPr>
            <w:tcW w:w="943" w:type="pct"/>
            <w:tcBorders>
              <w:top w:val="nil"/>
              <w:left w:val="single" w:sz="4" w:space="0" w:color="auto"/>
              <w:bottom w:val="nil"/>
              <w:right w:val="single" w:sz="4" w:space="0" w:color="auto"/>
            </w:tcBorders>
            <w:vAlign w:val="center"/>
            <w:hideMark/>
          </w:tcPr>
          <w:p w14:paraId="6FE92BB1" w14:textId="77777777" w:rsidR="0074688F" w:rsidRPr="006A15DB" w:rsidRDefault="0074688F" w:rsidP="00990136">
            <w:pPr>
              <w:pStyle w:val="TableText0"/>
              <w:keepNext w:val="0"/>
              <w:jc w:val="center"/>
              <w:rPr>
                <w:sz w:val="19"/>
                <w:szCs w:val="19"/>
              </w:rPr>
            </w:pPr>
            <w:r w:rsidRPr="006A15DB">
              <w:rPr>
                <w:sz w:val="19"/>
                <w:szCs w:val="19"/>
              </w:rPr>
              <w:t>Not estimable</w:t>
            </w:r>
          </w:p>
        </w:tc>
        <w:tc>
          <w:tcPr>
            <w:tcW w:w="916" w:type="pct"/>
            <w:tcBorders>
              <w:top w:val="nil"/>
              <w:left w:val="single" w:sz="4" w:space="0" w:color="auto"/>
              <w:bottom w:val="nil"/>
              <w:right w:val="single" w:sz="4" w:space="0" w:color="auto"/>
            </w:tcBorders>
            <w:vAlign w:val="center"/>
            <w:hideMark/>
          </w:tcPr>
          <w:p w14:paraId="5F3E0E20" w14:textId="77777777" w:rsidR="0074688F" w:rsidRPr="006A15DB" w:rsidRDefault="0074688F" w:rsidP="00990136">
            <w:pPr>
              <w:pStyle w:val="TableText0"/>
              <w:keepNext w:val="0"/>
              <w:jc w:val="center"/>
              <w:rPr>
                <w:b/>
                <w:bCs w:val="0"/>
                <w:sz w:val="19"/>
                <w:szCs w:val="19"/>
              </w:rPr>
            </w:pPr>
            <w:r w:rsidRPr="006A15DB">
              <w:rPr>
                <w:b/>
                <w:bCs w:val="0"/>
                <w:sz w:val="19"/>
                <w:szCs w:val="19"/>
              </w:rPr>
              <w:t>0.06 (0.03, 0.09)</w:t>
            </w:r>
          </w:p>
        </w:tc>
      </w:tr>
      <w:tr w:rsidR="0074688F" w:rsidRPr="006A15DB" w14:paraId="0675CE8F" w14:textId="77777777" w:rsidTr="00990136">
        <w:trPr>
          <w:trHeight w:hRule="exact" w:val="198"/>
        </w:trPr>
        <w:tc>
          <w:tcPr>
            <w:tcW w:w="1399" w:type="pct"/>
            <w:tcBorders>
              <w:top w:val="nil"/>
              <w:left w:val="single" w:sz="4" w:space="0" w:color="auto"/>
              <w:bottom w:val="single" w:sz="4" w:space="0" w:color="auto"/>
              <w:right w:val="single" w:sz="4" w:space="0" w:color="auto"/>
            </w:tcBorders>
            <w:vAlign w:val="center"/>
            <w:hideMark/>
          </w:tcPr>
          <w:p w14:paraId="19C10E25" w14:textId="2C5B0F99" w:rsidR="0074688F" w:rsidRPr="006A15DB" w:rsidRDefault="0074688F" w:rsidP="001256BC">
            <w:pPr>
              <w:pStyle w:val="TableText0"/>
              <w:keepNext w:val="0"/>
              <w:numPr>
                <w:ilvl w:val="0"/>
                <w:numId w:val="12"/>
              </w:numPr>
              <w:ind w:left="176" w:hanging="141"/>
              <w:rPr>
                <w:sz w:val="19"/>
                <w:szCs w:val="19"/>
              </w:rPr>
            </w:pPr>
            <w:r w:rsidRPr="006A15DB">
              <w:rPr>
                <w:sz w:val="19"/>
                <w:szCs w:val="19"/>
              </w:rPr>
              <w:t>Asthenia</w:t>
            </w:r>
          </w:p>
        </w:tc>
        <w:tc>
          <w:tcPr>
            <w:tcW w:w="780" w:type="pct"/>
            <w:tcBorders>
              <w:top w:val="nil"/>
              <w:left w:val="single" w:sz="4" w:space="0" w:color="auto"/>
              <w:bottom w:val="single" w:sz="4" w:space="0" w:color="auto"/>
              <w:right w:val="single" w:sz="4" w:space="0" w:color="auto"/>
            </w:tcBorders>
            <w:vAlign w:val="center"/>
            <w:hideMark/>
          </w:tcPr>
          <w:p w14:paraId="1E4869C0" w14:textId="77777777" w:rsidR="0074688F" w:rsidRPr="006A15DB" w:rsidRDefault="0074688F" w:rsidP="00990136">
            <w:pPr>
              <w:pStyle w:val="TableText0"/>
              <w:keepNext w:val="0"/>
              <w:jc w:val="center"/>
              <w:rPr>
                <w:sz w:val="19"/>
                <w:szCs w:val="19"/>
              </w:rPr>
            </w:pPr>
            <w:r w:rsidRPr="006A15DB">
              <w:rPr>
                <w:sz w:val="19"/>
                <w:szCs w:val="19"/>
              </w:rPr>
              <w:t>24/456 (5.26%)</w:t>
            </w:r>
          </w:p>
        </w:tc>
        <w:tc>
          <w:tcPr>
            <w:tcW w:w="962" w:type="pct"/>
            <w:tcBorders>
              <w:top w:val="nil"/>
              <w:left w:val="single" w:sz="4" w:space="0" w:color="auto"/>
              <w:bottom w:val="single" w:sz="4" w:space="0" w:color="auto"/>
              <w:right w:val="single" w:sz="4" w:space="0" w:color="auto"/>
            </w:tcBorders>
            <w:vAlign w:val="center"/>
            <w:hideMark/>
          </w:tcPr>
          <w:p w14:paraId="5B0DA917" w14:textId="77777777" w:rsidR="0074688F" w:rsidRPr="006A15DB" w:rsidRDefault="0074688F" w:rsidP="00990136">
            <w:pPr>
              <w:pStyle w:val="TableText0"/>
              <w:keepNext w:val="0"/>
              <w:jc w:val="center"/>
              <w:rPr>
                <w:sz w:val="19"/>
                <w:szCs w:val="19"/>
              </w:rPr>
            </w:pPr>
            <w:r w:rsidRPr="006A15DB">
              <w:rPr>
                <w:sz w:val="19"/>
                <w:szCs w:val="19"/>
              </w:rPr>
              <w:t>3/230 (1.30%)</w:t>
            </w:r>
          </w:p>
        </w:tc>
        <w:tc>
          <w:tcPr>
            <w:tcW w:w="943" w:type="pct"/>
            <w:tcBorders>
              <w:top w:val="nil"/>
              <w:left w:val="single" w:sz="4" w:space="0" w:color="auto"/>
              <w:bottom w:val="single" w:sz="4" w:space="0" w:color="auto"/>
              <w:right w:val="single" w:sz="4" w:space="0" w:color="auto"/>
            </w:tcBorders>
            <w:vAlign w:val="center"/>
            <w:hideMark/>
          </w:tcPr>
          <w:p w14:paraId="067E9490" w14:textId="77777777" w:rsidR="0074688F" w:rsidRPr="006A15DB" w:rsidRDefault="0074688F" w:rsidP="00990136">
            <w:pPr>
              <w:pStyle w:val="TableText0"/>
              <w:keepNext w:val="0"/>
              <w:jc w:val="center"/>
              <w:rPr>
                <w:b/>
                <w:bCs w:val="0"/>
                <w:sz w:val="19"/>
                <w:szCs w:val="19"/>
              </w:rPr>
            </w:pPr>
            <w:r w:rsidRPr="006A15DB">
              <w:rPr>
                <w:b/>
                <w:bCs w:val="0"/>
                <w:sz w:val="19"/>
                <w:szCs w:val="19"/>
              </w:rPr>
              <w:t>4.04 (1.23, 13.26)</w:t>
            </w:r>
          </w:p>
        </w:tc>
        <w:tc>
          <w:tcPr>
            <w:tcW w:w="916" w:type="pct"/>
            <w:tcBorders>
              <w:top w:val="nil"/>
              <w:left w:val="single" w:sz="4" w:space="0" w:color="auto"/>
              <w:bottom w:val="single" w:sz="4" w:space="0" w:color="auto"/>
              <w:right w:val="single" w:sz="4" w:space="0" w:color="auto"/>
            </w:tcBorders>
            <w:vAlign w:val="center"/>
            <w:hideMark/>
          </w:tcPr>
          <w:p w14:paraId="41161022" w14:textId="77777777" w:rsidR="0074688F" w:rsidRPr="006A15DB" w:rsidRDefault="0074688F" w:rsidP="00990136">
            <w:pPr>
              <w:pStyle w:val="TableText0"/>
              <w:keepNext w:val="0"/>
              <w:jc w:val="center"/>
              <w:rPr>
                <w:b/>
                <w:bCs w:val="0"/>
                <w:sz w:val="19"/>
                <w:szCs w:val="19"/>
              </w:rPr>
            </w:pPr>
            <w:r w:rsidRPr="006A15DB">
              <w:rPr>
                <w:b/>
                <w:bCs w:val="0"/>
                <w:sz w:val="19"/>
                <w:szCs w:val="19"/>
              </w:rPr>
              <w:t>0.04 (0.01, 0.07)</w:t>
            </w:r>
          </w:p>
        </w:tc>
      </w:tr>
      <w:tr w:rsidR="0074688F" w:rsidRPr="006A15DB" w14:paraId="74EF3141"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7081EE22" w14:textId="77777777" w:rsidR="0074688F" w:rsidRPr="006A15DB" w:rsidRDefault="0074688F" w:rsidP="00990136">
            <w:pPr>
              <w:pStyle w:val="Default"/>
              <w:rPr>
                <w:rFonts w:ascii="Arial Narrow" w:eastAsiaTheme="majorEastAsia" w:hAnsi="Arial Narrow" w:cstheme="majorBidi"/>
                <w:bCs/>
                <w:color w:val="auto"/>
                <w:sz w:val="19"/>
                <w:szCs w:val="19"/>
              </w:rPr>
            </w:pPr>
            <w:r w:rsidRPr="006A15DB">
              <w:rPr>
                <w:rFonts w:ascii="Arial Narrow" w:eastAsiaTheme="majorEastAsia" w:hAnsi="Arial Narrow" w:cstheme="majorBidi"/>
                <w:bCs/>
                <w:color w:val="auto"/>
                <w:sz w:val="19"/>
                <w:szCs w:val="19"/>
              </w:rPr>
              <w:t xml:space="preserve">Any cause serious TEAE (SAE) </w:t>
            </w:r>
          </w:p>
        </w:tc>
        <w:tc>
          <w:tcPr>
            <w:tcW w:w="780" w:type="pct"/>
            <w:tcBorders>
              <w:top w:val="single" w:sz="4" w:space="0" w:color="auto"/>
              <w:left w:val="single" w:sz="4" w:space="0" w:color="auto"/>
              <w:bottom w:val="single" w:sz="4" w:space="0" w:color="auto"/>
              <w:right w:val="single" w:sz="4" w:space="0" w:color="auto"/>
            </w:tcBorders>
            <w:vAlign w:val="center"/>
            <w:hideMark/>
          </w:tcPr>
          <w:p w14:paraId="4399724E" w14:textId="77777777" w:rsidR="0074688F" w:rsidRPr="006A15DB" w:rsidRDefault="0074688F" w:rsidP="00990136">
            <w:pPr>
              <w:pStyle w:val="TableText0"/>
              <w:keepNext w:val="0"/>
              <w:jc w:val="center"/>
              <w:rPr>
                <w:sz w:val="19"/>
                <w:szCs w:val="19"/>
              </w:rPr>
            </w:pPr>
            <w:r w:rsidRPr="006A15DB">
              <w:rPr>
                <w:sz w:val="19"/>
                <w:szCs w:val="19"/>
              </w:rPr>
              <w:t xml:space="preserve">172/456 (37.72%) </w:t>
            </w:r>
          </w:p>
        </w:tc>
        <w:tc>
          <w:tcPr>
            <w:tcW w:w="962" w:type="pct"/>
            <w:tcBorders>
              <w:top w:val="single" w:sz="4" w:space="0" w:color="auto"/>
              <w:left w:val="single" w:sz="4" w:space="0" w:color="auto"/>
              <w:bottom w:val="single" w:sz="4" w:space="0" w:color="auto"/>
              <w:right w:val="single" w:sz="4" w:space="0" w:color="auto"/>
            </w:tcBorders>
            <w:vAlign w:val="center"/>
            <w:hideMark/>
          </w:tcPr>
          <w:p w14:paraId="70C30029" w14:textId="77777777" w:rsidR="0074688F" w:rsidRPr="006A15DB" w:rsidRDefault="0074688F" w:rsidP="00990136">
            <w:pPr>
              <w:pStyle w:val="TableText0"/>
              <w:keepNext w:val="0"/>
              <w:jc w:val="center"/>
              <w:rPr>
                <w:sz w:val="19"/>
                <w:szCs w:val="19"/>
              </w:rPr>
            </w:pPr>
            <w:r w:rsidRPr="006A15DB">
              <w:rPr>
                <w:sz w:val="19"/>
                <w:szCs w:val="19"/>
              </w:rPr>
              <w:t xml:space="preserve">88/230 (38.26%) </w:t>
            </w:r>
          </w:p>
        </w:tc>
        <w:tc>
          <w:tcPr>
            <w:tcW w:w="943" w:type="pct"/>
            <w:tcBorders>
              <w:top w:val="single" w:sz="4" w:space="0" w:color="auto"/>
              <w:left w:val="single" w:sz="4" w:space="0" w:color="auto"/>
              <w:bottom w:val="single" w:sz="4" w:space="0" w:color="auto"/>
              <w:right w:val="single" w:sz="4" w:space="0" w:color="auto"/>
            </w:tcBorders>
            <w:vAlign w:val="center"/>
            <w:hideMark/>
          </w:tcPr>
          <w:p w14:paraId="47C0ABDD" w14:textId="77777777" w:rsidR="0074688F" w:rsidRPr="006A15DB" w:rsidRDefault="0074688F" w:rsidP="00990136">
            <w:pPr>
              <w:pStyle w:val="TableText0"/>
              <w:keepNext w:val="0"/>
              <w:jc w:val="center"/>
              <w:rPr>
                <w:b/>
                <w:bCs w:val="0"/>
                <w:sz w:val="19"/>
                <w:szCs w:val="19"/>
              </w:rPr>
            </w:pPr>
            <w:r w:rsidRPr="006A15DB">
              <w:rPr>
                <w:sz w:val="19"/>
                <w:szCs w:val="19"/>
              </w:rPr>
              <w:t>0.99 (0.81, 1.21)</w:t>
            </w:r>
          </w:p>
        </w:tc>
        <w:tc>
          <w:tcPr>
            <w:tcW w:w="916" w:type="pct"/>
            <w:tcBorders>
              <w:top w:val="single" w:sz="4" w:space="0" w:color="auto"/>
              <w:left w:val="single" w:sz="4" w:space="0" w:color="auto"/>
              <w:bottom w:val="single" w:sz="4" w:space="0" w:color="auto"/>
              <w:right w:val="single" w:sz="4" w:space="0" w:color="auto"/>
            </w:tcBorders>
            <w:vAlign w:val="center"/>
            <w:hideMark/>
          </w:tcPr>
          <w:p w14:paraId="458E08AA" w14:textId="77777777" w:rsidR="0074688F" w:rsidRPr="006A15DB" w:rsidRDefault="0074688F" w:rsidP="00990136">
            <w:pPr>
              <w:pStyle w:val="TableText0"/>
              <w:keepNext w:val="0"/>
              <w:jc w:val="center"/>
              <w:rPr>
                <w:b/>
                <w:bCs w:val="0"/>
                <w:sz w:val="19"/>
                <w:szCs w:val="19"/>
              </w:rPr>
            </w:pPr>
            <w:r w:rsidRPr="006A15DB">
              <w:rPr>
                <w:sz w:val="19"/>
                <w:szCs w:val="19"/>
              </w:rPr>
              <w:t>-0.01 (-0.08, 0.07)</w:t>
            </w:r>
          </w:p>
        </w:tc>
      </w:tr>
      <w:tr w:rsidR="0074688F" w:rsidRPr="006A15DB" w14:paraId="1C011092"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1741801B" w14:textId="77777777" w:rsidR="0074688F" w:rsidRPr="006A15DB" w:rsidRDefault="0074688F" w:rsidP="00990136">
            <w:pPr>
              <w:pStyle w:val="TableText0"/>
              <w:keepNext w:val="0"/>
              <w:rPr>
                <w:sz w:val="19"/>
                <w:szCs w:val="19"/>
              </w:rPr>
            </w:pPr>
            <w:r w:rsidRPr="006A15DB">
              <w:rPr>
                <w:sz w:val="19"/>
                <w:szCs w:val="19"/>
              </w:rPr>
              <w:t>Study drug related serious TEAE (SAE)</w:t>
            </w:r>
          </w:p>
        </w:tc>
        <w:tc>
          <w:tcPr>
            <w:tcW w:w="780" w:type="pct"/>
            <w:tcBorders>
              <w:top w:val="single" w:sz="4" w:space="0" w:color="auto"/>
              <w:left w:val="single" w:sz="4" w:space="0" w:color="auto"/>
              <w:bottom w:val="single" w:sz="4" w:space="0" w:color="auto"/>
              <w:right w:val="single" w:sz="4" w:space="0" w:color="auto"/>
            </w:tcBorders>
            <w:vAlign w:val="center"/>
            <w:hideMark/>
          </w:tcPr>
          <w:p w14:paraId="46DC3817" w14:textId="77777777" w:rsidR="0074688F" w:rsidRPr="006A15DB" w:rsidRDefault="0074688F" w:rsidP="00990136">
            <w:pPr>
              <w:pStyle w:val="TableText0"/>
              <w:keepNext w:val="0"/>
              <w:jc w:val="center"/>
              <w:rPr>
                <w:sz w:val="19"/>
                <w:szCs w:val="19"/>
              </w:rPr>
            </w:pPr>
            <w:r w:rsidRPr="006A15DB">
              <w:rPr>
                <w:sz w:val="19"/>
                <w:szCs w:val="19"/>
              </w:rPr>
              <w:t>43/456 (9.43%)</w:t>
            </w:r>
          </w:p>
        </w:tc>
        <w:tc>
          <w:tcPr>
            <w:tcW w:w="962" w:type="pct"/>
            <w:tcBorders>
              <w:top w:val="single" w:sz="4" w:space="0" w:color="auto"/>
              <w:left w:val="single" w:sz="4" w:space="0" w:color="auto"/>
              <w:bottom w:val="single" w:sz="4" w:space="0" w:color="auto"/>
              <w:right w:val="single" w:sz="4" w:space="0" w:color="auto"/>
            </w:tcBorders>
            <w:vAlign w:val="center"/>
            <w:hideMark/>
          </w:tcPr>
          <w:p w14:paraId="0960B19C" w14:textId="77777777" w:rsidR="0074688F" w:rsidRPr="006A15DB" w:rsidRDefault="0074688F" w:rsidP="00990136">
            <w:pPr>
              <w:pStyle w:val="TableText0"/>
              <w:keepNext w:val="0"/>
              <w:jc w:val="center"/>
              <w:rPr>
                <w:sz w:val="19"/>
                <w:szCs w:val="19"/>
              </w:rPr>
            </w:pPr>
            <w:r w:rsidRPr="006A15DB">
              <w:rPr>
                <w:sz w:val="19"/>
                <w:szCs w:val="19"/>
              </w:rPr>
              <w:t>8/230 (3.48%)</w:t>
            </w:r>
          </w:p>
        </w:tc>
        <w:tc>
          <w:tcPr>
            <w:tcW w:w="943" w:type="pct"/>
            <w:tcBorders>
              <w:top w:val="single" w:sz="4" w:space="0" w:color="auto"/>
              <w:left w:val="single" w:sz="4" w:space="0" w:color="auto"/>
              <w:bottom w:val="single" w:sz="4" w:space="0" w:color="auto"/>
              <w:right w:val="single" w:sz="4" w:space="0" w:color="auto"/>
            </w:tcBorders>
            <w:vAlign w:val="center"/>
            <w:hideMark/>
          </w:tcPr>
          <w:p w14:paraId="22786C90" w14:textId="77777777" w:rsidR="0074688F" w:rsidRPr="006A15DB" w:rsidRDefault="0074688F" w:rsidP="00990136">
            <w:pPr>
              <w:pStyle w:val="TableText0"/>
              <w:keepNext w:val="0"/>
              <w:jc w:val="center"/>
              <w:rPr>
                <w:b/>
                <w:bCs w:val="0"/>
                <w:sz w:val="19"/>
                <w:szCs w:val="19"/>
              </w:rPr>
            </w:pPr>
            <w:r w:rsidRPr="006A15DB">
              <w:rPr>
                <w:b/>
                <w:bCs w:val="0"/>
                <w:sz w:val="19"/>
                <w:szCs w:val="19"/>
              </w:rPr>
              <w:t>2.71 (1.30, 5.67)</w:t>
            </w:r>
          </w:p>
        </w:tc>
        <w:tc>
          <w:tcPr>
            <w:tcW w:w="916" w:type="pct"/>
            <w:tcBorders>
              <w:top w:val="single" w:sz="4" w:space="0" w:color="auto"/>
              <w:left w:val="single" w:sz="4" w:space="0" w:color="auto"/>
              <w:bottom w:val="single" w:sz="4" w:space="0" w:color="auto"/>
              <w:right w:val="single" w:sz="4" w:space="0" w:color="auto"/>
            </w:tcBorders>
            <w:vAlign w:val="center"/>
            <w:hideMark/>
          </w:tcPr>
          <w:p w14:paraId="00E994E0" w14:textId="77777777" w:rsidR="0074688F" w:rsidRPr="006A15DB" w:rsidRDefault="0074688F" w:rsidP="00990136">
            <w:pPr>
              <w:pStyle w:val="TableText0"/>
              <w:keepNext w:val="0"/>
              <w:jc w:val="center"/>
              <w:rPr>
                <w:b/>
                <w:bCs w:val="0"/>
                <w:sz w:val="19"/>
                <w:szCs w:val="19"/>
              </w:rPr>
            </w:pPr>
            <w:r w:rsidRPr="006A15DB">
              <w:rPr>
                <w:b/>
                <w:bCs w:val="0"/>
                <w:sz w:val="19"/>
                <w:szCs w:val="19"/>
              </w:rPr>
              <w:t>0.06 (0.02, 0.10)</w:t>
            </w:r>
          </w:p>
        </w:tc>
      </w:tr>
      <w:tr w:rsidR="0074688F" w:rsidRPr="006A15DB" w14:paraId="6EB14A30"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6FE5778C" w14:textId="77777777" w:rsidR="0074688F" w:rsidRPr="006A15DB" w:rsidRDefault="0074688F" w:rsidP="00990136">
            <w:pPr>
              <w:pStyle w:val="TableText0"/>
              <w:keepNext w:val="0"/>
              <w:rPr>
                <w:sz w:val="19"/>
                <w:szCs w:val="19"/>
              </w:rPr>
            </w:pPr>
            <w:r w:rsidRPr="006A15DB">
              <w:rPr>
                <w:sz w:val="19"/>
                <w:szCs w:val="19"/>
              </w:rPr>
              <w:t>Any cause AE leading to discontinuation</w:t>
            </w:r>
          </w:p>
        </w:tc>
        <w:tc>
          <w:tcPr>
            <w:tcW w:w="780" w:type="pct"/>
            <w:tcBorders>
              <w:top w:val="single" w:sz="4" w:space="0" w:color="auto"/>
              <w:left w:val="single" w:sz="4" w:space="0" w:color="auto"/>
              <w:bottom w:val="single" w:sz="4" w:space="0" w:color="auto"/>
              <w:right w:val="single" w:sz="4" w:space="0" w:color="auto"/>
            </w:tcBorders>
            <w:vAlign w:val="center"/>
            <w:hideMark/>
          </w:tcPr>
          <w:p w14:paraId="51281847" w14:textId="77777777" w:rsidR="0074688F" w:rsidRPr="006A15DB" w:rsidRDefault="0074688F" w:rsidP="00990136">
            <w:pPr>
              <w:pStyle w:val="TableText0"/>
              <w:keepNext w:val="0"/>
              <w:jc w:val="center"/>
              <w:rPr>
                <w:sz w:val="19"/>
                <w:szCs w:val="19"/>
              </w:rPr>
            </w:pPr>
            <w:r w:rsidRPr="006A15DB">
              <w:rPr>
                <w:sz w:val="19"/>
                <w:szCs w:val="19"/>
              </w:rPr>
              <w:t>93/456 (20.39%)</w:t>
            </w:r>
          </w:p>
        </w:tc>
        <w:tc>
          <w:tcPr>
            <w:tcW w:w="962" w:type="pct"/>
            <w:tcBorders>
              <w:top w:val="single" w:sz="4" w:space="0" w:color="auto"/>
              <w:left w:val="single" w:sz="4" w:space="0" w:color="auto"/>
              <w:bottom w:val="single" w:sz="4" w:space="0" w:color="auto"/>
              <w:right w:val="single" w:sz="4" w:space="0" w:color="auto"/>
            </w:tcBorders>
            <w:vAlign w:val="center"/>
            <w:hideMark/>
          </w:tcPr>
          <w:p w14:paraId="0A3838EF" w14:textId="6B8CF6DF" w:rsidR="0074688F" w:rsidRPr="006A5AAC" w:rsidRDefault="00084DC5" w:rsidP="00990136">
            <w:pPr>
              <w:pStyle w:val="TableText0"/>
              <w:keepNext w:val="0"/>
              <w:jc w:val="center"/>
              <w:rPr>
                <w:sz w:val="19"/>
                <w:szCs w:val="19"/>
                <w:highlight w:val="yellow"/>
              </w:rPr>
            </w:pPr>
            <w:r w:rsidRPr="00084DC5">
              <w:rPr>
                <w:sz w:val="19"/>
                <w:szCs w:val="19"/>
              </w:rPr>
              <w:t>49</w:t>
            </w:r>
            <w:r w:rsidR="0074688F" w:rsidRPr="00084DC5">
              <w:rPr>
                <w:sz w:val="19"/>
                <w:szCs w:val="19"/>
              </w:rPr>
              <w:t>/</w:t>
            </w:r>
            <w:r w:rsidR="006A5AAC" w:rsidRPr="00084DC5">
              <w:rPr>
                <w:sz w:val="19"/>
                <w:szCs w:val="19"/>
              </w:rPr>
              <w:t>230</w:t>
            </w:r>
            <w:r w:rsidR="0074688F" w:rsidRPr="00084DC5">
              <w:rPr>
                <w:sz w:val="19"/>
                <w:szCs w:val="19"/>
              </w:rPr>
              <w:t xml:space="preserve"> (2</w:t>
            </w:r>
            <w:r w:rsidR="006A5AAC" w:rsidRPr="00084DC5">
              <w:rPr>
                <w:sz w:val="19"/>
                <w:szCs w:val="19"/>
              </w:rPr>
              <w:t>1</w:t>
            </w:r>
            <w:r w:rsidR="0074688F" w:rsidRPr="00084DC5">
              <w:rPr>
                <w:sz w:val="19"/>
                <w:szCs w:val="19"/>
              </w:rPr>
              <w:t>.3</w:t>
            </w:r>
            <w:r w:rsidR="006A5AAC" w:rsidRPr="00084DC5">
              <w:rPr>
                <w:sz w:val="19"/>
                <w:szCs w:val="19"/>
              </w:rPr>
              <w:t>0</w:t>
            </w:r>
            <w:r w:rsidR="0074688F" w:rsidRPr="00084DC5">
              <w:rPr>
                <w:sz w:val="19"/>
                <w:szCs w:val="19"/>
              </w:rPr>
              <w:t>%)</w:t>
            </w:r>
          </w:p>
        </w:tc>
        <w:tc>
          <w:tcPr>
            <w:tcW w:w="943" w:type="pct"/>
            <w:tcBorders>
              <w:top w:val="single" w:sz="4" w:space="0" w:color="auto"/>
              <w:left w:val="single" w:sz="4" w:space="0" w:color="auto"/>
              <w:bottom w:val="single" w:sz="4" w:space="0" w:color="auto"/>
              <w:right w:val="single" w:sz="4" w:space="0" w:color="auto"/>
            </w:tcBorders>
            <w:vAlign w:val="center"/>
            <w:hideMark/>
          </w:tcPr>
          <w:p w14:paraId="7D877641" w14:textId="77777777" w:rsidR="0074688F" w:rsidRPr="006A15DB" w:rsidRDefault="0074688F" w:rsidP="00990136">
            <w:pPr>
              <w:pStyle w:val="TableText0"/>
              <w:keepNext w:val="0"/>
              <w:jc w:val="center"/>
              <w:rPr>
                <w:b/>
                <w:bCs w:val="0"/>
                <w:sz w:val="19"/>
                <w:szCs w:val="19"/>
              </w:rPr>
            </w:pPr>
            <w:r w:rsidRPr="006A15DB">
              <w:rPr>
                <w:sz w:val="19"/>
                <w:szCs w:val="19"/>
              </w:rPr>
              <w:t>0.96 (0.70, 1.30)</w:t>
            </w:r>
          </w:p>
        </w:tc>
        <w:tc>
          <w:tcPr>
            <w:tcW w:w="916" w:type="pct"/>
            <w:tcBorders>
              <w:top w:val="single" w:sz="4" w:space="0" w:color="auto"/>
              <w:left w:val="single" w:sz="4" w:space="0" w:color="auto"/>
              <w:bottom w:val="single" w:sz="4" w:space="0" w:color="auto"/>
              <w:right w:val="single" w:sz="4" w:space="0" w:color="auto"/>
            </w:tcBorders>
            <w:vAlign w:val="center"/>
            <w:hideMark/>
          </w:tcPr>
          <w:p w14:paraId="50D0A0AF" w14:textId="77777777" w:rsidR="0074688F" w:rsidRPr="006A15DB" w:rsidRDefault="0074688F" w:rsidP="00990136">
            <w:pPr>
              <w:pStyle w:val="TableText0"/>
              <w:keepNext w:val="0"/>
              <w:jc w:val="center"/>
              <w:rPr>
                <w:b/>
                <w:bCs w:val="0"/>
                <w:sz w:val="19"/>
                <w:szCs w:val="19"/>
              </w:rPr>
            </w:pPr>
            <w:r w:rsidRPr="006A15DB">
              <w:rPr>
                <w:sz w:val="19"/>
                <w:szCs w:val="19"/>
              </w:rPr>
              <w:t>-0.01 (-0.07, 0.06)</w:t>
            </w:r>
          </w:p>
        </w:tc>
      </w:tr>
      <w:tr w:rsidR="0074688F" w:rsidRPr="006A15DB" w14:paraId="065999F2"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227813DE" w14:textId="77777777" w:rsidR="0074688F" w:rsidRPr="006A15DB" w:rsidRDefault="0074688F" w:rsidP="00990136">
            <w:pPr>
              <w:pStyle w:val="TableText0"/>
              <w:keepNext w:val="0"/>
              <w:rPr>
                <w:sz w:val="19"/>
                <w:szCs w:val="19"/>
              </w:rPr>
            </w:pPr>
            <w:r w:rsidRPr="006A15DB">
              <w:rPr>
                <w:sz w:val="19"/>
                <w:szCs w:val="19"/>
              </w:rPr>
              <w:t>Study drug related AE leading to discontinuation</w:t>
            </w:r>
          </w:p>
        </w:tc>
        <w:tc>
          <w:tcPr>
            <w:tcW w:w="780" w:type="pct"/>
            <w:tcBorders>
              <w:top w:val="single" w:sz="4" w:space="0" w:color="auto"/>
              <w:left w:val="single" w:sz="4" w:space="0" w:color="auto"/>
              <w:bottom w:val="single" w:sz="4" w:space="0" w:color="auto"/>
              <w:right w:val="single" w:sz="4" w:space="0" w:color="auto"/>
            </w:tcBorders>
            <w:vAlign w:val="center"/>
            <w:hideMark/>
          </w:tcPr>
          <w:p w14:paraId="739EEC02" w14:textId="77777777" w:rsidR="0074688F" w:rsidRPr="006A15DB" w:rsidRDefault="0074688F" w:rsidP="00990136">
            <w:pPr>
              <w:pStyle w:val="TableText0"/>
              <w:keepNext w:val="0"/>
              <w:jc w:val="center"/>
              <w:rPr>
                <w:sz w:val="19"/>
                <w:szCs w:val="19"/>
              </w:rPr>
            </w:pPr>
            <w:r w:rsidRPr="006A15DB">
              <w:rPr>
                <w:sz w:val="19"/>
                <w:szCs w:val="19"/>
              </w:rPr>
              <w:t>45/456 (9.87%)</w:t>
            </w:r>
          </w:p>
        </w:tc>
        <w:tc>
          <w:tcPr>
            <w:tcW w:w="962" w:type="pct"/>
            <w:tcBorders>
              <w:top w:val="single" w:sz="4" w:space="0" w:color="auto"/>
              <w:left w:val="single" w:sz="4" w:space="0" w:color="auto"/>
              <w:bottom w:val="single" w:sz="4" w:space="0" w:color="auto"/>
              <w:right w:val="single" w:sz="4" w:space="0" w:color="auto"/>
            </w:tcBorders>
            <w:vAlign w:val="center"/>
            <w:hideMark/>
          </w:tcPr>
          <w:p w14:paraId="32D10A0E" w14:textId="77777777" w:rsidR="0074688F" w:rsidRPr="006A15DB" w:rsidRDefault="0074688F" w:rsidP="00990136">
            <w:pPr>
              <w:pStyle w:val="TableText0"/>
              <w:keepNext w:val="0"/>
              <w:jc w:val="center"/>
              <w:rPr>
                <w:sz w:val="19"/>
                <w:szCs w:val="19"/>
              </w:rPr>
            </w:pPr>
            <w:r w:rsidRPr="006A15DB">
              <w:rPr>
                <w:sz w:val="19"/>
                <w:szCs w:val="19"/>
              </w:rPr>
              <w:t>7/230 (3.04%)</w:t>
            </w:r>
          </w:p>
        </w:tc>
        <w:tc>
          <w:tcPr>
            <w:tcW w:w="943" w:type="pct"/>
            <w:tcBorders>
              <w:top w:val="single" w:sz="4" w:space="0" w:color="auto"/>
              <w:left w:val="single" w:sz="4" w:space="0" w:color="auto"/>
              <w:bottom w:val="single" w:sz="4" w:space="0" w:color="auto"/>
              <w:right w:val="single" w:sz="4" w:space="0" w:color="auto"/>
            </w:tcBorders>
            <w:vAlign w:val="center"/>
            <w:hideMark/>
          </w:tcPr>
          <w:p w14:paraId="554439D7" w14:textId="77777777" w:rsidR="0074688F" w:rsidRPr="006A15DB" w:rsidRDefault="0074688F" w:rsidP="00990136">
            <w:pPr>
              <w:pStyle w:val="TableText0"/>
              <w:keepNext w:val="0"/>
              <w:jc w:val="center"/>
              <w:rPr>
                <w:b/>
                <w:bCs w:val="0"/>
                <w:sz w:val="19"/>
                <w:szCs w:val="19"/>
              </w:rPr>
            </w:pPr>
            <w:r w:rsidRPr="006A15DB">
              <w:rPr>
                <w:b/>
                <w:bCs w:val="0"/>
                <w:sz w:val="19"/>
                <w:szCs w:val="19"/>
              </w:rPr>
              <w:t>3.24 (1.49, 7.08)</w:t>
            </w:r>
          </w:p>
        </w:tc>
        <w:tc>
          <w:tcPr>
            <w:tcW w:w="916" w:type="pct"/>
            <w:tcBorders>
              <w:top w:val="single" w:sz="4" w:space="0" w:color="auto"/>
              <w:left w:val="single" w:sz="4" w:space="0" w:color="auto"/>
              <w:bottom w:val="single" w:sz="4" w:space="0" w:color="auto"/>
              <w:right w:val="single" w:sz="4" w:space="0" w:color="auto"/>
            </w:tcBorders>
            <w:vAlign w:val="center"/>
            <w:hideMark/>
          </w:tcPr>
          <w:p w14:paraId="356BDF13" w14:textId="77777777" w:rsidR="0074688F" w:rsidRPr="006A15DB" w:rsidRDefault="0074688F" w:rsidP="00990136">
            <w:pPr>
              <w:pStyle w:val="TableText0"/>
              <w:keepNext w:val="0"/>
              <w:jc w:val="center"/>
              <w:rPr>
                <w:b/>
                <w:bCs w:val="0"/>
                <w:sz w:val="19"/>
                <w:szCs w:val="19"/>
              </w:rPr>
            </w:pPr>
            <w:r w:rsidRPr="006A15DB">
              <w:rPr>
                <w:b/>
                <w:bCs w:val="0"/>
                <w:sz w:val="19"/>
                <w:szCs w:val="19"/>
              </w:rPr>
              <w:t>0.07 (0.03, 0.11)</w:t>
            </w:r>
          </w:p>
        </w:tc>
      </w:tr>
      <w:tr w:rsidR="0074688F" w:rsidRPr="006A15DB" w14:paraId="004119AB"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36739BAD" w14:textId="77777777" w:rsidR="0074688F" w:rsidRPr="006A15DB" w:rsidRDefault="0074688F" w:rsidP="00990136">
            <w:pPr>
              <w:pStyle w:val="TableText0"/>
              <w:keepNext w:val="0"/>
              <w:rPr>
                <w:sz w:val="19"/>
                <w:szCs w:val="19"/>
              </w:rPr>
            </w:pPr>
            <w:r w:rsidRPr="006A15DB">
              <w:rPr>
                <w:sz w:val="19"/>
                <w:szCs w:val="19"/>
              </w:rPr>
              <w:t xml:space="preserve">Grade 5 AE leading to death </w:t>
            </w:r>
          </w:p>
        </w:tc>
        <w:tc>
          <w:tcPr>
            <w:tcW w:w="780" w:type="pct"/>
            <w:tcBorders>
              <w:top w:val="single" w:sz="4" w:space="0" w:color="auto"/>
              <w:left w:val="single" w:sz="4" w:space="0" w:color="auto"/>
              <w:bottom w:val="single" w:sz="4" w:space="0" w:color="auto"/>
              <w:right w:val="single" w:sz="4" w:space="0" w:color="auto"/>
            </w:tcBorders>
            <w:vAlign w:val="center"/>
            <w:hideMark/>
          </w:tcPr>
          <w:p w14:paraId="77EBFD15" w14:textId="25C092E5" w:rsidR="0074688F" w:rsidRPr="006A15DB" w:rsidRDefault="0074688F" w:rsidP="00990136">
            <w:pPr>
              <w:pStyle w:val="TableText0"/>
              <w:keepNext w:val="0"/>
              <w:jc w:val="center"/>
              <w:rPr>
                <w:sz w:val="19"/>
                <w:szCs w:val="19"/>
              </w:rPr>
            </w:pPr>
            <w:r w:rsidRPr="006A15DB">
              <w:rPr>
                <w:sz w:val="19"/>
                <w:szCs w:val="19"/>
              </w:rPr>
              <w:t xml:space="preserve">49/456 (10.75%) </w:t>
            </w:r>
          </w:p>
        </w:tc>
        <w:tc>
          <w:tcPr>
            <w:tcW w:w="962" w:type="pct"/>
            <w:tcBorders>
              <w:top w:val="single" w:sz="4" w:space="0" w:color="auto"/>
              <w:left w:val="single" w:sz="4" w:space="0" w:color="auto"/>
              <w:bottom w:val="single" w:sz="4" w:space="0" w:color="auto"/>
              <w:right w:val="single" w:sz="4" w:space="0" w:color="auto"/>
            </w:tcBorders>
            <w:vAlign w:val="center"/>
            <w:hideMark/>
          </w:tcPr>
          <w:p w14:paraId="335902EB" w14:textId="77777777" w:rsidR="0074688F" w:rsidRPr="006A15DB" w:rsidRDefault="0074688F" w:rsidP="00990136">
            <w:pPr>
              <w:pStyle w:val="TableText0"/>
              <w:keepNext w:val="0"/>
              <w:jc w:val="center"/>
              <w:rPr>
                <w:sz w:val="19"/>
                <w:szCs w:val="19"/>
              </w:rPr>
            </w:pPr>
            <w:r w:rsidRPr="006A15DB">
              <w:rPr>
                <w:sz w:val="19"/>
                <w:szCs w:val="19"/>
              </w:rPr>
              <w:t xml:space="preserve">45/230 (19.57%) </w:t>
            </w:r>
          </w:p>
        </w:tc>
        <w:tc>
          <w:tcPr>
            <w:tcW w:w="943" w:type="pct"/>
            <w:tcBorders>
              <w:top w:val="single" w:sz="4" w:space="0" w:color="auto"/>
              <w:left w:val="single" w:sz="4" w:space="0" w:color="auto"/>
              <w:bottom w:val="single" w:sz="4" w:space="0" w:color="auto"/>
              <w:right w:val="single" w:sz="4" w:space="0" w:color="auto"/>
            </w:tcBorders>
            <w:vAlign w:val="center"/>
            <w:hideMark/>
          </w:tcPr>
          <w:p w14:paraId="22E3AE80" w14:textId="77777777" w:rsidR="0074688F" w:rsidRPr="006A15DB" w:rsidRDefault="0074688F" w:rsidP="00990136">
            <w:pPr>
              <w:pStyle w:val="TableText0"/>
              <w:keepNext w:val="0"/>
              <w:jc w:val="center"/>
              <w:rPr>
                <w:sz w:val="19"/>
                <w:szCs w:val="19"/>
              </w:rPr>
            </w:pPr>
            <w:r w:rsidRPr="006A15DB">
              <w:rPr>
                <w:sz w:val="19"/>
                <w:szCs w:val="19"/>
              </w:rPr>
              <w:t>0.55 (0.38, 0.80)</w:t>
            </w:r>
          </w:p>
        </w:tc>
        <w:tc>
          <w:tcPr>
            <w:tcW w:w="916" w:type="pct"/>
            <w:tcBorders>
              <w:top w:val="single" w:sz="4" w:space="0" w:color="auto"/>
              <w:left w:val="single" w:sz="4" w:space="0" w:color="auto"/>
              <w:bottom w:val="single" w:sz="4" w:space="0" w:color="auto"/>
              <w:right w:val="single" w:sz="4" w:space="0" w:color="auto"/>
            </w:tcBorders>
            <w:vAlign w:val="center"/>
            <w:hideMark/>
          </w:tcPr>
          <w:p w14:paraId="13AA1DAC" w14:textId="77777777" w:rsidR="0074688F" w:rsidRPr="006A15DB" w:rsidRDefault="0074688F" w:rsidP="00990136">
            <w:pPr>
              <w:pStyle w:val="TableText0"/>
              <w:keepNext w:val="0"/>
              <w:jc w:val="center"/>
              <w:rPr>
                <w:bCs w:val="0"/>
                <w:sz w:val="19"/>
                <w:szCs w:val="19"/>
              </w:rPr>
            </w:pPr>
            <w:r w:rsidRPr="006A15DB">
              <w:rPr>
                <w:sz w:val="19"/>
                <w:szCs w:val="19"/>
              </w:rPr>
              <w:t>-</w:t>
            </w:r>
            <w:r w:rsidRPr="006A15DB">
              <w:rPr>
                <w:bCs w:val="0"/>
                <w:sz w:val="19"/>
                <w:szCs w:val="19"/>
              </w:rPr>
              <w:t xml:space="preserve">0.09 (-0.14, -0.03) </w:t>
            </w:r>
          </w:p>
        </w:tc>
      </w:tr>
      <w:tr w:rsidR="0074688F" w:rsidRPr="006A15DB" w14:paraId="240A5859"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5C8261DA" w14:textId="77777777" w:rsidR="0074688F" w:rsidRPr="006A15DB" w:rsidRDefault="0074688F" w:rsidP="00990136">
            <w:pPr>
              <w:pStyle w:val="TableText0"/>
              <w:keepNext w:val="0"/>
              <w:rPr>
                <w:sz w:val="19"/>
                <w:szCs w:val="19"/>
              </w:rPr>
            </w:pPr>
            <w:r w:rsidRPr="006A15DB">
              <w:rPr>
                <w:sz w:val="19"/>
                <w:szCs w:val="19"/>
              </w:rPr>
              <w:t>Study drug related Grade 5 AE leading to death</w:t>
            </w:r>
          </w:p>
        </w:tc>
        <w:tc>
          <w:tcPr>
            <w:tcW w:w="780" w:type="pct"/>
            <w:tcBorders>
              <w:top w:val="single" w:sz="4" w:space="0" w:color="auto"/>
              <w:left w:val="single" w:sz="4" w:space="0" w:color="auto"/>
              <w:bottom w:val="single" w:sz="4" w:space="0" w:color="auto"/>
              <w:right w:val="single" w:sz="4" w:space="0" w:color="auto"/>
            </w:tcBorders>
            <w:vAlign w:val="center"/>
            <w:hideMark/>
          </w:tcPr>
          <w:p w14:paraId="01D7763C" w14:textId="221EF1FC" w:rsidR="0074688F" w:rsidRPr="006A15DB" w:rsidRDefault="0074688F" w:rsidP="00990136">
            <w:pPr>
              <w:pStyle w:val="TableText0"/>
              <w:keepNext w:val="0"/>
              <w:jc w:val="center"/>
              <w:rPr>
                <w:sz w:val="19"/>
                <w:szCs w:val="19"/>
              </w:rPr>
            </w:pPr>
            <w:r w:rsidRPr="006A15DB">
              <w:rPr>
                <w:sz w:val="19"/>
                <w:szCs w:val="19"/>
              </w:rPr>
              <w:t>1/456  (0.22%)</w:t>
            </w:r>
          </w:p>
        </w:tc>
        <w:tc>
          <w:tcPr>
            <w:tcW w:w="962" w:type="pct"/>
            <w:tcBorders>
              <w:top w:val="single" w:sz="4" w:space="0" w:color="auto"/>
              <w:left w:val="single" w:sz="4" w:space="0" w:color="auto"/>
              <w:bottom w:val="single" w:sz="4" w:space="0" w:color="auto"/>
              <w:right w:val="single" w:sz="4" w:space="0" w:color="auto"/>
            </w:tcBorders>
            <w:vAlign w:val="center"/>
            <w:hideMark/>
          </w:tcPr>
          <w:p w14:paraId="41DF8382" w14:textId="77777777" w:rsidR="0074688F" w:rsidRPr="006A15DB" w:rsidRDefault="0074688F" w:rsidP="00990136">
            <w:pPr>
              <w:pStyle w:val="TableText0"/>
              <w:keepNext w:val="0"/>
              <w:jc w:val="center"/>
              <w:rPr>
                <w:sz w:val="19"/>
                <w:szCs w:val="19"/>
              </w:rPr>
            </w:pPr>
            <w:r w:rsidRPr="006A15DB">
              <w:rPr>
                <w:sz w:val="19"/>
                <w:szCs w:val="19"/>
              </w:rPr>
              <w:t>1/230 (0.43%)</w:t>
            </w:r>
          </w:p>
        </w:tc>
        <w:tc>
          <w:tcPr>
            <w:tcW w:w="943" w:type="pct"/>
            <w:tcBorders>
              <w:top w:val="single" w:sz="4" w:space="0" w:color="auto"/>
              <w:left w:val="single" w:sz="4" w:space="0" w:color="auto"/>
              <w:bottom w:val="single" w:sz="4" w:space="0" w:color="auto"/>
              <w:right w:val="single" w:sz="4" w:space="0" w:color="auto"/>
            </w:tcBorders>
            <w:vAlign w:val="center"/>
            <w:hideMark/>
          </w:tcPr>
          <w:p w14:paraId="3D2DDF01" w14:textId="77777777" w:rsidR="0074688F" w:rsidRPr="006A15DB" w:rsidRDefault="0074688F" w:rsidP="00990136">
            <w:pPr>
              <w:pStyle w:val="TableText0"/>
              <w:keepNext w:val="0"/>
              <w:jc w:val="center"/>
              <w:rPr>
                <w:sz w:val="19"/>
                <w:szCs w:val="19"/>
              </w:rPr>
            </w:pPr>
            <w:r w:rsidRPr="006A15DB">
              <w:rPr>
                <w:sz w:val="19"/>
                <w:szCs w:val="19"/>
              </w:rPr>
              <w:t>0.50 (0.03, 8.03)</w:t>
            </w:r>
          </w:p>
        </w:tc>
        <w:tc>
          <w:tcPr>
            <w:tcW w:w="916" w:type="pct"/>
            <w:tcBorders>
              <w:top w:val="single" w:sz="4" w:space="0" w:color="auto"/>
              <w:left w:val="single" w:sz="4" w:space="0" w:color="auto"/>
              <w:bottom w:val="single" w:sz="4" w:space="0" w:color="auto"/>
              <w:right w:val="single" w:sz="4" w:space="0" w:color="auto"/>
            </w:tcBorders>
            <w:vAlign w:val="center"/>
            <w:hideMark/>
          </w:tcPr>
          <w:p w14:paraId="23D1006F" w14:textId="77777777" w:rsidR="0074688F" w:rsidRPr="006A15DB" w:rsidRDefault="0074688F" w:rsidP="00990136">
            <w:pPr>
              <w:pStyle w:val="TableText0"/>
              <w:keepNext w:val="0"/>
              <w:jc w:val="center"/>
              <w:rPr>
                <w:sz w:val="19"/>
                <w:szCs w:val="19"/>
              </w:rPr>
            </w:pPr>
            <w:r w:rsidRPr="006A15DB">
              <w:rPr>
                <w:sz w:val="19"/>
                <w:szCs w:val="19"/>
              </w:rPr>
              <w:t>0.00 (-0.01, 0.01)</w:t>
            </w:r>
          </w:p>
        </w:tc>
      </w:tr>
      <w:tr w:rsidR="007B2206" w:rsidRPr="006A15DB" w14:paraId="6D97541C" w14:textId="77777777" w:rsidTr="00990136">
        <w:trPr>
          <w:trHeight w:hRule="exact" w:val="198"/>
        </w:trPr>
        <w:tc>
          <w:tcPr>
            <w:tcW w:w="5000" w:type="pct"/>
            <w:gridSpan w:val="5"/>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BEC26BF" w14:textId="7BBBD0EF" w:rsidR="007B2206" w:rsidRPr="006A15DB" w:rsidRDefault="007B2206" w:rsidP="00990136">
            <w:pPr>
              <w:pStyle w:val="TableText0"/>
              <w:keepNext w:val="0"/>
              <w:rPr>
                <w:b/>
                <w:bCs w:val="0"/>
                <w:sz w:val="19"/>
                <w:szCs w:val="19"/>
              </w:rPr>
            </w:pPr>
            <w:r w:rsidRPr="006A15DB">
              <w:rPr>
                <w:b/>
                <w:bCs w:val="0"/>
                <w:sz w:val="19"/>
                <w:szCs w:val="19"/>
              </w:rPr>
              <w:t>RECOURSE</w:t>
            </w:r>
            <w:r w:rsidR="006B6897" w:rsidRPr="006A15DB">
              <w:rPr>
                <w:b/>
                <w:bCs w:val="0"/>
                <w:sz w:val="19"/>
                <w:szCs w:val="19"/>
              </w:rPr>
              <w:t xml:space="preserve"> (</w:t>
            </w:r>
            <w:r w:rsidR="000B4F3F" w:rsidRPr="000B4F3F">
              <w:rPr>
                <w:b/>
                <w:bCs w:val="0"/>
                <w:sz w:val="19"/>
                <w:szCs w:val="19"/>
              </w:rPr>
              <w:t>TRI/TIP</w:t>
            </w:r>
            <w:r w:rsidR="006B6897" w:rsidRPr="006A15DB">
              <w:rPr>
                <w:b/>
                <w:bCs w:val="0"/>
                <w:sz w:val="19"/>
                <w:szCs w:val="19"/>
              </w:rPr>
              <w:t xml:space="preserve"> versus placebo)</w:t>
            </w:r>
          </w:p>
        </w:tc>
      </w:tr>
      <w:tr w:rsidR="0074688F" w:rsidRPr="006A15DB" w14:paraId="73414027"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6182B77F" w14:textId="77777777" w:rsidR="0074688F" w:rsidRPr="006A15DB" w:rsidRDefault="0074688F" w:rsidP="00990136">
            <w:pPr>
              <w:pStyle w:val="TableText0"/>
              <w:keepNext w:val="0"/>
              <w:rPr>
                <w:sz w:val="19"/>
                <w:szCs w:val="19"/>
              </w:rPr>
            </w:pPr>
            <w:r w:rsidRPr="006A15DB">
              <w:rPr>
                <w:sz w:val="19"/>
                <w:szCs w:val="19"/>
              </w:rPr>
              <w:t xml:space="preserve">Any cause TEAE </w:t>
            </w:r>
          </w:p>
        </w:tc>
        <w:tc>
          <w:tcPr>
            <w:tcW w:w="780" w:type="pct"/>
            <w:tcBorders>
              <w:top w:val="single" w:sz="4" w:space="0" w:color="auto"/>
              <w:left w:val="single" w:sz="4" w:space="0" w:color="auto"/>
              <w:bottom w:val="single" w:sz="4" w:space="0" w:color="auto"/>
              <w:right w:val="single" w:sz="4" w:space="0" w:color="auto"/>
            </w:tcBorders>
            <w:vAlign w:val="center"/>
            <w:hideMark/>
          </w:tcPr>
          <w:p w14:paraId="6EC670C1" w14:textId="77777777" w:rsidR="0074688F" w:rsidRPr="006A15DB" w:rsidRDefault="0074688F" w:rsidP="00990136">
            <w:pPr>
              <w:pStyle w:val="TableText0"/>
              <w:keepNext w:val="0"/>
              <w:jc w:val="center"/>
              <w:rPr>
                <w:sz w:val="19"/>
                <w:szCs w:val="19"/>
              </w:rPr>
            </w:pPr>
            <w:r w:rsidRPr="006A15DB">
              <w:rPr>
                <w:sz w:val="19"/>
                <w:szCs w:val="19"/>
              </w:rPr>
              <w:t xml:space="preserve">524/533 (98.31%) </w:t>
            </w:r>
          </w:p>
        </w:tc>
        <w:tc>
          <w:tcPr>
            <w:tcW w:w="962" w:type="pct"/>
            <w:tcBorders>
              <w:top w:val="single" w:sz="4" w:space="0" w:color="auto"/>
              <w:left w:val="single" w:sz="4" w:space="0" w:color="auto"/>
              <w:bottom w:val="single" w:sz="4" w:space="0" w:color="auto"/>
              <w:right w:val="single" w:sz="4" w:space="0" w:color="auto"/>
            </w:tcBorders>
            <w:vAlign w:val="center"/>
            <w:hideMark/>
          </w:tcPr>
          <w:p w14:paraId="4DE0925A" w14:textId="77777777" w:rsidR="0074688F" w:rsidRPr="006A15DB" w:rsidRDefault="0074688F" w:rsidP="00990136">
            <w:pPr>
              <w:pStyle w:val="TableText0"/>
              <w:keepNext w:val="0"/>
              <w:jc w:val="center"/>
              <w:rPr>
                <w:sz w:val="19"/>
                <w:szCs w:val="19"/>
              </w:rPr>
            </w:pPr>
            <w:r w:rsidRPr="006A15DB">
              <w:rPr>
                <w:sz w:val="19"/>
                <w:szCs w:val="19"/>
              </w:rPr>
              <w:t xml:space="preserve">247/265 (93.21%) </w:t>
            </w:r>
          </w:p>
        </w:tc>
        <w:tc>
          <w:tcPr>
            <w:tcW w:w="943" w:type="pct"/>
            <w:tcBorders>
              <w:top w:val="single" w:sz="4" w:space="0" w:color="auto"/>
              <w:left w:val="single" w:sz="4" w:space="0" w:color="auto"/>
              <w:bottom w:val="single" w:sz="4" w:space="0" w:color="auto"/>
              <w:right w:val="single" w:sz="4" w:space="0" w:color="auto"/>
            </w:tcBorders>
            <w:vAlign w:val="center"/>
            <w:hideMark/>
          </w:tcPr>
          <w:p w14:paraId="3976D1C1" w14:textId="77777777" w:rsidR="0074688F" w:rsidRPr="006A15DB" w:rsidRDefault="0074688F" w:rsidP="00990136">
            <w:pPr>
              <w:pStyle w:val="TableText0"/>
              <w:keepNext w:val="0"/>
              <w:jc w:val="center"/>
              <w:rPr>
                <w:b/>
                <w:bCs w:val="0"/>
                <w:sz w:val="19"/>
                <w:szCs w:val="19"/>
              </w:rPr>
            </w:pPr>
            <w:r w:rsidRPr="006A15DB">
              <w:rPr>
                <w:b/>
                <w:bCs w:val="0"/>
                <w:sz w:val="19"/>
                <w:szCs w:val="19"/>
              </w:rPr>
              <w:t>1.05 (1.02, 1.09)</w:t>
            </w:r>
          </w:p>
        </w:tc>
        <w:tc>
          <w:tcPr>
            <w:tcW w:w="916" w:type="pct"/>
            <w:tcBorders>
              <w:top w:val="single" w:sz="4" w:space="0" w:color="auto"/>
              <w:left w:val="single" w:sz="4" w:space="0" w:color="auto"/>
              <w:bottom w:val="single" w:sz="4" w:space="0" w:color="auto"/>
              <w:right w:val="single" w:sz="4" w:space="0" w:color="auto"/>
            </w:tcBorders>
            <w:vAlign w:val="center"/>
            <w:hideMark/>
          </w:tcPr>
          <w:p w14:paraId="1E59B9FF" w14:textId="77777777" w:rsidR="0074688F" w:rsidRPr="006A15DB" w:rsidRDefault="0074688F" w:rsidP="00990136">
            <w:pPr>
              <w:pStyle w:val="TableText0"/>
              <w:keepNext w:val="0"/>
              <w:jc w:val="center"/>
              <w:rPr>
                <w:b/>
                <w:bCs w:val="0"/>
                <w:sz w:val="19"/>
                <w:szCs w:val="19"/>
              </w:rPr>
            </w:pPr>
            <w:r w:rsidRPr="006A15DB">
              <w:rPr>
                <w:b/>
                <w:bCs w:val="0"/>
                <w:sz w:val="19"/>
                <w:szCs w:val="19"/>
              </w:rPr>
              <w:t>0.05 (0.02, 0.08)</w:t>
            </w:r>
          </w:p>
        </w:tc>
      </w:tr>
      <w:tr w:rsidR="0074688F" w:rsidRPr="006A15DB" w14:paraId="30C8D3C8"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2947142D" w14:textId="77777777" w:rsidR="0074688F" w:rsidRPr="006A15DB" w:rsidRDefault="0074688F" w:rsidP="00990136">
            <w:pPr>
              <w:pStyle w:val="TableText0"/>
              <w:keepNext w:val="0"/>
              <w:rPr>
                <w:sz w:val="19"/>
                <w:szCs w:val="19"/>
              </w:rPr>
            </w:pPr>
            <w:r w:rsidRPr="006A15DB">
              <w:rPr>
                <w:sz w:val="19"/>
                <w:szCs w:val="19"/>
              </w:rPr>
              <w:t>Study drug related TEAE</w:t>
            </w:r>
          </w:p>
        </w:tc>
        <w:tc>
          <w:tcPr>
            <w:tcW w:w="780" w:type="pct"/>
            <w:tcBorders>
              <w:top w:val="single" w:sz="4" w:space="0" w:color="auto"/>
              <w:left w:val="single" w:sz="4" w:space="0" w:color="auto"/>
              <w:bottom w:val="single" w:sz="4" w:space="0" w:color="auto"/>
              <w:right w:val="single" w:sz="4" w:space="0" w:color="auto"/>
            </w:tcBorders>
            <w:vAlign w:val="center"/>
            <w:hideMark/>
          </w:tcPr>
          <w:p w14:paraId="26DDCD81" w14:textId="77777777" w:rsidR="0074688F" w:rsidRPr="006A15DB" w:rsidRDefault="0074688F" w:rsidP="00990136">
            <w:pPr>
              <w:pStyle w:val="TableText0"/>
              <w:keepNext w:val="0"/>
              <w:jc w:val="center"/>
              <w:rPr>
                <w:sz w:val="19"/>
                <w:szCs w:val="19"/>
              </w:rPr>
            </w:pPr>
            <w:r w:rsidRPr="006A15DB">
              <w:rPr>
                <w:sz w:val="19"/>
                <w:szCs w:val="19"/>
              </w:rPr>
              <w:t>457/533 (85.74%)</w:t>
            </w:r>
          </w:p>
        </w:tc>
        <w:tc>
          <w:tcPr>
            <w:tcW w:w="962" w:type="pct"/>
            <w:tcBorders>
              <w:top w:val="single" w:sz="4" w:space="0" w:color="auto"/>
              <w:left w:val="single" w:sz="4" w:space="0" w:color="auto"/>
              <w:bottom w:val="single" w:sz="4" w:space="0" w:color="auto"/>
              <w:right w:val="single" w:sz="4" w:space="0" w:color="auto"/>
            </w:tcBorders>
            <w:vAlign w:val="center"/>
            <w:hideMark/>
          </w:tcPr>
          <w:p w14:paraId="26218876" w14:textId="77777777" w:rsidR="0074688F" w:rsidRPr="006A15DB" w:rsidRDefault="0074688F" w:rsidP="00990136">
            <w:pPr>
              <w:pStyle w:val="TableText0"/>
              <w:keepNext w:val="0"/>
              <w:jc w:val="center"/>
              <w:rPr>
                <w:sz w:val="19"/>
                <w:szCs w:val="19"/>
              </w:rPr>
            </w:pPr>
            <w:r w:rsidRPr="006A15DB">
              <w:rPr>
                <w:sz w:val="19"/>
                <w:szCs w:val="19"/>
              </w:rPr>
              <w:t>145/265 (54.72%)</w:t>
            </w:r>
          </w:p>
        </w:tc>
        <w:tc>
          <w:tcPr>
            <w:tcW w:w="943" w:type="pct"/>
            <w:tcBorders>
              <w:top w:val="single" w:sz="4" w:space="0" w:color="auto"/>
              <w:left w:val="single" w:sz="4" w:space="0" w:color="auto"/>
              <w:bottom w:val="single" w:sz="4" w:space="0" w:color="auto"/>
              <w:right w:val="single" w:sz="4" w:space="0" w:color="auto"/>
            </w:tcBorders>
            <w:vAlign w:val="center"/>
            <w:hideMark/>
          </w:tcPr>
          <w:p w14:paraId="21AAA0CC" w14:textId="77777777" w:rsidR="0074688F" w:rsidRPr="006A15DB" w:rsidRDefault="0074688F" w:rsidP="00990136">
            <w:pPr>
              <w:pStyle w:val="TableText0"/>
              <w:keepNext w:val="0"/>
              <w:jc w:val="center"/>
              <w:rPr>
                <w:b/>
                <w:bCs w:val="0"/>
                <w:sz w:val="19"/>
                <w:szCs w:val="19"/>
              </w:rPr>
            </w:pPr>
            <w:r w:rsidRPr="006A15DB">
              <w:rPr>
                <w:b/>
                <w:bCs w:val="0"/>
                <w:sz w:val="19"/>
                <w:szCs w:val="19"/>
              </w:rPr>
              <w:t>1.57 (1.40, 1.76)</w:t>
            </w:r>
          </w:p>
        </w:tc>
        <w:tc>
          <w:tcPr>
            <w:tcW w:w="916" w:type="pct"/>
            <w:tcBorders>
              <w:top w:val="single" w:sz="4" w:space="0" w:color="auto"/>
              <w:left w:val="single" w:sz="4" w:space="0" w:color="auto"/>
              <w:bottom w:val="single" w:sz="4" w:space="0" w:color="auto"/>
              <w:right w:val="single" w:sz="4" w:space="0" w:color="auto"/>
            </w:tcBorders>
            <w:vAlign w:val="center"/>
            <w:hideMark/>
          </w:tcPr>
          <w:p w14:paraId="29E77D90" w14:textId="77777777" w:rsidR="0074688F" w:rsidRPr="006A15DB" w:rsidRDefault="0074688F" w:rsidP="00990136">
            <w:pPr>
              <w:pStyle w:val="TableText0"/>
              <w:keepNext w:val="0"/>
              <w:jc w:val="center"/>
              <w:rPr>
                <w:b/>
                <w:bCs w:val="0"/>
                <w:sz w:val="19"/>
                <w:szCs w:val="19"/>
              </w:rPr>
            </w:pPr>
            <w:r w:rsidRPr="006A15DB">
              <w:rPr>
                <w:b/>
                <w:bCs w:val="0"/>
                <w:sz w:val="19"/>
                <w:szCs w:val="19"/>
              </w:rPr>
              <w:t>0.31 (0.25, 0.37)</w:t>
            </w:r>
          </w:p>
        </w:tc>
      </w:tr>
      <w:tr w:rsidR="0074688F" w:rsidRPr="006A15DB" w14:paraId="758D7710"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23716AA9" w14:textId="77777777" w:rsidR="0074688F" w:rsidRPr="006A15DB" w:rsidRDefault="0074688F" w:rsidP="00990136">
            <w:pPr>
              <w:pStyle w:val="TableText0"/>
              <w:keepNext w:val="0"/>
              <w:rPr>
                <w:sz w:val="19"/>
                <w:szCs w:val="19"/>
              </w:rPr>
            </w:pPr>
            <w:r w:rsidRPr="006A15DB">
              <w:rPr>
                <w:sz w:val="19"/>
                <w:szCs w:val="19"/>
              </w:rPr>
              <w:t xml:space="preserve">Any cause severe (Grade ≥3) TEAE </w:t>
            </w:r>
          </w:p>
        </w:tc>
        <w:tc>
          <w:tcPr>
            <w:tcW w:w="780" w:type="pct"/>
            <w:tcBorders>
              <w:top w:val="single" w:sz="4" w:space="0" w:color="auto"/>
              <w:left w:val="single" w:sz="4" w:space="0" w:color="auto"/>
              <w:bottom w:val="single" w:sz="4" w:space="0" w:color="auto"/>
              <w:right w:val="single" w:sz="4" w:space="0" w:color="auto"/>
            </w:tcBorders>
            <w:vAlign w:val="center"/>
            <w:hideMark/>
          </w:tcPr>
          <w:p w14:paraId="5115A86A" w14:textId="77777777" w:rsidR="0074688F" w:rsidRPr="006A15DB" w:rsidRDefault="0074688F" w:rsidP="00990136">
            <w:pPr>
              <w:pStyle w:val="TableText0"/>
              <w:keepNext w:val="0"/>
              <w:jc w:val="center"/>
              <w:rPr>
                <w:sz w:val="19"/>
                <w:szCs w:val="19"/>
              </w:rPr>
            </w:pPr>
            <w:r w:rsidRPr="006A15DB">
              <w:rPr>
                <w:sz w:val="19"/>
                <w:szCs w:val="19"/>
              </w:rPr>
              <w:t xml:space="preserve">370/533 (69.42%) </w:t>
            </w:r>
          </w:p>
        </w:tc>
        <w:tc>
          <w:tcPr>
            <w:tcW w:w="962" w:type="pct"/>
            <w:tcBorders>
              <w:top w:val="single" w:sz="4" w:space="0" w:color="auto"/>
              <w:left w:val="single" w:sz="4" w:space="0" w:color="auto"/>
              <w:bottom w:val="single" w:sz="4" w:space="0" w:color="auto"/>
              <w:right w:val="single" w:sz="4" w:space="0" w:color="auto"/>
            </w:tcBorders>
            <w:vAlign w:val="center"/>
            <w:hideMark/>
          </w:tcPr>
          <w:p w14:paraId="46EACE3D" w14:textId="77777777" w:rsidR="0074688F" w:rsidRPr="006A15DB" w:rsidRDefault="0074688F" w:rsidP="00990136">
            <w:pPr>
              <w:pStyle w:val="TableText0"/>
              <w:keepNext w:val="0"/>
              <w:jc w:val="center"/>
              <w:rPr>
                <w:sz w:val="19"/>
                <w:szCs w:val="19"/>
              </w:rPr>
            </w:pPr>
            <w:r w:rsidRPr="006A15DB">
              <w:rPr>
                <w:sz w:val="19"/>
                <w:szCs w:val="19"/>
              </w:rPr>
              <w:t xml:space="preserve">137/265 (51.70%) </w:t>
            </w:r>
          </w:p>
        </w:tc>
        <w:tc>
          <w:tcPr>
            <w:tcW w:w="943" w:type="pct"/>
            <w:tcBorders>
              <w:top w:val="single" w:sz="4" w:space="0" w:color="auto"/>
              <w:left w:val="single" w:sz="4" w:space="0" w:color="auto"/>
              <w:bottom w:val="single" w:sz="4" w:space="0" w:color="auto"/>
              <w:right w:val="single" w:sz="4" w:space="0" w:color="auto"/>
            </w:tcBorders>
            <w:vAlign w:val="center"/>
            <w:hideMark/>
          </w:tcPr>
          <w:p w14:paraId="6ED40551" w14:textId="77777777" w:rsidR="0074688F" w:rsidRPr="006A15DB" w:rsidRDefault="0074688F" w:rsidP="00990136">
            <w:pPr>
              <w:pStyle w:val="TableText0"/>
              <w:keepNext w:val="0"/>
              <w:jc w:val="center"/>
              <w:rPr>
                <w:b/>
                <w:bCs w:val="0"/>
                <w:sz w:val="19"/>
                <w:szCs w:val="19"/>
              </w:rPr>
            </w:pPr>
            <w:r w:rsidRPr="006A15DB">
              <w:rPr>
                <w:b/>
                <w:bCs w:val="0"/>
                <w:sz w:val="19"/>
                <w:szCs w:val="19"/>
              </w:rPr>
              <w:t>1.34 (1.18, 1.53)</w:t>
            </w:r>
          </w:p>
        </w:tc>
        <w:tc>
          <w:tcPr>
            <w:tcW w:w="916" w:type="pct"/>
            <w:tcBorders>
              <w:top w:val="single" w:sz="4" w:space="0" w:color="auto"/>
              <w:left w:val="single" w:sz="4" w:space="0" w:color="auto"/>
              <w:bottom w:val="single" w:sz="4" w:space="0" w:color="auto"/>
              <w:right w:val="single" w:sz="4" w:space="0" w:color="auto"/>
            </w:tcBorders>
            <w:vAlign w:val="center"/>
            <w:hideMark/>
          </w:tcPr>
          <w:p w14:paraId="56DCF41A" w14:textId="77777777" w:rsidR="0074688F" w:rsidRPr="006A15DB" w:rsidRDefault="0074688F" w:rsidP="00990136">
            <w:pPr>
              <w:pStyle w:val="TableText0"/>
              <w:keepNext w:val="0"/>
              <w:jc w:val="center"/>
              <w:rPr>
                <w:b/>
                <w:bCs w:val="0"/>
                <w:sz w:val="19"/>
                <w:szCs w:val="19"/>
              </w:rPr>
            </w:pPr>
            <w:r w:rsidRPr="006A15DB">
              <w:rPr>
                <w:b/>
                <w:bCs w:val="0"/>
                <w:sz w:val="19"/>
                <w:szCs w:val="19"/>
              </w:rPr>
              <w:t>0.18 (0.11, 0.25)</w:t>
            </w:r>
          </w:p>
        </w:tc>
      </w:tr>
      <w:tr w:rsidR="0074688F" w:rsidRPr="006A15DB" w14:paraId="6EA3B2E7" w14:textId="77777777" w:rsidTr="00990136">
        <w:trPr>
          <w:trHeight w:hRule="exact" w:val="198"/>
        </w:trPr>
        <w:tc>
          <w:tcPr>
            <w:tcW w:w="1399" w:type="pct"/>
            <w:tcBorders>
              <w:top w:val="single" w:sz="4" w:space="0" w:color="auto"/>
              <w:left w:val="single" w:sz="4" w:space="0" w:color="auto"/>
              <w:bottom w:val="nil"/>
              <w:right w:val="single" w:sz="4" w:space="0" w:color="auto"/>
            </w:tcBorders>
            <w:vAlign w:val="center"/>
            <w:hideMark/>
          </w:tcPr>
          <w:p w14:paraId="4F1D970C" w14:textId="77777777" w:rsidR="0074688F" w:rsidRPr="006A15DB" w:rsidRDefault="0074688F" w:rsidP="00990136">
            <w:pPr>
              <w:pStyle w:val="TableText0"/>
              <w:keepNext w:val="0"/>
              <w:rPr>
                <w:sz w:val="19"/>
                <w:szCs w:val="19"/>
              </w:rPr>
            </w:pPr>
            <w:r w:rsidRPr="006A15DB">
              <w:rPr>
                <w:sz w:val="19"/>
                <w:szCs w:val="19"/>
              </w:rPr>
              <w:t>Study drug related severe (Grade≥ 3) TEAE</w:t>
            </w:r>
          </w:p>
        </w:tc>
        <w:tc>
          <w:tcPr>
            <w:tcW w:w="780" w:type="pct"/>
            <w:tcBorders>
              <w:top w:val="single" w:sz="4" w:space="0" w:color="auto"/>
              <w:left w:val="single" w:sz="4" w:space="0" w:color="auto"/>
              <w:bottom w:val="nil"/>
              <w:right w:val="single" w:sz="4" w:space="0" w:color="auto"/>
            </w:tcBorders>
            <w:vAlign w:val="center"/>
            <w:hideMark/>
          </w:tcPr>
          <w:p w14:paraId="3D38997A" w14:textId="77777777" w:rsidR="0074688F" w:rsidRPr="006A15DB" w:rsidRDefault="0074688F" w:rsidP="00990136">
            <w:pPr>
              <w:pStyle w:val="TableText0"/>
              <w:keepNext w:val="0"/>
              <w:jc w:val="center"/>
              <w:rPr>
                <w:sz w:val="19"/>
                <w:szCs w:val="19"/>
              </w:rPr>
            </w:pPr>
            <w:r w:rsidRPr="006A15DB">
              <w:rPr>
                <w:sz w:val="19"/>
                <w:szCs w:val="19"/>
              </w:rPr>
              <w:t>261/533 (48.97%)</w:t>
            </w:r>
          </w:p>
        </w:tc>
        <w:tc>
          <w:tcPr>
            <w:tcW w:w="962" w:type="pct"/>
            <w:tcBorders>
              <w:top w:val="single" w:sz="4" w:space="0" w:color="auto"/>
              <w:left w:val="single" w:sz="4" w:space="0" w:color="auto"/>
              <w:bottom w:val="nil"/>
              <w:right w:val="single" w:sz="4" w:space="0" w:color="auto"/>
            </w:tcBorders>
            <w:vAlign w:val="center"/>
            <w:hideMark/>
          </w:tcPr>
          <w:p w14:paraId="3F64A94C" w14:textId="77777777" w:rsidR="0074688F" w:rsidRPr="006A15DB" w:rsidRDefault="0074688F" w:rsidP="00990136">
            <w:pPr>
              <w:pStyle w:val="TableText0"/>
              <w:keepNext w:val="0"/>
              <w:jc w:val="center"/>
              <w:rPr>
                <w:sz w:val="19"/>
                <w:szCs w:val="19"/>
              </w:rPr>
            </w:pPr>
            <w:r w:rsidRPr="006A15DB">
              <w:rPr>
                <w:sz w:val="19"/>
                <w:szCs w:val="19"/>
              </w:rPr>
              <w:t>26/265 (9.81%)</w:t>
            </w:r>
          </w:p>
        </w:tc>
        <w:tc>
          <w:tcPr>
            <w:tcW w:w="943" w:type="pct"/>
            <w:tcBorders>
              <w:top w:val="single" w:sz="4" w:space="0" w:color="auto"/>
              <w:left w:val="single" w:sz="4" w:space="0" w:color="auto"/>
              <w:bottom w:val="nil"/>
              <w:right w:val="single" w:sz="4" w:space="0" w:color="auto"/>
            </w:tcBorders>
            <w:vAlign w:val="center"/>
            <w:hideMark/>
          </w:tcPr>
          <w:p w14:paraId="3AD61B4B" w14:textId="77777777" w:rsidR="0074688F" w:rsidRPr="006A15DB" w:rsidRDefault="0074688F" w:rsidP="00990136">
            <w:pPr>
              <w:pStyle w:val="TableText0"/>
              <w:keepNext w:val="0"/>
              <w:jc w:val="center"/>
              <w:rPr>
                <w:b/>
                <w:bCs w:val="0"/>
                <w:sz w:val="19"/>
                <w:szCs w:val="19"/>
              </w:rPr>
            </w:pPr>
            <w:r w:rsidRPr="006A15DB">
              <w:rPr>
                <w:b/>
                <w:bCs w:val="0"/>
                <w:sz w:val="19"/>
                <w:szCs w:val="19"/>
              </w:rPr>
              <w:t>4.99 (3.43, 7.26)</w:t>
            </w:r>
          </w:p>
        </w:tc>
        <w:tc>
          <w:tcPr>
            <w:tcW w:w="916" w:type="pct"/>
            <w:tcBorders>
              <w:top w:val="single" w:sz="4" w:space="0" w:color="auto"/>
              <w:left w:val="single" w:sz="4" w:space="0" w:color="auto"/>
              <w:bottom w:val="nil"/>
              <w:right w:val="single" w:sz="4" w:space="0" w:color="auto"/>
            </w:tcBorders>
            <w:vAlign w:val="center"/>
            <w:hideMark/>
          </w:tcPr>
          <w:p w14:paraId="42E1E1E4" w14:textId="77777777" w:rsidR="0074688F" w:rsidRPr="006A15DB" w:rsidRDefault="0074688F" w:rsidP="00990136">
            <w:pPr>
              <w:pStyle w:val="TableText0"/>
              <w:keepNext w:val="0"/>
              <w:jc w:val="center"/>
              <w:rPr>
                <w:b/>
                <w:bCs w:val="0"/>
                <w:sz w:val="19"/>
                <w:szCs w:val="19"/>
              </w:rPr>
            </w:pPr>
            <w:r w:rsidRPr="006A15DB">
              <w:rPr>
                <w:b/>
                <w:bCs w:val="0"/>
                <w:sz w:val="19"/>
                <w:szCs w:val="19"/>
              </w:rPr>
              <w:t>0.39 (0.32, 0.46)</w:t>
            </w:r>
          </w:p>
        </w:tc>
      </w:tr>
      <w:tr w:rsidR="0074688F" w:rsidRPr="006A15DB" w14:paraId="33F9067D" w14:textId="77777777" w:rsidTr="00990136">
        <w:trPr>
          <w:trHeight w:hRule="exact" w:val="198"/>
        </w:trPr>
        <w:tc>
          <w:tcPr>
            <w:tcW w:w="1399" w:type="pct"/>
            <w:tcBorders>
              <w:top w:val="nil"/>
              <w:left w:val="single" w:sz="4" w:space="0" w:color="auto"/>
              <w:bottom w:val="nil"/>
              <w:right w:val="single" w:sz="4" w:space="0" w:color="auto"/>
            </w:tcBorders>
            <w:vAlign w:val="center"/>
            <w:hideMark/>
          </w:tcPr>
          <w:p w14:paraId="19134846" w14:textId="77777777" w:rsidR="0074688F" w:rsidRPr="006A15DB" w:rsidRDefault="0074688F" w:rsidP="001256BC">
            <w:pPr>
              <w:pStyle w:val="TableText0"/>
              <w:keepNext w:val="0"/>
              <w:numPr>
                <w:ilvl w:val="0"/>
                <w:numId w:val="12"/>
              </w:numPr>
              <w:ind w:left="173" w:hanging="142"/>
              <w:rPr>
                <w:sz w:val="19"/>
                <w:szCs w:val="19"/>
              </w:rPr>
            </w:pPr>
            <w:r w:rsidRPr="006A15DB">
              <w:rPr>
                <w:sz w:val="19"/>
                <w:szCs w:val="19"/>
              </w:rPr>
              <w:t>Neutrophil count decreased</w:t>
            </w:r>
          </w:p>
        </w:tc>
        <w:tc>
          <w:tcPr>
            <w:tcW w:w="780" w:type="pct"/>
            <w:tcBorders>
              <w:top w:val="nil"/>
              <w:left w:val="single" w:sz="4" w:space="0" w:color="auto"/>
              <w:bottom w:val="nil"/>
              <w:right w:val="single" w:sz="4" w:space="0" w:color="auto"/>
            </w:tcBorders>
            <w:vAlign w:val="center"/>
            <w:hideMark/>
          </w:tcPr>
          <w:p w14:paraId="13C85EC1" w14:textId="77777777" w:rsidR="0074688F" w:rsidRPr="006A15DB" w:rsidRDefault="0074688F" w:rsidP="00990136">
            <w:pPr>
              <w:pStyle w:val="TableText0"/>
              <w:keepNext w:val="0"/>
              <w:jc w:val="center"/>
              <w:rPr>
                <w:sz w:val="19"/>
                <w:szCs w:val="19"/>
              </w:rPr>
            </w:pPr>
            <w:r w:rsidRPr="006A15DB">
              <w:rPr>
                <w:sz w:val="19"/>
                <w:szCs w:val="19"/>
              </w:rPr>
              <w:t>83/533 (15.57%)</w:t>
            </w:r>
          </w:p>
        </w:tc>
        <w:tc>
          <w:tcPr>
            <w:tcW w:w="962" w:type="pct"/>
            <w:tcBorders>
              <w:top w:val="nil"/>
              <w:left w:val="single" w:sz="4" w:space="0" w:color="auto"/>
              <w:bottom w:val="nil"/>
              <w:right w:val="single" w:sz="4" w:space="0" w:color="auto"/>
            </w:tcBorders>
            <w:vAlign w:val="center"/>
            <w:hideMark/>
          </w:tcPr>
          <w:p w14:paraId="08E7C3DF" w14:textId="1C667112" w:rsidR="0074688F" w:rsidRPr="006A15DB" w:rsidRDefault="0074688F" w:rsidP="00990136">
            <w:pPr>
              <w:pStyle w:val="TableText0"/>
              <w:keepNext w:val="0"/>
              <w:jc w:val="center"/>
              <w:rPr>
                <w:sz w:val="19"/>
                <w:szCs w:val="19"/>
              </w:rPr>
            </w:pPr>
            <w:r w:rsidRPr="006A15DB">
              <w:rPr>
                <w:sz w:val="19"/>
                <w:szCs w:val="19"/>
              </w:rPr>
              <w:t>0/265 (0%)</w:t>
            </w:r>
          </w:p>
        </w:tc>
        <w:tc>
          <w:tcPr>
            <w:tcW w:w="943" w:type="pct"/>
            <w:tcBorders>
              <w:top w:val="nil"/>
              <w:left w:val="single" w:sz="4" w:space="0" w:color="auto"/>
              <w:bottom w:val="nil"/>
              <w:right w:val="single" w:sz="4" w:space="0" w:color="auto"/>
            </w:tcBorders>
            <w:vAlign w:val="center"/>
            <w:hideMark/>
          </w:tcPr>
          <w:p w14:paraId="6704A7F2" w14:textId="77777777" w:rsidR="0074688F" w:rsidRPr="006A15DB" w:rsidRDefault="0074688F" w:rsidP="00990136">
            <w:pPr>
              <w:pStyle w:val="TableText0"/>
              <w:keepNext w:val="0"/>
              <w:jc w:val="center"/>
              <w:rPr>
                <w:b/>
                <w:bCs w:val="0"/>
                <w:sz w:val="19"/>
                <w:szCs w:val="19"/>
              </w:rPr>
            </w:pPr>
            <w:r w:rsidRPr="006A15DB">
              <w:rPr>
                <w:sz w:val="19"/>
                <w:szCs w:val="19"/>
              </w:rPr>
              <w:t>Not estimable</w:t>
            </w:r>
          </w:p>
        </w:tc>
        <w:tc>
          <w:tcPr>
            <w:tcW w:w="916" w:type="pct"/>
            <w:tcBorders>
              <w:top w:val="nil"/>
              <w:left w:val="single" w:sz="4" w:space="0" w:color="auto"/>
              <w:bottom w:val="nil"/>
              <w:right w:val="single" w:sz="4" w:space="0" w:color="auto"/>
            </w:tcBorders>
            <w:vAlign w:val="center"/>
            <w:hideMark/>
          </w:tcPr>
          <w:p w14:paraId="38ABDAE3" w14:textId="77777777" w:rsidR="0074688F" w:rsidRPr="006A15DB" w:rsidRDefault="0074688F" w:rsidP="00990136">
            <w:pPr>
              <w:pStyle w:val="TableText0"/>
              <w:keepNext w:val="0"/>
              <w:jc w:val="center"/>
              <w:rPr>
                <w:b/>
                <w:bCs w:val="0"/>
                <w:sz w:val="19"/>
                <w:szCs w:val="19"/>
              </w:rPr>
            </w:pPr>
            <w:r w:rsidRPr="006A15DB">
              <w:rPr>
                <w:b/>
                <w:sz w:val="19"/>
                <w:szCs w:val="19"/>
              </w:rPr>
              <w:t>0.16 (0.11, 0.20)</w:t>
            </w:r>
          </w:p>
        </w:tc>
      </w:tr>
      <w:tr w:rsidR="0074688F" w:rsidRPr="006A15DB" w14:paraId="42A2C79E" w14:textId="77777777" w:rsidTr="00990136">
        <w:trPr>
          <w:trHeight w:hRule="exact" w:val="198"/>
        </w:trPr>
        <w:tc>
          <w:tcPr>
            <w:tcW w:w="1399" w:type="pct"/>
            <w:tcBorders>
              <w:top w:val="nil"/>
              <w:left w:val="single" w:sz="4" w:space="0" w:color="auto"/>
              <w:bottom w:val="nil"/>
              <w:right w:val="single" w:sz="4" w:space="0" w:color="auto"/>
            </w:tcBorders>
            <w:vAlign w:val="center"/>
            <w:hideMark/>
          </w:tcPr>
          <w:p w14:paraId="737AC2F2" w14:textId="77777777" w:rsidR="0074688F" w:rsidRPr="006A15DB" w:rsidRDefault="0074688F" w:rsidP="001256BC">
            <w:pPr>
              <w:pStyle w:val="TableText0"/>
              <w:keepNext w:val="0"/>
              <w:numPr>
                <w:ilvl w:val="0"/>
                <w:numId w:val="12"/>
              </w:numPr>
              <w:ind w:left="173" w:hanging="142"/>
              <w:rPr>
                <w:sz w:val="19"/>
                <w:szCs w:val="19"/>
              </w:rPr>
            </w:pPr>
            <w:r w:rsidRPr="006A15DB">
              <w:rPr>
                <w:sz w:val="19"/>
                <w:szCs w:val="19"/>
              </w:rPr>
              <w:t>Neutropenia</w:t>
            </w:r>
          </w:p>
        </w:tc>
        <w:tc>
          <w:tcPr>
            <w:tcW w:w="780" w:type="pct"/>
            <w:tcBorders>
              <w:top w:val="nil"/>
              <w:left w:val="single" w:sz="4" w:space="0" w:color="auto"/>
              <w:bottom w:val="nil"/>
              <w:right w:val="single" w:sz="4" w:space="0" w:color="auto"/>
            </w:tcBorders>
            <w:vAlign w:val="center"/>
            <w:hideMark/>
          </w:tcPr>
          <w:p w14:paraId="4795C070" w14:textId="77777777" w:rsidR="0074688F" w:rsidRPr="006A15DB" w:rsidRDefault="0074688F" w:rsidP="00990136">
            <w:pPr>
              <w:pStyle w:val="TableText0"/>
              <w:keepNext w:val="0"/>
              <w:jc w:val="center"/>
              <w:rPr>
                <w:sz w:val="19"/>
                <w:szCs w:val="19"/>
              </w:rPr>
            </w:pPr>
            <w:r w:rsidRPr="006A15DB">
              <w:rPr>
                <w:sz w:val="19"/>
                <w:szCs w:val="19"/>
              </w:rPr>
              <w:t>107/533 (20.08%)</w:t>
            </w:r>
          </w:p>
        </w:tc>
        <w:tc>
          <w:tcPr>
            <w:tcW w:w="962" w:type="pct"/>
            <w:tcBorders>
              <w:top w:val="nil"/>
              <w:left w:val="single" w:sz="4" w:space="0" w:color="auto"/>
              <w:bottom w:val="nil"/>
              <w:right w:val="single" w:sz="4" w:space="0" w:color="auto"/>
            </w:tcBorders>
            <w:vAlign w:val="center"/>
            <w:hideMark/>
          </w:tcPr>
          <w:p w14:paraId="570472B6" w14:textId="24147BA4" w:rsidR="0074688F" w:rsidRPr="006A15DB" w:rsidRDefault="0074688F" w:rsidP="00990136">
            <w:pPr>
              <w:pStyle w:val="TableText0"/>
              <w:keepNext w:val="0"/>
              <w:jc w:val="center"/>
              <w:rPr>
                <w:sz w:val="19"/>
                <w:szCs w:val="19"/>
              </w:rPr>
            </w:pPr>
            <w:r w:rsidRPr="006A15DB">
              <w:rPr>
                <w:sz w:val="19"/>
                <w:szCs w:val="19"/>
              </w:rPr>
              <w:t>0/265 (0%)</w:t>
            </w:r>
          </w:p>
        </w:tc>
        <w:tc>
          <w:tcPr>
            <w:tcW w:w="943" w:type="pct"/>
            <w:tcBorders>
              <w:top w:val="nil"/>
              <w:left w:val="single" w:sz="4" w:space="0" w:color="auto"/>
              <w:bottom w:val="nil"/>
              <w:right w:val="single" w:sz="4" w:space="0" w:color="auto"/>
            </w:tcBorders>
            <w:vAlign w:val="center"/>
            <w:hideMark/>
          </w:tcPr>
          <w:p w14:paraId="1625EC42" w14:textId="77777777" w:rsidR="0074688F" w:rsidRPr="006A15DB" w:rsidRDefault="0074688F" w:rsidP="00990136">
            <w:pPr>
              <w:pStyle w:val="TableText0"/>
              <w:keepNext w:val="0"/>
              <w:jc w:val="center"/>
              <w:rPr>
                <w:sz w:val="19"/>
                <w:szCs w:val="19"/>
              </w:rPr>
            </w:pPr>
            <w:r w:rsidRPr="006A15DB">
              <w:rPr>
                <w:sz w:val="19"/>
                <w:szCs w:val="19"/>
              </w:rPr>
              <w:t>Not estimable</w:t>
            </w:r>
          </w:p>
        </w:tc>
        <w:tc>
          <w:tcPr>
            <w:tcW w:w="916" w:type="pct"/>
            <w:tcBorders>
              <w:top w:val="nil"/>
              <w:left w:val="single" w:sz="4" w:space="0" w:color="auto"/>
              <w:bottom w:val="nil"/>
              <w:right w:val="single" w:sz="4" w:space="0" w:color="auto"/>
            </w:tcBorders>
            <w:vAlign w:val="center"/>
            <w:hideMark/>
          </w:tcPr>
          <w:p w14:paraId="47E54C09" w14:textId="77777777" w:rsidR="0074688F" w:rsidRPr="006A15DB" w:rsidRDefault="0074688F" w:rsidP="00990136">
            <w:pPr>
              <w:pStyle w:val="TableText0"/>
              <w:keepNext w:val="0"/>
              <w:jc w:val="center"/>
              <w:rPr>
                <w:b/>
                <w:bCs w:val="0"/>
                <w:sz w:val="19"/>
                <w:szCs w:val="19"/>
              </w:rPr>
            </w:pPr>
            <w:r w:rsidRPr="006A15DB">
              <w:rPr>
                <w:b/>
                <w:sz w:val="19"/>
                <w:szCs w:val="19"/>
              </w:rPr>
              <w:t>0.20 (0.15, 0.25)</w:t>
            </w:r>
          </w:p>
        </w:tc>
      </w:tr>
      <w:tr w:rsidR="0074688F" w:rsidRPr="006A15DB" w14:paraId="4DB630C4" w14:textId="77777777" w:rsidTr="00990136">
        <w:trPr>
          <w:trHeight w:hRule="exact" w:val="198"/>
        </w:trPr>
        <w:tc>
          <w:tcPr>
            <w:tcW w:w="1399" w:type="pct"/>
            <w:tcBorders>
              <w:top w:val="nil"/>
              <w:left w:val="single" w:sz="4" w:space="0" w:color="auto"/>
              <w:bottom w:val="nil"/>
              <w:right w:val="single" w:sz="4" w:space="0" w:color="auto"/>
            </w:tcBorders>
            <w:vAlign w:val="center"/>
            <w:hideMark/>
          </w:tcPr>
          <w:p w14:paraId="79D0C3C6" w14:textId="77777777" w:rsidR="0074688F" w:rsidRPr="006A15DB" w:rsidRDefault="0074688F" w:rsidP="001256BC">
            <w:pPr>
              <w:pStyle w:val="TableText0"/>
              <w:keepNext w:val="0"/>
              <w:numPr>
                <w:ilvl w:val="0"/>
                <w:numId w:val="12"/>
              </w:numPr>
              <w:ind w:left="176" w:hanging="142"/>
              <w:rPr>
                <w:sz w:val="19"/>
                <w:szCs w:val="19"/>
              </w:rPr>
            </w:pPr>
            <w:r w:rsidRPr="006A15DB">
              <w:rPr>
                <w:sz w:val="19"/>
                <w:szCs w:val="19"/>
              </w:rPr>
              <w:t>Anaemia</w:t>
            </w:r>
          </w:p>
        </w:tc>
        <w:tc>
          <w:tcPr>
            <w:tcW w:w="780" w:type="pct"/>
            <w:tcBorders>
              <w:top w:val="nil"/>
              <w:left w:val="single" w:sz="4" w:space="0" w:color="auto"/>
              <w:bottom w:val="nil"/>
              <w:right w:val="single" w:sz="4" w:space="0" w:color="auto"/>
            </w:tcBorders>
            <w:vAlign w:val="center"/>
            <w:hideMark/>
          </w:tcPr>
          <w:p w14:paraId="58F378CA" w14:textId="77777777" w:rsidR="0074688F" w:rsidRPr="006A15DB" w:rsidRDefault="0074688F" w:rsidP="00990136">
            <w:pPr>
              <w:pStyle w:val="TableText0"/>
              <w:keepNext w:val="0"/>
              <w:jc w:val="center"/>
              <w:rPr>
                <w:sz w:val="19"/>
                <w:szCs w:val="19"/>
              </w:rPr>
            </w:pPr>
            <w:r w:rsidRPr="006A15DB">
              <w:rPr>
                <w:sz w:val="19"/>
                <w:szCs w:val="19"/>
              </w:rPr>
              <w:t>65/533 (12.20%)</w:t>
            </w:r>
          </w:p>
        </w:tc>
        <w:tc>
          <w:tcPr>
            <w:tcW w:w="962" w:type="pct"/>
            <w:tcBorders>
              <w:top w:val="nil"/>
              <w:left w:val="single" w:sz="4" w:space="0" w:color="auto"/>
              <w:bottom w:val="nil"/>
              <w:right w:val="single" w:sz="4" w:space="0" w:color="auto"/>
            </w:tcBorders>
            <w:vAlign w:val="center"/>
            <w:hideMark/>
          </w:tcPr>
          <w:p w14:paraId="0F6DD2F3" w14:textId="1703A4EE" w:rsidR="0074688F" w:rsidRPr="006A15DB" w:rsidRDefault="0074688F" w:rsidP="00990136">
            <w:pPr>
              <w:pStyle w:val="TableText0"/>
              <w:keepNext w:val="0"/>
              <w:jc w:val="center"/>
              <w:rPr>
                <w:sz w:val="19"/>
                <w:szCs w:val="19"/>
              </w:rPr>
            </w:pPr>
            <w:r w:rsidRPr="006A15DB">
              <w:rPr>
                <w:sz w:val="19"/>
                <w:szCs w:val="19"/>
              </w:rPr>
              <w:t>5/265 (1.89%)</w:t>
            </w:r>
          </w:p>
        </w:tc>
        <w:tc>
          <w:tcPr>
            <w:tcW w:w="943" w:type="pct"/>
            <w:tcBorders>
              <w:top w:val="nil"/>
              <w:left w:val="single" w:sz="4" w:space="0" w:color="auto"/>
              <w:bottom w:val="nil"/>
              <w:right w:val="single" w:sz="4" w:space="0" w:color="auto"/>
            </w:tcBorders>
            <w:vAlign w:val="center"/>
            <w:hideMark/>
          </w:tcPr>
          <w:p w14:paraId="258A892D" w14:textId="77777777" w:rsidR="0074688F" w:rsidRPr="006A15DB" w:rsidRDefault="0074688F" w:rsidP="00990136">
            <w:pPr>
              <w:pStyle w:val="TableText0"/>
              <w:keepNext w:val="0"/>
              <w:jc w:val="center"/>
              <w:rPr>
                <w:sz w:val="19"/>
                <w:szCs w:val="19"/>
              </w:rPr>
            </w:pPr>
            <w:r w:rsidRPr="006A15DB">
              <w:rPr>
                <w:b/>
                <w:sz w:val="19"/>
                <w:szCs w:val="19"/>
              </w:rPr>
              <w:t>6.46 (2.63, 15.86)</w:t>
            </w:r>
          </w:p>
        </w:tc>
        <w:tc>
          <w:tcPr>
            <w:tcW w:w="916" w:type="pct"/>
            <w:tcBorders>
              <w:top w:val="nil"/>
              <w:left w:val="single" w:sz="4" w:space="0" w:color="auto"/>
              <w:bottom w:val="nil"/>
              <w:right w:val="single" w:sz="4" w:space="0" w:color="auto"/>
            </w:tcBorders>
            <w:vAlign w:val="center"/>
            <w:hideMark/>
          </w:tcPr>
          <w:p w14:paraId="4EBD42BD" w14:textId="77777777" w:rsidR="0074688F" w:rsidRPr="006A15DB" w:rsidRDefault="0074688F" w:rsidP="00990136">
            <w:pPr>
              <w:pStyle w:val="TableText0"/>
              <w:keepNext w:val="0"/>
              <w:jc w:val="center"/>
              <w:rPr>
                <w:sz w:val="19"/>
                <w:szCs w:val="19"/>
              </w:rPr>
            </w:pPr>
            <w:r w:rsidRPr="006A15DB">
              <w:rPr>
                <w:b/>
                <w:sz w:val="19"/>
                <w:szCs w:val="19"/>
              </w:rPr>
              <w:t>0.10 (0.06, 0.14)</w:t>
            </w:r>
          </w:p>
        </w:tc>
      </w:tr>
      <w:tr w:rsidR="0074688F" w:rsidRPr="006A15DB" w14:paraId="5B294051" w14:textId="77777777" w:rsidTr="00990136">
        <w:trPr>
          <w:trHeight w:hRule="exact" w:val="198"/>
        </w:trPr>
        <w:tc>
          <w:tcPr>
            <w:tcW w:w="1399" w:type="pct"/>
            <w:tcBorders>
              <w:top w:val="nil"/>
              <w:left w:val="single" w:sz="4" w:space="0" w:color="auto"/>
              <w:bottom w:val="single" w:sz="4" w:space="0" w:color="auto"/>
              <w:right w:val="single" w:sz="4" w:space="0" w:color="auto"/>
            </w:tcBorders>
            <w:vAlign w:val="center"/>
            <w:hideMark/>
          </w:tcPr>
          <w:p w14:paraId="61799C74" w14:textId="77777777" w:rsidR="0074688F" w:rsidRPr="006A15DB" w:rsidRDefault="0074688F" w:rsidP="001256BC">
            <w:pPr>
              <w:pStyle w:val="TableText0"/>
              <w:keepNext w:val="0"/>
              <w:numPr>
                <w:ilvl w:val="0"/>
                <w:numId w:val="12"/>
              </w:numPr>
              <w:ind w:left="176" w:hanging="142"/>
              <w:rPr>
                <w:sz w:val="19"/>
                <w:szCs w:val="19"/>
              </w:rPr>
            </w:pPr>
            <w:r w:rsidRPr="006A15DB">
              <w:rPr>
                <w:sz w:val="19"/>
                <w:szCs w:val="19"/>
              </w:rPr>
              <w:t>WBC decreased</w:t>
            </w:r>
          </w:p>
        </w:tc>
        <w:tc>
          <w:tcPr>
            <w:tcW w:w="780" w:type="pct"/>
            <w:tcBorders>
              <w:top w:val="nil"/>
              <w:left w:val="single" w:sz="4" w:space="0" w:color="auto"/>
              <w:bottom w:val="single" w:sz="4" w:space="0" w:color="auto"/>
              <w:right w:val="single" w:sz="4" w:space="0" w:color="auto"/>
            </w:tcBorders>
            <w:vAlign w:val="center"/>
            <w:hideMark/>
          </w:tcPr>
          <w:p w14:paraId="1173F266" w14:textId="77777777" w:rsidR="0074688F" w:rsidRPr="006A15DB" w:rsidRDefault="0074688F" w:rsidP="00990136">
            <w:pPr>
              <w:pStyle w:val="TableText0"/>
              <w:keepNext w:val="0"/>
              <w:jc w:val="center"/>
              <w:rPr>
                <w:sz w:val="19"/>
                <w:szCs w:val="19"/>
              </w:rPr>
            </w:pPr>
            <w:r w:rsidRPr="006A15DB">
              <w:rPr>
                <w:sz w:val="19"/>
                <w:szCs w:val="19"/>
              </w:rPr>
              <w:t>52/533 (9.76%)</w:t>
            </w:r>
          </w:p>
        </w:tc>
        <w:tc>
          <w:tcPr>
            <w:tcW w:w="962" w:type="pct"/>
            <w:tcBorders>
              <w:top w:val="nil"/>
              <w:left w:val="single" w:sz="4" w:space="0" w:color="auto"/>
              <w:bottom w:val="single" w:sz="4" w:space="0" w:color="auto"/>
              <w:right w:val="single" w:sz="4" w:space="0" w:color="auto"/>
            </w:tcBorders>
            <w:vAlign w:val="center"/>
            <w:hideMark/>
          </w:tcPr>
          <w:p w14:paraId="2826E7E2" w14:textId="540A7548" w:rsidR="0074688F" w:rsidRPr="006A15DB" w:rsidRDefault="0074688F" w:rsidP="00990136">
            <w:pPr>
              <w:pStyle w:val="TableText0"/>
              <w:keepNext w:val="0"/>
              <w:jc w:val="center"/>
              <w:rPr>
                <w:sz w:val="19"/>
                <w:szCs w:val="19"/>
              </w:rPr>
            </w:pPr>
            <w:r w:rsidRPr="006A15DB">
              <w:rPr>
                <w:sz w:val="19"/>
                <w:szCs w:val="19"/>
              </w:rPr>
              <w:t>0/265 (0%)</w:t>
            </w:r>
          </w:p>
        </w:tc>
        <w:tc>
          <w:tcPr>
            <w:tcW w:w="943" w:type="pct"/>
            <w:tcBorders>
              <w:top w:val="nil"/>
              <w:left w:val="single" w:sz="4" w:space="0" w:color="auto"/>
              <w:bottom w:val="single" w:sz="4" w:space="0" w:color="auto"/>
              <w:right w:val="single" w:sz="4" w:space="0" w:color="auto"/>
            </w:tcBorders>
            <w:vAlign w:val="center"/>
            <w:hideMark/>
          </w:tcPr>
          <w:p w14:paraId="7CFD67AF" w14:textId="77777777" w:rsidR="0074688F" w:rsidRPr="006A15DB" w:rsidRDefault="0074688F" w:rsidP="00990136">
            <w:pPr>
              <w:pStyle w:val="TableText0"/>
              <w:keepNext w:val="0"/>
              <w:jc w:val="center"/>
              <w:rPr>
                <w:sz w:val="19"/>
                <w:szCs w:val="19"/>
              </w:rPr>
            </w:pPr>
            <w:r w:rsidRPr="006A15DB">
              <w:rPr>
                <w:sz w:val="19"/>
                <w:szCs w:val="19"/>
              </w:rPr>
              <w:t>Not estimable</w:t>
            </w:r>
          </w:p>
        </w:tc>
        <w:tc>
          <w:tcPr>
            <w:tcW w:w="916" w:type="pct"/>
            <w:tcBorders>
              <w:top w:val="nil"/>
              <w:left w:val="single" w:sz="4" w:space="0" w:color="auto"/>
              <w:bottom w:val="single" w:sz="4" w:space="0" w:color="auto"/>
              <w:right w:val="single" w:sz="4" w:space="0" w:color="auto"/>
            </w:tcBorders>
            <w:vAlign w:val="center"/>
            <w:hideMark/>
          </w:tcPr>
          <w:p w14:paraId="207F9FFC" w14:textId="77777777" w:rsidR="0074688F" w:rsidRPr="006A15DB" w:rsidRDefault="0074688F" w:rsidP="00990136">
            <w:pPr>
              <w:pStyle w:val="TableText0"/>
              <w:keepNext w:val="0"/>
              <w:jc w:val="center"/>
              <w:rPr>
                <w:sz w:val="19"/>
                <w:szCs w:val="19"/>
              </w:rPr>
            </w:pPr>
            <w:r w:rsidRPr="006A15DB">
              <w:rPr>
                <w:b/>
                <w:sz w:val="19"/>
                <w:szCs w:val="19"/>
              </w:rPr>
              <w:t>0.10 (0.06, 0.13)</w:t>
            </w:r>
          </w:p>
        </w:tc>
      </w:tr>
      <w:tr w:rsidR="0074688F" w:rsidRPr="006A15DB" w14:paraId="2AD0FFBD"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58953EFD" w14:textId="77777777" w:rsidR="0074688F" w:rsidRPr="006A15DB" w:rsidRDefault="0074688F" w:rsidP="00990136">
            <w:pPr>
              <w:pStyle w:val="TableText0"/>
              <w:keepNext w:val="0"/>
              <w:rPr>
                <w:sz w:val="19"/>
                <w:szCs w:val="19"/>
              </w:rPr>
            </w:pPr>
            <w:r w:rsidRPr="006A15DB">
              <w:rPr>
                <w:sz w:val="19"/>
                <w:szCs w:val="19"/>
              </w:rPr>
              <w:t xml:space="preserve">Any cause serious TEAE (SAE) </w:t>
            </w:r>
          </w:p>
        </w:tc>
        <w:tc>
          <w:tcPr>
            <w:tcW w:w="780" w:type="pct"/>
            <w:tcBorders>
              <w:top w:val="single" w:sz="4" w:space="0" w:color="auto"/>
              <w:left w:val="single" w:sz="4" w:space="0" w:color="auto"/>
              <w:bottom w:val="single" w:sz="4" w:space="0" w:color="auto"/>
              <w:right w:val="single" w:sz="4" w:space="0" w:color="auto"/>
            </w:tcBorders>
            <w:vAlign w:val="center"/>
            <w:hideMark/>
          </w:tcPr>
          <w:p w14:paraId="709E4866" w14:textId="77777777" w:rsidR="0074688F" w:rsidRPr="006A15DB" w:rsidRDefault="0074688F" w:rsidP="00990136">
            <w:pPr>
              <w:pStyle w:val="TableText0"/>
              <w:keepNext w:val="0"/>
              <w:jc w:val="center"/>
              <w:rPr>
                <w:sz w:val="19"/>
                <w:szCs w:val="19"/>
              </w:rPr>
            </w:pPr>
            <w:r w:rsidRPr="006A15DB">
              <w:rPr>
                <w:sz w:val="19"/>
                <w:szCs w:val="19"/>
              </w:rPr>
              <w:t xml:space="preserve">158/533 (29.64%) </w:t>
            </w:r>
          </w:p>
        </w:tc>
        <w:tc>
          <w:tcPr>
            <w:tcW w:w="962" w:type="pct"/>
            <w:tcBorders>
              <w:top w:val="single" w:sz="4" w:space="0" w:color="auto"/>
              <w:left w:val="single" w:sz="4" w:space="0" w:color="auto"/>
              <w:bottom w:val="single" w:sz="4" w:space="0" w:color="auto"/>
              <w:right w:val="single" w:sz="4" w:space="0" w:color="auto"/>
            </w:tcBorders>
            <w:vAlign w:val="center"/>
            <w:hideMark/>
          </w:tcPr>
          <w:p w14:paraId="034C5EC1" w14:textId="77777777" w:rsidR="0074688F" w:rsidRPr="006A15DB" w:rsidRDefault="0074688F" w:rsidP="00990136">
            <w:pPr>
              <w:pStyle w:val="TableText0"/>
              <w:keepNext w:val="0"/>
              <w:jc w:val="center"/>
              <w:rPr>
                <w:sz w:val="19"/>
                <w:szCs w:val="19"/>
              </w:rPr>
            </w:pPr>
            <w:r w:rsidRPr="006A15DB">
              <w:rPr>
                <w:sz w:val="19"/>
                <w:szCs w:val="19"/>
              </w:rPr>
              <w:t xml:space="preserve">89/265 (33.58%) </w:t>
            </w:r>
          </w:p>
        </w:tc>
        <w:tc>
          <w:tcPr>
            <w:tcW w:w="943" w:type="pct"/>
            <w:tcBorders>
              <w:top w:val="single" w:sz="4" w:space="0" w:color="auto"/>
              <w:left w:val="single" w:sz="4" w:space="0" w:color="auto"/>
              <w:bottom w:val="single" w:sz="4" w:space="0" w:color="auto"/>
              <w:right w:val="single" w:sz="4" w:space="0" w:color="auto"/>
            </w:tcBorders>
            <w:vAlign w:val="center"/>
            <w:hideMark/>
          </w:tcPr>
          <w:p w14:paraId="40C508B4" w14:textId="77777777" w:rsidR="0074688F" w:rsidRPr="006A15DB" w:rsidRDefault="0074688F" w:rsidP="00990136">
            <w:pPr>
              <w:pStyle w:val="TableText0"/>
              <w:keepNext w:val="0"/>
              <w:jc w:val="center"/>
              <w:rPr>
                <w:sz w:val="19"/>
                <w:szCs w:val="19"/>
              </w:rPr>
            </w:pPr>
            <w:r w:rsidRPr="006A15DB">
              <w:rPr>
                <w:sz w:val="19"/>
                <w:szCs w:val="19"/>
              </w:rPr>
              <w:t>0.88 (0.71, 1.09)</w:t>
            </w:r>
          </w:p>
        </w:tc>
        <w:tc>
          <w:tcPr>
            <w:tcW w:w="916" w:type="pct"/>
            <w:tcBorders>
              <w:top w:val="single" w:sz="4" w:space="0" w:color="auto"/>
              <w:left w:val="single" w:sz="4" w:space="0" w:color="auto"/>
              <w:bottom w:val="single" w:sz="4" w:space="0" w:color="auto"/>
              <w:right w:val="single" w:sz="4" w:space="0" w:color="auto"/>
            </w:tcBorders>
            <w:vAlign w:val="center"/>
            <w:hideMark/>
          </w:tcPr>
          <w:p w14:paraId="61EBB6CF" w14:textId="77777777" w:rsidR="0074688F" w:rsidRPr="006A15DB" w:rsidRDefault="0074688F" w:rsidP="00990136">
            <w:pPr>
              <w:pStyle w:val="TableText0"/>
              <w:keepNext w:val="0"/>
              <w:jc w:val="center"/>
              <w:rPr>
                <w:b/>
                <w:sz w:val="19"/>
                <w:szCs w:val="19"/>
              </w:rPr>
            </w:pPr>
            <w:r w:rsidRPr="006A15DB">
              <w:rPr>
                <w:sz w:val="19"/>
                <w:szCs w:val="19"/>
              </w:rPr>
              <w:t>-0.04 (-0.11, 0.03)</w:t>
            </w:r>
          </w:p>
        </w:tc>
      </w:tr>
      <w:tr w:rsidR="0074688F" w:rsidRPr="006A15DB" w14:paraId="76A5C058"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2EEFB5A6" w14:textId="77777777" w:rsidR="0074688F" w:rsidRPr="006A15DB" w:rsidRDefault="0074688F" w:rsidP="00990136">
            <w:pPr>
              <w:pStyle w:val="TableText0"/>
              <w:keepNext w:val="0"/>
              <w:rPr>
                <w:sz w:val="19"/>
                <w:szCs w:val="19"/>
              </w:rPr>
            </w:pPr>
            <w:r w:rsidRPr="006A15DB">
              <w:rPr>
                <w:sz w:val="19"/>
                <w:szCs w:val="19"/>
              </w:rPr>
              <w:t>Study drug related serious TEAE (SAE)</w:t>
            </w:r>
          </w:p>
        </w:tc>
        <w:tc>
          <w:tcPr>
            <w:tcW w:w="780" w:type="pct"/>
            <w:tcBorders>
              <w:top w:val="single" w:sz="4" w:space="0" w:color="auto"/>
              <w:left w:val="single" w:sz="4" w:space="0" w:color="auto"/>
              <w:bottom w:val="single" w:sz="4" w:space="0" w:color="auto"/>
              <w:right w:val="single" w:sz="4" w:space="0" w:color="auto"/>
            </w:tcBorders>
            <w:vAlign w:val="center"/>
            <w:hideMark/>
          </w:tcPr>
          <w:p w14:paraId="3D187FCA" w14:textId="77777777" w:rsidR="0074688F" w:rsidRPr="006A15DB" w:rsidRDefault="0074688F" w:rsidP="00990136">
            <w:pPr>
              <w:pStyle w:val="TableText0"/>
              <w:keepNext w:val="0"/>
              <w:jc w:val="center"/>
              <w:rPr>
                <w:sz w:val="19"/>
                <w:szCs w:val="19"/>
              </w:rPr>
            </w:pPr>
            <w:r w:rsidRPr="006A15DB">
              <w:rPr>
                <w:sz w:val="19"/>
                <w:szCs w:val="19"/>
              </w:rPr>
              <w:t>50/533 (9.38%)</w:t>
            </w:r>
          </w:p>
        </w:tc>
        <w:tc>
          <w:tcPr>
            <w:tcW w:w="962" w:type="pct"/>
            <w:tcBorders>
              <w:top w:val="single" w:sz="4" w:space="0" w:color="auto"/>
              <w:left w:val="single" w:sz="4" w:space="0" w:color="auto"/>
              <w:bottom w:val="single" w:sz="4" w:space="0" w:color="auto"/>
              <w:right w:val="single" w:sz="4" w:space="0" w:color="auto"/>
            </w:tcBorders>
            <w:vAlign w:val="center"/>
            <w:hideMark/>
          </w:tcPr>
          <w:p w14:paraId="6FEB4418" w14:textId="77777777" w:rsidR="0074688F" w:rsidRPr="006A15DB" w:rsidRDefault="0074688F" w:rsidP="00990136">
            <w:pPr>
              <w:pStyle w:val="TableText0"/>
              <w:keepNext w:val="0"/>
              <w:jc w:val="center"/>
              <w:rPr>
                <w:sz w:val="19"/>
                <w:szCs w:val="19"/>
              </w:rPr>
            </w:pPr>
            <w:r w:rsidRPr="006A15DB">
              <w:rPr>
                <w:sz w:val="19"/>
                <w:szCs w:val="19"/>
              </w:rPr>
              <w:t>1/265 (0.38%)</w:t>
            </w:r>
          </w:p>
        </w:tc>
        <w:tc>
          <w:tcPr>
            <w:tcW w:w="943" w:type="pct"/>
            <w:tcBorders>
              <w:top w:val="single" w:sz="4" w:space="0" w:color="auto"/>
              <w:left w:val="single" w:sz="4" w:space="0" w:color="auto"/>
              <w:bottom w:val="single" w:sz="4" w:space="0" w:color="auto"/>
              <w:right w:val="single" w:sz="4" w:space="0" w:color="auto"/>
            </w:tcBorders>
            <w:vAlign w:val="center"/>
            <w:hideMark/>
          </w:tcPr>
          <w:p w14:paraId="2FD6F7F8" w14:textId="77777777" w:rsidR="0074688F" w:rsidRPr="006A15DB" w:rsidRDefault="0074688F" w:rsidP="00990136">
            <w:pPr>
              <w:pStyle w:val="TableText0"/>
              <w:keepNext w:val="0"/>
              <w:jc w:val="center"/>
              <w:rPr>
                <w:b/>
                <w:bCs w:val="0"/>
                <w:sz w:val="19"/>
                <w:szCs w:val="19"/>
              </w:rPr>
            </w:pPr>
            <w:r w:rsidRPr="006A15DB">
              <w:rPr>
                <w:b/>
                <w:bCs w:val="0"/>
                <w:sz w:val="19"/>
                <w:szCs w:val="19"/>
              </w:rPr>
              <w:t>24.86 (3.45, 178.97)</w:t>
            </w:r>
          </w:p>
        </w:tc>
        <w:tc>
          <w:tcPr>
            <w:tcW w:w="916" w:type="pct"/>
            <w:tcBorders>
              <w:top w:val="single" w:sz="4" w:space="0" w:color="auto"/>
              <w:left w:val="single" w:sz="4" w:space="0" w:color="auto"/>
              <w:bottom w:val="single" w:sz="4" w:space="0" w:color="auto"/>
              <w:right w:val="single" w:sz="4" w:space="0" w:color="auto"/>
            </w:tcBorders>
            <w:vAlign w:val="center"/>
            <w:hideMark/>
          </w:tcPr>
          <w:p w14:paraId="64F3C3A7" w14:textId="77777777" w:rsidR="0074688F" w:rsidRPr="006A15DB" w:rsidRDefault="0074688F" w:rsidP="00990136">
            <w:pPr>
              <w:pStyle w:val="TableText0"/>
              <w:keepNext w:val="0"/>
              <w:jc w:val="center"/>
              <w:rPr>
                <w:b/>
                <w:bCs w:val="0"/>
                <w:sz w:val="19"/>
                <w:szCs w:val="19"/>
              </w:rPr>
            </w:pPr>
            <w:r w:rsidRPr="006A15DB">
              <w:rPr>
                <w:b/>
                <w:bCs w:val="0"/>
                <w:sz w:val="19"/>
                <w:szCs w:val="19"/>
              </w:rPr>
              <w:t>0.09 (0.05, 0.13)</w:t>
            </w:r>
          </w:p>
        </w:tc>
      </w:tr>
      <w:tr w:rsidR="0074688F" w:rsidRPr="006A15DB" w14:paraId="53A977E3"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4FD0F8A3" w14:textId="77777777" w:rsidR="0074688F" w:rsidRPr="006A15DB" w:rsidRDefault="0074688F" w:rsidP="00990136">
            <w:pPr>
              <w:pStyle w:val="TableText0"/>
              <w:keepNext w:val="0"/>
              <w:rPr>
                <w:sz w:val="19"/>
                <w:szCs w:val="19"/>
              </w:rPr>
            </w:pPr>
            <w:r w:rsidRPr="006A15DB">
              <w:rPr>
                <w:sz w:val="19"/>
                <w:szCs w:val="19"/>
              </w:rPr>
              <w:t xml:space="preserve">Any cause AE leading to discontinuation </w:t>
            </w:r>
          </w:p>
        </w:tc>
        <w:tc>
          <w:tcPr>
            <w:tcW w:w="780" w:type="pct"/>
            <w:tcBorders>
              <w:top w:val="single" w:sz="4" w:space="0" w:color="auto"/>
              <w:left w:val="single" w:sz="4" w:space="0" w:color="auto"/>
              <w:bottom w:val="single" w:sz="4" w:space="0" w:color="auto"/>
              <w:right w:val="single" w:sz="4" w:space="0" w:color="auto"/>
            </w:tcBorders>
            <w:vAlign w:val="center"/>
            <w:hideMark/>
          </w:tcPr>
          <w:p w14:paraId="1EDF6B0B" w14:textId="77777777" w:rsidR="0074688F" w:rsidRPr="006A15DB" w:rsidRDefault="0074688F" w:rsidP="00990136">
            <w:pPr>
              <w:pStyle w:val="TableText0"/>
              <w:keepNext w:val="0"/>
              <w:jc w:val="center"/>
              <w:rPr>
                <w:sz w:val="19"/>
                <w:szCs w:val="19"/>
              </w:rPr>
            </w:pPr>
            <w:r w:rsidRPr="006A15DB">
              <w:rPr>
                <w:sz w:val="19"/>
                <w:szCs w:val="19"/>
              </w:rPr>
              <w:t xml:space="preserve">55/533 (10.32%) </w:t>
            </w:r>
          </w:p>
        </w:tc>
        <w:tc>
          <w:tcPr>
            <w:tcW w:w="962" w:type="pct"/>
            <w:tcBorders>
              <w:top w:val="single" w:sz="4" w:space="0" w:color="auto"/>
              <w:left w:val="single" w:sz="4" w:space="0" w:color="auto"/>
              <w:bottom w:val="single" w:sz="4" w:space="0" w:color="auto"/>
              <w:right w:val="single" w:sz="4" w:space="0" w:color="auto"/>
            </w:tcBorders>
            <w:vAlign w:val="center"/>
            <w:hideMark/>
          </w:tcPr>
          <w:p w14:paraId="7C1A5910" w14:textId="77777777" w:rsidR="0074688F" w:rsidRPr="006A15DB" w:rsidRDefault="0074688F" w:rsidP="00990136">
            <w:pPr>
              <w:pStyle w:val="TableText0"/>
              <w:keepNext w:val="0"/>
              <w:jc w:val="center"/>
              <w:rPr>
                <w:sz w:val="19"/>
                <w:szCs w:val="19"/>
              </w:rPr>
            </w:pPr>
            <w:r w:rsidRPr="006A15DB">
              <w:rPr>
                <w:sz w:val="19"/>
                <w:szCs w:val="19"/>
              </w:rPr>
              <w:t xml:space="preserve">36/265 (13.58%) </w:t>
            </w:r>
          </w:p>
        </w:tc>
        <w:tc>
          <w:tcPr>
            <w:tcW w:w="943" w:type="pct"/>
            <w:tcBorders>
              <w:top w:val="single" w:sz="4" w:space="0" w:color="auto"/>
              <w:left w:val="single" w:sz="4" w:space="0" w:color="auto"/>
              <w:bottom w:val="single" w:sz="4" w:space="0" w:color="auto"/>
              <w:right w:val="single" w:sz="4" w:space="0" w:color="auto"/>
            </w:tcBorders>
            <w:vAlign w:val="center"/>
            <w:hideMark/>
          </w:tcPr>
          <w:p w14:paraId="03092765" w14:textId="77777777" w:rsidR="0074688F" w:rsidRPr="006A15DB" w:rsidRDefault="0074688F" w:rsidP="00990136">
            <w:pPr>
              <w:pStyle w:val="TableText0"/>
              <w:keepNext w:val="0"/>
              <w:jc w:val="center"/>
              <w:rPr>
                <w:b/>
                <w:bCs w:val="0"/>
                <w:sz w:val="19"/>
                <w:szCs w:val="19"/>
              </w:rPr>
            </w:pPr>
            <w:r w:rsidRPr="006A15DB">
              <w:rPr>
                <w:sz w:val="19"/>
                <w:szCs w:val="19"/>
              </w:rPr>
              <w:t>0.76 (0.51, 1.13)</w:t>
            </w:r>
          </w:p>
        </w:tc>
        <w:tc>
          <w:tcPr>
            <w:tcW w:w="916" w:type="pct"/>
            <w:tcBorders>
              <w:top w:val="single" w:sz="4" w:space="0" w:color="auto"/>
              <w:left w:val="single" w:sz="4" w:space="0" w:color="auto"/>
              <w:bottom w:val="single" w:sz="4" w:space="0" w:color="auto"/>
              <w:right w:val="single" w:sz="4" w:space="0" w:color="auto"/>
            </w:tcBorders>
            <w:vAlign w:val="center"/>
            <w:hideMark/>
          </w:tcPr>
          <w:p w14:paraId="1139060A" w14:textId="77777777" w:rsidR="0074688F" w:rsidRPr="006A15DB" w:rsidRDefault="0074688F" w:rsidP="00990136">
            <w:pPr>
              <w:pStyle w:val="TableText0"/>
              <w:keepNext w:val="0"/>
              <w:jc w:val="center"/>
              <w:rPr>
                <w:b/>
                <w:bCs w:val="0"/>
                <w:sz w:val="19"/>
                <w:szCs w:val="19"/>
              </w:rPr>
            </w:pPr>
            <w:r w:rsidRPr="006A15DB">
              <w:rPr>
                <w:sz w:val="19"/>
                <w:szCs w:val="19"/>
              </w:rPr>
              <w:t>-0.03 (-0.08, 0.01)</w:t>
            </w:r>
          </w:p>
        </w:tc>
      </w:tr>
      <w:tr w:rsidR="0074688F" w:rsidRPr="006A15DB" w14:paraId="424C90BF"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27693089" w14:textId="77777777" w:rsidR="0074688F" w:rsidRPr="006A15DB" w:rsidRDefault="0074688F" w:rsidP="00990136">
            <w:pPr>
              <w:pStyle w:val="TableText0"/>
              <w:keepNext w:val="0"/>
              <w:rPr>
                <w:sz w:val="19"/>
                <w:szCs w:val="19"/>
              </w:rPr>
            </w:pPr>
            <w:r w:rsidRPr="006A15DB">
              <w:rPr>
                <w:sz w:val="19"/>
                <w:szCs w:val="19"/>
              </w:rPr>
              <w:t xml:space="preserve">Grade 5 AE leading to death </w:t>
            </w:r>
          </w:p>
        </w:tc>
        <w:tc>
          <w:tcPr>
            <w:tcW w:w="780" w:type="pct"/>
            <w:tcBorders>
              <w:top w:val="single" w:sz="4" w:space="0" w:color="auto"/>
              <w:left w:val="single" w:sz="4" w:space="0" w:color="auto"/>
              <w:bottom w:val="single" w:sz="4" w:space="0" w:color="auto"/>
              <w:right w:val="single" w:sz="4" w:space="0" w:color="auto"/>
            </w:tcBorders>
            <w:vAlign w:val="center"/>
            <w:hideMark/>
          </w:tcPr>
          <w:p w14:paraId="0977AEEC" w14:textId="77777777" w:rsidR="0074688F" w:rsidRPr="006A15DB" w:rsidRDefault="0074688F" w:rsidP="00990136">
            <w:pPr>
              <w:pStyle w:val="TableText0"/>
              <w:keepNext w:val="0"/>
              <w:jc w:val="center"/>
              <w:rPr>
                <w:sz w:val="19"/>
                <w:szCs w:val="19"/>
              </w:rPr>
            </w:pPr>
            <w:r w:rsidRPr="006A15DB">
              <w:rPr>
                <w:sz w:val="19"/>
                <w:szCs w:val="19"/>
              </w:rPr>
              <w:t xml:space="preserve">17/533 (3.19%) </w:t>
            </w:r>
          </w:p>
        </w:tc>
        <w:tc>
          <w:tcPr>
            <w:tcW w:w="962" w:type="pct"/>
            <w:tcBorders>
              <w:top w:val="single" w:sz="4" w:space="0" w:color="auto"/>
              <w:left w:val="single" w:sz="4" w:space="0" w:color="auto"/>
              <w:bottom w:val="single" w:sz="4" w:space="0" w:color="auto"/>
              <w:right w:val="single" w:sz="4" w:space="0" w:color="auto"/>
            </w:tcBorders>
            <w:vAlign w:val="center"/>
            <w:hideMark/>
          </w:tcPr>
          <w:p w14:paraId="4F7E3B39" w14:textId="77777777" w:rsidR="0074688F" w:rsidRPr="006A15DB" w:rsidRDefault="0074688F" w:rsidP="00990136">
            <w:pPr>
              <w:pStyle w:val="TableText0"/>
              <w:keepNext w:val="0"/>
              <w:jc w:val="center"/>
              <w:rPr>
                <w:sz w:val="19"/>
                <w:szCs w:val="19"/>
              </w:rPr>
            </w:pPr>
            <w:r w:rsidRPr="006A15DB">
              <w:rPr>
                <w:sz w:val="19"/>
                <w:szCs w:val="19"/>
              </w:rPr>
              <w:t xml:space="preserve">30/265 (11.32%) </w:t>
            </w:r>
          </w:p>
        </w:tc>
        <w:tc>
          <w:tcPr>
            <w:tcW w:w="943" w:type="pct"/>
            <w:tcBorders>
              <w:top w:val="single" w:sz="4" w:space="0" w:color="auto"/>
              <w:left w:val="single" w:sz="4" w:space="0" w:color="auto"/>
              <w:bottom w:val="single" w:sz="4" w:space="0" w:color="auto"/>
              <w:right w:val="single" w:sz="4" w:space="0" w:color="auto"/>
            </w:tcBorders>
            <w:vAlign w:val="center"/>
            <w:hideMark/>
          </w:tcPr>
          <w:p w14:paraId="3DD525C4" w14:textId="77777777" w:rsidR="0074688F" w:rsidRPr="006A15DB" w:rsidRDefault="0074688F" w:rsidP="00990136">
            <w:pPr>
              <w:pStyle w:val="TableText0"/>
              <w:keepNext w:val="0"/>
              <w:jc w:val="center"/>
              <w:rPr>
                <w:sz w:val="19"/>
                <w:szCs w:val="19"/>
              </w:rPr>
            </w:pPr>
            <w:r w:rsidRPr="006A15DB">
              <w:rPr>
                <w:b/>
                <w:bCs w:val="0"/>
                <w:sz w:val="19"/>
                <w:szCs w:val="19"/>
              </w:rPr>
              <w:t>0.28 (0.16, 0.50)</w:t>
            </w:r>
          </w:p>
        </w:tc>
        <w:tc>
          <w:tcPr>
            <w:tcW w:w="916" w:type="pct"/>
            <w:tcBorders>
              <w:top w:val="single" w:sz="4" w:space="0" w:color="auto"/>
              <w:left w:val="single" w:sz="4" w:space="0" w:color="auto"/>
              <w:bottom w:val="single" w:sz="4" w:space="0" w:color="auto"/>
              <w:right w:val="single" w:sz="4" w:space="0" w:color="auto"/>
            </w:tcBorders>
            <w:vAlign w:val="center"/>
            <w:hideMark/>
          </w:tcPr>
          <w:p w14:paraId="3516AF37" w14:textId="77777777" w:rsidR="0074688F" w:rsidRPr="006A15DB" w:rsidRDefault="0074688F" w:rsidP="00990136">
            <w:pPr>
              <w:pStyle w:val="TableText0"/>
              <w:keepNext w:val="0"/>
              <w:jc w:val="center"/>
              <w:rPr>
                <w:sz w:val="19"/>
                <w:szCs w:val="19"/>
              </w:rPr>
            </w:pPr>
            <w:r w:rsidRPr="006A15DB">
              <w:rPr>
                <w:b/>
                <w:bCs w:val="0"/>
                <w:sz w:val="19"/>
                <w:szCs w:val="19"/>
              </w:rPr>
              <w:t>-0.08 (-0.12, -0.05)</w:t>
            </w:r>
          </w:p>
        </w:tc>
      </w:tr>
      <w:tr w:rsidR="0074688F" w:rsidRPr="006A15DB" w14:paraId="0AB677DA" w14:textId="77777777" w:rsidTr="00990136">
        <w:trPr>
          <w:trHeight w:hRule="exact" w:val="198"/>
        </w:trPr>
        <w:tc>
          <w:tcPr>
            <w:tcW w:w="1399" w:type="pct"/>
            <w:tcBorders>
              <w:top w:val="single" w:sz="4" w:space="0" w:color="auto"/>
              <w:left w:val="single" w:sz="4" w:space="0" w:color="auto"/>
              <w:bottom w:val="single" w:sz="4" w:space="0" w:color="auto"/>
              <w:right w:val="single" w:sz="4" w:space="0" w:color="auto"/>
            </w:tcBorders>
            <w:vAlign w:val="center"/>
            <w:hideMark/>
          </w:tcPr>
          <w:p w14:paraId="0E59B8F8" w14:textId="44B86C33" w:rsidR="0074688F" w:rsidRPr="006A15DB" w:rsidRDefault="0074688F" w:rsidP="00990136">
            <w:pPr>
              <w:pStyle w:val="TableText0"/>
              <w:keepNext w:val="0"/>
              <w:rPr>
                <w:sz w:val="19"/>
                <w:szCs w:val="19"/>
              </w:rPr>
            </w:pPr>
            <w:r w:rsidRPr="006A15DB">
              <w:rPr>
                <w:sz w:val="19"/>
                <w:szCs w:val="19"/>
              </w:rPr>
              <w:t>Study drug related Grade 5 AE leading to death</w:t>
            </w:r>
          </w:p>
        </w:tc>
        <w:tc>
          <w:tcPr>
            <w:tcW w:w="780" w:type="pct"/>
            <w:tcBorders>
              <w:top w:val="single" w:sz="4" w:space="0" w:color="auto"/>
              <w:left w:val="single" w:sz="4" w:space="0" w:color="auto"/>
              <w:bottom w:val="single" w:sz="4" w:space="0" w:color="auto"/>
              <w:right w:val="single" w:sz="4" w:space="0" w:color="auto"/>
            </w:tcBorders>
            <w:vAlign w:val="center"/>
            <w:hideMark/>
          </w:tcPr>
          <w:p w14:paraId="2E799B24" w14:textId="79C6701F" w:rsidR="0074688F" w:rsidRPr="006A15DB" w:rsidRDefault="0074688F" w:rsidP="00990136">
            <w:pPr>
              <w:pStyle w:val="TableText0"/>
              <w:keepNext w:val="0"/>
              <w:jc w:val="center"/>
              <w:rPr>
                <w:sz w:val="19"/>
                <w:szCs w:val="19"/>
              </w:rPr>
            </w:pPr>
            <w:r w:rsidRPr="006A15DB">
              <w:rPr>
                <w:sz w:val="19"/>
                <w:szCs w:val="19"/>
              </w:rPr>
              <w:t>1/533 (0.19%)</w:t>
            </w:r>
          </w:p>
        </w:tc>
        <w:tc>
          <w:tcPr>
            <w:tcW w:w="962" w:type="pct"/>
            <w:tcBorders>
              <w:top w:val="single" w:sz="4" w:space="0" w:color="auto"/>
              <w:left w:val="single" w:sz="4" w:space="0" w:color="auto"/>
              <w:bottom w:val="single" w:sz="4" w:space="0" w:color="auto"/>
              <w:right w:val="single" w:sz="4" w:space="0" w:color="auto"/>
            </w:tcBorders>
            <w:vAlign w:val="center"/>
            <w:hideMark/>
          </w:tcPr>
          <w:p w14:paraId="0D815DFB" w14:textId="1DCC6AD4" w:rsidR="0074688F" w:rsidRPr="006A15DB" w:rsidRDefault="0074688F" w:rsidP="00990136">
            <w:pPr>
              <w:pStyle w:val="TableText0"/>
              <w:keepNext w:val="0"/>
              <w:jc w:val="center"/>
              <w:rPr>
                <w:sz w:val="19"/>
                <w:szCs w:val="19"/>
              </w:rPr>
            </w:pPr>
            <w:r w:rsidRPr="006A15DB">
              <w:rPr>
                <w:sz w:val="19"/>
                <w:szCs w:val="19"/>
              </w:rPr>
              <w:t>0/265 (0%)</w:t>
            </w:r>
          </w:p>
        </w:tc>
        <w:tc>
          <w:tcPr>
            <w:tcW w:w="943" w:type="pct"/>
            <w:tcBorders>
              <w:top w:val="single" w:sz="4" w:space="0" w:color="auto"/>
              <w:left w:val="single" w:sz="4" w:space="0" w:color="auto"/>
              <w:bottom w:val="single" w:sz="4" w:space="0" w:color="auto"/>
              <w:right w:val="single" w:sz="4" w:space="0" w:color="auto"/>
            </w:tcBorders>
            <w:vAlign w:val="center"/>
            <w:hideMark/>
          </w:tcPr>
          <w:p w14:paraId="74A1ED64" w14:textId="77777777" w:rsidR="0074688F" w:rsidRPr="006A15DB" w:rsidRDefault="0074688F" w:rsidP="00990136">
            <w:pPr>
              <w:pStyle w:val="TableText0"/>
              <w:keepNext w:val="0"/>
              <w:jc w:val="center"/>
              <w:rPr>
                <w:b/>
                <w:bCs w:val="0"/>
                <w:sz w:val="19"/>
                <w:szCs w:val="19"/>
              </w:rPr>
            </w:pPr>
            <w:r w:rsidRPr="006A15DB">
              <w:rPr>
                <w:sz w:val="19"/>
                <w:szCs w:val="19"/>
              </w:rPr>
              <w:t>Not estimable</w:t>
            </w:r>
          </w:p>
        </w:tc>
        <w:tc>
          <w:tcPr>
            <w:tcW w:w="916" w:type="pct"/>
            <w:tcBorders>
              <w:top w:val="single" w:sz="4" w:space="0" w:color="auto"/>
              <w:left w:val="single" w:sz="4" w:space="0" w:color="auto"/>
              <w:bottom w:val="single" w:sz="4" w:space="0" w:color="auto"/>
              <w:right w:val="single" w:sz="4" w:space="0" w:color="auto"/>
            </w:tcBorders>
            <w:vAlign w:val="center"/>
            <w:hideMark/>
          </w:tcPr>
          <w:p w14:paraId="031D00DB" w14:textId="77777777" w:rsidR="0074688F" w:rsidRPr="006A15DB" w:rsidRDefault="0074688F" w:rsidP="00990136">
            <w:pPr>
              <w:pStyle w:val="TableText0"/>
              <w:keepNext w:val="0"/>
              <w:jc w:val="center"/>
              <w:rPr>
                <w:b/>
                <w:bCs w:val="0"/>
                <w:sz w:val="19"/>
                <w:szCs w:val="19"/>
              </w:rPr>
            </w:pPr>
            <w:r w:rsidRPr="006A15DB">
              <w:rPr>
                <w:sz w:val="19"/>
                <w:szCs w:val="19"/>
              </w:rPr>
              <w:t>0.00 (0.00, 0.01)</w:t>
            </w:r>
          </w:p>
        </w:tc>
      </w:tr>
    </w:tbl>
    <w:p w14:paraId="152092B5" w14:textId="77777777" w:rsidR="007B2206" w:rsidRDefault="007B2206" w:rsidP="007B2206">
      <w:pPr>
        <w:pStyle w:val="TableFigureFooter"/>
        <w:rPr>
          <w:sz w:val="20"/>
        </w:rPr>
      </w:pPr>
      <w:r>
        <w:t>Source: Table 2-28, p113, Table 2-31, p119; Table 2-40, p134 and Table 2-43, p139 of the submission.</w:t>
      </w:r>
    </w:p>
    <w:p w14:paraId="1DA8F02E" w14:textId="597BD57A" w:rsidR="007B2206" w:rsidRDefault="007B2206" w:rsidP="007B2206">
      <w:pPr>
        <w:pStyle w:val="TableFigureFooter"/>
        <w:rPr>
          <w:szCs w:val="18"/>
        </w:rPr>
      </w:pPr>
      <w:r>
        <w:rPr>
          <w:szCs w:val="18"/>
        </w:rPr>
        <w:t>AE = adverse event; C</w:t>
      </w:r>
      <w:r>
        <w:rPr>
          <w:rFonts w:eastAsia="Calibri"/>
        </w:rPr>
        <w:t xml:space="preserve">I = confidence interval; n = number of participants reporting data; N = total participants in group; </w:t>
      </w:r>
      <w:r>
        <w:rPr>
          <w:szCs w:val="18"/>
        </w:rPr>
        <w:t>OR = odds ratio</w:t>
      </w:r>
      <w:r>
        <w:rPr>
          <w:rFonts w:eastAsia="Calibri"/>
        </w:rPr>
        <w:t xml:space="preserve">; </w:t>
      </w:r>
      <w:r w:rsidR="00630D62">
        <w:rPr>
          <w:rFonts w:eastAsia="Calibri"/>
        </w:rPr>
        <w:t xml:space="preserve">PPE = </w:t>
      </w:r>
      <w:r w:rsidR="00630D62">
        <w:t xml:space="preserve">palmar-plantar erythrodysesthesia syndrome; </w:t>
      </w:r>
      <w:r>
        <w:rPr>
          <w:rFonts w:eastAsia="Calibri"/>
        </w:rPr>
        <w:t>RD = risk difference; RR = relative risk; SAE = serious adverse event;</w:t>
      </w:r>
      <w:r>
        <w:rPr>
          <w:szCs w:val="18"/>
        </w:rPr>
        <w:t xml:space="preserve"> TEAE = treatment emergent adverse event; WBC = white blood cells</w:t>
      </w:r>
      <w:r w:rsidR="000B4F3F">
        <w:rPr>
          <w:szCs w:val="18"/>
        </w:rPr>
        <w:t xml:space="preserve">; </w:t>
      </w:r>
      <w:r w:rsidR="000B4F3F">
        <w:rPr>
          <w:rFonts w:eastAsia="Calibri"/>
        </w:rPr>
        <w:t xml:space="preserve">TRI/TIP = </w:t>
      </w:r>
      <w:r w:rsidR="000B4F3F">
        <w:rPr>
          <w:lang w:eastAsia="en-GB"/>
        </w:rPr>
        <w:t>trifluridine/tipiracil</w:t>
      </w:r>
      <w:r>
        <w:rPr>
          <w:szCs w:val="18"/>
        </w:rPr>
        <w:t>.</w:t>
      </w:r>
    </w:p>
    <w:p w14:paraId="187F70A1" w14:textId="499F5128" w:rsidR="0074688F" w:rsidRPr="00B65784" w:rsidRDefault="007B2206" w:rsidP="00B65784">
      <w:pPr>
        <w:pStyle w:val="TableFigureFooter"/>
        <w:rPr>
          <w:rFonts w:eastAsia="Calibri"/>
        </w:rPr>
        <w:sectPr w:rsidR="0074688F" w:rsidRPr="00B65784" w:rsidSect="00963E40">
          <w:pgSz w:w="16840" w:h="11907" w:orient="landscape" w:code="9"/>
          <w:pgMar w:top="1440" w:right="1440" w:bottom="1440" w:left="1440" w:header="1440" w:footer="1440" w:gutter="0"/>
          <w:cols w:space="708"/>
          <w:docGrid w:linePitch="360"/>
        </w:sectPr>
      </w:pPr>
      <w:r>
        <w:rPr>
          <w:rFonts w:eastAsia="Calibri"/>
          <w:b/>
        </w:rPr>
        <w:t>Bold</w:t>
      </w:r>
      <w:r>
        <w:rPr>
          <w:rFonts w:eastAsia="Calibri"/>
        </w:rPr>
        <w:t xml:space="preserve"> indicates statistically significant results.</w:t>
      </w:r>
      <w:bookmarkStart w:id="67" w:name="_Ref178152561"/>
      <w:bookmarkStart w:id="68" w:name="_Hlk166843638"/>
    </w:p>
    <w:bookmarkEnd w:id="67"/>
    <w:p w14:paraId="318EB625" w14:textId="251BA08D" w:rsidR="00B65784" w:rsidRPr="00990136" w:rsidRDefault="00A11813" w:rsidP="00B65784">
      <w:pPr>
        <w:pStyle w:val="3-BodyText"/>
      </w:pPr>
      <w:r w:rsidRPr="00A11813">
        <w:lastRenderedPageBreak/>
        <w:t>In the FRESCO 2 trial, almost all patients had at least one</w:t>
      </w:r>
      <w:r w:rsidR="00597289">
        <w:t xml:space="preserve"> TEAE </w:t>
      </w:r>
      <w:r w:rsidRPr="00A11813">
        <w:t>in the fruquintinib arm compared to placebo arm (99% vs</w:t>
      </w:r>
      <w:r w:rsidR="004C75D1">
        <w:t>.</w:t>
      </w:r>
      <w:r w:rsidRPr="00A11813">
        <w:t xml:space="preserve"> 93%).</w:t>
      </w:r>
      <w:r w:rsidR="00BF4416">
        <w:t xml:space="preserve"> </w:t>
      </w:r>
      <w:r>
        <w:t xml:space="preserve">A </w:t>
      </w:r>
      <w:r w:rsidR="00891965">
        <w:t>h</w:t>
      </w:r>
      <w:r w:rsidR="00891965" w:rsidRPr="00035252">
        <w:t>igher p</w:t>
      </w:r>
      <w:r w:rsidR="00891965">
        <w:t>roportion</w:t>
      </w:r>
      <w:r w:rsidR="00891965" w:rsidRPr="00035252">
        <w:t xml:space="preserve"> of patients in the fruquintinib </w:t>
      </w:r>
      <w:r w:rsidR="00891965">
        <w:t xml:space="preserve">arm </w:t>
      </w:r>
      <w:r w:rsidR="00891965" w:rsidRPr="00035252">
        <w:t xml:space="preserve">experienced study drug-related </w:t>
      </w:r>
      <w:r w:rsidR="00597289">
        <w:t>TEAE</w:t>
      </w:r>
      <w:r w:rsidR="00AF344F">
        <w:t xml:space="preserve"> (</w:t>
      </w:r>
      <w:r w:rsidR="00891965" w:rsidRPr="00035252">
        <w:t>8</w:t>
      </w:r>
      <w:r w:rsidR="00891965">
        <w:t>7</w:t>
      </w:r>
      <w:r w:rsidR="00891965" w:rsidRPr="00035252">
        <w:t>% vs</w:t>
      </w:r>
      <w:r w:rsidR="00891965">
        <w:t>.</w:t>
      </w:r>
      <w:r w:rsidR="00891965" w:rsidRPr="00035252">
        <w:t xml:space="preserve"> </w:t>
      </w:r>
      <w:r w:rsidR="00891965">
        <w:t>57</w:t>
      </w:r>
      <w:r w:rsidR="00891965" w:rsidRPr="00035252">
        <w:t>%), study drug-related TEAEs Grade ≥3 (36% vs</w:t>
      </w:r>
      <w:r w:rsidR="00891965">
        <w:t>.</w:t>
      </w:r>
      <w:r w:rsidR="00891965" w:rsidRPr="00035252">
        <w:t xml:space="preserve"> 11%), and study drug-related serious TEAEs (9% vs</w:t>
      </w:r>
      <w:r w:rsidR="00891965">
        <w:t>.</w:t>
      </w:r>
      <w:r w:rsidR="00891965" w:rsidRPr="00035252">
        <w:t xml:space="preserve"> </w:t>
      </w:r>
      <w:r w:rsidR="00891965">
        <w:t>4</w:t>
      </w:r>
      <w:r w:rsidR="00891965" w:rsidRPr="00035252">
        <w:t>%)</w:t>
      </w:r>
      <w:r w:rsidR="00891965">
        <w:t xml:space="preserve"> compared to the placebo arm.</w:t>
      </w:r>
      <w:r w:rsidR="00891965" w:rsidRPr="00035252">
        <w:t xml:space="preserve"> </w:t>
      </w:r>
      <w:r w:rsidR="00B86B48" w:rsidRPr="00990136">
        <w:t xml:space="preserve">The incidence of study drug-related TEAEs </w:t>
      </w:r>
      <w:r w:rsidR="00597289" w:rsidRPr="00990136">
        <w:t xml:space="preserve">in </w:t>
      </w:r>
      <w:r w:rsidR="008556CC" w:rsidRPr="00990136">
        <w:t xml:space="preserve">both </w:t>
      </w:r>
      <w:r w:rsidR="00597289" w:rsidRPr="00990136">
        <w:t>fruquintinib</w:t>
      </w:r>
      <w:r w:rsidR="008556CC" w:rsidRPr="00990136">
        <w:t xml:space="preserve"> and placebo</w:t>
      </w:r>
      <w:r w:rsidR="00597289" w:rsidRPr="00990136">
        <w:t xml:space="preserve"> arm</w:t>
      </w:r>
      <w:r w:rsidR="008556CC" w:rsidRPr="00990136">
        <w:t>s</w:t>
      </w:r>
      <w:r w:rsidR="00597289" w:rsidRPr="00990136">
        <w:t xml:space="preserve"> </w:t>
      </w:r>
      <w:r w:rsidR="008556CC" w:rsidRPr="00990136">
        <w:t>of</w:t>
      </w:r>
      <w:r w:rsidR="00B86B48" w:rsidRPr="00990136">
        <w:t xml:space="preserve"> FRESCO 1 (9</w:t>
      </w:r>
      <w:r w:rsidR="008556CC" w:rsidRPr="00990136">
        <w:t>6</w:t>
      </w:r>
      <w:r w:rsidR="00597289" w:rsidRPr="00990136">
        <w:t>%</w:t>
      </w:r>
      <w:r w:rsidR="008556CC" w:rsidRPr="00990136">
        <w:t xml:space="preserve"> vs. 70%</w:t>
      </w:r>
      <w:r w:rsidR="00597289" w:rsidRPr="00990136">
        <w:t xml:space="preserve">) </w:t>
      </w:r>
      <w:r w:rsidR="00B86B48" w:rsidRPr="00990136">
        <w:t>and 2012-013-00CH1 (94</w:t>
      </w:r>
      <w:r w:rsidR="008556CC" w:rsidRPr="00990136">
        <w:t xml:space="preserve"> vs. 58</w:t>
      </w:r>
      <w:r w:rsidR="00B86B48" w:rsidRPr="00990136">
        <w:t>%</w:t>
      </w:r>
      <w:r w:rsidR="00597289" w:rsidRPr="00990136">
        <w:t xml:space="preserve">) </w:t>
      </w:r>
      <w:r w:rsidR="00B86B48" w:rsidRPr="00990136">
        <w:t>was relatively higher compared to FRESCO 2</w:t>
      </w:r>
      <w:r w:rsidR="00597289" w:rsidRPr="00990136">
        <w:t xml:space="preserve"> (87%</w:t>
      </w:r>
      <w:r w:rsidR="008556CC" w:rsidRPr="00990136">
        <w:t xml:space="preserve"> vs. 57%</w:t>
      </w:r>
      <w:r w:rsidR="00597289" w:rsidRPr="00990136">
        <w:t>)</w:t>
      </w:r>
      <w:r w:rsidR="00B86B48" w:rsidRPr="00990136">
        <w:t xml:space="preserve">, </w:t>
      </w:r>
      <w:r w:rsidR="009A2414" w:rsidRPr="00990136">
        <w:t xml:space="preserve">however, </w:t>
      </w:r>
      <w:r w:rsidR="00B86B48" w:rsidRPr="00990136">
        <w:t xml:space="preserve">the AE profile for fruquintinib was largely consistent across </w:t>
      </w:r>
      <w:r w:rsidR="009A2414" w:rsidRPr="00990136">
        <w:t>these</w:t>
      </w:r>
      <w:r w:rsidR="00B86B48" w:rsidRPr="00990136">
        <w:t xml:space="preserve"> trials.</w:t>
      </w:r>
    </w:p>
    <w:p w14:paraId="53124EEC" w14:textId="7EB97EE3" w:rsidR="00771027" w:rsidRPr="00990136" w:rsidRDefault="00771027" w:rsidP="00C539D0">
      <w:pPr>
        <w:pStyle w:val="3-BodyText"/>
      </w:pPr>
      <w:r>
        <w:t xml:space="preserve">In </w:t>
      </w:r>
      <w:r w:rsidR="00B33197">
        <w:t xml:space="preserve">the </w:t>
      </w:r>
      <w:r>
        <w:t>FRESCO 2</w:t>
      </w:r>
      <w:r w:rsidR="00B33197">
        <w:t xml:space="preserve"> trial</w:t>
      </w:r>
      <w:r>
        <w:t xml:space="preserve">, the </w:t>
      </w:r>
      <w:r w:rsidRPr="00E33D32">
        <w:t>most frequently reported TEAEs of any grade in ≥20% of patients (in the fruquintinib group compared with the placebo group, respectively) were hypertension (37% vs</w:t>
      </w:r>
      <w:r w:rsidR="004C75D1" w:rsidRPr="00E33D32">
        <w:t>.</w:t>
      </w:r>
      <w:r w:rsidRPr="00E33D32">
        <w:t xml:space="preserve"> 9%), asthenia (34% vs</w:t>
      </w:r>
      <w:r w:rsidR="004C75D1" w:rsidRPr="00E33D32">
        <w:t>.</w:t>
      </w:r>
      <w:r w:rsidRPr="00E33D32">
        <w:t xml:space="preserve"> 23%), decreased appetite (27% vs</w:t>
      </w:r>
      <w:r w:rsidR="004C75D1" w:rsidRPr="00E33D32">
        <w:t>.</w:t>
      </w:r>
      <w:r w:rsidRPr="00E33D32">
        <w:t xml:space="preserve"> 17%), diarrhoea (24% vs</w:t>
      </w:r>
      <w:r w:rsidR="004C75D1" w:rsidRPr="00E33D32">
        <w:t>.</w:t>
      </w:r>
      <w:r w:rsidRPr="00E33D32">
        <w:t xml:space="preserve"> 10%), hypothyroidism (21% vs</w:t>
      </w:r>
      <w:r w:rsidR="004C75D1" w:rsidRPr="00E33D32">
        <w:t>.</w:t>
      </w:r>
      <w:r w:rsidRPr="00E33D32">
        <w:t xml:space="preserve"> 0.4%), and fatigue (20% vs</w:t>
      </w:r>
      <w:r w:rsidR="004C75D1" w:rsidRPr="00E33D32">
        <w:t>.</w:t>
      </w:r>
      <w:r w:rsidRPr="00E33D32">
        <w:t xml:space="preserve"> 16%). In the fruquintinib group compared with the placebo group, the most frequently reported </w:t>
      </w:r>
      <w:r w:rsidR="008556CC" w:rsidRPr="00E33D32">
        <w:t xml:space="preserve">study drug-related TEAEs Grade ≥3 </w:t>
      </w:r>
      <w:r w:rsidRPr="00E33D32">
        <w:t>were hypertension (1</w:t>
      </w:r>
      <w:r w:rsidR="004C75D1" w:rsidRPr="00E33D32">
        <w:t>1</w:t>
      </w:r>
      <w:r w:rsidRPr="00E33D32">
        <w:t>% vs</w:t>
      </w:r>
      <w:r w:rsidR="004C75D1" w:rsidRPr="00E33D32">
        <w:t>.</w:t>
      </w:r>
      <w:r w:rsidRPr="00E33D32">
        <w:t xml:space="preserve"> 1%), palmar-plantar erythrodysesthesia syndrome (PPE; 6% vs</w:t>
      </w:r>
      <w:r w:rsidR="004C75D1" w:rsidRPr="00E33D32">
        <w:t>.</w:t>
      </w:r>
      <w:r w:rsidRPr="00E33D32">
        <w:t xml:space="preserve"> 0%), asthenia (5% vs</w:t>
      </w:r>
      <w:r w:rsidR="004C75D1" w:rsidRPr="00E33D32">
        <w:t>.</w:t>
      </w:r>
      <w:r w:rsidRPr="00E33D32">
        <w:t xml:space="preserve"> 1%), fatigue (3% vs</w:t>
      </w:r>
      <w:r w:rsidR="004C75D1" w:rsidRPr="00E33D32">
        <w:t>.</w:t>
      </w:r>
      <w:r w:rsidRPr="00E33D32">
        <w:t xml:space="preserve"> </w:t>
      </w:r>
      <w:r w:rsidR="004C75D1" w:rsidRPr="00E33D32">
        <w:t>&lt;1</w:t>
      </w:r>
      <w:r w:rsidRPr="00E33D32">
        <w:t>%), and diarrhoea (3% vs</w:t>
      </w:r>
      <w:r w:rsidR="004C75D1" w:rsidRPr="00E33D32">
        <w:t>.</w:t>
      </w:r>
      <w:r w:rsidRPr="00E33D32">
        <w:t xml:space="preserve"> 0%). There</w:t>
      </w:r>
      <w:r w:rsidRPr="00035252">
        <w:t xml:space="preserve"> w</w:t>
      </w:r>
      <w:r>
        <w:t>as one</w:t>
      </w:r>
      <w:r w:rsidRPr="00035252">
        <w:t xml:space="preserve"> </w:t>
      </w:r>
      <w:r>
        <w:t xml:space="preserve">study drug related </w:t>
      </w:r>
      <w:r w:rsidRPr="00035252">
        <w:t>death</w:t>
      </w:r>
      <w:r>
        <w:t xml:space="preserve"> in the fruquintinib arm </w:t>
      </w:r>
      <w:r w:rsidRPr="00035252">
        <w:t>due to intestinal perforation</w:t>
      </w:r>
      <w:r>
        <w:t>.</w:t>
      </w:r>
      <w:r w:rsidR="00704CCA">
        <w:t xml:space="preserve"> </w:t>
      </w:r>
      <w:r w:rsidR="0076414A" w:rsidRPr="00990136">
        <w:t>In general, t</w:t>
      </w:r>
      <w:r w:rsidR="00704CCA" w:rsidRPr="00990136">
        <w:t xml:space="preserve">he rates of all-cause </w:t>
      </w:r>
      <w:r w:rsidR="0076414A" w:rsidRPr="00990136">
        <w:t>TE</w:t>
      </w:r>
      <w:r w:rsidR="00704CCA" w:rsidRPr="00990136">
        <w:t xml:space="preserve">AEs were much higher within the individually reported categories compared with </w:t>
      </w:r>
      <w:r w:rsidR="0076414A" w:rsidRPr="00990136">
        <w:t>TE</w:t>
      </w:r>
      <w:r w:rsidR="00704CCA" w:rsidRPr="00990136">
        <w:t>AEs attributed to the study drug</w:t>
      </w:r>
      <w:r w:rsidR="0076414A" w:rsidRPr="00990136">
        <w:t xml:space="preserve"> (fruquintinib)</w:t>
      </w:r>
      <w:r w:rsidR="00704CCA" w:rsidRPr="00990136">
        <w:t>.</w:t>
      </w:r>
    </w:p>
    <w:p w14:paraId="7B4C9641" w14:textId="246A3679" w:rsidR="00630D62" w:rsidRPr="00990136" w:rsidRDefault="00653F40" w:rsidP="00630D62">
      <w:pPr>
        <w:pStyle w:val="3-BodyText"/>
      </w:pPr>
      <w:r>
        <w:t>In the RECOURSE trial,</w:t>
      </w:r>
      <w:r w:rsidR="00831B0A">
        <w:t xml:space="preserve"> almost all patients had at least one TEAE in the </w:t>
      </w:r>
      <w:r w:rsidR="000B4F3F">
        <w:rPr>
          <w:rFonts w:eastAsia="Calibri"/>
        </w:rPr>
        <w:t>TRI/TIP</w:t>
      </w:r>
      <w:r w:rsidR="00831B0A">
        <w:t xml:space="preserve"> arm compared to placebo arm (99% vs</w:t>
      </w:r>
      <w:r w:rsidR="00AF6BCD">
        <w:t>.</w:t>
      </w:r>
      <w:r w:rsidR="00831B0A">
        <w:t xml:space="preserve"> 93%). </w:t>
      </w:r>
      <w:r w:rsidR="00831B0A" w:rsidRPr="00C86FAE">
        <w:t>S</w:t>
      </w:r>
      <w:r w:rsidRPr="00C86FAE">
        <w:t>tudy drug</w:t>
      </w:r>
      <w:r w:rsidR="004E70AA">
        <w:t xml:space="preserve"> </w:t>
      </w:r>
      <w:r w:rsidRPr="00C86FAE">
        <w:t>related TEAEs Grade ≥3</w:t>
      </w:r>
      <w:r>
        <w:t xml:space="preserve"> </w:t>
      </w:r>
      <w:r w:rsidR="002E52F0">
        <w:t xml:space="preserve">were </w:t>
      </w:r>
      <w:r>
        <w:t xml:space="preserve">higher in the </w:t>
      </w:r>
      <w:r w:rsidR="000B4F3F">
        <w:rPr>
          <w:rFonts w:eastAsia="Calibri"/>
        </w:rPr>
        <w:t>TRI/TIP</w:t>
      </w:r>
      <w:r>
        <w:t xml:space="preserve"> arm compared to the placebo arm (49% vs. 10%). </w:t>
      </w:r>
      <w:r w:rsidR="00597289" w:rsidRPr="00990136">
        <w:t xml:space="preserve">In the TERRA trial, a higher proportion of patients in the </w:t>
      </w:r>
      <w:r w:rsidR="000B4F3F">
        <w:rPr>
          <w:rFonts w:eastAsia="Calibri"/>
        </w:rPr>
        <w:t>TRI/TIP</w:t>
      </w:r>
      <w:r w:rsidR="00597289" w:rsidRPr="00990136">
        <w:t xml:space="preserve"> arm experienced</w:t>
      </w:r>
      <w:r w:rsidR="00B86B48" w:rsidRPr="00990136">
        <w:t xml:space="preserve"> study drug</w:t>
      </w:r>
      <w:r w:rsidR="004E70AA">
        <w:t xml:space="preserve"> </w:t>
      </w:r>
      <w:r w:rsidR="00B86B48" w:rsidRPr="00990136">
        <w:t>related TEAEs Grade ≥3</w:t>
      </w:r>
      <w:r w:rsidR="00597289" w:rsidRPr="00990136">
        <w:t xml:space="preserve"> (</w:t>
      </w:r>
      <w:r w:rsidR="004C75D1" w:rsidRPr="00990136">
        <w:t>46% vs. 10%), consistent with the RECOURSE trial</w:t>
      </w:r>
      <w:r w:rsidR="00B86B48" w:rsidRPr="00990136">
        <w:t>.</w:t>
      </w:r>
      <w:r w:rsidR="0093041B">
        <w:t xml:space="preserve"> S</w:t>
      </w:r>
      <w:r w:rsidR="00B86B48" w:rsidRPr="00990136">
        <w:t>afety data from J003 was limited.</w:t>
      </w:r>
    </w:p>
    <w:p w14:paraId="250A3FBC" w14:textId="46D9FE4C" w:rsidR="00891965" w:rsidRPr="00990136" w:rsidRDefault="00B44E29" w:rsidP="00630D62">
      <w:pPr>
        <w:pStyle w:val="3-BodyText"/>
      </w:pPr>
      <w:r>
        <w:t xml:space="preserve">In </w:t>
      </w:r>
      <w:r w:rsidR="00B33197">
        <w:t xml:space="preserve">the </w:t>
      </w:r>
      <w:r>
        <w:t>RECOURSE</w:t>
      </w:r>
      <w:r w:rsidR="00B33197">
        <w:t xml:space="preserve"> trial</w:t>
      </w:r>
      <w:r>
        <w:t xml:space="preserve">, the most </w:t>
      </w:r>
      <w:r w:rsidRPr="00E33D32">
        <w:t>frequently reported TEAEs of any grade in ≥</w:t>
      </w:r>
      <w:r w:rsidR="00267A92" w:rsidRPr="00E33D32">
        <w:t>1</w:t>
      </w:r>
      <w:r w:rsidRPr="00E33D32">
        <w:t xml:space="preserve">0% of patients (in the </w:t>
      </w:r>
      <w:r w:rsidR="000B4F3F" w:rsidRPr="00E33D32">
        <w:rPr>
          <w:rFonts w:eastAsia="Calibri"/>
        </w:rPr>
        <w:t>TRI/TIP</w:t>
      </w:r>
      <w:r w:rsidRPr="00E33D32">
        <w:t xml:space="preserve"> group compared with the placebo group, respectively) were nausea (48% vs</w:t>
      </w:r>
      <w:r w:rsidR="00785C6F" w:rsidRPr="00E33D32">
        <w:t>.</w:t>
      </w:r>
      <w:r w:rsidRPr="00E33D32">
        <w:t xml:space="preserve"> 24%), anaemia (40% vs</w:t>
      </w:r>
      <w:r w:rsidR="00785C6F" w:rsidRPr="00E33D32">
        <w:t>.</w:t>
      </w:r>
      <w:r w:rsidRPr="00E33D32">
        <w:t xml:space="preserve"> 8%), decreased appetite (39% v</w:t>
      </w:r>
      <w:r w:rsidR="00785C6F" w:rsidRPr="00E33D32">
        <w:t>s</w:t>
      </w:r>
      <w:r w:rsidRPr="00E33D32">
        <w:t xml:space="preserve"> 29%), fatigue (35% vs</w:t>
      </w:r>
      <w:r w:rsidR="00785C6F" w:rsidRPr="00E33D32">
        <w:t>.</w:t>
      </w:r>
      <w:r w:rsidRPr="00E33D32">
        <w:t xml:space="preserve"> 23%), diarrhoea (32% vs 13%), neutropenia (29% v</w:t>
      </w:r>
      <w:r w:rsidR="00785C6F" w:rsidRPr="00E33D32">
        <w:t>s</w:t>
      </w:r>
      <w:r w:rsidRPr="00E33D32">
        <w:t xml:space="preserve"> 0%), neutrophil count decreased (2</w:t>
      </w:r>
      <w:r w:rsidR="00B86B48" w:rsidRPr="00E33D32">
        <w:t>8</w:t>
      </w:r>
      <w:r w:rsidRPr="00E33D32">
        <w:t>% vs</w:t>
      </w:r>
      <w:r w:rsidR="00785C6F" w:rsidRPr="00E33D32">
        <w:t>.</w:t>
      </w:r>
      <w:r w:rsidRPr="00E33D32">
        <w:t xml:space="preserve"> </w:t>
      </w:r>
      <w:r w:rsidR="00B86B48" w:rsidRPr="00E33D32">
        <w:t>&lt;1</w:t>
      </w:r>
      <w:r w:rsidRPr="00E33D32">
        <w:t>%), vomiting (</w:t>
      </w:r>
      <w:r w:rsidR="00B86B48" w:rsidRPr="00E33D32">
        <w:t>28</w:t>
      </w:r>
      <w:r w:rsidRPr="00E33D32">
        <w:t>% vs 14%), and WBC decreased (27% vs</w:t>
      </w:r>
      <w:r w:rsidR="00785C6F" w:rsidRPr="00E33D32">
        <w:t>.</w:t>
      </w:r>
      <w:r w:rsidRPr="00E33D32">
        <w:t xml:space="preserve"> &lt;1%).</w:t>
      </w:r>
      <w:r w:rsidR="00B86B48" w:rsidRPr="00E33D32">
        <w:t xml:space="preserve"> </w:t>
      </w:r>
      <w:r w:rsidR="00785C6F" w:rsidRPr="00E33D32">
        <w:t xml:space="preserve">%). In the </w:t>
      </w:r>
      <w:r w:rsidR="000B4F3F" w:rsidRPr="00E33D32">
        <w:rPr>
          <w:rFonts w:eastAsia="Calibri"/>
        </w:rPr>
        <w:t>TRI/TIP</w:t>
      </w:r>
      <w:r w:rsidR="00785C6F" w:rsidRPr="00E33D32">
        <w:t xml:space="preserve"> group compared with the placebo group, the most frequently reported study drug</w:t>
      </w:r>
      <w:r w:rsidR="004E70AA" w:rsidRPr="00E33D32">
        <w:t xml:space="preserve"> </w:t>
      </w:r>
      <w:r w:rsidR="00785C6F" w:rsidRPr="00E33D32">
        <w:t xml:space="preserve">related TEAEs Grade ≥3 were </w:t>
      </w:r>
      <w:r w:rsidR="00653F40" w:rsidRPr="00E33D32">
        <w:t>a decreased neutrophil count (16% vs. 0%), neutropenia (20% vs. 0%), anaemia (12%</w:t>
      </w:r>
      <w:r w:rsidR="00653F40">
        <w:t xml:space="preserve"> vs. 2%), and decreased white blood cell counts (10% vs. 0%). Only one treatment-related death due to Klebsiella pneumonia/septic shock was reported for the </w:t>
      </w:r>
      <w:r w:rsidR="000B4F3F">
        <w:rPr>
          <w:rFonts w:eastAsia="Calibri"/>
        </w:rPr>
        <w:t>TRI/TIP</w:t>
      </w:r>
      <w:r w:rsidR="00653F40">
        <w:t xml:space="preserve"> arm. </w:t>
      </w:r>
      <w:r w:rsidR="0076414A" w:rsidRPr="00990136">
        <w:t>In general, the rates of all-cause TEAEs were much higher within the individually reported categories compared with TEAEs attributed to the study drug (</w:t>
      </w:r>
      <w:r w:rsidR="000B4F3F">
        <w:rPr>
          <w:rFonts w:eastAsia="Calibri"/>
        </w:rPr>
        <w:t>TRI/TIP</w:t>
      </w:r>
      <w:r w:rsidR="0076414A" w:rsidRPr="00990136">
        <w:t>).</w:t>
      </w:r>
    </w:p>
    <w:p w14:paraId="486C3DA0" w14:textId="1AFFAB44" w:rsidR="009A67A5" w:rsidRDefault="009A67A5" w:rsidP="009A67A5">
      <w:pPr>
        <w:pStyle w:val="3-BodyText"/>
      </w:pPr>
      <w:bookmarkStart w:id="69" w:name="_Ref166817803"/>
      <w:r>
        <w:t xml:space="preserve">Fruquintinib and </w:t>
      </w:r>
      <w:r w:rsidR="000B4F3F">
        <w:rPr>
          <w:rFonts w:eastAsia="Calibri"/>
        </w:rPr>
        <w:t>TRI/TIP</w:t>
      </w:r>
      <w:r>
        <w:t xml:space="preserve"> have </w:t>
      </w:r>
      <w:r w:rsidRPr="009A67A5">
        <w:t>distinct safety profile</w:t>
      </w:r>
      <w:r w:rsidR="00653F40">
        <w:t>s</w:t>
      </w:r>
      <w:r>
        <w:t>. The most common</w:t>
      </w:r>
      <w:r w:rsidRPr="009A67A5">
        <w:t xml:space="preserve"> Grade ≥3 AEs </w:t>
      </w:r>
      <w:r>
        <w:t>with</w:t>
      </w:r>
      <w:r w:rsidRPr="009A67A5">
        <w:t xml:space="preserve"> fruquintinib</w:t>
      </w:r>
      <w:r>
        <w:t xml:space="preserve"> in FRESCO 2 were </w:t>
      </w:r>
      <w:r w:rsidRPr="009A67A5">
        <w:t>hypertension</w:t>
      </w:r>
      <w:r w:rsidR="008D0CEB">
        <w:t>,</w:t>
      </w:r>
      <w:r w:rsidR="009B25CB">
        <w:t xml:space="preserve"> </w:t>
      </w:r>
      <w:r w:rsidR="008D0CEB" w:rsidRPr="008D0CEB">
        <w:t xml:space="preserve">asthenia </w:t>
      </w:r>
      <w:r w:rsidR="009B25CB">
        <w:t>and</w:t>
      </w:r>
      <w:r w:rsidRPr="009A67A5">
        <w:t xml:space="preserve"> hand-foot syndrome</w:t>
      </w:r>
      <w:r>
        <w:t xml:space="preserve">, whereas myelosuppression (e.g., </w:t>
      </w:r>
      <w:r w:rsidRPr="009A67A5">
        <w:t>neutropenia</w:t>
      </w:r>
      <w:r w:rsidR="008D0CEB">
        <w:t xml:space="preserve"> </w:t>
      </w:r>
      <w:r w:rsidRPr="009A67A5">
        <w:t>and anaemia</w:t>
      </w:r>
      <w:r>
        <w:t>)</w:t>
      </w:r>
      <w:r w:rsidRPr="009A67A5">
        <w:t xml:space="preserve"> </w:t>
      </w:r>
      <w:r w:rsidR="008D0CEB">
        <w:t>was</w:t>
      </w:r>
      <w:r>
        <w:t xml:space="preserve"> </w:t>
      </w:r>
      <w:r w:rsidRPr="009A67A5">
        <w:t xml:space="preserve">the most common Grade ≥3 AE reported for </w:t>
      </w:r>
      <w:r w:rsidR="000B4F3F">
        <w:rPr>
          <w:rFonts w:eastAsia="Calibri"/>
        </w:rPr>
        <w:t>TRI/TIP</w:t>
      </w:r>
      <w:r>
        <w:t xml:space="preserve"> in the RECOURSE trial</w:t>
      </w:r>
      <w:r w:rsidRPr="009A67A5">
        <w:t>.</w:t>
      </w:r>
      <w:bookmarkEnd w:id="69"/>
    </w:p>
    <w:p w14:paraId="3D7273F9" w14:textId="0CA93A7C" w:rsidR="00FD3A61" w:rsidRPr="009A67A5" w:rsidRDefault="007E3DEE" w:rsidP="009A67A5">
      <w:pPr>
        <w:pStyle w:val="3-BodyText"/>
      </w:pPr>
      <w:r w:rsidRPr="00F3480E">
        <w:lastRenderedPageBreak/>
        <w:t>Approximately</w:t>
      </w:r>
      <w:r w:rsidR="00FD3A61" w:rsidRPr="00F3480E">
        <w:t xml:space="preserve"> 20% </w:t>
      </w:r>
      <w:r w:rsidR="00BE4C6C" w:rsidRPr="00F3480E">
        <w:t xml:space="preserve">of </w:t>
      </w:r>
      <w:r w:rsidR="00FD3A61" w:rsidRPr="00F3480E">
        <w:t xml:space="preserve">patients who received fruquintinib in </w:t>
      </w:r>
      <w:r w:rsidR="00653F40" w:rsidRPr="00F3480E">
        <w:t xml:space="preserve">the </w:t>
      </w:r>
      <w:r w:rsidR="00FD3A61" w:rsidRPr="00F3480E">
        <w:t>FRESCO 2 trial discontinued t</w:t>
      </w:r>
      <w:r w:rsidR="00BE4C6C" w:rsidRPr="00F3480E">
        <w:t>reat</w:t>
      </w:r>
      <w:r w:rsidR="00FD3A61" w:rsidRPr="00F3480E">
        <w:t>me</w:t>
      </w:r>
      <w:r w:rsidR="00BE4C6C" w:rsidRPr="00F3480E">
        <w:t>n</w:t>
      </w:r>
      <w:r w:rsidR="00FD3A61" w:rsidRPr="00F3480E">
        <w:t>t</w:t>
      </w:r>
      <w:r w:rsidR="006078AA" w:rsidRPr="00F3480E">
        <w:t xml:space="preserve"> due to any cause TEAEs</w:t>
      </w:r>
      <w:r w:rsidR="00BE4C6C" w:rsidRPr="00F3480E">
        <w:t>, with 10% discontinuing due to study drug</w:t>
      </w:r>
      <w:r w:rsidR="004E70AA" w:rsidRPr="00F3480E">
        <w:t xml:space="preserve"> </w:t>
      </w:r>
      <w:r w:rsidR="00BE4C6C" w:rsidRPr="00F3480E">
        <w:t xml:space="preserve">related </w:t>
      </w:r>
      <w:r w:rsidR="00AF344F" w:rsidRPr="00F3480E">
        <w:t>TE</w:t>
      </w:r>
      <w:r w:rsidR="00BE4C6C" w:rsidRPr="00F3480E">
        <w:t>AE</w:t>
      </w:r>
      <w:r w:rsidR="00FB34D4" w:rsidRPr="00F3480E">
        <w:t>s</w:t>
      </w:r>
      <w:r w:rsidR="00BE4C6C" w:rsidRPr="00F3480E">
        <w:t xml:space="preserve">. In </w:t>
      </w:r>
      <w:r w:rsidRPr="00F3480E">
        <w:t>contrast</w:t>
      </w:r>
      <w:r w:rsidR="00BE4C6C" w:rsidRPr="00F3480E">
        <w:t>, 10</w:t>
      </w:r>
      <w:r w:rsidR="00FD3A61" w:rsidRPr="00F3480E">
        <w:t xml:space="preserve">% of patients receiving </w:t>
      </w:r>
      <w:r w:rsidR="000B4F3F" w:rsidRPr="00F3480E">
        <w:rPr>
          <w:rFonts w:eastAsia="Calibri"/>
        </w:rPr>
        <w:t>TRI/TIP</w:t>
      </w:r>
      <w:r w:rsidR="00FD3A61" w:rsidRPr="00F3480E">
        <w:t xml:space="preserve"> discontinued treatment in RECOURSE trial</w:t>
      </w:r>
      <w:r w:rsidR="00BE4C6C" w:rsidRPr="00F3480E">
        <w:t xml:space="preserve"> due</w:t>
      </w:r>
      <w:r w:rsidR="00BE4C6C">
        <w:t xml:space="preserve"> to </w:t>
      </w:r>
      <w:r w:rsidR="006078AA">
        <w:t>any cause TE</w:t>
      </w:r>
      <w:r w:rsidR="00BE4C6C">
        <w:t>AE</w:t>
      </w:r>
      <w:r w:rsidR="00FB34D4">
        <w:t>s</w:t>
      </w:r>
      <w:r w:rsidR="00FD3A61">
        <w:t xml:space="preserve">. </w:t>
      </w:r>
      <w:r>
        <w:t>Additionally</w:t>
      </w:r>
      <w:r w:rsidR="00BE4C6C">
        <w:t xml:space="preserve">, </w:t>
      </w:r>
      <w:r w:rsidR="00AF344F">
        <w:t xml:space="preserve">24% of </w:t>
      </w:r>
      <w:r w:rsidR="008D0CEB">
        <w:t xml:space="preserve">the </w:t>
      </w:r>
      <w:r w:rsidR="00FD3A61">
        <w:t>patients</w:t>
      </w:r>
      <w:r w:rsidR="00AF344F">
        <w:t xml:space="preserve"> who received fruquintinib</w:t>
      </w:r>
      <w:r w:rsidR="00FD3A61">
        <w:t xml:space="preserve"> </w:t>
      </w:r>
      <w:r w:rsidR="00BE4C6C">
        <w:t>in</w:t>
      </w:r>
      <w:r w:rsidR="00AF344F">
        <w:t xml:space="preserve"> the</w:t>
      </w:r>
      <w:r w:rsidR="00BE4C6C">
        <w:t xml:space="preserve"> FRESCO 2 trial required dose reduction</w:t>
      </w:r>
      <w:r w:rsidR="00AF344F">
        <w:t xml:space="preserve"> due to </w:t>
      </w:r>
      <w:r w:rsidR="006078AA">
        <w:t xml:space="preserve">any cause </w:t>
      </w:r>
      <w:r w:rsidR="00AF344F">
        <w:t>TEAEs, with 20% requiring dose reduction due to study drug</w:t>
      </w:r>
      <w:r w:rsidR="004E70AA">
        <w:t xml:space="preserve"> </w:t>
      </w:r>
      <w:r w:rsidR="00AF344F">
        <w:t xml:space="preserve">related TEAEs. In the </w:t>
      </w:r>
      <w:r w:rsidR="00BE4C6C">
        <w:t>RECOURSE trial</w:t>
      </w:r>
      <w:r w:rsidR="00AF344F">
        <w:t xml:space="preserve">, approximately </w:t>
      </w:r>
      <w:r w:rsidR="00BE4C6C">
        <w:t>14%</w:t>
      </w:r>
      <w:r w:rsidR="00AF344F">
        <w:t xml:space="preserve"> of patients in the </w:t>
      </w:r>
      <w:r w:rsidR="000B4F3F">
        <w:rPr>
          <w:rFonts w:eastAsia="Calibri"/>
        </w:rPr>
        <w:t>TRI/TIP</w:t>
      </w:r>
      <w:r w:rsidR="00AF344F">
        <w:t xml:space="preserve"> arm required dose reduction due </w:t>
      </w:r>
      <w:r w:rsidR="00FB34D4">
        <w:t>to</w:t>
      </w:r>
      <w:r w:rsidR="00BE4C6C">
        <w:t xml:space="preserve"> </w:t>
      </w:r>
      <w:r w:rsidR="006078AA">
        <w:t>any cause TE</w:t>
      </w:r>
      <w:r w:rsidR="00BE4C6C">
        <w:t>AE</w:t>
      </w:r>
      <w:r w:rsidR="00653F40">
        <w:t>s</w:t>
      </w:r>
      <w:r w:rsidR="00BE4C6C">
        <w:t>.</w:t>
      </w:r>
    </w:p>
    <w:p w14:paraId="1F41DF3C" w14:textId="53355A5F" w:rsidR="00891965" w:rsidRDefault="00B86B48" w:rsidP="00973745">
      <w:pPr>
        <w:pStyle w:val="3-BodyText"/>
      </w:pPr>
      <w:r>
        <w:t xml:space="preserve">The submission conducted an </w:t>
      </w:r>
      <w:r w:rsidRPr="00AD3EE6">
        <w:t>ITC of</w:t>
      </w:r>
      <w:r>
        <w:t xml:space="preserve"> safety</w:t>
      </w:r>
      <w:r w:rsidR="002F1FE4">
        <w:t xml:space="preserve"> (data not shown)</w:t>
      </w:r>
      <w:r>
        <w:t xml:space="preserve"> between</w:t>
      </w:r>
      <w:r w:rsidRPr="00AD3EE6">
        <w:t xml:space="preserve"> </w:t>
      </w:r>
      <w:r w:rsidR="00BD4F3F" w:rsidRPr="00BD4F3F">
        <w:t xml:space="preserve">fruquintinib (via the FRESCO 2 trial) </w:t>
      </w:r>
      <w:r w:rsidR="00BD4F3F">
        <w:t>and</w:t>
      </w:r>
      <w:r w:rsidR="00BD4F3F" w:rsidRPr="00BD4F3F">
        <w:t xml:space="preserve"> </w:t>
      </w:r>
      <w:r w:rsidR="000B4F3F">
        <w:rPr>
          <w:rFonts w:eastAsia="Calibri"/>
        </w:rPr>
        <w:t>TRI/TIP</w:t>
      </w:r>
      <w:r w:rsidR="00BD4F3F" w:rsidRPr="00BD4F3F">
        <w:t xml:space="preserve"> (via the RECOURSE trial)</w:t>
      </w:r>
      <w:r>
        <w:t>.</w:t>
      </w:r>
      <w:r w:rsidRPr="00AD3EE6">
        <w:t xml:space="preserve"> </w:t>
      </w:r>
      <w:r w:rsidR="00891965">
        <w:t>Based on the ITC of safety</w:t>
      </w:r>
      <w:r>
        <w:t xml:space="preserve"> in terms of TEAE</w:t>
      </w:r>
      <w:r w:rsidR="00891965">
        <w:t xml:space="preserve">, there were no </w:t>
      </w:r>
      <w:r w:rsidR="00891965" w:rsidRPr="00367B31">
        <w:t>statistically significant differences between the treatment</w:t>
      </w:r>
      <w:r w:rsidR="00891965">
        <w:t xml:space="preserve">s, except for study drug-related </w:t>
      </w:r>
      <w:r w:rsidR="00CA612D">
        <w:t>TEAEs</w:t>
      </w:r>
      <w:r w:rsidR="00CA612D" w:rsidRPr="00367B31">
        <w:t xml:space="preserve"> </w:t>
      </w:r>
      <w:r w:rsidR="00891965" w:rsidRPr="00367B31">
        <w:t>≥</w:t>
      </w:r>
      <w:r w:rsidR="00CA612D">
        <w:t xml:space="preserve"> </w:t>
      </w:r>
      <w:r w:rsidR="00891965" w:rsidRPr="00367B31">
        <w:t>Grade 3</w:t>
      </w:r>
      <w:r w:rsidR="00891965">
        <w:t xml:space="preserve"> (OR </w:t>
      </w:r>
      <w:r w:rsidR="006078AA">
        <w:t xml:space="preserve">= </w:t>
      </w:r>
      <w:r w:rsidR="00891965">
        <w:t>0.50; 95% CI: 0.27, 0.94</w:t>
      </w:r>
      <w:r w:rsidR="006078AA">
        <w:t xml:space="preserve"> and RD = </w:t>
      </w:r>
      <w:r w:rsidR="006078AA" w:rsidRPr="006078AA">
        <w:t>-0.14</w:t>
      </w:r>
      <w:r w:rsidR="006078AA">
        <w:t>; 95% CI</w:t>
      </w:r>
      <w:r w:rsidR="00AF6BCD">
        <w:t>:</w:t>
      </w:r>
      <w:r w:rsidR="006078AA">
        <w:t xml:space="preserve"> </w:t>
      </w:r>
      <w:r w:rsidR="006078AA" w:rsidRPr="006078AA">
        <w:t>-0.24, -0.04</w:t>
      </w:r>
      <w:r w:rsidR="00891965">
        <w:t xml:space="preserve">) and </w:t>
      </w:r>
      <w:r w:rsidR="00891965" w:rsidRPr="00367B31">
        <w:t>any cause serious TEAE</w:t>
      </w:r>
      <w:r w:rsidR="000D6D91">
        <w:t>s (</w:t>
      </w:r>
      <w:r w:rsidR="000D6D91" w:rsidRPr="00367B31">
        <w:t>OR</w:t>
      </w:r>
      <w:r w:rsidR="000D6D91">
        <w:t xml:space="preserve"> = </w:t>
      </w:r>
      <w:r w:rsidR="000D6D91" w:rsidRPr="00367B31">
        <w:t>0.11</w:t>
      </w:r>
      <w:r w:rsidR="000D6D91">
        <w:t>; 9</w:t>
      </w:r>
      <w:r w:rsidR="000D6D91" w:rsidRPr="00367B31">
        <w:t>5% CI: 0.01, 0.89</w:t>
      </w:r>
      <w:r w:rsidR="000D6D91">
        <w:t xml:space="preserve"> and RR 0.11; 95% CI</w:t>
      </w:r>
      <w:r w:rsidR="00AF6BCD">
        <w:t>:</w:t>
      </w:r>
      <w:r w:rsidR="000D6D91">
        <w:t xml:space="preserve"> 0.01, 0.9), both of </w:t>
      </w:r>
      <w:r w:rsidR="00891965" w:rsidRPr="00367B31">
        <w:t>w</w:t>
      </w:r>
      <w:r w:rsidR="00653F40">
        <w:t>hich were</w:t>
      </w:r>
      <w:r w:rsidR="00891965" w:rsidRPr="00367B31">
        <w:t xml:space="preserve"> statistically significant in favour of fruquintinib</w:t>
      </w:r>
      <w:r w:rsidR="00891965">
        <w:t>.</w:t>
      </w:r>
    </w:p>
    <w:p w14:paraId="7188E0D9" w14:textId="40D8D89C" w:rsidR="009A67A5" w:rsidRPr="00990136" w:rsidRDefault="00891965" w:rsidP="009A67A5">
      <w:pPr>
        <w:pStyle w:val="3-BodyText"/>
      </w:pPr>
      <w:r w:rsidRPr="001E32B7">
        <w:t>Based on the ITC of safety in terms of worst grade any</w:t>
      </w:r>
      <w:r w:rsidR="00C86FAE">
        <w:t>-</w:t>
      </w:r>
      <w:r w:rsidRPr="001E32B7">
        <w:t xml:space="preserve">cause toxicity, there </w:t>
      </w:r>
      <w:r w:rsidR="008A344F" w:rsidRPr="001E32B7">
        <w:t>w</w:t>
      </w:r>
      <w:r w:rsidR="008A344F">
        <w:t>ere</w:t>
      </w:r>
      <w:r w:rsidR="008A344F" w:rsidRPr="001E32B7">
        <w:t xml:space="preserve"> </w:t>
      </w:r>
      <w:r w:rsidRPr="001E32B7">
        <w:t xml:space="preserve">no statistically significant differences between fruquintinib and </w:t>
      </w:r>
      <w:r w:rsidR="000B4F3F">
        <w:rPr>
          <w:rFonts w:eastAsia="Calibri"/>
        </w:rPr>
        <w:t>TRI/TIP</w:t>
      </w:r>
      <w:r w:rsidRPr="001E32B7">
        <w:t>, except for Grade 4</w:t>
      </w:r>
      <w:r w:rsidR="001E32B7" w:rsidRPr="001E32B7">
        <w:t xml:space="preserve"> </w:t>
      </w:r>
      <w:r w:rsidRPr="001E32B7">
        <w:t>TEAE</w:t>
      </w:r>
      <w:r w:rsidR="00653F40">
        <w:t>s</w:t>
      </w:r>
      <w:r w:rsidRPr="001E32B7">
        <w:t xml:space="preserve">. Statistically significantly fewer patients treated with fruquintinib experienced </w:t>
      </w:r>
      <w:r w:rsidR="008A344F">
        <w:t xml:space="preserve">a </w:t>
      </w:r>
      <w:r w:rsidRPr="001E32B7">
        <w:t xml:space="preserve">Grade 4 TEAE (RD = -0.10; 95% CI: -0.15, -0.05) compared to </w:t>
      </w:r>
      <w:r w:rsidR="000B4F3F">
        <w:rPr>
          <w:rFonts w:eastAsia="Calibri"/>
        </w:rPr>
        <w:t>TRI/TIP</w:t>
      </w:r>
      <w:r w:rsidRPr="001E32B7">
        <w:t>; although</w:t>
      </w:r>
      <w:r w:rsidR="004E70AA">
        <w:t>,</w:t>
      </w:r>
      <w:r w:rsidRPr="001E32B7">
        <w:t xml:space="preserve"> neither </w:t>
      </w:r>
      <w:r w:rsidR="008A344F">
        <w:t>the OR</w:t>
      </w:r>
      <w:r w:rsidRPr="001E32B7">
        <w:t xml:space="preserve"> nor </w:t>
      </w:r>
      <w:r w:rsidR="008A344F">
        <w:t>RR</w:t>
      </w:r>
      <w:r w:rsidRPr="001E32B7">
        <w:t xml:space="preserve"> was statistically significant.</w:t>
      </w:r>
      <w:r w:rsidR="00B86B48">
        <w:t xml:space="preserve"> </w:t>
      </w:r>
      <w:r w:rsidR="00B86B48" w:rsidRPr="00990136">
        <w:t xml:space="preserve">It is important to note that the safety analyses </w:t>
      </w:r>
      <w:r w:rsidR="00630D62" w:rsidRPr="00990136">
        <w:t xml:space="preserve">were conducted post-hoc and may lack power to detect statistically significant difference.  </w:t>
      </w:r>
      <w:r w:rsidR="00B86B48" w:rsidRPr="00990136">
        <w:t xml:space="preserve"> </w:t>
      </w:r>
    </w:p>
    <w:p w14:paraId="7DB256C5" w14:textId="28A34847" w:rsidR="00B55EEB" w:rsidRPr="00990136" w:rsidRDefault="00630D62" w:rsidP="00891965">
      <w:pPr>
        <w:pStyle w:val="3-BodyText"/>
      </w:pPr>
      <w:r w:rsidRPr="00990136">
        <w:t>Overall, g</w:t>
      </w:r>
      <w:r w:rsidR="00B55EEB" w:rsidRPr="00990136">
        <w:t xml:space="preserve">iven the differences in the safety profiles </w:t>
      </w:r>
      <w:r w:rsidRPr="00990136">
        <w:t xml:space="preserve">as discussed in paragraph </w:t>
      </w:r>
      <w:r w:rsidR="00AA1AD7" w:rsidRPr="00990136">
        <w:fldChar w:fldCharType="begin"/>
      </w:r>
      <w:r w:rsidR="00AA1AD7" w:rsidRPr="00990136">
        <w:instrText xml:space="preserve"> REF _Ref166817803 \r \h </w:instrText>
      </w:r>
      <w:r w:rsidR="00990136">
        <w:instrText xml:space="preserve"> \* MERGEFORMAT </w:instrText>
      </w:r>
      <w:r w:rsidR="00AA1AD7" w:rsidRPr="00990136">
        <w:fldChar w:fldCharType="separate"/>
      </w:r>
      <w:r w:rsidR="00F03729">
        <w:t>6.34</w:t>
      </w:r>
      <w:r w:rsidR="00AA1AD7" w:rsidRPr="00990136">
        <w:fldChar w:fldCharType="end"/>
      </w:r>
      <w:r w:rsidR="001957F8" w:rsidRPr="00990136">
        <w:t xml:space="preserve"> and the potential transitivity issues across the trials </w:t>
      </w:r>
      <w:r w:rsidR="00F71C3A" w:rsidRPr="00990136">
        <w:t xml:space="preserve">included in the ITC </w:t>
      </w:r>
      <w:r w:rsidR="001957F8" w:rsidRPr="00990136">
        <w:t xml:space="preserve">as outlined in paragraph </w:t>
      </w:r>
      <w:r w:rsidR="001957F8" w:rsidRPr="00990136">
        <w:fldChar w:fldCharType="begin"/>
      </w:r>
      <w:r w:rsidR="001957F8" w:rsidRPr="00990136">
        <w:instrText xml:space="preserve"> REF _Ref164681066 \r \h </w:instrText>
      </w:r>
      <w:r w:rsidR="0060047D" w:rsidRPr="00990136">
        <w:instrText xml:space="preserve"> \* MERGEFORMAT </w:instrText>
      </w:r>
      <w:r w:rsidR="001957F8" w:rsidRPr="00990136">
        <w:fldChar w:fldCharType="separate"/>
      </w:r>
      <w:r w:rsidR="00F03729">
        <w:t>6.10</w:t>
      </w:r>
      <w:r w:rsidR="001957F8" w:rsidRPr="00990136">
        <w:fldChar w:fldCharType="end"/>
      </w:r>
      <w:r w:rsidRPr="00990136">
        <w:t xml:space="preserve">, it was difficult to assess the comparative safety between fruquintinib and </w:t>
      </w:r>
      <w:r w:rsidR="000B4F3F">
        <w:rPr>
          <w:rFonts w:eastAsia="Calibri"/>
        </w:rPr>
        <w:t>TRI/TIP</w:t>
      </w:r>
      <w:r w:rsidR="00B55EEB" w:rsidRPr="00990136">
        <w:t>.</w:t>
      </w:r>
      <w:r w:rsidR="001E32B7" w:rsidRPr="00990136">
        <w:t xml:space="preserve"> </w:t>
      </w:r>
      <w:bookmarkEnd w:id="68"/>
    </w:p>
    <w:p w14:paraId="1E445879" w14:textId="77777777" w:rsidR="00891965" w:rsidRPr="00A74236" w:rsidRDefault="00891965" w:rsidP="00891965">
      <w:pPr>
        <w:pStyle w:val="4-SubsectionHeading"/>
      </w:pPr>
      <w:bookmarkStart w:id="70" w:name="_Toc166861362"/>
      <w:r w:rsidRPr="00A74236">
        <w:t>Benefits/harms</w:t>
      </w:r>
      <w:bookmarkEnd w:id="63"/>
      <w:bookmarkEnd w:id="64"/>
      <w:bookmarkEnd w:id="70"/>
    </w:p>
    <w:p w14:paraId="3F02E616" w14:textId="77777777" w:rsidR="00891965" w:rsidRPr="00A74236" w:rsidRDefault="00891965" w:rsidP="00891965">
      <w:pPr>
        <w:pStyle w:val="3-BodyText"/>
      </w:pPr>
      <w:r w:rsidRPr="00A74236">
        <w:rPr>
          <w:snapToGrid/>
        </w:rPr>
        <w:t xml:space="preserve">A benefits and harms table is not presented as the submission made a claim of non-inferiority. </w:t>
      </w:r>
      <w:r w:rsidRPr="00762F09">
        <w:rPr>
          <w:snapToGrid/>
        </w:rPr>
        <w:t> </w:t>
      </w:r>
    </w:p>
    <w:p w14:paraId="6D41A272" w14:textId="77777777" w:rsidR="00891965" w:rsidRPr="00A74236" w:rsidRDefault="00891965" w:rsidP="00891965">
      <w:pPr>
        <w:pStyle w:val="4-SubsectionHeading"/>
      </w:pPr>
      <w:bookmarkStart w:id="71" w:name="_Toc22897644"/>
      <w:bookmarkStart w:id="72" w:name="_Toc107927630"/>
      <w:bookmarkStart w:id="73" w:name="_Toc166861363"/>
      <w:r w:rsidRPr="00A74236">
        <w:t>Clinical claim</w:t>
      </w:r>
      <w:bookmarkEnd w:id="71"/>
      <w:bookmarkEnd w:id="72"/>
      <w:bookmarkEnd w:id="73"/>
    </w:p>
    <w:p w14:paraId="0A01E20F" w14:textId="353633FF" w:rsidR="00891965" w:rsidRPr="00990136" w:rsidRDefault="00891965" w:rsidP="00A2070A">
      <w:pPr>
        <w:pStyle w:val="3-BodyText"/>
        <w:rPr>
          <w:rFonts w:eastAsia="Calibri"/>
        </w:rPr>
      </w:pPr>
      <w:bookmarkStart w:id="74" w:name="_Ref178152481"/>
      <w:r w:rsidRPr="00A74236">
        <w:rPr>
          <w:rFonts w:eastAsia="Calibri"/>
        </w:rPr>
        <w:t>The</w:t>
      </w:r>
      <w:r w:rsidR="000540F9">
        <w:rPr>
          <w:rFonts w:eastAsia="Calibri"/>
        </w:rPr>
        <w:t xml:space="preserve"> </w:t>
      </w:r>
      <w:r w:rsidRPr="00A74236">
        <w:rPr>
          <w:rFonts w:eastAsia="Calibri"/>
        </w:rPr>
        <w:t xml:space="preserve">submission described </w:t>
      </w:r>
      <w:r>
        <w:rPr>
          <w:rFonts w:eastAsia="Calibri"/>
        </w:rPr>
        <w:t>fruquintinib</w:t>
      </w:r>
      <w:r w:rsidRPr="00A74236">
        <w:rPr>
          <w:rFonts w:eastAsia="Calibri"/>
        </w:rPr>
        <w:t xml:space="preserve"> as non-inferior in terms of effectiveness compared to </w:t>
      </w:r>
      <w:r w:rsidR="000B4F3F">
        <w:rPr>
          <w:rFonts w:eastAsia="Calibri"/>
        </w:rPr>
        <w:t>TRI/TIP</w:t>
      </w:r>
      <w:r>
        <w:rPr>
          <w:rFonts w:eastAsia="Calibri"/>
        </w:rPr>
        <w:t>.</w:t>
      </w:r>
      <w:r w:rsidRPr="00A74236">
        <w:rPr>
          <w:rFonts w:eastAsia="Calibri"/>
        </w:rPr>
        <w:t xml:space="preserve"> </w:t>
      </w:r>
      <w:r w:rsidRPr="00990136">
        <w:rPr>
          <w:rFonts w:eastAsia="Calibri"/>
        </w:rPr>
        <w:t xml:space="preserve">This claim </w:t>
      </w:r>
      <w:r w:rsidR="00A2070A" w:rsidRPr="00990136">
        <w:rPr>
          <w:rFonts w:eastAsia="Calibri"/>
        </w:rPr>
        <w:t xml:space="preserve">may be supported by the evidence provided </w:t>
      </w:r>
      <w:r w:rsidR="004C75D1" w:rsidRPr="00990136">
        <w:rPr>
          <w:rFonts w:eastAsia="Calibri"/>
        </w:rPr>
        <w:t>in</w:t>
      </w:r>
      <w:r w:rsidR="00A2070A" w:rsidRPr="00990136">
        <w:rPr>
          <w:rFonts w:eastAsia="Calibri"/>
        </w:rPr>
        <w:t xml:space="preserve"> the submission</w:t>
      </w:r>
      <w:r w:rsidR="00B56779" w:rsidRPr="00990136">
        <w:rPr>
          <w:rFonts w:eastAsia="Calibri"/>
        </w:rPr>
        <w:t xml:space="preserve"> within the confines of the</w:t>
      </w:r>
      <w:r w:rsidR="0095329F">
        <w:rPr>
          <w:rFonts w:eastAsia="Calibri"/>
        </w:rPr>
        <w:t xml:space="preserve"> defined</w:t>
      </w:r>
      <w:r w:rsidR="00B56779" w:rsidRPr="00990136">
        <w:rPr>
          <w:rFonts w:eastAsia="Calibri"/>
        </w:rPr>
        <w:t xml:space="preserve"> comparison (</w:t>
      </w:r>
      <w:r w:rsidR="00B56779" w:rsidRPr="00990136">
        <w:rPr>
          <w:snapToGrid/>
        </w:rPr>
        <w:t xml:space="preserve">fruquintinib versus </w:t>
      </w:r>
      <w:r w:rsidR="000B4F3F">
        <w:rPr>
          <w:rFonts w:eastAsia="Calibri"/>
        </w:rPr>
        <w:t>TRI/TIP</w:t>
      </w:r>
      <w:r w:rsidR="00B56779" w:rsidRPr="00990136">
        <w:rPr>
          <w:snapToGrid/>
        </w:rPr>
        <w:t xml:space="preserve"> in patients who have received at least two prior therapies for mCRC),</w:t>
      </w:r>
      <w:r w:rsidR="00A2070A" w:rsidRPr="00990136">
        <w:rPr>
          <w:rFonts w:eastAsia="Calibri"/>
        </w:rPr>
        <w:t xml:space="preserve"> but the following uncertainties remain:</w:t>
      </w:r>
      <w:bookmarkEnd w:id="74"/>
    </w:p>
    <w:p w14:paraId="7A3C78C3" w14:textId="03F56D8F" w:rsidR="00891965" w:rsidRPr="00F11539" w:rsidRDefault="00891965" w:rsidP="004E70AA">
      <w:pPr>
        <w:pStyle w:val="ListParagraph"/>
        <w:ind w:left="1080"/>
        <w:rPr>
          <w:rFonts w:eastAsia="Calibri"/>
        </w:rPr>
      </w:pPr>
      <w:bookmarkStart w:id="75" w:name="_Hlk164337925"/>
      <w:r w:rsidRPr="00990136">
        <w:rPr>
          <w:rFonts w:eastAsia="Calibri"/>
        </w:rPr>
        <w:t>Clinical evidence from FRESCO 1 supports the</w:t>
      </w:r>
      <w:r w:rsidR="00B56779" w:rsidRPr="00990136">
        <w:rPr>
          <w:rFonts w:eastAsia="Calibri"/>
        </w:rPr>
        <w:t xml:space="preserve"> 3L</w:t>
      </w:r>
      <w:r w:rsidRPr="00990136">
        <w:rPr>
          <w:rFonts w:eastAsia="Calibri"/>
        </w:rPr>
        <w:t xml:space="preserve"> use of fruquintinib as an alternative to </w:t>
      </w:r>
      <w:r w:rsidR="000B4F3F">
        <w:rPr>
          <w:rFonts w:eastAsia="Calibri"/>
        </w:rPr>
        <w:t>TRI/TIP</w:t>
      </w:r>
      <w:r w:rsidRPr="00990136">
        <w:rPr>
          <w:rFonts w:eastAsia="Calibri"/>
        </w:rPr>
        <w:t>; however,</w:t>
      </w:r>
      <w:r w:rsidR="00653F40" w:rsidRPr="00990136">
        <w:rPr>
          <w:rFonts w:eastAsia="Calibri"/>
        </w:rPr>
        <w:t xml:space="preserve"> </w:t>
      </w:r>
      <w:r w:rsidR="00A2070A" w:rsidRPr="00990136">
        <w:rPr>
          <w:rFonts w:eastAsia="Calibri"/>
        </w:rPr>
        <w:t>the trial only enrolled Chinese patients</w:t>
      </w:r>
      <w:r w:rsidRPr="00990136">
        <w:rPr>
          <w:rFonts w:eastAsia="Calibri"/>
        </w:rPr>
        <w:t xml:space="preserve">. Given the population in FRESCO 2 was </w:t>
      </w:r>
      <w:r w:rsidR="00A2070A" w:rsidRPr="00990136">
        <w:rPr>
          <w:rFonts w:eastAsia="Calibri"/>
        </w:rPr>
        <w:t>pre</w:t>
      </w:r>
      <w:r w:rsidR="00B56779" w:rsidRPr="00990136">
        <w:rPr>
          <w:rFonts w:eastAsia="Calibri"/>
        </w:rPr>
        <w:t>-</w:t>
      </w:r>
      <w:r w:rsidRPr="00990136">
        <w:rPr>
          <w:rFonts w:eastAsia="Calibri"/>
        </w:rPr>
        <w:t>treated</w:t>
      </w:r>
      <w:r w:rsidR="00A2070A" w:rsidRPr="00990136">
        <w:rPr>
          <w:rFonts w:eastAsia="Calibri"/>
        </w:rPr>
        <w:t xml:space="preserve"> with </w:t>
      </w:r>
      <w:r w:rsidR="000B4F3F">
        <w:rPr>
          <w:rFonts w:eastAsia="Calibri"/>
        </w:rPr>
        <w:t>TRI/TIP</w:t>
      </w:r>
      <w:r w:rsidRPr="00990136">
        <w:rPr>
          <w:rFonts w:eastAsia="Calibri"/>
        </w:rPr>
        <w:t>, the clinical evidence presented from FRESCO 2 is more relevan</w:t>
      </w:r>
      <w:r w:rsidR="00653F40" w:rsidRPr="00990136">
        <w:rPr>
          <w:rFonts w:eastAsia="Calibri"/>
        </w:rPr>
        <w:t>t</w:t>
      </w:r>
      <w:r w:rsidRPr="00990136">
        <w:rPr>
          <w:rFonts w:eastAsia="Calibri"/>
        </w:rPr>
        <w:t xml:space="preserve"> to inform decision</w:t>
      </w:r>
      <w:r w:rsidR="00F82B2B" w:rsidRPr="00990136">
        <w:rPr>
          <w:rFonts w:eastAsia="Calibri"/>
        </w:rPr>
        <w:t>-making</w:t>
      </w:r>
      <w:r w:rsidRPr="00990136">
        <w:rPr>
          <w:rFonts w:eastAsia="Calibri"/>
        </w:rPr>
        <w:t xml:space="preserve"> regarding </w:t>
      </w:r>
      <w:r w:rsidRPr="00990136">
        <w:rPr>
          <w:rFonts w:eastAsia="Calibri"/>
        </w:rPr>
        <w:lastRenderedPageBreak/>
        <w:t>the use of fruquintinib</w:t>
      </w:r>
      <w:r w:rsidR="00F110B4" w:rsidRPr="00990136">
        <w:rPr>
          <w:rFonts w:eastAsia="Calibri"/>
        </w:rPr>
        <w:t xml:space="preserve"> </w:t>
      </w:r>
      <w:proofErr w:type="gramStart"/>
      <w:r w:rsidR="00F110B4" w:rsidRPr="00990136">
        <w:rPr>
          <w:rFonts w:eastAsia="Calibri"/>
        </w:rPr>
        <w:t>subsequent to</w:t>
      </w:r>
      <w:proofErr w:type="gramEnd"/>
      <w:r w:rsidR="00F110B4" w:rsidRPr="00990136">
        <w:rPr>
          <w:rFonts w:eastAsia="Calibri"/>
        </w:rPr>
        <w:t xml:space="preserve"> </w:t>
      </w:r>
      <w:r w:rsidR="000B4F3F">
        <w:rPr>
          <w:rFonts w:eastAsia="Calibri"/>
        </w:rPr>
        <w:t>TRI/TIP</w:t>
      </w:r>
      <w:r w:rsidRPr="00990136">
        <w:rPr>
          <w:rFonts w:eastAsia="Calibri"/>
        </w:rPr>
        <w:t>.</w:t>
      </w:r>
      <w:r w:rsidR="00B07F6D" w:rsidRPr="00990136">
        <w:rPr>
          <w:rFonts w:eastAsia="Calibri"/>
        </w:rPr>
        <w:t xml:space="preserve"> </w:t>
      </w:r>
      <w:r w:rsidR="00B07F6D" w:rsidRPr="00F11539">
        <w:rPr>
          <w:rFonts w:eastAsia="Calibri"/>
        </w:rPr>
        <w:t>Notwithstanding, the results of the FRESCO 1 and FRESCO</w:t>
      </w:r>
      <w:r w:rsidR="00BC2906" w:rsidRPr="00F11539">
        <w:rPr>
          <w:rFonts w:eastAsia="Calibri"/>
        </w:rPr>
        <w:t> </w:t>
      </w:r>
      <w:r w:rsidR="00B07F6D" w:rsidRPr="00F11539">
        <w:rPr>
          <w:rFonts w:eastAsia="Calibri"/>
        </w:rPr>
        <w:t xml:space="preserve">2 trials were similar with respect to </w:t>
      </w:r>
      <w:r w:rsidR="002F1FE4" w:rsidRPr="00F11539">
        <w:rPr>
          <w:rFonts w:eastAsia="Calibri"/>
        </w:rPr>
        <w:t>OS and PFS</w:t>
      </w:r>
      <w:r w:rsidR="003616D6" w:rsidRPr="00F11539">
        <w:rPr>
          <w:rFonts w:eastAsia="Calibri"/>
        </w:rPr>
        <w:t>, as noted by the PSCR</w:t>
      </w:r>
      <w:r w:rsidR="002F1FE4" w:rsidRPr="00F11539">
        <w:rPr>
          <w:rFonts w:eastAsia="Calibri"/>
        </w:rPr>
        <w:t>.</w:t>
      </w:r>
    </w:p>
    <w:p w14:paraId="1725A8E4" w14:textId="1909B1F8" w:rsidR="00B55EEB" w:rsidRPr="00F11539" w:rsidRDefault="00B55EEB" w:rsidP="004E70AA">
      <w:pPr>
        <w:pStyle w:val="ListParagraph"/>
        <w:ind w:left="1080"/>
        <w:rPr>
          <w:rFonts w:eastAsia="Calibri"/>
        </w:rPr>
      </w:pPr>
      <w:r w:rsidRPr="00F11539">
        <w:rPr>
          <w:rFonts w:eastAsia="Calibri"/>
        </w:rPr>
        <w:t>The results of the main ITC</w:t>
      </w:r>
      <w:r w:rsidR="001E61A4" w:rsidRPr="00F11539">
        <w:rPr>
          <w:rFonts w:eastAsia="Calibri"/>
        </w:rPr>
        <w:t xml:space="preserve"> (fruquintinib FRESCO 2 trial versus </w:t>
      </w:r>
      <w:r w:rsidR="000B4F3F" w:rsidRPr="00F11539">
        <w:rPr>
          <w:rFonts w:eastAsia="Calibri"/>
        </w:rPr>
        <w:t>TRI/TIP</w:t>
      </w:r>
      <w:r w:rsidR="001E61A4" w:rsidRPr="00F11539">
        <w:rPr>
          <w:rFonts w:eastAsia="Calibri"/>
        </w:rPr>
        <w:t xml:space="preserve"> RECOURSE trial)</w:t>
      </w:r>
      <w:r w:rsidRPr="00F11539">
        <w:rPr>
          <w:rFonts w:eastAsia="Calibri"/>
        </w:rPr>
        <w:t xml:space="preserve"> were subject to </w:t>
      </w:r>
      <w:r w:rsidR="00413EBC" w:rsidRPr="00F11539">
        <w:rPr>
          <w:rFonts w:eastAsia="Calibri"/>
        </w:rPr>
        <w:t xml:space="preserve">a potentially </w:t>
      </w:r>
      <w:r w:rsidRPr="00F11539">
        <w:rPr>
          <w:rFonts w:eastAsia="Calibri"/>
        </w:rPr>
        <w:t>high risk of bias</w:t>
      </w:r>
      <w:r w:rsidR="006169A1" w:rsidRPr="00F11539">
        <w:rPr>
          <w:rFonts w:eastAsia="Calibri"/>
        </w:rPr>
        <w:t xml:space="preserve"> due to</w:t>
      </w:r>
      <w:r w:rsidRPr="00F11539">
        <w:rPr>
          <w:rFonts w:eastAsia="Calibri"/>
        </w:rPr>
        <w:t xml:space="preserve"> </w:t>
      </w:r>
      <w:r w:rsidR="006169A1" w:rsidRPr="00F11539">
        <w:rPr>
          <w:rFonts w:eastAsia="Calibri"/>
        </w:rPr>
        <w:t>transitivity issues across the trials in terms of gender, race, performance status, prior treatments, KRAS mutation status, and post-progression treatments.</w:t>
      </w:r>
      <w:r w:rsidR="00BC2906" w:rsidRPr="00F11539">
        <w:rPr>
          <w:rFonts w:eastAsia="Calibri"/>
        </w:rPr>
        <w:t xml:space="preserve"> The PSCR noted that the similarity of the OS and PFS curves in the placebo arms of the FRESCO 2 and RECOURSE trials indicate that differences in trial populations at baseline may not have been clinically relevant and unlikely to confound the indirect estimates of comparative treatment effect.</w:t>
      </w:r>
    </w:p>
    <w:p w14:paraId="55200046" w14:textId="78ED701C" w:rsidR="00DB1BAA" w:rsidRPr="00524714" w:rsidRDefault="00712E8A" w:rsidP="00524714">
      <w:pPr>
        <w:pStyle w:val="3-BodyText"/>
        <w:rPr>
          <w:rFonts w:eastAsia="Calibri"/>
        </w:rPr>
      </w:pPr>
      <w:r w:rsidRPr="00524714">
        <w:rPr>
          <w:rFonts w:eastAsia="Calibri"/>
        </w:rPr>
        <w:t xml:space="preserve">The </w:t>
      </w:r>
      <w:r w:rsidR="00115197" w:rsidRPr="00524714">
        <w:rPr>
          <w:rFonts w:eastAsia="Calibri"/>
        </w:rPr>
        <w:t>PSCR</w:t>
      </w:r>
      <w:r w:rsidRPr="00524714">
        <w:rPr>
          <w:rFonts w:eastAsia="Calibri"/>
        </w:rPr>
        <w:t xml:space="preserve"> </w:t>
      </w:r>
      <w:r w:rsidR="00524714" w:rsidRPr="00524714">
        <w:rPr>
          <w:rFonts w:eastAsia="Calibri"/>
        </w:rPr>
        <w:t>emphasised that</w:t>
      </w:r>
      <w:r w:rsidR="00115197" w:rsidRPr="00524714">
        <w:t xml:space="preserve"> </w:t>
      </w:r>
      <w:r w:rsidR="00524714" w:rsidRPr="00524714">
        <w:t>the</w:t>
      </w:r>
      <w:r w:rsidR="00115197" w:rsidRPr="00524714">
        <w:t xml:space="preserve"> evidence base</w:t>
      </w:r>
      <w:r w:rsidR="00524714" w:rsidRPr="00524714">
        <w:t xml:space="preserve"> that</w:t>
      </w:r>
      <w:r w:rsidR="00115197" w:rsidRPr="00524714">
        <w:t xml:space="preserve"> exists for both the proposed </w:t>
      </w:r>
      <w:r w:rsidR="00524714" w:rsidRPr="00524714">
        <w:t>3L</w:t>
      </w:r>
      <w:r w:rsidR="00115197" w:rsidRPr="00524714">
        <w:t xml:space="preserve"> setting (FRESCO</w:t>
      </w:r>
      <w:r w:rsidR="00524714" w:rsidRPr="00524714">
        <w:t xml:space="preserve"> </w:t>
      </w:r>
      <w:r w:rsidR="00115197" w:rsidRPr="00524714">
        <w:t>1)</w:t>
      </w:r>
      <w:r w:rsidR="002A1D2E">
        <w:t>,</w:t>
      </w:r>
      <w:r w:rsidR="00115197" w:rsidRPr="00524714">
        <w:t xml:space="preserve"> where it</w:t>
      </w:r>
      <w:r w:rsidR="00524714" w:rsidRPr="00524714">
        <w:t xml:space="preserve"> will</w:t>
      </w:r>
      <w:r w:rsidR="00115197" w:rsidRPr="00524714">
        <w:t xml:space="preserve"> likely replace</w:t>
      </w:r>
      <w:r w:rsidR="00524714" w:rsidRPr="00524714">
        <w:t>/displace</w:t>
      </w:r>
      <w:r w:rsidR="00115197" w:rsidRPr="00524714">
        <w:t xml:space="preserve"> </w:t>
      </w:r>
      <w:r w:rsidR="00524714" w:rsidRPr="00524714">
        <w:t>TRI</w:t>
      </w:r>
      <w:r w:rsidR="00115197" w:rsidRPr="00524714">
        <w:t>/</w:t>
      </w:r>
      <w:r w:rsidR="00524714" w:rsidRPr="00524714">
        <w:t>TIP</w:t>
      </w:r>
      <w:r w:rsidR="002A1D2E">
        <w:t>,</w:t>
      </w:r>
      <w:r w:rsidR="00115197" w:rsidRPr="00524714">
        <w:t xml:space="preserve"> and the </w:t>
      </w:r>
      <w:r w:rsidR="00524714" w:rsidRPr="00524714">
        <w:t>4L</w:t>
      </w:r>
      <w:r w:rsidR="00115197" w:rsidRPr="00524714">
        <w:t xml:space="preserve"> setting</w:t>
      </w:r>
      <w:r w:rsidR="002A1D2E">
        <w:t>,</w:t>
      </w:r>
      <w:r w:rsidR="00115197" w:rsidRPr="00524714">
        <w:t xml:space="preserve"> </w:t>
      </w:r>
      <w:r w:rsidR="00524714" w:rsidRPr="00524714">
        <w:t xml:space="preserve">where it will be used </w:t>
      </w:r>
      <w:proofErr w:type="gramStart"/>
      <w:r w:rsidR="00115197" w:rsidRPr="00524714">
        <w:t>subsequent to</w:t>
      </w:r>
      <w:proofErr w:type="gramEnd"/>
      <w:r w:rsidR="00115197" w:rsidRPr="00524714">
        <w:t xml:space="preserve"> </w:t>
      </w:r>
      <w:r w:rsidR="00524714" w:rsidRPr="00524714">
        <w:t xml:space="preserve">TRI/TIP </w:t>
      </w:r>
      <w:r w:rsidR="00115197" w:rsidRPr="00524714">
        <w:t>(FRESCO</w:t>
      </w:r>
      <w:r w:rsidR="00524714" w:rsidRPr="00524714">
        <w:t xml:space="preserve"> </w:t>
      </w:r>
      <w:r w:rsidR="00115197" w:rsidRPr="00524714">
        <w:t>2)</w:t>
      </w:r>
      <w:r w:rsidR="002A1D2E">
        <w:t>,</w:t>
      </w:r>
      <w:r w:rsidR="00115197" w:rsidRPr="00524714">
        <w:t xml:space="preserve"> </w:t>
      </w:r>
      <w:r w:rsidR="00524714" w:rsidRPr="00524714">
        <w:t>was</w:t>
      </w:r>
      <w:r w:rsidR="00115197" w:rsidRPr="00524714">
        <w:t xml:space="preserve"> a</w:t>
      </w:r>
      <w:r w:rsidR="00933395">
        <w:t xml:space="preserve"> </w:t>
      </w:r>
      <w:r w:rsidR="00115197" w:rsidRPr="00524714">
        <w:t xml:space="preserve">strength of </w:t>
      </w:r>
      <w:r w:rsidR="00524714" w:rsidRPr="00524714">
        <w:t>the</w:t>
      </w:r>
      <w:r w:rsidR="00115197" w:rsidRPr="00524714">
        <w:t xml:space="preserve"> submission.</w:t>
      </w:r>
      <w:r w:rsidR="00524714" w:rsidRPr="00524714">
        <w:rPr>
          <w:rFonts w:eastAsia="Calibri"/>
        </w:rPr>
        <w:t xml:space="preserve"> The </w:t>
      </w:r>
      <w:r w:rsidR="00DB1BAA" w:rsidRPr="00524714">
        <w:rPr>
          <w:rFonts w:eastAsia="Calibri"/>
        </w:rPr>
        <w:t>Pre-PBAC response</w:t>
      </w:r>
      <w:r w:rsidR="00524714" w:rsidRPr="00524714">
        <w:rPr>
          <w:rFonts w:eastAsia="Calibri"/>
        </w:rPr>
        <w:t xml:space="preserve"> noted that</w:t>
      </w:r>
      <w:r w:rsidR="002A1D2E">
        <w:rPr>
          <w:rFonts w:eastAsia="Calibri"/>
        </w:rPr>
        <w:t xml:space="preserve"> in general,</w:t>
      </w:r>
      <w:r w:rsidR="00524714" w:rsidRPr="00524714">
        <w:rPr>
          <w:rFonts w:eastAsia="Calibri"/>
        </w:rPr>
        <w:t xml:space="preserve"> </w:t>
      </w:r>
      <w:r w:rsidR="00115197" w:rsidRPr="00524714">
        <w:t xml:space="preserve">treatments listed </w:t>
      </w:r>
      <w:proofErr w:type="gramStart"/>
      <w:r w:rsidR="00115197" w:rsidRPr="00524714">
        <w:t>on the basis of</w:t>
      </w:r>
      <w:proofErr w:type="gramEnd"/>
      <w:r w:rsidR="00115197" w:rsidRPr="00524714">
        <w:t xml:space="preserve"> </w:t>
      </w:r>
      <w:r w:rsidR="00524714" w:rsidRPr="00524714">
        <w:t>a CMA</w:t>
      </w:r>
      <w:r w:rsidR="00115197" w:rsidRPr="00524714">
        <w:t xml:space="preserve"> </w:t>
      </w:r>
      <w:r w:rsidR="00524714" w:rsidRPr="00524714">
        <w:t>may</w:t>
      </w:r>
      <w:r w:rsidR="00115197" w:rsidRPr="00524714">
        <w:t xml:space="preserve"> not only replace the main comparator but </w:t>
      </w:r>
      <w:r w:rsidR="00524714" w:rsidRPr="00524714">
        <w:t>also</w:t>
      </w:r>
      <w:r w:rsidR="00115197" w:rsidRPr="00524714">
        <w:t xml:space="preserve"> be used subsequent to it by some patients.</w:t>
      </w:r>
    </w:p>
    <w:p w14:paraId="353970C6" w14:textId="6D1DF2EF" w:rsidR="00E003EA" w:rsidRPr="00F11539" w:rsidRDefault="00E003EA" w:rsidP="00097BA6">
      <w:pPr>
        <w:pStyle w:val="3-BodyText"/>
        <w:rPr>
          <w:rFonts w:eastAsia="Calibri"/>
        </w:rPr>
      </w:pPr>
      <w:r w:rsidRPr="00F11539">
        <w:rPr>
          <w:rFonts w:eastAsia="Calibri"/>
        </w:rPr>
        <w:t xml:space="preserve">Overall, the ESC considered that the claim of non-inferior efficacy compared to </w:t>
      </w:r>
      <w:r w:rsidR="000B4F3F" w:rsidRPr="00F11539">
        <w:rPr>
          <w:rFonts w:eastAsia="Calibri"/>
        </w:rPr>
        <w:t>TRI/TIP</w:t>
      </w:r>
      <w:r w:rsidRPr="00F11539">
        <w:rPr>
          <w:rFonts w:eastAsia="Calibri"/>
        </w:rPr>
        <w:t xml:space="preserve"> </w:t>
      </w:r>
      <w:r w:rsidR="000F27CD">
        <w:rPr>
          <w:rFonts w:eastAsia="Calibri"/>
        </w:rPr>
        <w:t>was</w:t>
      </w:r>
      <w:r w:rsidRPr="00F11539">
        <w:rPr>
          <w:rFonts w:eastAsia="Calibri"/>
        </w:rPr>
        <w:t xml:space="preserve"> reasonable.</w:t>
      </w:r>
      <w:r w:rsidR="000F27CD">
        <w:rPr>
          <w:rFonts w:eastAsia="Calibri"/>
        </w:rPr>
        <w:t xml:space="preserve"> While the PBAC noted the uncertainty associated with the line of therapy for</w:t>
      </w:r>
      <w:r w:rsidR="00115197">
        <w:rPr>
          <w:rFonts w:eastAsia="Calibri"/>
        </w:rPr>
        <w:t xml:space="preserve"> which</w:t>
      </w:r>
      <w:r w:rsidR="000F27CD">
        <w:rPr>
          <w:rFonts w:eastAsia="Calibri"/>
        </w:rPr>
        <w:t xml:space="preserve"> fruquintinib</w:t>
      </w:r>
      <w:r w:rsidR="00115197">
        <w:rPr>
          <w:rFonts w:eastAsia="Calibri"/>
        </w:rPr>
        <w:t xml:space="preserve"> will be used in practice</w:t>
      </w:r>
      <w:r w:rsidR="000F27CD">
        <w:rPr>
          <w:rFonts w:eastAsia="Calibri"/>
        </w:rPr>
        <w:t xml:space="preserve"> and the transitivity issues across the different trial populations, it considered, on balance, that the claim of non-inferior efficacy </w:t>
      </w:r>
      <w:r w:rsidR="000F27CD" w:rsidRPr="00F11539">
        <w:rPr>
          <w:rFonts w:eastAsia="Calibri"/>
        </w:rPr>
        <w:t>compared to TRI/TIP</w:t>
      </w:r>
      <w:r w:rsidR="000F27CD">
        <w:rPr>
          <w:rFonts w:eastAsia="Calibri"/>
        </w:rPr>
        <w:t xml:space="preserve"> was justified.</w:t>
      </w:r>
    </w:p>
    <w:p w14:paraId="518585A1" w14:textId="23FD3523" w:rsidR="0095609C" w:rsidRPr="00712E8A" w:rsidRDefault="00891965" w:rsidP="00712E8A">
      <w:pPr>
        <w:pStyle w:val="3-BodyText"/>
        <w:rPr>
          <w:rFonts w:eastAsia="Calibri"/>
        </w:rPr>
      </w:pPr>
      <w:r w:rsidRPr="00990136">
        <w:rPr>
          <w:rFonts w:eastAsia="Calibri"/>
        </w:rPr>
        <w:t xml:space="preserve">The submission described fruquintinib as non-inferior in terms of safety compared to </w:t>
      </w:r>
      <w:r w:rsidR="00336E09">
        <w:rPr>
          <w:rFonts w:eastAsia="Calibri"/>
        </w:rPr>
        <w:t>TRI/TIP</w:t>
      </w:r>
      <w:r w:rsidRPr="00990136">
        <w:rPr>
          <w:rFonts w:eastAsia="Calibri"/>
        </w:rPr>
        <w:t>. T</w:t>
      </w:r>
      <w:r w:rsidR="003558FC">
        <w:rPr>
          <w:rFonts w:eastAsia="Calibri"/>
        </w:rPr>
        <w:t>he evaluation considered that t</w:t>
      </w:r>
      <w:r w:rsidRPr="00990136">
        <w:rPr>
          <w:rFonts w:eastAsia="Calibri"/>
        </w:rPr>
        <w:t>his claim was not adequately supported because</w:t>
      </w:r>
      <w:r w:rsidR="00097BA6" w:rsidRPr="00990136">
        <w:rPr>
          <w:rFonts w:eastAsia="Calibri"/>
        </w:rPr>
        <w:t xml:space="preserve"> f</w:t>
      </w:r>
      <w:r w:rsidR="00227864" w:rsidRPr="00990136">
        <w:t xml:space="preserve">ruquintinib and </w:t>
      </w:r>
      <w:r w:rsidR="00336E09">
        <w:rPr>
          <w:rFonts w:eastAsia="Calibri"/>
        </w:rPr>
        <w:t>TRI/TIP</w:t>
      </w:r>
      <w:r w:rsidR="00227864" w:rsidRPr="00990136">
        <w:t xml:space="preserve"> have distinct safety profiles. </w:t>
      </w:r>
      <w:r w:rsidR="00653F40" w:rsidRPr="00990136">
        <w:rPr>
          <w:rFonts w:eastAsia="Calibri"/>
        </w:rPr>
        <w:t>In the</w:t>
      </w:r>
      <w:r w:rsidR="00D2378A" w:rsidRPr="00990136">
        <w:rPr>
          <w:rFonts w:eastAsia="Calibri"/>
        </w:rPr>
        <w:t xml:space="preserve"> fruquintinib</w:t>
      </w:r>
      <w:r w:rsidR="00653F40" w:rsidRPr="00990136">
        <w:rPr>
          <w:rFonts w:eastAsia="Calibri"/>
        </w:rPr>
        <w:t xml:space="preserve"> FRESCO</w:t>
      </w:r>
      <w:r w:rsidR="00097BA6" w:rsidRPr="00990136">
        <w:rPr>
          <w:rFonts w:eastAsia="Calibri"/>
        </w:rPr>
        <w:t> </w:t>
      </w:r>
      <w:r w:rsidR="00653F40" w:rsidRPr="00990136">
        <w:rPr>
          <w:rFonts w:eastAsia="Calibri"/>
        </w:rPr>
        <w:t xml:space="preserve">2 trial, the most common </w:t>
      </w:r>
      <w:r w:rsidR="00413EBC" w:rsidRPr="00990136">
        <w:rPr>
          <w:rFonts w:eastAsia="Calibri"/>
        </w:rPr>
        <w:t>Grade ≥3 drug-related TE</w:t>
      </w:r>
      <w:r w:rsidR="00653F40" w:rsidRPr="00990136">
        <w:rPr>
          <w:rFonts w:eastAsia="Calibri"/>
        </w:rPr>
        <w:t>AEs were hypertension (11%), hand-foot syndrome (6%) and asthenia (5%), whereas in the</w:t>
      </w:r>
      <w:r w:rsidR="00D2378A" w:rsidRPr="00990136">
        <w:rPr>
          <w:rFonts w:eastAsia="Calibri"/>
        </w:rPr>
        <w:t xml:space="preserve"> </w:t>
      </w:r>
      <w:r w:rsidR="00336E09">
        <w:rPr>
          <w:rFonts w:eastAsia="Calibri"/>
        </w:rPr>
        <w:t>TRI/TIP</w:t>
      </w:r>
      <w:r w:rsidR="00653F40" w:rsidRPr="00990136">
        <w:rPr>
          <w:rFonts w:eastAsia="Calibri"/>
        </w:rPr>
        <w:t xml:space="preserve"> RECOURSE trial</w:t>
      </w:r>
      <w:r w:rsidR="00D30375" w:rsidRPr="00990136">
        <w:rPr>
          <w:rFonts w:eastAsia="Calibri"/>
        </w:rPr>
        <w:t>,</w:t>
      </w:r>
      <w:r w:rsidR="00653F40" w:rsidRPr="00990136">
        <w:rPr>
          <w:rFonts w:eastAsia="Calibri"/>
        </w:rPr>
        <w:t xml:space="preserve"> myelosuppression events (neutropenia [20%], decrease in neutrophil count [16%], and anaemia [12%]) were the most common </w:t>
      </w:r>
      <w:r w:rsidR="00413EBC" w:rsidRPr="00990136">
        <w:rPr>
          <w:rFonts w:eastAsia="Calibri"/>
        </w:rPr>
        <w:t>Grade ≥3 drug-related TE</w:t>
      </w:r>
      <w:r w:rsidR="00653F40" w:rsidRPr="00990136">
        <w:rPr>
          <w:rFonts w:eastAsia="Calibri"/>
        </w:rPr>
        <w:t>AEs</w:t>
      </w:r>
      <w:r w:rsidR="00653F40" w:rsidRPr="00F11539">
        <w:rPr>
          <w:rFonts w:eastAsia="Calibri"/>
        </w:rPr>
        <w:t>.</w:t>
      </w:r>
      <w:r w:rsidR="00656675" w:rsidRPr="00F11539">
        <w:rPr>
          <w:rFonts w:eastAsia="Calibri"/>
        </w:rPr>
        <w:t xml:space="preserve"> The PSCR </w:t>
      </w:r>
      <w:r w:rsidR="003A3EBB" w:rsidRPr="00F11539">
        <w:rPr>
          <w:rFonts w:eastAsia="Calibri"/>
        </w:rPr>
        <w:t>argued</w:t>
      </w:r>
      <w:r w:rsidR="00656675" w:rsidRPr="00F11539">
        <w:rPr>
          <w:rFonts w:eastAsia="Calibri"/>
        </w:rPr>
        <w:t xml:space="preserve"> that </w:t>
      </w:r>
      <w:r w:rsidR="003A3EBB" w:rsidRPr="00F11539">
        <w:rPr>
          <w:rFonts w:eastAsia="Calibri"/>
        </w:rPr>
        <w:t>neither toxicity profile is necessarily preferable over the other and there may be broader benefits of having agents with different safety profiles available to patients; in particular, fruquintinib may be more suitable for patients who are more susceptible to myelosuppression.</w:t>
      </w:r>
      <w:r w:rsidR="00CA7544" w:rsidRPr="00F11539">
        <w:rPr>
          <w:rFonts w:eastAsia="Calibri"/>
        </w:rPr>
        <w:t xml:space="preserve"> </w:t>
      </w:r>
      <w:r w:rsidR="00CA7544" w:rsidRPr="00F11539">
        <w:t xml:space="preserve">The ESC noted that fruquintinib had fewer severe TEAEs compared to </w:t>
      </w:r>
      <w:r w:rsidR="00336E09" w:rsidRPr="00F11539">
        <w:t>TRI/TIP</w:t>
      </w:r>
      <w:r w:rsidR="00CA7544" w:rsidRPr="00F11539">
        <w:t>, but it had more discontinuations of therapy. Overall, the ESC</w:t>
      </w:r>
      <w:r w:rsidR="00712E8A">
        <w:t xml:space="preserve"> and the PBAC</w:t>
      </w:r>
      <w:r w:rsidR="00CA7544" w:rsidRPr="00F11539">
        <w:t xml:space="preserve"> considered that the safety of fruquintinib was different but manageable compared to </w:t>
      </w:r>
      <w:r w:rsidR="00336E09" w:rsidRPr="00F11539">
        <w:t>TRI/TIP</w:t>
      </w:r>
      <w:r w:rsidR="00CA7544" w:rsidRPr="00F11539">
        <w:t>.</w:t>
      </w:r>
    </w:p>
    <w:p w14:paraId="759285AD" w14:textId="77777777" w:rsidR="00891965" w:rsidRDefault="00891965" w:rsidP="00891965">
      <w:pPr>
        <w:pStyle w:val="4-SubsectionHeading"/>
      </w:pPr>
      <w:bookmarkStart w:id="76" w:name="_Toc22897645"/>
      <w:bookmarkStart w:id="77" w:name="_Toc107927631"/>
      <w:bookmarkStart w:id="78" w:name="_Toc166861364"/>
      <w:bookmarkEnd w:id="75"/>
      <w:r w:rsidRPr="00A74236">
        <w:t>Economic analysis</w:t>
      </w:r>
      <w:bookmarkEnd w:id="76"/>
      <w:bookmarkEnd w:id="77"/>
      <w:bookmarkEnd w:id="78"/>
    </w:p>
    <w:p w14:paraId="111F3ECD" w14:textId="1B032ECA" w:rsidR="00891965" w:rsidRPr="00990136" w:rsidRDefault="00891965" w:rsidP="00891965">
      <w:pPr>
        <w:pStyle w:val="3-BodyText"/>
      </w:pPr>
      <w:r w:rsidRPr="00A2476F">
        <w:t xml:space="preserve">The submission presented a CMA of </w:t>
      </w:r>
      <w:r>
        <w:t>fruquintinib</w:t>
      </w:r>
      <w:r w:rsidRPr="00A2476F">
        <w:t xml:space="preserve"> versus </w:t>
      </w:r>
      <w:r w:rsidR="00336E09">
        <w:rPr>
          <w:rFonts w:eastAsia="Calibri"/>
        </w:rPr>
        <w:t>TRI/TIP</w:t>
      </w:r>
      <w:r w:rsidRPr="00A2476F">
        <w:t xml:space="preserve"> based on the</w:t>
      </w:r>
      <w:r>
        <w:t xml:space="preserve"> </w:t>
      </w:r>
      <w:r w:rsidRPr="00A2476F">
        <w:t>claim of non-inferior efficacy and safety.</w:t>
      </w:r>
      <w:r>
        <w:t xml:space="preserve"> </w:t>
      </w:r>
      <w:r w:rsidRPr="00A2476F">
        <w:t>The CMA presented was based on the</w:t>
      </w:r>
      <w:r>
        <w:t xml:space="preserve"> </w:t>
      </w:r>
      <w:r w:rsidRPr="00A2476F">
        <w:t>published price f</w:t>
      </w:r>
      <w:r>
        <w:t xml:space="preserve">or </w:t>
      </w:r>
      <w:r w:rsidR="00336E09">
        <w:rPr>
          <w:rFonts w:eastAsia="Calibri"/>
        </w:rPr>
        <w:t>TRI/TIP</w:t>
      </w:r>
      <w:r w:rsidRPr="00A2476F">
        <w:t>.</w:t>
      </w:r>
      <w:r>
        <w:t xml:space="preserve"> </w:t>
      </w:r>
      <w:r w:rsidRPr="00990136">
        <w:t>The</w:t>
      </w:r>
      <w:r w:rsidR="00D02BF7">
        <w:t xml:space="preserve"> evaluation noted that the</w:t>
      </w:r>
      <w:r w:rsidRPr="00990136">
        <w:t xml:space="preserve"> </w:t>
      </w:r>
      <w:r w:rsidR="005E3664" w:rsidRPr="00990136">
        <w:t>CMA</w:t>
      </w:r>
      <w:r w:rsidRPr="00990136">
        <w:t xml:space="preserve"> is only appropriate if</w:t>
      </w:r>
      <w:r w:rsidR="005E3664" w:rsidRPr="00990136">
        <w:t xml:space="preserve"> the following are </w:t>
      </w:r>
      <w:r w:rsidR="005E3664" w:rsidRPr="00990136">
        <w:lastRenderedPageBreak/>
        <w:t xml:space="preserve">accepted by the PBAC: (i) the place in therapy of fruquintinib is </w:t>
      </w:r>
      <w:r w:rsidR="005E4ED8" w:rsidRPr="00990136">
        <w:t>third or later line</w:t>
      </w:r>
      <w:r w:rsidR="005E3664" w:rsidRPr="00990136">
        <w:t xml:space="preserve"> for metastatic disease; (ii) the</w:t>
      </w:r>
      <w:r w:rsidR="00584D27" w:rsidRPr="00990136">
        <w:t xml:space="preserve"> appropriate</w:t>
      </w:r>
      <w:r w:rsidR="005E3664" w:rsidRPr="00990136">
        <w:t xml:space="preserve"> comparator </w:t>
      </w:r>
      <w:r w:rsidR="00C0474E" w:rsidRPr="00990136">
        <w:t>is</w:t>
      </w:r>
      <w:r w:rsidR="005E3664" w:rsidRPr="00990136">
        <w:t xml:space="preserve"> </w:t>
      </w:r>
      <w:r w:rsidR="00336E09">
        <w:rPr>
          <w:rFonts w:eastAsia="Calibri"/>
        </w:rPr>
        <w:t>TRI/TIP</w:t>
      </w:r>
      <w:r w:rsidR="005E3664" w:rsidRPr="00990136">
        <w:rPr>
          <w:snapToGrid/>
        </w:rPr>
        <w:t>;</w:t>
      </w:r>
      <w:r w:rsidR="00584D27" w:rsidRPr="00990136">
        <w:rPr>
          <w:snapToGrid/>
        </w:rPr>
        <w:t xml:space="preserve"> (iii) the </w:t>
      </w:r>
      <w:r w:rsidR="00BE2F04" w:rsidRPr="00990136">
        <w:rPr>
          <w:snapToGrid/>
        </w:rPr>
        <w:t xml:space="preserve">FRESCO 1 and </w:t>
      </w:r>
      <w:r w:rsidR="00584D27" w:rsidRPr="00990136">
        <w:rPr>
          <w:snapToGrid/>
        </w:rPr>
        <w:t>FRESCO 2 trial population</w:t>
      </w:r>
      <w:r w:rsidR="00BE2F04" w:rsidRPr="00990136">
        <w:rPr>
          <w:snapToGrid/>
        </w:rPr>
        <w:t>s</w:t>
      </w:r>
      <w:r w:rsidR="00584D27" w:rsidRPr="00990136">
        <w:rPr>
          <w:snapToGrid/>
        </w:rPr>
        <w:t xml:space="preserve"> </w:t>
      </w:r>
      <w:r w:rsidR="00BE2F04" w:rsidRPr="00990136">
        <w:rPr>
          <w:snapToGrid/>
        </w:rPr>
        <w:t>are</w:t>
      </w:r>
      <w:r w:rsidR="00584D27" w:rsidRPr="00990136">
        <w:rPr>
          <w:snapToGrid/>
        </w:rPr>
        <w:t xml:space="preserve"> sufficiently representative of the intended fruquintinib PBS population</w:t>
      </w:r>
      <w:r w:rsidR="007B4E98" w:rsidRPr="00990136">
        <w:rPr>
          <w:snapToGrid/>
        </w:rPr>
        <w:t xml:space="preserve"> in the 3L</w:t>
      </w:r>
      <w:r w:rsidR="00F030FE">
        <w:rPr>
          <w:snapToGrid/>
        </w:rPr>
        <w:t xml:space="preserve"> setting</w:t>
      </w:r>
      <w:r w:rsidR="00584D27" w:rsidRPr="00990136">
        <w:rPr>
          <w:snapToGrid/>
        </w:rPr>
        <w:t>;</w:t>
      </w:r>
      <w:r w:rsidR="005E3664" w:rsidRPr="00990136">
        <w:rPr>
          <w:snapToGrid/>
        </w:rPr>
        <w:t xml:space="preserve"> and</w:t>
      </w:r>
      <w:r w:rsidR="00C0474E" w:rsidRPr="00990136">
        <w:rPr>
          <w:snapToGrid/>
        </w:rPr>
        <w:t xml:space="preserve"> (i</w:t>
      </w:r>
      <w:r w:rsidR="00584D27" w:rsidRPr="00990136">
        <w:rPr>
          <w:snapToGrid/>
        </w:rPr>
        <w:t>v</w:t>
      </w:r>
      <w:r w:rsidR="00C0474E" w:rsidRPr="00990136">
        <w:rPr>
          <w:snapToGrid/>
        </w:rPr>
        <w:t>)</w:t>
      </w:r>
      <w:r w:rsidRPr="00990136">
        <w:t xml:space="preserve"> the clinical claim of non-inferiority in terms of effectiveness and safety</w:t>
      </w:r>
      <w:r w:rsidR="005E3664" w:rsidRPr="00990136">
        <w:t xml:space="preserve"> is reasonable</w:t>
      </w:r>
      <w:r w:rsidRPr="00990136">
        <w:t>.</w:t>
      </w:r>
      <w:r w:rsidR="00D02BF7">
        <w:t xml:space="preserve"> The PBAC accepted these </w:t>
      </w:r>
      <w:r w:rsidR="00A63468">
        <w:t>conditions</w:t>
      </w:r>
      <w:r w:rsidR="00D02BF7">
        <w:t>.</w:t>
      </w:r>
    </w:p>
    <w:p w14:paraId="13AC2DD9" w14:textId="226C7937" w:rsidR="00DA71C1" w:rsidRPr="00DA71C1" w:rsidRDefault="00DA71C1" w:rsidP="00DA71C1">
      <w:pPr>
        <w:pStyle w:val="3-BodyText"/>
      </w:pPr>
      <w:r w:rsidRPr="00940F72">
        <w:rPr>
          <w:rFonts w:cs="Calibri"/>
        </w:rPr>
        <w:t>The</w:t>
      </w:r>
      <w:r w:rsidRPr="00940F72">
        <w:rPr>
          <w:bCs/>
        </w:rPr>
        <w:t xml:space="preserve"> PBAC considered that </w:t>
      </w:r>
      <w:r w:rsidRPr="00A74236">
        <w:t xml:space="preserve">fruquintinib </w:t>
      </w:r>
      <w:r w:rsidRPr="00A71B55">
        <w:t>5</w:t>
      </w:r>
      <w:r>
        <w:t> </w:t>
      </w:r>
      <w:r w:rsidRPr="00A71B55">
        <w:t>mg</w:t>
      </w:r>
      <w:r>
        <w:t>/</w:t>
      </w:r>
      <w:r w:rsidRPr="00A71B55">
        <w:t>day for 21 days of each 28-day cycle</w:t>
      </w:r>
      <w:r>
        <w:t xml:space="preserve"> (total 105 mg) is equi-effective to</w:t>
      </w:r>
      <w:r w:rsidRPr="00A71B55">
        <w:t xml:space="preserve"> </w:t>
      </w:r>
      <w:r>
        <w:rPr>
          <w:rFonts w:eastAsia="Calibri"/>
        </w:rPr>
        <w:t>TRI/TIP</w:t>
      </w:r>
      <w:r w:rsidRPr="00A71B55">
        <w:t xml:space="preserve"> </w:t>
      </w:r>
      <w:r>
        <w:t>60 mg</w:t>
      </w:r>
      <w:r w:rsidRPr="00A71B55">
        <w:t xml:space="preserve"> twice daily on day</w:t>
      </w:r>
      <w:r>
        <w:t>s</w:t>
      </w:r>
      <w:r w:rsidRPr="00A71B55">
        <w:t xml:space="preserve"> 1-5 and 8-12 of each 28-day cycle</w:t>
      </w:r>
      <w:r>
        <w:t xml:space="preserve"> (total 1,200 mg)</w:t>
      </w:r>
      <w:r w:rsidRPr="00A71B55">
        <w:t>.</w:t>
      </w:r>
    </w:p>
    <w:p w14:paraId="3D095BAC" w14:textId="44849BCB" w:rsidR="00542746" w:rsidRPr="00990136" w:rsidRDefault="00542746" w:rsidP="00227864">
      <w:pPr>
        <w:pStyle w:val="3-BodyText"/>
      </w:pPr>
      <w:bookmarkStart w:id="79" w:name="_Hlk164087858"/>
      <w:bookmarkStart w:id="80" w:name="_Hlk164079536"/>
      <w:r w:rsidRPr="00227864">
        <w:t>The</w:t>
      </w:r>
      <w:r w:rsidRPr="00A71B55">
        <w:t xml:space="preserve"> equi-effective doses of fruquintinib and </w:t>
      </w:r>
      <w:r w:rsidR="001936BF">
        <w:rPr>
          <w:rFonts w:eastAsia="Calibri"/>
        </w:rPr>
        <w:t>TRI/TIP</w:t>
      </w:r>
      <w:r w:rsidRPr="00A71B55">
        <w:t xml:space="preserve"> were based on the recommended dosing regimens in the draft PI for fruquintinib and approved TGA PI for </w:t>
      </w:r>
      <w:r w:rsidR="001936BF">
        <w:rPr>
          <w:rFonts w:eastAsia="Calibri"/>
        </w:rPr>
        <w:t>TRI/TIP</w:t>
      </w:r>
      <w:r w:rsidRPr="00A71B55">
        <w:t>. The recommended dosing regimen for fruquintinib is 5</w:t>
      </w:r>
      <w:r>
        <w:t> </w:t>
      </w:r>
      <w:r w:rsidRPr="00A71B55">
        <w:t>mg</w:t>
      </w:r>
      <w:r>
        <w:t>/</w:t>
      </w:r>
      <w:r w:rsidRPr="00A71B55">
        <w:t xml:space="preserve">day for first 21 days of each 28-day cycle, and for </w:t>
      </w:r>
      <w:r w:rsidR="001936BF">
        <w:rPr>
          <w:rFonts w:eastAsia="Calibri"/>
        </w:rPr>
        <w:t>TRI/TIP</w:t>
      </w:r>
      <w:r w:rsidRPr="00A71B55">
        <w:t xml:space="preserve"> is 35 mg/m</w:t>
      </w:r>
      <w:r w:rsidRPr="00A71B55">
        <w:rPr>
          <w:vertAlign w:val="superscript"/>
        </w:rPr>
        <w:t>2</w:t>
      </w:r>
      <w:r w:rsidRPr="00A71B55">
        <w:t xml:space="preserve"> twice daily on day</w:t>
      </w:r>
      <w:r>
        <w:t>s</w:t>
      </w:r>
      <w:r w:rsidRPr="00A71B55">
        <w:t xml:space="preserve"> 1-5 and 8-12 of each 28-day cycle. </w:t>
      </w:r>
      <w:r w:rsidRPr="00990136">
        <w:t>The dosing regimens were consistent with the dosing protocols applied in the FRESCO 2 and RECOURSE trials.</w:t>
      </w:r>
    </w:p>
    <w:p w14:paraId="592FE2BD" w14:textId="4F0781B9" w:rsidR="00542746" w:rsidRDefault="00542746" w:rsidP="00891965">
      <w:pPr>
        <w:pStyle w:val="3-BodyText"/>
      </w:pPr>
      <w:r>
        <w:t xml:space="preserve">Given that </w:t>
      </w:r>
      <w:r w:rsidR="001936BF">
        <w:rPr>
          <w:rFonts w:eastAsia="Calibri"/>
        </w:rPr>
        <w:t>TRI/TIP</w:t>
      </w:r>
      <w:r>
        <w:t xml:space="preserve"> dosing is based on body surface area, the submission used an average dose of 60 mg for </w:t>
      </w:r>
      <w:r w:rsidR="001936BF">
        <w:rPr>
          <w:rFonts w:eastAsia="Calibri"/>
        </w:rPr>
        <w:t>TRI/TIP</w:t>
      </w:r>
      <w:r>
        <w:t xml:space="preserve">. The average dose of 60 mg for trifluridine </w:t>
      </w:r>
      <w:r w:rsidRPr="00A71B55">
        <w:t xml:space="preserve">(i.e., 60 mg twice daily on </w:t>
      </w:r>
      <w:r>
        <w:t>d</w:t>
      </w:r>
      <w:r w:rsidRPr="00A71B55">
        <w:t xml:space="preserve">ays 1-5 and </w:t>
      </w:r>
      <w:r>
        <w:t>d</w:t>
      </w:r>
      <w:r w:rsidRPr="00A71B55">
        <w:t xml:space="preserve">ays 8-12 of each 28-day cycle) was accepted by the PBAC in the November 2016 </w:t>
      </w:r>
      <w:r w:rsidR="001936BF">
        <w:rPr>
          <w:rFonts w:eastAsia="Calibri"/>
        </w:rPr>
        <w:t>TRI/TIP</w:t>
      </w:r>
      <w:r w:rsidRPr="00A71B55">
        <w:t xml:space="preserve"> submission (paragraph 6.37, </w:t>
      </w:r>
      <w:r w:rsidR="001936BF">
        <w:rPr>
          <w:rFonts w:eastAsia="Calibri"/>
        </w:rPr>
        <w:t>TRI/TIP</w:t>
      </w:r>
      <w:r w:rsidRPr="00A71B55">
        <w:t xml:space="preserve">, </w:t>
      </w:r>
      <w:r>
        <w:t>PSD</w:t>
      </w:r>
      <w:r w:rsidRPr="00A71B55">
        <w:t>, November 2016 PBAC meeting).</w:t>
      </w:r>
      <w:r>
        <w:t xml:space="preserve"> </w:t>
      </w:r>
      <w:r w:rsidRPr="00990136">
        <w:t>This was reasonable and consistent with dosing used in the regorafenib submission to the PBAC.</w:t>
      </w:r>
    </w:p>
    <w:p w14:paraId="04BF2C9A" w14:textId="43EC427A" w:rsidR="00F030FE" w:rsidRPr="008F0B3D" w:rsidRDefault="00891965" w:rsidP="00996FD4">
      <w:pPr>
        <w:pStyle w:val="3-BodyText"/>
      </w:pPr>
      <w:r>
        <w:t xml:space="preserve">The </w:t>
      </w:r>
      <w:r w:rsidR="00227864">
        <w:t xml:space="preserve">submission assumed </w:t>
      </w:r>
      <w:r>
        <w:t xml:space="preserve">treatment duration for fruquintinib and </w:t>
      </w:r>
      <w:r w:rsidR="001936BF">
        <w:rPr>
          <w:rFonts w:eastAsia="Calibri"/>
        </w:rPr>
        <w:t>TRI/TIP</w:t>
      </w:r>
      <w:r>
        <w:t xml:space="preserve"> was </w:t>
      </w:r>
      <w:r w:rsidR="00227864">
        <w:t>the same based on the claim of non-inferior PFS</w:t>
      </w:r>
      <w:r>
        <w:t xml:space="preserve"> and, therefore, not considered in the CMA. </w:t>
      </w:r>
      <w:r w:rsidR="00227864" w:rsidRPr="00990136">
        <w:t>However, t</w:t>
      </w:r>
      <w:r w:rsidRPr="00990136">
        <w:t xml:space="preserve">here were differences in </w:t>
      </w:r>
      <w:r w:rsidR="00227864" w:rsidRPr="00990136">
        <w:t xml:space="preserve">the </w:t>
      </w:r>
      <w:r w:rsidRPr="00990136">
        <w:t>treatment duration between the key clinical trials</w:t>
      </w:r>
      <w:r w:rsidR="00227864" w:rsidRPr="00990136">
        <w:t xml:space="preserve">. </w:t>
      </w:r>
      <w:r w:rsidRPr="00990136">
        <w:t xml:space="preserve">The </w:t>
      </w:r>
      <w:r w:rsidR="001D27D0" w:rsidRPr="00990136">
        <w:t xml:space="preserve">mean </w:t>
      </w:r>
      <w:r w:rsidRPr="00990136">
        <w:t xml:space="preserve">treatment duration with fruquintinib was </w:t>
      </w:r>
      <w:bookmarkStart w:id="81" w:name="_Hlk164316418"/>
      <w:r w:rsidRPr="00990136">
        <w:t xml:space="preserve">4.04 months (4.34 cycles) </w:t>
      </w:r>
      <w:bookmarkEnd w:id="81"/>
      <w:r w:rsidR="00653F40" w:rsidRPr="00990136">
        <w:t>in the</w:t>
      </w:r>
      <w:r w:rsidRPr="00990136">
        <w:t xml:space="preserve"> FRESCO 2 trial, while the </w:t>
      </w:r>
      <w:r w:rsidR="00227864" w:rsidRPr="00990136">
        <w:t xml:space="preserve">mean </w:t>
      </w:r>
      <w:r w:rsidRPr="00990136">
        <w:t xml:space="preserve">treatment duration with </w:t>
      </w:r>
      <w:r w:rsidR="001936BF">
        <w:rPr>
          <w:rFonts w:eastAsia="Calibri"/>
        </w:rPr>
        <w:t>TRI/TIP</w:t>
      </w:r>
      <w:r w:rsidRPr="00990136">
        <w:t xml:space="preserve"> was 12.7 weeks or</w:t>
      </w:r>
      <w:r w:rsidR="00007F15" w:rsidRPr="00990136">
        <w:t xml:space="preserve"> 2.9 months</w:t>
      </w:r>
      <w:r w:rsidRPr="00990136">
        <w:t xml:space="preserve"> </w:t>
      </w:r>
      <w:r w:rsidR="00007F15" w:rsidRPr="00990136">
        <w:t>[</w:t>
      </w:r>
      <w:r w:rsidRPr="00990136">
        <w:t>3.18 cycles (i.e., 12.7/4)</w:t>
      </w:r>
      <w:r w:rsidR="00007F15" w:rsidRPr="00990136">
        <w:t>]</w:t>
      </w:r>
      <w:r w:rsidRPr="00990136">
        <w:t xml:space="preserve"> in</w:t>
      </w:r>
      <w:r w:rsidR="00653F40" w:rsidRPr="00990136">
        <w:t xml:space="preserve"> the</w:t>
      </w:r>
      <w:r w:rsidRPr="00990136">
        <w:t xml:space="preserve"> RECOURSE trial</w:t>
      </w:r>
      <w:bookmarkEnd w:id="79"/>
      <w:bookmarkEnd w:id="80"/>
      <w:r w:rsidR="002A5D1E">
        <w:t>.</w:t>
      </w:r>
      <w:r w:rsidR="00996FD4">
        <w:t xml:space="preserve"> </w:t>
      </w:r>
      <w:r w:rsidR="00F030FE" w:rsidRPr="00F11539">
        <w:t xml:space="preserve">The PSCR stated that equal treatment durations for fruquintinib and </w:t>
      </w:r>
      <w:r w:rsidR="001936BF" w:rsidRPr="00F11539">
        <w:t>TRI/TIP</w:t>
      </w:r>
      <w:r w:rsidR="00F030FE" w:rsidRPr="00F11539">
        <w:t xml:space="preserve"> is consistent with the submission’s claim of non-inferior efficacy and any nominal differences in durations are an artefact of the trial populations and designs.</w:t>
      </w:r>
      <w:r w:rsidR="00F030FE" w:rsidRPr="008F0B3D">
        <w:t xml:space="preserve">   </w:t>
      </w:r>
    </w:p>
    <w:p w14:paraId="6A416C0A" w14:textId="67F8DBD7" w:rsidR="00891965" w:rsidRPr="00990136" w:rsidRDefault="00891965" w:rsidP="00891965">
      <w:pPr>
        <w:pStyle w:val="3-BodyText"/>
      </w:pPr>
      <w:r>
        <w:t xml:space="preserve">The submission applied a dose intensity of 100% to both fruquintinib and </w:t>
      </w:r>
      <w:r w:rsidR="001936BF">
        <w:rPr>
          <w:rFonts w:eastAsia="Calibri"/>
        </w:rPr>
        <w:t>TRI/TIP</w:t>
      </w:r>
      <w:r w:rsidRPr="00632E88">
        <w:t xml:space="preserve"> rather than the average </w:t>
      </w:r>
      <w:r w:rsidR="00502B65">
        <w:t>relative dose intensity (</w:t>
      </w:r>
      <w:r w:rsidRPr="00632E88">
        <w:t>RDI</w:t>
      </w:r>
      <w:r w:rsidR="00502B65">
        <w:t>)</w:t>
      </w:r>
      <w:r w:rsidRPr="00632E88">
        <w:t xml:space="preserve"> reported in </w:t>
      </w:r>
      <w:r w:rsidR="00653F40">
        <w:t xml:space="preserve">the </w:t>
      </w:r>
      <w:r w:rsidRPr="00632E88">
        <w:t>FRESCO 2 (9</w:t>
      </w:r>
      <w:r>
        <w:t>2</w:t>
      </w:r>
      <w:r w:rsidRPr="00632E88">
        <w:t xml:space="preserve">%) and RECOURSE (89%) </w:t>
      </w:r>
      <w:r w:rsidRPr="00FA3A92">
        <w:t>trial</w:t>
      </w:r>
      <w:r w:rsidR="00653F40">
        <w:t>s</w:t>
      </w:r>
      <w:r w:rsidRPr="00FA3A92">
        <w:t xml:space="preserve">. </w:t>
      </w:r>
    </w:p>
    <w:p w14:paraId="618AB343" w14:textId="4D5BAC10" w:rsidR="00891965" w:rsidRPr="00990136" w:rsidRDefault="00CD4AE9" w:rsidP="00891965">
      <w:pPr>
        <w:pStyle w:val="3-BodyText"/>
      </w:pPr>
      <w:r>
        <w:t xml:space="preserve">The submission stated that, to be conservative, the costs of managing </w:t>
      </w:r>
      <w:r w:rsidR="00502B65">
        <w:t xml:space="preserve">AEs </w:t>
      </w:r>
      <w:r>
        <w:t xml:space="preserve">were not included in the CMA. </w:t>
      </w:r>
      <w:r w:rsidR="00891965">
        <w:t xml:space="preserve">The submission estimated the total cost per cycle for management and monitoring of AEs to be $6.79 for fruquintinib and $318.79 for </w:t>
      </w:r>
      <w:r w:rsidR="001936BF">
        <w:rPr>
          <w:rFonts w:eastAsia="Calibri"/>
        </w:rPr>
        <w:t>TRI/TIP</w:t>
      </w:r>
      <w:r w:rsidR="00891965">
        <w:t>.</w:t>
      </w:r>
      <w:r w:rsidR="00891965" w:rsidRPr="007466B9">
        <w:t xml:space="preserve"> </w:t>
      </w:r>
      <w:r w:rsidR="00891965" w:rsidRPr="00990136">
        <w:t xml:space="preserve">Although </w:t>
      </w:r>
      <w:r w:rsidR="001936BF">
        <w:rPr>
          <w:rFonts w:eastAsia="Calibri"/>
        </w:rPr>
        <w:t>TRI/TIP</w:t>
      </w:r>
      <w:r w:rsidR="00891965" w:rsidRPr="00990136">
        <w:t xml:space="preserve"> </w:t>
      </w:r>
      <w:r w:rsidR="00EE2A77" w:rsidRPr="00990136">
        <w:t>may</w:t>
      </w:r>
      <w:r w:rsidR="00891965" w:rsidRPr="00990136">
        <w:t xml:space="preserve"> incur higher AE costs due to its safety profile (myelosuppression), </w:t>
      </w:r>
      <w:r w:rsidR="00EE2A77" w:rsidRPr="00990136">
        <w:t>these estimates are uncertain because</w:t>
      </w:r>
      <w:r w:rsidR="00891965" w:rsidRPr="00990136">
        <w:t>:</w:t>
      </w:r>
    </w:p>
    <w:p w14:paraId="210BF5AC" w14:textId="655E3D24" w:rsidR="00891965" w:rsidRPr="00990136" w:rsidRDefault="00891965" w:rsidP="004E70AA">
      <w:pPr>
        <w:pStyle w:val="ListParagraph"/>
        <w:ind w:left="1080"/>
      </w:pPr>
      <w:r w:rsidRPr="00990136">
        <w:t>The submission did not justify the use of the criterion for selecting only</w:t>
      </w:r>
      <w:r w:rsidR="00227864" w:rsidRPr="00990136">
        <w:t xml:space="preserve"> study-drug related</w:t>
      </w:r>
      <w:r w:rsidRPr="00990136">
        <w:t xml:space="preserve"> Grade 4 or serious AEs (SAEs) with an occurrence of ≥1.5%. No AEs in </w:t>
      </w:r>
      <w:r w:rsidR="00653F40" w:rsidRPr="00990136">
        <w:t xml:space="preserve">the </w:t>
      </w:r>
      <w:r w:rsidRPr="00990136">
        <w:t xml:space="preserve">FRESCO 2 trial met this </w:t>
      </w:r>
      <w:r w:rsidR="00EE2A77" w:rsidRPr="00990136">
        <w:t>criterion</w:t>
      </w:r>
      <w:r w:rsidRPr="00990136">
        <w:t xml:space="preserve">, whereas </w:t>
      </w:r>
      <w:r w:rsidR="00CD4AE9" w:rsidRPr="00990136">
        <w:t xml:space="preserve">the </w:t>
      </w:r>
      <w:r w:rsidRPr="00990136">
        <w:t xml:space="preserve">cost of hospitalisation for two SAEs </w:t>
      </w:r>
      <w:r w:rsidRPr="00990136">
        <w:lastRenderedPageBreak/>
        <w:t xml:space="preserve">(febrile neutropenia and anaemia) in </w:t>
      </w:r>
      <w:r w:rsidR="00CD4AE9" w:rsidRPr="00990136">
        <w:t xml:space="preserve">the </w:t>
      </w:r>
      <w:r w:rsidRPr="00990136">
        <w:t xml:space="preserve">RECOURSE trial were included. This may underestimate the treatment cost of AEs associated with fruquintinib.  </w:t>
      </w:r>
    </w:p>
    <w:p w14:paraId="62DC8346" w14:textId="52157731" w:rsidR="00891965" w:rsidRDefault="00891965" w:rsidP="004E70AA">
      <w:pPr>
        <w:pStyle w:val="ListParagraph"/>
        <w:ind w:left="1080"/>
      </w:pPr>
      <w:r w:rsidRPr="00990136">
        <w:t xml:space="preserve">The submission did not justify the criterion of selecting concomitant medications that had ≥5% higher utilisation in the fruquintinib or </w:t>
      </w:r>
      <w:r w:rsidR="001936BF">
        <w:rPr>
          <w:rFonts w:eastAsia="Calibri"/>
        </w:rPr>
        <w:t>TRI/TIP</w:t>
      </w:r>
      <w:r w:rsidRPr="00990136">
        <w:t xml:space="preserve"> </w:t>
      </w:r>
      <w:r w:rsidR="00074B9B">
        <w:t xml:space="preserve">arms of the trials </w:t>
      </w:r>
      <w:r w:rsidRPr="00990136">
        <w:t xml:space="preserve">compared to </w:t>
      </w:r>
      <w:r w:rsidR="00074B9B">
        <w:t xml:space="preserve">the </w:t>
      </w:r>
      <w:r w:rsidRPr="00990136">
        <w:t>placebo</w:t>
      </w:r>
      <w:r w:rsidR="00074B9B">
        <w:t xml:space="preserve"> arms</w:t>
      </w:r>
      <w:r w:rsidRPr="00990136">
        <w:t>. Furthermore, the submission used</w:t>
      </w:r>
      <w:r w:rsidR="00653F40" w:rsidRPr="00990136">
        <w:t xml:space="preserve"> an</w:t>
      </w:r>
      <w:r w:rsidRPr="00990136">
        <w:t xml:space="preserve"> incremental difference approach to calculate the cost of management of AEs, which may not accurately reflect the true burden of AEs in practice and may underestimate treatment costs.</w:t>
      </w:r>
    </w:p>
    <w:p w14:paraId="43B48B9A" w14:textId="4C1F634C" w:rsidR="00947E28" w:rsidRPr="00947E28" w:rsidRDefault="00A02F40" w:rsidP="00A02F40">
      <w:pPr>
        <w:pStyle w:val="ListBullet"/>
        <w:numPr>
          <w:ilvl w:val="0"/>
          <w:numId w:val="0"/>
        </w:numPr>
        <w:spacing w:after="120"/>
        <w:ind w:left="720"/>
        <w:contextualSpacing w:val="0"/>
      </w:pPr>
      <w:r>
        <w:t>The PBAC did not accept the submission’s position that the AE costs associated with fruquintinib would be lower than those associated with TRI/TIP, as</w:t>
      </w:r>
      <w:r w:rsidR="001357A0">
        <w:t xml:space="preserve"> it considered</w:t>
      </w:r>
      <w:r>
        <w:t xml:space="preserve"> the </w:t>
      </w:r>
      <w:r w:rsidR="00996FD4">
        <w:t xml:space="preserve">above </w:t>
      </w:r>
      <w:r>
        <w:t xml:space="preserve">assumptions </w:t>
      </w:r>
      <w:r w:rsidR="00A63468">
        <w:t>to be</w:t>
      </w:r>
      <w:r>
        <w:t xml:space="preserve"> unreasonable</w:t>
      </w:r>
      <w:r w:rsidR="00996FD4">
        <w:t>.</w:t>
      </w:r>
      <w:r>
        <w:t xml:space="preserve"> </w:t>
      </w:r>
      <w:r w:rsidR="00996FD4">
        <w:t xml:space="preserve">The PBAC </w:t>
      </w:r>
      <w:r w:rsidR="00514A6F">
        <w:t>consider</w:t>
      </w:r>
      <w:r w:rsidR="00996FD4">
        <w:t>ed it appropriate</w:t>
      </w:r>
      <w:r>
        <w:t xml:space="preserve"> that the AE costs </w:t>
      </w:r>
      <w:r w:rsidR="00996FD4">
        <w:t xml:space="preserve">are </w:t>
      </w:r>
      <w:r>
        <w:t xml:space="preserve">not included in the CMA as they </w:t>
      </w:r>
      <w:r w:rsidR="00996FD4">
        <w:t xml:space="preserve">are </w:t>
      </w:r>
      <w:r>
        <w:t>likely to be similar between agents.</w:t>
      </w:r>
    </w:p>
    <w:p w14:paraId="554B0D7E" w14:textId="67F6211B" w:rsidR="00891965" w:rsidRDefault="00891965" w:rsidP="00891965">
      <w:pPr>
        <w:pStyle w:val="3-BodyText"/>
      </w:pPr>
      <w:r w:rsidRPr="00FA3A92">
        <w:t xml:space="preserve">The results of the CMA based on the published AEMP of </w:t>
      </w:r>
      <w:r w:rsidR="001936BF">
        <w:rPr>
          <w:rFonts w:eastAsia="Calibri"/>
        </w:rPr>
        <w:t>TRI/TIP</w:t>
      </w:r>
      <w:r w:rsidRPr="00FA3A92">
        <w:t xml:space="preserve"> </w:t>
      </w:r>
      <w:r w:rsidR="00653F40">
        <w:t xml:space="preserve">are </w:t>
      </w:r>
      <w:r w:rsidRPr="00FA3A92">
        <w:t>presented in</w:t>
      </w:r>
      <w:r w:rsidR="00323E6B">
        <w:t xml:space="preserve"> Table 8</w:t>
      </w:r>
      <w:r w:rsidR="00814A71">
        <w:t>.</w:t>
      </w:r>
    </w:p>
    <w:p w14:paraId="3B51755D" w14:textId="01D79B64" w:rsidR="00891965" w:rsidRDefault="00891965" w:rsidP="00891965">
      <w:pPr>
        <w:pStyle w:val="Caption"/>
      </w:pPr>
      <w:bookmarkStart w:id="82" w:name="_Ref164312506"/>
      <w:r>
        <w:t xml:space="preserve">Table </w:t>
      </w:r>
      <w:r w:rsidR="00DD5C00">
        <w:fldChar w:fldCharType="begin"/>
      </w:r>
      <w:r w:rsidR="00DD5C00">
        <w:instrText xml:space="preserve"> SEQ Table \* ARABIC </w:instrText>
      </w:r>
      <w:r w:rsidR="00DD5C00">
        <w:fldChar w:fldCharType="separate"/>
      </w:r>
      <w:r w:rsidR="00F03729">
        <w:rPr>
          <w:noProof/>
        </w:rPr>
        <w:t>8</w:t>
      </w:r>
      <w:r w:rsidR="00DD5C00">
        <w:rPr>
          <w:noProof/>
        </w:rPr>
        <w:fldChar w:fldCharType="end"/>
      </w:r>
      <w:bookmarkEnd w:id="82"/>
      <w:r>
        <w:t xml:space="preserve">: Results of the CMA based on published AEMP of </w:t>
      </w:r>
      <w:r w:rsidR="001936BF">
        <w:rPr>
          <w:rFonts w:eastAsia="Calibri"/>
        </w:rPr>
        <w:t>TRI/TIP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CMA based on published AEMP of TRI/TIP"/>
      </w:tblPr>
      <w:tblGrid>
        <w:gridCol w:w="342"/>
        <w:gridCol w:w="1685"/>
        <w:gridCol w:w="1747"/>
        <w:gridCol w:w="1747"/>
        <w:gridCol w:w="1747"/>
        <w:gridCol w:w="1749"/>
      </w:tblGrid>
      <w:tr w:rsidR="00891965" w:rsidRPr="00383B78" w14:paraId="7C9298E5" w14:textId="77777777" w:rsidTr="00DB2E12">
        <w:tc>
          <w:tcPr>
            <w:tcW w:w="189" w:type="pct"/>
          </w:tcPr>
          <w:p w14:paraId="3F103B6A" w14:textId="77777777" w:rsidR="00891965" w:rsidRDefault="00891965" w:rsidP="00DB2E12">
            <w:pPr>
              <w:pStyle w:val="In-tableHeading"/>
            </w:pPr>
          </w:p>
        </w:tc>
        <w:tc>
          <w:tcPr>
            <w:tcW w:w="934" w:type="pct"/>
          </w:tcPr>
          <w:p w14:paraId="6CC4280C" w14:textId="77777777" w:rsidR="00891965" w:rsidRPr="00383B78" w:rsidRDefault="00891965" w:rsidP="00DB2E12">
            <w:pPr>
              <w:pStyle w:val="In-tableHeading"/>
            </w:pPr>
            <w:r>
              <w:t>Component</w:t>
            </w:r>
          </w:p>
        </w:tc>
        <w:tc>
          <w:tcPr>
            <w:tcW w:w="969" w:type="pct"/>
          </w:tcPr>
          <w:p w14:paraId="3C414CB2" w14:textId="77777777" w:rsidR="00891965" w:rsidRPr="00383B78" w:rsidRDefault="00891965" w:rsidP="00DB2E12">
            <w:pPr>
              <w:pStyle w:val="In-tableHeading"/>
              <w:jc w:val="center"/>
            </w:pPr>
            <w:r>
              <w:t xml:space="preserve">Fruquintinib </w:t>
            </w:r>
          </w:p>
        </w:tc>
        <w:tc>
          <w:tcPr>
            <w:tcW w:w="969" w:type="pct"/>
          </w:tcPr>
          <w:p w14:paraId="302817B7" w14:textId="77777777" w:rsidR="00891965" w:rsidRDefault="00891965" w:rsidP="00DB2E12">
            <w:pPr>
              <w:pStyle w:val="In-tableHeading"/>
              <w:jc w:val="center"/>
            </w:pPr>
            <w:r>
              <w:t>Calculation/</w:t>
            </w:r>
          </w:p>
          <w:p w14:paraId="0D229329" w14:textId="77777777" w:rsidR="00891965" w:rsidRDefault="00891965" w:rsidP="00DB2E12">
            <w:pPr>
              <w:pStyle w:val="In-tableHeading"/>
              <w:jc w:val="center"/>
            </w:pPr>
            <w:r>
              <w:t>Reference</w:t>
            </w:r>
          </w:p>
        </w:tc>
        <w:tc>
          <w:tcPr>
            <w:tcW w:w="969" w:type="pct"/>
          </w:tcPr>
          <w:p w14:paraId="027450E8" w14:textId="77777777" w:rsidR="00891965" w:rsidRDefault="00891965" w:rsidP="00DB2E12">
            <w:pPr>
              <w:pStyle w:val="In-tableHeading"/>
              <w:jc w:val="center"/>
            </w:pPr>
            <w:r>
              <w:t>Trifluridine/</w:t>
            </w:r>
          </w:p>
          <w:p w14:paraId="435092EC" w14:textId="77777777" w:rsidR="00891965" w:rsidRPr="00383B78" w:rsidRDefault="00891965" w:rsidP="00DB2E12">
            <w:pPr>
              <w:pStyle w:val="In-tableHeading"/>
              <w:jc w:val="center"/>
            </w:pPr>
            <w:r>
              <w:t>tipiracil</w:t>
            </w:r>
          </w:p>
        </w:tc>
        <w:tc>
          <w:tcPr>
            <w:tcW w:w="970" w:type="pct"/>
          </w:tcPr>
          <w:p w14:paraId="05213BE3" w14:textId="77777777" w:rsidR="00891965" w:rsidRDefault="00891965" w:rsidP="00DB2E12">
            <w:pPr>
              <w:pStyle w:val="In-tableHeading"/>
              <w:jc w:val="center"/>
            </w:pPr>
            <w:r>
              <w:t>Calculation/</w:t>
            </w:r>
          </w:p>
          <w:p w14:paraId="670316E7" w14:textId="77777777" w:rsidR="00891965" w:rsidRDefault="00891965" w:rsidP="00DB2E12">
            <w:pPr>
              <w:pStyle w:val="In-tableHeading"/>
              <w:jc w:val="center"/>
            </w:pPr>
            <w:r>
              <w:t>Reference</w:t>
            </w:r>
          </w:p>
        </w:tc>
      </w:tr>
      <w:tr w:rsidR="00891965" w14:paraId="0A016492" w14:textId="77777777" w:rsidTr="00DB2E12">
        <w:tc>
          <w:tcPr>
            <w:tcW w:w="189" w:type="pct"/>
            <w:vAlign w:val="center"/>
          </w:tcPr>
          <w:p w14:paraId="1F00887F" w14:textId="77777777" w:rsidR="00891965" w:rsidRDefault="00891965" w:rsidP="00DB2E12">
            <w:pPr>
              <w:pStyle w:val="TableText0"/>
            </w:pPr>
            <w:r>
              <w:t>A</w:t>
            </w:r>
          </w:p>
        </w:tc>
        <w:tc>
          <w:tcPr>
            <w:tcW w:w="934" w:type="pct"/>
            <w:vAlign w:val="center"/>
          </w:tcPr>
          <w:p w14:paraId="72813AFD" w14:textId="77777777" w:rsidR="00891965" w:rsidRDefault="00891965" w:rsidP="00DB2E12">
            <w:pPr>
              <w:pStyle w:val="TableText0"/>
            </w:pPr>
            <w:r>
              <w:t xml:space="preserve">Cost per pack </w:t>
            </w:r>
          </w:p>
        </w:tc>
        <w:tc>
          <w:tcPr>
            <w:tcW w:w="969" w:type="pct"/>
            <w:vAlign w:val="center"/>
          </w:tcPr>
          <w:p w14:paraId="62C0E75B" w14:textId="1E8CAC52" w:rsidR="00891965" w:rsidRPr="00F95AD0" w:rsidRDefault="00891965" w:rsidP="00DB2E12">
            <w:pPr>
              <w:pStyle w:val="TableText0"/>
              <w:jc w:val="center"/>
              <w:rPr>
                <w:b/>
                <w:bCs w:val="0"/>
              </w:rPr>
            </w:pPr>
            <w:r w:rsidRPr="00F95AD0">
              <w:rPr>
                <w:b/>
                <w:bCs w:val="0"/>
              </w:rPr>
              <w:t>$</w:t>
            </w:r>
            <w:r w:rsidR="00987239" w:rsidRPr="00DE7B7E">
              <w:rPr>
                <w:rFonts w:hint="eastAsia"/>
                <w:b/>
                <w:bCs w:val="0"/>
                <w:color w:val="000000"/>
                <w:w w:val="33"/>
                <w:shd w:val="solid" w:color="000000" w:fill="000000"/>
                <w:fitText w:val="150" w:id="-860171008"/>
                <w14:textFill>
                  <w14:solidFill>
                    <w14:srgbClr w14:val="000000">
                      <w14:alpha w14:val="100000"/>
                    </w14:srgbClr>
                  </w14:solidFill>
                </w14:textFill>
              </w:rPr>
              <w:t xml:space="preserve">　</w:t>
            </w:r>
            <w:r w:rsidR="00987239" w:rsidRPr="00DE7B7E">
              <w:rPr>
                <w:b/>
                <w:bCs w:val="0"/>
                <w:color w:val="000000"/>
                <w:w w:val="33"/>
                <w:shd w:val="solid" w:color="000000" w:fill="000000"/>
                <w:fitText w:val="150" w:id="-860171008"/>
                <w14:textFill>
                  <w14:solidFill>
                    <w14:srgbClr w14:val="000000">
                      <w14:alpha w14:val="100000"/>
                    </w14:srgbClr>
                  </w14:solidFill>
                </w14:textFill>
              </w:rPr>
              <w:t>|</w:t>
            </w:r>
            <w:r w:rsidR="00987239" w:rsidRPr="00DE7B7E">
              <w:rPr>
                <w:rFonts w:hint="eastAsia"/>
                <w:b/>
                <w:bCs w:val="0"/>
                <w:color w:val="000000"/>
                <w:w w:val="33"/>
                <w:shd w:val="solid" w:color="000000" w:fill="000000"/>
                <w:fitText w:val="150" w:id="-860171008"/>
                <w14:textFill>
                  <w14:solidFill>
                    <w14:srgbClr w14:val="000000">
                      <w14:alpha w14:val="100000"/>
                    </w14:srgbClr>
                  </w14:solidFill>
                </w14:textFill>
              </w:rPr>
              <w:t xml:space="preserve">　</w:t>
            </w:r>
          </w:p>
        </w:tc>
        <w:tc>
          <w:tcPr>
            <w:tcW w:w="969" w:type="pct"/>
            <w:vAlign w:val="center"/>
          </w:tcPr>
          <w:p w14:paraId="1D787A2F" w14:textId="77777777" w:rsidR="00891965" w:rsidRDefault="00891965" w:rsidP="00DB2E12">
            <w:pPr>
              <w:pStyle w:val="TableText0"/>
            </w:pPr>
            <w:r>
              <w:t>E/D</w:t>
            </w:r>
          </w:p>
        </w:tc>
        <w:tc>
          <w:tcPr>
            <w:tcW w:w="969" w:type="pct"/>
            <w:vAlign w:val="center"/>
          </w:tcPr>
          <w:p w14:paraId="31F414AC" w14:textId="77777777" w:rsidR="00891965" w:rsidRDefault="00891965" w:rsidP="00DB2E12">
            <w:pPr>
              <w:pStyle w:val="TableText0"/>
              <w:jc w:val="center"/>
            </w:pPr>
            <w:r>
              <w:t>$942.86</w:t>
            </w:r>
          </w:p>
        </w:tc>
        <w:tc>
          <w:tcPr>
            <w:tcW w:w="970" w:type="pct"/>
            <w:vAlign w:val="center"/>
          </w:tcPr>
          <w:p w14:paraId="7BC9DBC7" w14:textId="77777777" w:rsidR="00891965" w:rsidRDefault="00891965" w:rsidP="00DB2E12">
            <w:pPr>
              <w:pStyle w:val="TableText0"/>
            </w:pPr>
            <w:r>
              <w:t>PBS item 11542</w:t>
            </w:r>
          </w:p>
        </w:tc>
      </w:tr>
      <w:tr w:rsidR="00891965" w14:paraId="1EF49231" w14:textId="77777777" w:rsidTr="00DB2E12">
        <w:tc>
          <w:tcPr>
            <w:tcW w:w="189" w:type="pct"/>
            <w:vAlign w:val="center"/>
          </w:tcPr>
          <w:p w14:paraId="727BF181" w14:textId="77777777" w:rsidR="00891965" w:rsidRDefault="00891965" w:rsidP="00DB2E12">
            <w:pPr>
              <w:pStyle w:val="TableText0"/>
            </w:pPr>
            <w:r>
              <w:t>B</w:t>
            </w:r>
          </w:p>
        </w:tc>
        <w:tc>
          <w:tcPr>
            <w:tcW w:w="934" w:type="pct"/>
            <w:vAlign w:val="center"/>
          </w:tcPr>
          <w:p w14:paraId="17ECD21C" w14:textId="77777777" w:rsidR="00891965" w:rsidRDefault="00891965" w:rsidP="00DB2E12">
            <w:pPr>
              <w:pStyle w:val="TableText0"/>
            </w:pPr>
            <w:r>
              <w:t>Total mg per pack</w:t>
            </w:r>
          </w:p>
        </w:tc>
        <w:tc>
          <w:tcPr>
            <w:tcW w:w="969" w:type="pct"/>
            <w:vAlign w:val="center"/>
          </w:tcPr>
          <w:p w14:paraId="7345338B" w14:textId="77777777" w:rsidR="00891965" w:rsidRDefault="00891965" w:rsidP="00DB2E12">
            <w:pPr>
              <w:pStyle w:val="TableText0"/>
              <w:jc w:val="center"/>
            </w:pPr>
            <w:r>
              <w:t>105</w:t>
            </w:r>
          </w:p>
        </w:tc>
        <w:tc>
          <w:tcPr>
            <w:tcW w:w="969" w:type="pct"/>
            <w:vAlign w:val="center"/>
          </w:tcPr>
          <w:p w14:paraId="40D73E40" w14:textId="77777777" w:rsidR="00891965" w:rsidRDefault="00891965" w:rsidP="00DB2E12">
            <w:pPr>
              <w:pStyle w:val="TableText0"/>
            </w:pPr>
            <w:r>
              <w:t>21 x 5 mg tablets</w:t>
            </w:r>
          </w:p>
        </w:tc>
        <w:tc>
          <w:tcPr>
            <w:tcW w:w="969" w:type="pct"/>
            <w:vAlign w:val="center"/>
          </w:tcPr>
          <w:p w14:paraId="1C7C06AD" w14:textId="77777777" w:rsidR="00891965" w:rsidRDefault="00891965" w:rsidP="00DB2E12">
            <w:pPr>
              <w:pStyle w:val="TableText0"/>
              <w:jc w:val="center"/>
            </w:pPr>
            <w:r>
              <w:t>400</w:t>
            </w:r>
          </w:p>
        </w:tc>
        <w:tc>
          <w:tcPr>
            <w:tcW w:w="970" w:type="pct"/>
            <w:vAlign w:val="center"/>
          </w:tcPr>
          <w:p w14:paraId="5D18E420" w14:textId="77777777" w:rsidR="00891965" w:rsidRDefault="00891965" w:rsidP="00DB2E12">
            <w:pPr>
              <w:pStyle w:val="TableText0"/>
            </w:pPr>
            <w:r>
              <w:t>20 x 20 mg tablets</w:t>
            </w:r>
          </w:p>
        </w:tc>
      </w:tr>
      <w:tr w:rsidR="00891965" w14:paraId="622EC5CA" w14:textId="77777777" w:rsidTr="00DB2E12">
        <w:tc>
          <w:tcPr>
            <w:tcW w:w="189" w:type="pct"/>
            <w:vAlign w:val="center"/>
          </w:tcPr>
          <w:p w14:paraId="2799313A" w14:textId="77777777" w:rsidR="00891965" w:rsidRDefault="00891965" w:rsidP="00DB2E12">
            <w:pPr>
              <w:pStyle w:val="TableText0"/>
            </w:pPr>
            <w:r>
              <w:t>C</w:t>
            </w:r>
          </w:p>
        </w:tc>
        <w:tc>
          <w:tcPr>
            <w:tcW w:w="934" w:type="pct"/>
            <w:vAlign w:val="center"/>
          </w:tcPr>
          <w:p w14:paraId="3B02463A" w14:textId="77777777" w:rsidR="00891965" w:rsidRDefault="00891965" w:rsidP="00DB2E12">
            <w:pPr>
              <w:pStyle w:val="TableText0"/>
            </w:pPr>
            <w:r>
              <w:t>Mg required per 28-day treatment cycle</w:t>
            </w:r>
          </w:p>
        </w:tc>
        <w:tc>
          <w:tcPr>
            <w:tcW w:w="969" w:type="pct"/>
            <w:vAlign w:val="center"/>
          </w:tcPr>
          <w:p w14:paraId="614CF5D6" w14:textId="77777777" w:rsidR="00891965" w:rsidRDefault="00891965" w:rsidP="00DB2E12">
            <w:pPr>
              <w:pStyle w:val="TableText0"/>
              <w:jc w:val="center"/>
            </w:pPr>
            <w:r>
              <w:t>105</w:t>
            </w:r>
          </w:p>
        </w:tc>
        <w:tc>
          <w:tcPr>
            <w:tcW w:w="969" w:type="pct"/>
            <w:vAlign w:val="center"/>
          </w:tcPr>
          <w:p w14:paraId="607FF99E" w14:textId="77777777" w:rsidR="00891965" w:rsidRDefault="00891965" w:rsidP="00DB2E12">
            <w:pPr>
              <w:pStyle w:val="TableText0"/>
            </w:pPr>
            <w:r w:rsidRPr="00BE2B67">
              <w:t>21 doses per cycle at 5 mg per dose</w:t>
            </w:r>
          </w:p>
        </w:tc>
        <w:tc>
          <w:tcPr>
            <w:tcW w:w="969" w:type="pct"/>
            <w:vAlign w:val="center"/>
          </w:tcPr>
          <w:p w14:paraId="28980B4D" w14:textId="77777777" w:rsidR="00891965" w:rsidRDefault="00891965" w:rsidP="00DB2E12">
            <w:pPr>
              <w:pStyle w:val="TableText0"/>
              <w:jc w:val="center"/>
            </w:pPr>
            <w:r>
              <w:t>1200</w:t>
            </w:r>
          </w:p>
        </w:tc>
        <w:tc>
          <w:tcPr>
            <w:tcW w:w="970" w:type="pct"/>
            <w:vAlign w:val="center"/>
          </w:tcPr>
          <w:p w14:paraId="6BF647D6" w14:textId="77777777" w:rsidR="00891965" w:rsidRDefault="00891965" w:rsidP="00DB2E12">
            <w:pPr>
              <w:pStyle w:val="TableText0"/>
            </w:pPr>
            <w:r w:rsidRPr="00BE2B67">
              <w:t>20 doses per cycle at an average dose of 60 mg per patient</w:t>
            </w:r>
          </w:p>
        </w:tc>
      </w:tr>
      <w:tr w:rsidR="00891965" w14:paraId="7881129A" w14:textId="77777777" w:rsidTr="00DB2E12">
        <w:tc>
          <w:tcPr>
            <w:tcW w:w="189" w:type="pct"/>
            <w:vAlign w:val="center"/>
          </w:tcPr>
          <w:p w14:paraId="3766C9B3" w14:textId="77777777" w:rsidR="00891965" w:rsidRDefault="00891965" w:rsidP="00DB2E12">
            <w:pPr>
              <w:pStyle w:val="TableText0"/>
            </w:pPr>
            <w:r>
              <w:t>D</w:t>
            </w:r>
          </w:p>
        </w:tc>
        <w:tc>
          <w:tcPr>
            <w:tcW w:w="934" w:type="pct"/>
            <w:vAlign w:val="center"/>
          </w:tcPr>
          <w:p w14:paraId="7D54A068" w14:textId="227E323F" w:rsidR="00891965" w:rsidRDefault="00891965" w:rsidP="00DB2E12">
            <w:pPr>
              <w:pStyle w:val="TableText0"/>
            </w:pPr>
            <w:r>
              <w:t>Number of pack</w:t>
            </w:r>
            <w:r w:rsidR="001D27D0">
              <w:t>s</w:t>
            </w:r>
            <w:r>
              <w:t xml:space="preserve"> required per 28-day treatment cycle</w:t>
            </w:r>
          </w:p>
        </w:tc>
        <w:tc>
          <w:tcPr>
            <w:tcW w:w="969" w:type="pct"/>
            <w:vAlign w:val="center"/>
          </w:tcPr>
          <w:p w14:paraId="329AA174" w14:textId="77777777" w:rsidR="00891965" w:rsidRDefault="00891965" w:rsidP="00DB2E12">
            <w:pPr>
              <w:pStyle w:val="TableText0"/>
              <w:jc w:val="center"/>
            </w:pPr>
            <w:r>
              <w:t>1</w:t>
            </w:r>
          </w:p>
        </w:tc>
        <w:tc>
          <w:tcPr>
            <w:tcW w:w="969" w:type="pct"/>
            <w:vAlign w:val="center"/>
          </w:tcPr>
          <w:p w14:paraId="7130B9BA" w14:textId="77777777" w:rsidR="00891965" w:rsidRDefault="00891965" w:rsidP="00DB2E12">
            <w:pPr>
              <w:pStyle w:val="TableText0"/>
            </w:pPr>
            <w:r>
              <w:t>C/B</w:t>
            </w:r>
          </w:p>
        </w:tc>
        <w:tc>
          <w:tcPr>
            <w:tcW w:w="969" w:type="pct"/>
            <w:vAlign w:val="center"/>
          </w:tcPr>
          <w:p w14:paraId="7552058F" w14:textId="77777777" w:rsidR="00891965" w:rsidRDefault="00891965" w:rsidP="00DB2E12">
            <w:pPr>
              <w:pStyle w:val="TableText0"/>
              <w:jc w:val="center"/>
            </w:pPr>
            <w:r>
              <w:t>3</w:t>
            </w:r>
          </w:p>
        </w:tc>
        <w:tc>
          <w:tcPr>
            <w:tcW w:w="970" w:type="pct"/>
            <w:vAlign w:val="center"/>
          </w:tcPr>
          <w:p w14:paraId="66AC3BDA" w14:textId="77777777" w:rsidR="00891965" w:rsidRDefault="00891965" w:rsidP="00DB2E12">
            <w:pPr>
              <w:pStyle w:val="TableText0"/>
            </w:pPr>
            <w:r>
              <w:t>C/B</w:t>
            </w:r>
          </w:p>
        </w:tc>
      </w:tr>
      <w:tr w:rsidR="00891965" w14:paraId="2F1B1796" w14:textId="77777777" w:rsidTr="00DB2E12">
        <w:tc>
          <w:tcPr>
            <w:tcW w:w="189" w:type="pct"/>
            <w:vAlign w:val="center"/>
          </w:tcPr>
          <w:p w14:paraId="0AB39A2E" w14:textId="77777777" w:rsidR="00891965" w:rsidRDefault="00891965" w:rsidP="00DB2E12">
            <w:pPr>
              <w:pStyle w:val="TableText0"/>
            </w:pPr>
            <w:r>
              <w:t>E</w:t>
            </w:r>
          </w:p>
        </w:tc>
        <w:tc>
          <w:tcPr>
            <w:tcW w:w="934" w:type="pct"/>
            <w:vAlign w:val="center"/>
          </w:tcPr>
          <w:p w14:paraId="272E907C" w14:textId="77777777" w:rsidR="00891965" w:rsidRDefault="00891965" w:rsidP="00DB2E12">
            <w:pPr>
              <w:pStyle w:val="TableText0"/>
            </w:pPr>
            <w:r>
              <w:t>Total cost per 28-day treatment cycle</w:t>
            </w:r>
          </w:p>
        </w:tc>
        <w:tc>
          <w:tcPr>
            <w:tcW w:w="969" w:type="pct"/>
            <w:vAlign w:val="center"/>
          </w:tcPr>
          <w:p w14:paraId="40699A3F" w14:textId="6EA66A74" w:rsidR="00891965" w:rsidRPr="00987239" w:rsidRDefault="00987239" w:rsidP="00DB2E12">
            <w:pPr>
              <w:pStyle w:val="TableText0"/>
              <w:jc w:val="center"/>
            </w:pPr>
            <w:r w:rsidRPr="00987239">
              <w:t>$</w:t>
            </w:r>
            <w:r w:rsidRPr="00DE7B7E">
              <w:rPr>
                <w:rFonts w:hint="eastAsia"/>
                <w:color w:val="000000"/>
                <w:w w:val="33"/>
                <w:shd w:val="solid" w:color="000000" w:fill="000000"/>
                <w:fitText w:val="150" w:id="-860171008"/>
                <w14:textFill>
                  <w14:solidFill>
                    <w14:srgbClr w14:val="000000">
                      <w14:alpha w14:val="100000"/>
                    </w14:srgbClr>
                  </w14:solidFill>
                </w14:textFill>
              </w:rPr>
              <w:t xml:space="preserve">　</w:t>
            </w:r>
            <w:r w:rsidRPr="00DE7B7E">
              <w:rPr>
                <w:color w:val="000000"/>
                <w:w w:val="33"/>
                <w:shd w:val="solid" w:color="000000" w:fill="000000"/>
                <w:fitText w:val="150" w:id="-860171008"/>
                <w14:textFill>
                  <w14:solidFill>
                    <w14:srgbClr w14:val="000000">
                      <w14:alpha w14:val="100000"/>
                    </w14:srgbClr>
                  </w14:solidFill>
                </w14:textFill>
              </w:rPr>
              <w:t>|</w:t>
            </w:r>
            <w:r w:rsidRPr="00DE7B7E">
              <w:rPr>
                <w:rFonts w:hint="eastAsia"/>
                <w:color w:val="000000"/>
                <w:w w:val="33"/>
                <w:shd w:val="solid" w:color="000000" w:fill="000000"/>
                <w:fitText w:val="150" w:id="-860171008"/>
                <w14:textFill>
                  <w14:solidFill>
                    <w14:srgbClr w14:val="000000">
                      <w14:alpha w14:val="100000"/>
                    </w14:srgbClr>
                  </w14:solidFill>
                </w14:textFill>
              </w:rPr>
              <w:t xml:space="preserve">　</w:t>
            </w:r>
          </w:p>
        </w:tc>
        <w:tc>
          <w:tcPr>
            <w:tcW w:w="969" w:type="pct"/>
            <w:vAlign w:val="center"/>
          </w:tcPr>
          <w:p w14:paraId="2E4F3B61" w14:textId="0B10BF98" w:rsidR="00891965" w:rsidRDefault="00891965" w:rsidP="00DB2E12">
            <w:pPr>
              <w:pStyle w:val="TableText0"/>
            </w:pPr>
            <w:r w:rsidRPr="00F95AD0">
              <w:t xml:space="preserve">Equal to cost per </w:t>
            </w:r>
            <w:r>
              <w:t xml:space="preserve">28-day treatment cycle of </w:t>
            </w:r>
            <w:r w:rsidR="001936BF">
              <w:rPr>
                <w:rFonts w:eastAsia="Calibri"/>
              </w:rPr>
              <w:t>TRI/TIP</w:t>
            </w:r>
          </w:p>
        </w:tc>
        <w:tc>
          <w:tcPr>
            <w:tcW w:w="969" w:type="pct"/>
            <w:vAlign w:val="center"/>
          </w:tcPr>
          <w:p w14:paraId="30A5BF92" w14:textId="77777777" w:rsidR="00891965" w:rsidRDefault="00891965" w:rsidP="00DB2E12">
            <w:pPr>
              <w:pStyle w:val="TableText0"/>
              <w:jc w:val="center"/>
            </w:pPr>
            <w:r>
              <w:t>$2,828.58</w:t>
            </w:r>
          </w:p>
        </w:tc>
        <w:tc>
          <w:tcPr>
            <w:tcW w:w="970" w:type="pct"/>
            <w:vAlign w:val="center"/>
          </w:tcPr>
          <w:p w14:paraId="61B31AE1" w14:textId="77777777" w:rsidR="00891965" w:rsidRDefault="00891965" w:rsidP="00DB2E12">
            <w:pPr>
              <w:pStyle w:val="TableText0"/>
            </w:pPr>
            <w:r>
              <w:t>A x D</w:t>
            </w:r>
          </w:p>
        </w:tc>
      </w:tr>
    </w:tbl>
    <w:p w14:paraId="67800004" w14:textId="77777777" w:rsidR="001936BF" w:rsidRDefault="00891965" w:rsidP="00891965">
      <w:pPr>
        <w:pStyle w:val="TableFigureFooter"/>
      </w:pPr>
      <w:r w:rsidRPr="00275CD3">
        <w:t>Source: Table 3-6, p219 of the submission</w:t>
      </w:r>
      <w:r>
        <w:t xml:space="preserve"> and updated to include the published AEMP of </w:t>
      </w:r>
      <w:r w:rsidR="001936BF">
        <w:rPr>
          <w:rFonts w:eastAsia="Calibri"/>
        </w:rPr>
        <w:t>TRI/TIP</w:t>
      </w:r>
      <w:r>
        <w:t>.</w:t>
      </w:r>
    </w:p>
    <w:p w14:paraId="3D6493E8" w14:textId="30A3451C" w:rsidR="00891965" w:rsidRPr="00275CD3" w:rsidRDefault="00323E6B" w:rsidP="00891965">
      <w:pPr>
        <w:pStyle w:val="TableFigureFooter"/>
      </w:pPr>
      <w:r>
        <w:t xml:space="preserve">AEMP = approved ex-manufacturer price; </w:t>
      </w:r>
      <w:r>
        <w:rPr>
          <w:rFonts w:eastAsia="Calibri"/>
        </w:rPr>
        <w:t xml:space="preserve">CMA = cost minimisation approach; </w:t>
      </w:r>
      <w:r w:rsidR="001936BF">
        <w:rPr>
          <w:rFonts w:eastAsia="Calibri"/>
        </w:rPr>
        <w:t xml:space="preserve">TRI/TIP = </w:t>
      </w:r>
      <w:r w:rsidR="001936BF">
        <w:rPr>
          <w:lang w:eastAsia="en-GB"/>
        </w:rPr>
        <w:t>trifluridine/tipiracil</w:t>
      </w:r>
      <w:r w:rsidR="001936BF">
        <w:rPr>
          <w:szCs w:val="18"/>
        </w:rPr>
        <w:t>.</w:t>
      </w:r>
      <w:r w:rsidR="00891965">
        <w:t xml:space="preserve"> </w:t>
      </w:r>
    </w:p>
    <w:p w14:paraId="568B10E2" w14:textId="79CE45DC" w:rsidR="00891965" w:rsidRPr="00990136" w:rsidRDefault="00891965" w:rsidP="00891965">
      <w:pPr>
        <w:pStyle w:val="3-BodyText"/>
      </w:pPr>
      <w:bookmarkStart w:id="83" w:name="_Ref178091041"/>
      <w:r w:rsidRPr="00990136">
        <w:t xml:space="preserve">Based on the published price of </w:t>
      </w:r>
      <w:r w:rsidR="001936BF">
        <w:rPr>
          <w:rFonts w:eastAsia="Calibri"/>
        </w:rPr>
        <w:t>TRI/TIP</w:t>
      </w:r>
      <w:r w:rsidRPr="00990136">
        <w:t xml:space="preserve">, the estimated </w:t>
      </w:r>
      <w:r w:rsidR="004E70AA" w:rsidRPr="00990136">
        <w:t>cost minimised</w:t>
      </w:r>
      <w:r w:rsidRPr="00990136">
        <w:t xml:space="preserve"> AEMP and DPMQ for fruquintinib was $</w:t>
      </w:r>
      <w:r w:rsidR="00BF29EB" w:rsidRPr="00F03729">
        <w:rPr>
          <w:color w:val="000000"/>
          <w:w w:val="15"/>
          <w:shd w:val="solid" w:color="000000" w:fill="000000"/>
          <w:fitText w:val="-20" w:id="-860170240"/>
          <w14:textFill>
            <w14:solidFill>
              <w14:srgbClr w14:val="000000">
                <w14:alpha w14:val="100000"/>
              </w14:srgbClr>
            </w14:solidFill>
          </w14:textFill>
        </w:rPr>
        <w:t xml:space="preserve">|  </w:t>
      </w:r>
      <w:r w:rsidR="00BF29EB" w:rsidRPr="00F03729">
        <w:rPr>
          <w:color w:val="000000"/>
          <w:spacing w:val="-69"/>
          <w:w w:val="15"/>
          <w:shd w:val="solid" w:color="000000" w:fill="000000"/>
          <w:fitText w:val="-20" w:id="-860170240"/>
          <w14:textFill>
            <w14:solidFill>
              <w14:srgbClr w14:val="000000">
                <w14:alpha w14:val="100000"/>
              </w14:srgbClr>
            </w14:solidFill>
          </w14:textFill>
        </w:rPr>
        <w:t>|</w:t>
      </w:r>
      <w:r w:rsidR="00806ACD" w:rsidRPr="00806ACD">
        <w:t xml:space="preserve"> </w:t>
      </w:r>
      <w:r w:rsidRPr="00990136">
        <w:t>and $</w:t>
      </w:r>
      <w:r w:rsidR="00BF29EB" w:rsidRPr="00F03729">
        <w:rPr>
          <w:color w:val="000000"/>
          <w:w w:val="15"/>
          <w:shd w:val="solid" w:color="000000" w:fill="000000"/>
          <w:fitText w:val="-20" w:id="-860170239"/>
          <w14:textFill>
            <w14:solidFill>
              <w14:srgbClr w14:val="000000">
                <w14:alpha w14:val="100000"/>
              </w14:srgbClr>
            </w14:solidFill>
          </w14:textFill>
        </w:rPr>
        <w:t xml:space="preserve">|  </w:t>
      </w:r>
      <w:r w:rsidR="00BF29EB" w:rsidRPr="00F03729">
        <w:rPr>
          <w:color w:val="000000"/>
          <w:spacing w:val="-69"/>
          <w:w w:val="15"/>
          <w:shd w:val="solid" w:color="000000" w:fill="000000"/>
          <w:fitText w:val="-20" w:id="-860170239"/>
          <w14:textFill>
            <w14:solidFill>
              <w14:srgbClr w14:val="000000">
                <w14:alpha w14:val="100000"/>
              </w14:srgbClr>
            </w14:solidFill>
          </w14:textFill>
        </w:rPr>
        <w:t>|</w:t>
      </w:r>
      <w:r w:rsidRPr="00990136">
        <w:t>, respectively.</w:t>
      </w:r>
      <w:bookmarkEnd w:id="83"/>
      <w:r w:rsidRPr="00990136">
        <w:t xml:space="preserve"> </w:t>
      </w:r>
    </w:p>
    <w:p w14:paraId="301393A1" w14:textId="3B7C778E" w:rsidR="00891965" w:rsidRDefault="00891965" w:rsidP="00891965">
      <w:pPr>
        <w:pStyle w:val="3-BodyText"/>
      </w:pPr>
      <w:r>
        <w:fldChar w:fldCharType="begin"/>
      </w:r>
      <w:r>
        <w:instrText xml:space="preserve"> REF _Ref164092286 \h </w:instrText>
      </w:r>
      <w:r>
        <w:fldChar w:fldCharType="separate"/>
      </w:r>
      <w:r w:rsidR="00F03729">
        <w:t xml:space="preserve">Table </w:t>
      </w:r>
      <w:r w:rsidR="00F03729">
        <w:rPr>
          <w:noProof/>
        </w:rPr>
        <w:t>9</w:t>
      </w:r>
      <w:r>
        <w:fldChar w:fldCharType="end"/>
      </w:r>
      <w:r>
        <w:t xml:space="preserve"> </w:t>
      </w:r>
      <w:r w:rsidRPr="00275CD3">
        <w:t xml:space="preserve">presents the results of sensitivity analyses for the </w:t>
      </w:r>
      <w:r>
        <w:t>CMA</w:t>
      </w:r>
      <w:r w:rsidRPr="00275CD3">
        <w:t xml:space="preserve"> </w:t>
      </w:r>
      <w:r>
        <w:t>conducted during the evaluation.</w:t>
      </w:r>
    </w:p>
    <w:p w14:paraId="7A13660B" w14:textId="276D18E0" w:rsidR="00891965" w:rsidRDefault="00891965" w:rsidP="00891965">
      <w:pPr>
        <w:pStyle w:val="Caption"/>
      </w:pPr>
      <w:bookmarkStart w:id="84" w:name="_Ref164092286"/>
      <w:r>
        <w:lastRenderedPageBreak/>
        <w:t xml:space="preserve">Table </w:t>
      </w:r>
      <w:r w:rsidR="00DD5C00">
        <w:fldChar w:fldCharType="begin"/>
      </w:r>
      <w:r w:rsidR="00DD5C00">
        <w:instrText xml:space="preserve"> SEQ Table \* ARABIC </w:instrText>
      </w:r>
      <w:r w:rsidR="00DD5C00">
        <w:fldChar w:fldCharType="separate"/>
      </w:r>
      <w:r w:rsidR="00F03729">
        <w:rPr>
          <w:noProof/>
        </w:rPr>
        <w:t>9</w:t>
      </w:r>
      <w:r w:rsidR="00DD5C00">
        <w:rPr>
          <w:noProof/>
        </w:rPr>
        <w:fldChar w:fldCharType="end"/>
      </w:r>
      <w:bookmarkEnd w:id="84"/>
      <w:r>
        <w:t xml:space="preserve">: </w:t>
      </w:r>
      <w:r w:rsidRPr="00275CD3">
        <w:t xml:space="preserve">Results of sensitivity analyses using published AEMP of </w:t>
      </w:r>
      <w:r w:rsidR="001936BF">
        <w:rPr>
          <w:rFonts w:eastAsia="Calibri"/>
        </w:rPr>
        <w:t>TRI/TIP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sensitivity analyses using published AEMP of TRI/TIP"/>
      </w:tblPr>
      <w:tblGrid>
        <w:gridCol w:w="2195"/>
        <w:gridCol w:w="2272"/>
        <w:gridCol w:w="2276"/>
        <w:gridCol w:w="2274"/>
      </w:tblGrid>
      <w:tr w:rsidR="00227864" w:rsidRPr="00990136" w14:paraId="5AAAFA69" w14:textId="401F2BA9" w:rsidTr="00227864">
        <w:trPr>
          <w:trHeight w:val="20"/>
        </w:trPr>
        <w:tc>
          <w:tcPr>
            <w:tcW w:w="1217" w:type="pct"/>
          </w:tcPr>
          <w:p w14:paraId="553EBD0A" w14:textId="77777777" w:rsidR="00227864" w:rsidRPr="00990136" w:rsidRDefault="00227864" w:rsidP="00DB2E12">
            <w:pPr>
              <w:pStyle w:val="TableText0"/>
              <w:jc w:val="center"/>
              <w:rPr>
                <w:b/>
                <w:bCs w:val="0"/>
                <w:snapToGrid w:val="0"/>
                <w:lang w:val="en-US"/>
              </w:rPr>
            </w:pPr>
            <w:r w:rsidRPr="00990136">
              <w:rPr>
                <w:b/>
                <w:bCs w:val="0"/>
                <w:snapToGrid w:val="0"/>
                <w:lang w:val="en-US"/>
              </w:rPr>
              <w:t>Component</w:t>
            </w:r>
          </w:p>
        </w:tc>
        <w:tc>
          <w:tcPr>
            <w:tcW w:w="1260" w:type="pct"/>
          </w:tcPr>
          <w:p w14:paraId="62E70B03" w14:textId="77777777" w:rsidR="00227864" w:rsidRPr="00990136" w:rsidRDefault="00227864" w:rsidP="00DB2E12">
            <w:pPr>
              <w:pStyle w:val="TableText0"/>
              <w:jc w:val="center"/>
              <w:rPr>
                <w:b/>
                <w:bCs w:val="0"/>
                <w:snapToGrid w:val="0"/>
                <w:lang w:val="en-US"/>
              </w:rPr>
            </w:pPr>
            <w:r w:rsidRPr="00990136">
              <w:rPr>
                <w:b/>
                <w:bCs w:val="0"/>
                <w:snapToGrid w:val="0"/>
                <w:lang w:val="en-US"/>
              </w:rPr>
              <w:t>Fruquintinib</w:t>
            </w:r>
          </w:p>
        </w:tc>
        <w:tc>
          <w:tcPr>
            <w:tcW w:w="1262" w:type="pct"/>
          </w:tcPr>
          <w:p w14:paraId="549E5EE3" w14:textId="6D90E9F1" w:rsidR="00227864" w:rsidRPr="00990136" w:rsidRDefault="001936BF" w:rsidP="00DB2E12">
            <w:pPr>
              <w:pStyle w:val="TableText0"/>
              <w:jc w:val="center"/>
              <w:rPr>
                <w:b/>
                <w:bCs w:val="0"/>
                <w:snapToGrid w:val="0"/>
                <w:lang w:val="en-US"/>
              </w:rPr>
            </w:pPr>
            <w:r w:rsidRPr="001936BF">
              <w:rPr>
                <w:b/>
                <w:bCs w:val="0"/>
                <w:snapToGrid w:val="0"/>
                <w:lang w:val="en-US"/>
              </w:rPr>
              <w:t>TRI/TIP</w:t>
            </w:r>
          </w:p>
        </w:tc>
        <w:tc>
          <w:tcPr>
            <w:tcW w:w="1261" w:type="pct"/>
          </w:tcPr>
          <w:p w14:paraId="06DAD108" w14:textId="6D358DD2" w:rsidR="00227864" w:rsidRPr="00990136" w:rsidRDefault="00227864" w:rsidP="00DB2E12">
            <w:pPr>
              <w:pStyle w:val="TableText0"/>
              <w:jc w:val="center"/>
              <w:rPr>
                <w:b/>
                <w:bCs w:val="0"/>
                <w:snapToGrid w:val="0"/>
                <w:lang w:val="en-US"/>
              </w:rPr>
            </w:pPr>
            <w:r w:rsidRPr="00990136">
              <w:rPr>
                <w:b/>
                <w:bCs w:val="0"/>
                <w:snapToGrid w:val="0"/>
                <w:lang w:val="en-US"/>
              </w:rPr>
              <w:t>% change from base case</w:t>
            </w:r>
          </w:p>
        </w:tc>
      </w:tr>
      <w:tr w:rsidR="00227864" w:rsidRPr="00990136" w14:paraId="282BEA8D" w14:textId="1391E332" w:rsidTr="00227864">
        <w:trPr>
          <w:trHeight w:val="20"/>
        </w:trPr>
        <w:tc>
          <w:tcPr>
            <w:tcW w:w="5000" w:type="pct"/>
            <w:gridSpan w:val="4"/>
          </w:tcPr>
          <w:p w14:paraId="5EC5ACFC" w14:textId="346EB797" w:rsidR="00227864" w:rsidRPr="00990136" w:rsidRDefault="00227864" w:rsidP="00DB2E12">
            <w:pPr>
              <w:pStyle w:val="TableText0"/>
              <w:rPr>
                <w:b/>
                <w:bCs w:val="0"/>
                <w:snapToGrid w:val="0"/>
              </w:rPr>
            </w:pPr>
            <w:r w:rsidRPr="00990136">
              <w:rPr>
                <w:b/>
                <w:bCs w:val="0"/>
                <w:snapToGrid w:val="0"/>
              </w:rPr>
              <w:t>Base case</w:t>
            </w:r>
          </w:p>
        </w:tc>
      </w:tr>
      <w:tr w:rsidR="00227864" w:rsidRPr="00990136" w14:paraId="6B250FAD" w14:textId="608A25BF" w:rsidTr="00227864">
        <w:trPr>
          <w:trHeight w:val="20"/>
        </w:trPr>
        <w:tc>
          <w:tcPr>
            <w:tcW w:w="1217" w:type="pct"/>
          </w:tcPr>
          <w:p w14:paraId="37D1E66F" w14:textId="77777777" w:rsidR="00227864" w:rsidRPr="00990136" w:rsidRDefault="00227864" w:rsidP="00DB2E12">
            <w:pPr>
              <w:pStyle w:val="TableText0"/>
              <w:rPr>
                <w:snapToGrid w:val="0"/>
              </w:rPr>
            </w:pPr>
            <w:r w:rsidRPr="00990136">
              <w:rPr>
                <w:snapToGrid w:val="0"/>
              </w:rPr>
              <w:t>Cost per pack AEMP</w:t>
            </w:r>
          </w:p>
        </w:tc>
        <w:tc>
          <w:tcPr>
            <w:tcW w:w="1260" w:type="pct"/>
          </w:tcPr>
          <w:p w14:paraId="0A82078B" w14:textId="172BB325" w:rsidR="00227864" w:rsidRPr="00990136" w:rsidRDefault="00227864" w:rsidP="00DB2E12">
            <w:pPr>
              <w:pStyle w:val="TableText0"/>
              <w:jc w:val="center"/>
              <w:rPr>
                <w:snapToGrid w:val="0"/>
              </w:rPr>
            </w:pPr>
            <w:bookmarkStart w:id="85" w:name="_Hlk167197340"/>
            <w:r w:rsidRPr="00990136">
              <w:rPr>
                <w:snapToGrid w:val="0"/>
              </w:rPr>
              <w:t>$</w:t>
            </w:r>
            <w:bookmarkEnd w:id="85"/>
            <w:r w:rsidR="00BF29EB" w:rsidRPr="00BF29EB">
              <w:rPr>
                <w:snapToGrid w:val="0"/>
                <w:color w:val="000000"/>
                <w:shd w:val="solid" w:color="000000" w:fill="000000"/>
                <w14:textFill>
                  <w14:solidFill>
                    <w14:srgbClr w14:val="000000">
                      <w14:alpha w14:val="100000"/>
                    </w14:srgbClr>
                  </w14:solidFill>
                </w14:textFill>
              </w:rPr>
              <w:t>|</w:t>
            </w:r>
          </w:p>
        </w:tc>
        <w:tc>
          <w:tcPr>
            <w:tcW w:w="1262" w:type="pct"/>
          </w:tcPr>
          <w:p w14:paraId="39682375" w14:textId="77777777" w:rsidR="00227864" w:rsidRPr="00990136" w:rsidRDefault="00227864" w:rsidP="00DB2E12">
            <w:pPr>
              <w:pStyle w:val="TableText0"/>
              <w:jc w:val="center"/>
              <w:rPr>
                <w:snapToGrid w:val="0"/>
              </w:rPr>
            </w:pPr>
            <w:r w:rsidRPr="00990136">
              <w:rPr>
                <w:snapToGrid w:val="0"/>
              </w:rPr>
              <w:t>$942.86</w:t>
            </w:r>
          </w:p>
        </w:tc>
        <w:tc>
          <w:tcPr>
            <w:tcW w:w="1261" w:type="pct"/>
          </w:tcPr>
          <w:p w14:paraId="2ED7074D" w14:textId="2E6D59D1" w:rsidR="00227864" w:rsidRPr="00990136" w:rsidRDefault="00227864" w:rsidP="00DB2E12">
            <w:pPr>
              <w:pStyle w:val="TableText0"/>
              <w:jc w:val="center"/>
              <w:rPr>
                <w:snapToGrid w:val="0"/>
              </w:rPr>
            </w:pPr>
            <w:r w:rsidRPr="00990136">
              <w:rPr>
                <w:snapToGrid w:val="0"/>
              </w:rPr>
              <w:t>-</w:t>
            </w:r>
          </w:p>
        </w:tc>
      </w:tr>
      <w:tr w:rsidR="00227864" w:rsidRPr="00990136" w14:paraId="12EE0549" w14:textId="6CD4AD67" w:rsidTr="00227864">
        <w:trPr>
          <w:trHeight w:val="20"/>
        </w:trPr>
        <w:tc>
          <w:tcPr>
            <w:tcW w:w="5000" w:type="pct"/>
            <w:gridSpan w:val="4"/>
          </w:tcPr>
          <w:p w14:paraId="360D4938" w14:textId="45DA8E04" w:rsidR="00227864" w:rsidRPr="00990136" w:rsidRDefault="00227864" w:rsidP="00DB2E12">
            <w:pPr>
              <w:pStyle w:val="TableText0"/>
              <w:rPr>
                <w:b/>
                <w:bCs w:val="0"/>
                <w:snapToGrid w:val="0"/>
              </w:rPr>
            </w:pPr>
            <w:r w:rsidRPr="00990136">
              <w:rPr>
                <w:b/>
                <w:bCs w:val="0"/>
                <w:snapToGrid w:val="0"/>
              </w:rPr>
              <w:t>Applying mean duration of treatment reported in the FRESCO 2 (4.34 cycles) and RECOURSE (3.18 cycles) trials</w:t>
            </w:r>
          </w:p>
        </w:tc>
      </w:tr>
      <w:tr w:rsidR="00227864" w:rsidRPr="00990136" w14:paraId="51A643EF" w14:textId="36BECC7A" w:rsidTr="00227864">
        <w:trPr>
          <w:trHeight w:val="20"/>
        </w:trPr>
        <w:tc>
          <w:tcPr>
            <w:tcW w:w="1217" w:type="pct"/>
          </w:tcPr>
          <w:p w14:paraId="504D8973" w14:textId="77777777" w:rsidR="00227864" w:rsidRPr="00990136" w:rsidRDefault="00227864" w:rsidP="00DB2E12">
            <w:pPr>
              <w:pStyle w:val="TableText0"/>
              <w:rPr>
                <w:snapToGrid w:val="0"/>
              </w:rPr>
            </w:pPr>
            <w:r w:rsidRPr="00990136">
              <w:rPr>
                <w:snapToGrid w:val="0"/>
              </w:rPr>
              <w:t>Cost per pack AEMP</w:t>
            </w:r>
          </w:p>
        </w:tc>
        <w:tc>
          <w:tcPr>
            <w:tcW w:w="1260" w:type="pct"/>
          </w:tcPr>
          <w:p w14:paraId="499EE901" w14:textId="2019F93C" w:rsidR="00227864" w:rsidRPr="00990136" w:rsidRDefault="00227864" w:rsidP="00DB2E12">
            <w:pPr>
              <w:pStyle w:val="TableText0"/>
              <w:jc w:val="center"/>
              <w:rPr>
                <w:snapToGrid w:val="0"/>
              </w:rPr>
            </w:pPr>
            <w:r w:rsidRPr="00990136">
              <w:rPr>
                <w:snapToGrid w:val="0"/>
              </w:rPr>
              <w:t>$</w:t>
            </w:r>
            <w:r w:rsidR="00BF29EB" w:rsidRPr="00BF29EB">
              <w:rPr>
                <w:snapToGrid w:val="0"/>
                <w:color w:val="000000"/>
                <w:shd w:val="solid" w:color="000000" w:fill="000000"/>
                <w14:textFill>
                  <w14:solidFill>
                    <w14:srgbClr w14:val="000000">
                      <w14:alpha w14:val="100000"/>
                    </w14:srgbClr>
                  </w14:solidFill>
                </w14:textFill>
              </w:rPr>
              <w:t>|</w:t>
            </w:r>
          </w:p>
        </w:tc>
        <w:tc>
          <w:tcPr>
            <w:tcW w:w="1262" w:type="pct"/>
          </w:tcPr>
          <w:p w14:paraId="705D983D" w14:textId="77777777" w:rsidR="00227864" w:rsidRPr="00990136" w:rsidRDefault="00227864" w:rsidP="00DB2E12">
            <w:pPr>
              <w:pStyle w:val="TableText0"/>
              <w:jc w:val="center"/>
              <w:rPr>
                <w:snapToGrid w:val="0"/>
              </w:rPr>
            </w:pPr>
            <w:r w:rsidRPr="00990136">
              <w:rPr>
                <w:snapToGrid w:val="0"/>
              </w:rPr>
              <w:t>$942.86</w:t>
            </w:r>
          </w:p>
        </w:tc>
        <w:tc>
          <w:tcPr>
            <w:tcW w:w="1261" w:type="pct"/>
          </w:tcPr>
          <w:p w14:paraId="50B723B5" w14:textId="649A8AA8" w:rsidR="00227864" w:rsidRPr="00990136" w:rsidRDefault="00227864" w:rsidP="00DB2E12">
            <w:pPr>
              <w:pStyle w:val="TableText0"/>
              <w:jc w:val="center"/>
              <w:rPr>
                <w:snapToGrid w:val="0"/>
              </w:rPr>
            </w:pPr>
            <w:r w:rsidRPr="00990136">
              <w:rPr>
                <w:snapToGrid w:val="0"/>
              </w:rPr>
              <w:t>-</w:t>
            </w:r>
            <w:r w:rsidR="00BF29EB" w:rsidRPr="00BF29EB">
              <w:rPr>
                <w:snapToGrid w:val="0"/>
                <w:color w:val="000000"/>
                <w:shd w:val="solid" w:color="000000" w:fill="000000"/>
                <w14:textFill>
                  <w14:solidFill>
                    <w14:srgbClr w14:val="000000">
                      <w14:alpha w14:val="100000"/>
                    </w14:srgbClr>
                  </w14:solidFill>
                </w14:textFill>
              </w:rPr>
              <w:t>|</w:t>
            </w:r>
          </w:p>
        </w:tc>
      </w:tr>
      <w:tr w:rsidR="00227864" w:rsidRPr="00990136" w14:paraId="74682DE1" w14:textId="2DE1E2D3" w:rsidTr="00227864">
        <w:trPr>
          <w:trHeight w:val="45"/>
        </w:trPr>
        <w:tc>
          <w:tcPr>
            <w:tcW w:w="5000" w:type="pct"/>
            <w:gridSpan w:val="4"/>
          </w:tcPr>
          <w:p w14:paraId="4DC793EA" w14:textId="6F5097C0" w:rsidR="00227864" w:rsidRPr="00990136" w:rsidRDefault="00227864" w:rsidP="00DB2E12">
            <w:pPr>
              <w:pStyle w:val="TableText0"/>
              <w:rPr>
                <w:b/>
                <w:bCs w:val="0"/>
                <w:snapToGrid w:val="0"/>
              </w:rPr>
            </w:pPr>
            <w:r w:rsidRPr="00990136">
              <w:rPr>
                <w:b/>
                <w:bCs w:val="0"/>
                <w:snapToGrid w:val="0"/>
              </w:rPr>
              <w:t>Applying RDI reported in FRESCO 2 (91.6%) and RECOURSE (89%) trial</w:t>
            </w:r>
          </w:p>
        </w:tc>
      </w:tr>
      <w:tr w:rsidR="00227864" w:rsidRPr="00990136" w14:paraId="3C825258" w14:textId="7C825AFC" w:rsidTr="00227864">
        <w:trPr>
          <w:trHeight w:val="20"/>
        </w:trPr>
        <w:tc>
          <w:tcPr>
            <w:tcW w:w="1217" w:type="pct"/>
          </w:tcPr>
          <w:p w14:paraId="5BB4FF42" w14:textId="77777777" w:rsidR="00227864" w:rsidRPr="00990136" w:rsidRDefault="00227864" w:rsidP="00DB2E12">
            <w:pPr>
              <w:pStyle w:val="TableText0"/>
              <w:rPr>
                <w:snapToGrid w:val="0"/>
              </w:rPr>
            </w:pPr>
            <w:r w:rsidRPr="00990136">
              <w:rPr>
                <w:snapToGrid w:val="0"/>
              </w:rPr>
              <w:t>Cost per pack AEMP</w:t>
            </w:r>
          </w:p>
        </w:tc>
        <w:tc>
          <w:tcPr>
            <w:tcW w:w="1260" w:type="pct"/>
          </w:tcPr>
          <w:p w14:paraId="49B15DD1" w14:textId="11572E34" w:rsidR="00227864" w:rsidRPr="00990136" w:rsidRDefault="00227864" w:rsidP="00DB2E12">
            <w:pPr>
              <w:pStyle w:val="TableText0"/>
              <w:jc w:val="center"/>
              <w:rPr>
                <w:snapToGrid w:val="0"/>
              </w:rPr>
            </w:pPr>
            <w:r w:rsidRPr="00990136">
              <w:rPr>
                <w:snapToGrid w:val="0"/>
              </w:rPr>
              <w:t>$</w:t>
            </w:r>
            <w:r w:rsidR="00BF29EB" w:rsidRPr="00BF29EB">
              <w:rPr>
                <w:snapToGrid w:val="0"/>
                <w:color w:val="000000"/>
                <w:shd w:val="solid" w:color="000000" w:fill="000000"/>
                <w14:textFill>
                  <w14:solidFill>
                    <w14:srgbClr w14:val="000000">
                      <w14:alpha w14:val="100000"/>
                    </w14:srgbClr>
                  </w14:solidFill>
                </w14:textFill>
              </w:rPr>
              <w:t>|</w:t>
            </w:r>
          </w:p>
        </w:tc>
        <w:tc>
          <w:tcPr>
            <w:tcW w:w="1262" w:type="pct"/>
          </w:tcPr>
          <w:p w14:paraId="346908C6" w14:textId="77777777" w:rsidR="00227864" w:rsidRPr="00990136" w:rsidRDefault="00227864" w:rsidP="00DB2E12">
            <w:pPr>
              <w:pStyle w:val="TableText0"/>
              <w:jc w:val="center"/>
              <w:rPr>
                <w:snapToGrid w:val="0"/>
              </w:rPr>
            </w:pPr>
            <w:r w:rsidRPr="00990136">
              <w:rPr>
                <w:snapToGrid w:val="0"/>
              </w:rPr>
              <w:t>$942.86</w:t>
            </w:r>
          </w:p>
        </w:tc>
        <w:tc>
          <w:tcPr>
            <w:tcW w:w="1261" w:type="pct"/>
          </w:tcPr>
          <w:p w14:paraId="2FE973BA" w14:textId="646F1A8E" w:rsidR="00227864" w:rsidRPr="00990136" w:rsidRDefault="00227864" w:rsidP="00DB2E12">
            <w:pPr>
              <w:pStyle w:val="TableText0"/>
              <w:jc w:val="center"/>
              <w:rPr>
                <w:snapToGrid w:val="0"/>
              </w:rPr>
            </w:pPr>
            <w:r w:rsidRPr="00990136">
              <w:rPr>
                <w:snapToGrid w:val="0"/>
              </w:rPr>
              <w:t>-</w:t>
            </w:r>
            <w:r w:rsidR="00BF29EB" w:rsidRPr="00BF29EB">
              <w:rPr>
                <w:snapToGrid w:val="0"/>
                <w:color w:val="000000"/>
                <w:shd w:val="solid" w:color="000000" w:fill="000000"/>
                <w14:textFill>
                  <w14:solidFill>
                    <w14:srgbClr w14:val="000000">
                      <w14:alpha w14:val="100000"/>
                    </w14:srgbClr>
                  </w14:solidFill>
                </w14:textFill>
              </w:rPr>
              <w:t>|</w:t>
            </w:r>
          </w:p>
        </w:tc>
      </w:tr>
      <w:tr w:rsidR="00227864" w:rsidRPr="00990136" w14:paraId="1CBA6828" w14:textId="5DEE12E0" w:rsidTr="00227864">
        <w:trPr>
          <w:trHeight w:val="20"/>
        </w:trPr>
        <w:tc>
          <w:tcPr>
            <w:tcW w:w="5000" w:type="pct"/>
            <w:gridSpan w:val="4"/>
          </w:tcPr>
          <w:p w14:paraId="1156F97D" w14:textId="2F65BF82" w:rsidR="00227864" w:rsidRPr="00990136" w:rsidRDefault="00227864" w:rsidP="00DB2E12">
            <w:pPr>
              <w:pStyle w:val="TableText0"/>
              <w:rPr>
                <w:b/>
                <w:bCs w:val="0"/>
                <w:snapToGrid w:val="0"/>
              </w:rPr>
            </w:pPr>
            <w:r w:rsidRPr="00990136">
              <w:rPr>
                <w:b/>
                <w:bCs w:val="0"/>
                <w:snapToGrid w:val="0"/>
              </w:rPr>
              <w:t>Applying both mean duration of treatment and RDI</w:t>
            </w:r>
          </w:p>
        </w:tc>
      </w:tr>
      <w:tr w:rsidR="00227864" w:rsidRPr="00990136" w14:paraId="3BF2BC50" w14:textId="50ADE948" w:rsidTr="00682ECE">
        <w:trPr>
          <w:trHeight w:val="20"/>
        </w:trPr>
        <w:tc>
          <w:tcPr>
            <w:tcW w:w="1217" w:type="pct"/>
          </w:tcPr>
          <w:p w14:paraId="363A9715" w14:textId="77777777" w:rsidR="00227864" w:rsidRPr="00990136" w:rsidRDefault="00227864" w:rsidP="00DB2E12">
            <w:pPr>
              <w:pStyle w:val="TableText0"/>
              <w:rPr>
                <w:snapToGrid w:val="0"/>
              </w:rPr>
            </w:pPr>
            <w:r w:rsidRPr="00990136">
              <w:rPr>
                <w:snapToGrid w:val="0"/>
              </w:rPr>
              <w:t>Cost per pack AEMP</w:t>
            </w:r>
          </w:p>
        </w:tc>
        <w:tc>
          <w:tcPr>
            <w:tcW w:w="1260" w:type="pct"/>
          </w:tcPr>
          <w:p w14:paraId="00C2BE39" w14:textId="2386FC5E" w:rsidR="00227864" w:rsidRPr="00990136" w:rsidRDefault="00227864" w:rsidP="00DB2E12">
            <w:pPr>
              <w:pStyle w:val="TableText0"/>
              <w:jc w:val="center"/>
              <w:rPr>
                <w:snapToGrid w:val="0"/>
              </w:rPr>
            </w:pPr>
            <w:r w:rsidRPr="00990136">
              <w:rPr>
                <w:snapToGrid w:val="0"/>
              </w:rPr>
              <w:t>$</w:t>
            </w:r>
            <w:r w:rsidR="00BF29EB" w:rsidRPr="00BF29EB">
              <w:rPr>
                <w:snapToGrid w:val="0"/>
                <w:color w:val="000000"/>
                <w:shd w:val="solid" w:color="000000" w:fill="000000"/>
                <w14:textFill>
                  <w14:solidFill>
                    <w14:srgbClr w14:val="000000">
                      <w14:alpha w14:val="100000"/>
                    </w14:srgbClr>
                  </w14:solidFill>
                </w14:textFill>
              </w:rPr>
              <w:t>|</w:t>
            </w:r>
          </w:p>
        </w:tc>
        <w:tc>
          <w:tcPr>
            <w:tcW w:w="1262" w:type="pct"/>
          </w:tcPr>
          <w:p w14:paraId="4A085005" w14:textId="77777777" w:rsidR="00227864" w:rsidRPr="00990136" w:rsidRDefault="00227864" w:rsidP="00DB2E12">
            <w:pPr>
              <w:pStyle w:val="TableText0"/>
              <w:jc w:val="center"/>
              <w:rPr>
                <w:snapToGrid w:val="0"/>
              </w:rPr>
            </w:pPr>
            <w:r w:rsidRPr="00990136">
              <w:rPr>
                <w:snapToGrid w:val="0"/>
              </w:rPr>
              <w:t>$942.86</w:t>
            </w:r>
          </w:p>
        </w:tc>
        <w:tc>
          <w:tcPr>
            <w:tcW w:w="1261" w:type="pct"/>
          </w:tcPr>
          <w:p w14:paraId="3ADB43D3" w14:textId="14220011" w:rsidR="00227864" w:rsidRPr="00990136" w:rsidRDefault="00227864" w:rsidP="00DB2E12">
            <w:pPr>
              <w:pStyle w:val="TableText0"/>
              <w:jc w:val="center"/>
              <w:rPr>
                <w:snapToGrid w:val="0"/>
              </w:rPr>
            </w:pPr>
            <w:r w:rsidRPr="00990136">
              <w:rPr>
                <w:snapToGrid w:val="0"/>
              </w:rPr>
              <w:t>-</w:t>
            </w:r>
            <w:r w:rsidR="00BF29EB" w:rsidRPr="00BF29EB">
              <w:rPr>
                <w:snapToGrid w:val="0"/>
                <w:color w:val="000000"/>
                <w:shd w:val="solid" w:color="000000" w:fill="000000"/>
                <w14:textFill>
                  <w14:solidFill>
                    <w14:srgbClr w14:val="000000">
                      <w14:alpha w14:val="100000"/>
                    </w14:srgbClr>
                  </w14:solidFill>
                </w14:textFill>
              </w:rPr>
              <w:t>|</w:t>
            </w:r>
          </w:p>
        </w:tc>
      </w:tr>
      <w:tr w:rsidR="00682ECE" w:rsidRPr="00990136" w14:paraId="3D5714FF" w14:textId="77777777" w:rsidTr="00682ECE">
        <w:trPr>
          <w:trHeight w:val="20"/>
        </w:trPr>
        <w:tc>
          <w:tcPr>
            <w:tcW w:w="5000" w:type="pct"/>
            <w:gridSpan w:val="4"/>
          </w:tcPr>
          <w:p w14:paraId="3BD03391" w14:textId="158B4DD8" w:rsidR="00682ECE" w:rsidRPr="00990136" w:rsidRDefault="001721A4" w:rsidP="001721A4">
            <w:pPr>
              <w:pStyle w:val="TableText0"/>
              <w:rPr>
                <w:b/>
                <w:bCs w:val="0"/>
                <w:snapToGrid w:val="0"/>
              </w:rPr>
            </w:pPr>
            <w:r w:rsidRPr="00990136">
              <w:rPr>
                <w:b/>
                <w:bCs w:val="0"/>
                <w:snapToGrid w:val="0"/>
              </w:rPr>
              <w:t xml:space="preserve">Applying published DPMQ of </w:t>
            </w:r>
            <w:r w:rsidR="001936BF" w:rsidRPr="001936BF">
              <w:rPr>
                <w:b/>
                <w:bCs w:val="0"/>
                <w:snapToGrid w:val="0"/>
              </w:rPr>
              <w:t>TRI/TIP</w:t>
            </w:r>
            <w:r w:rsidRPr="00990136">
              <w:rPr>
                <w:b/>
                <w:bCs w:val="0"/>
                <w:snapToGrid w:val="0"/>
              </w:rPr>
              <w:t xml:space="preserve"> to calculate the cost-minimised price of fruquintinib</w:t>
            </w:r>
          </w:p>
        </w:tc>
      </w:tr>
      <w:tr w:rsidR="001721A4" w:rsidRPr="00990136" w14:paraId="0FCA3355" w14:textId="77777777" w:rsidTr="00227864">
        <w:trPr>
          <w:trHeight w:val="20"/>
        </w:trPr>
        <w:tc>
          <w:tcPr>
            <w:tcW w:w="1217" w:type="pct"/>
            <w:tcBorders>
              <w:bottom w:val="single" w:sz="4" w:space="0" w:color="auto"/>
            </w:tcBorders>
          </w:tcPr>
          <w:p w14:paraId="560F38CA" w14:textId="7E8F48CA" w:rsidR="001721A4" w:rsidRPr="00990136" w:rsidRDefault="001721A4" w:rsidP="001721A4">
            <w:pPr>
              <w:pStyle w:val="TableText0"/>
              <w:rPr>
                <w:snapToGrid w:val="0"/>
              </w:rPr>
            </w:pPr>
            <w:r w:rsidRPr="00990136">
              <w:t>Cost per pack AEMP</w:t>
            </w:r>
          </w:p>
        </w:tc>
        <w:tc>
          <w:tcPr>
            <w:tcW w:w="1260" w:type="pct"/>
            <w:tcBorders>
              <w:bottom w:val="single" w:sz="4" w:space="0" w:color="auto"/>
            </w:tcBorders>
          </w:tcPr>
          <w:p w14:paraId="21027593" w14:textId="3C47821E" w:rsidR="001721A4" w:rsidRPr="00990136" w:rsidRDefault="001721A4" w:rsidP="001721A4">
            <w:pPr>
              <w:pStyle w:val="TableText0"/>
              <w:jc w:val="center"/>
              <w:rPr>
                <w:snapToGrid w:val="0"/>
              </w:rPr>
            </w:pPr>
            <w:r w:rsidRPr="00990136">
              <w:t>$</w:t>
            </w:r>
            <w:r w:rsidR="00BF29EB" w:rsidRPr="00BF29EB">
              <w:rPr>
                <w:color w:val="000000"/>
                <w:shd w:val="solid" w:color="000000" w:fill="000000"/>
                <w14:textFill>
                  <w14:solidFill>
                    <w14:srgbClr w14:val="000000">
                      <w14:alpha w14:val="100000"/>
                    </w14:srgbClr>
                  </w14:solidFill>
                </w14:textFill>
              </w:rPr>
              <w:t>|</w:t>
            </w:r>
          </w:p>
        </w:tc>
        <w:tc>
          <w:tcPr>
            <w:tcW w:w="1262" w:type="pct"/>
            <w:tcBorders>
              <w:bottom w:val="single" w:sz="4" w:space="0" w:color="auto"/>
            </w:tcBorders>
          </w:tcPr>
          <w:p w14:paraId="76655A39" w14:textId="42FAB9AC" w:rsidR="001721A4" w:rsidRPr="00990136" w:rsidRDefault="001721A4" w:rsidP="001721A4">
            <w:pPr>
              <w:pStyle w:val="TableText0"/>
              <w:jc w:val="center"/>
              <w:rPr>
                <w:snapToGrid w:val="0"/>
              </w:rPr>
            </w:pPr>
            <w:r w:rsidRPr="00990136">
              <w:t>$</w:t>
            </w:r>
            <w:r w:rsidRPr="00543962">
              <w:t>983.40</w:t>
            </w:r>
          </w:p>
        </w:tc>
        <w:tc>
          <w:tcPr>
            <w:tcW w:w="1261" w:type="pct"/>
            <w:tcBorders>
              <w:bottom w:val="single" w:sz="4" w:space="0" w:color="auto"/>
            </w:tcBorders>
          </w:tcPr>
          <w:p w14:paraId="29432409" w14:textId="4599BCB2" w:rsidR="001721A4" w:rsidRPr="00990136" w:rsidRDefault="001721A4" w:rsidP="001721A4">
            <w:pPr>
              <w:pStyle w:val="TableText0"/>
              <w:jc w:val="center"/>
              <w:rPr>
                <w:snapToGrid w:val="0"/>
              </w:rPr>
            </w:pPr>
            <w:r w:rsidRPr="00990136">
              <w:t>-</w:t>
            </w:r>
            <w:r w:rsidR="00BF29EB" w:rsidRPr="00BF29EB">
              <w:rPr>
                <w:color w:val="000000"/>
                <w:shd w:val="solid" w:color="000000" w:fill="000000"/>
                <w14:textFill>
                  <w14:solidFill>
                    <w14:srgbClr w14:val="000000">
                      <w14:alpha w14:val="100000"/>
                    </w14:srgbClr>
                  </w14:solidFill>
                </w14:textFill>
              </w:rPr>
              <w:t>|</w:t>
            </w:r>
          </w:p>
        </w:tc>
      </w:tr>
    </w:tbl>
    <w:p w14:paraId="6B6230B2" w14:textId="11A0A842" w:rsidR="00891965" w:rsidRDefault="00891965" w:rsidP="00891965">
      <w:pPr>
        <w:pStyle w:val="TableFigureFooter"/>
      </w:pPr>
      <w:r w:rsidRPr="00F95AD0">
        <w:t>Source: Calculated during evaluation</w:t>
      </w:r>
      <w:r w:rsidR="00D557DE">
        <w:t>.</w:t>
      </w:r>
    </w:p>
    <w:p w14:paraId="37879901" w14:textId="7CD2F421" w:rsidR="001524F9" w:rsidRPr="00F11539" w:rsidRDefault="00BE2F04" w:rsidP="00ED19F2">
      <w:pPr>
        <w:pStyle w:val="TableFigureFooter"/>
      </w:pPr>
      <w:r>
        <w:t xml:space="preserve">AEMP = approved ex-manufacturer price; </w:t>
      </w:r>
      <w:r w:rsidR="00887C80">
        <w:t xml:space="preserve">DPMQ = dispensed price for maximum quantity; </w:t>
      </w:r>
      <w:r w:rsidR="00891965">
        <w:t>RDI = relative dose intensity</w:t>
      </w:r>
      <w:r w:rsidR="001936BF">
        <w:t xml:space="preserve">; </w:t>
      </w:r>
      <w:bookmarkStart w:id="86" w:name="_Hlk169880338"/>
      <w:r w:rsidR="001936BF">
        <w:rPr>
          <w:rFonts w:eastAsia="Calibri"/>
        </w:rPr>
        <w:t>TRI/TIP</w:t>
      </w:r>
      <w:bookmarkEnd w:id="86"/>
      <w:r w:rsidR="001936BF">
        <w:rPr>
          <w:rFonts w:eastAsia="Calibri"/>
        </w:rPr>
        <w:t xml:space="preserve"> = </w:t>
      </w:r>
      <w:r w:rsidR="001936BF">
        <w:rPr>
          <w:lang w:eastAsia="en-GB"/>
        </w:rPr>
        <w:t>trifluridine/tipiracil</w:t>
      </w:r>
      <w:r w:rsidR="00891965">
        <w:t>.</w:t>
      </w:r>
    </w:p>
    <w:p w14:paraId="57248F31" w14:textId="77777777" w:rsidR="00891965" w:rsidRPr="00A74236" w:rsidRDefault="00891965" w:rsidP="00891965">
      <w:pPr>
        <w:pStyle w:val="4-SubsectionHeading"/>
      </w:pPr>
      <w:bookmarkStart w:id="87" w:name="_Toc22897646"/>
      <w:bookmarkStart w:id="88" w:name="_Toc107927632"/>
      <w:bookmarkStart w:id="89" w:name="_Toc166861365"/>
      <w:r w:rsidRPr="00A74236">
        <w:t>Drug</w:t>
      </w:r>
      <w:r>
        <w:t xml:space="preserve"> </w:t>
      </w:r>
      <w:r w:rsidRPr="00A74236">
        <w:t>cost/patient/course</w:t>
      </w:r>
      <w:bookmarkEnd w:id="87"/>
      <w:bookmarkEnd w:id="88"/>
      <w:bookmarkEnd w:id="89"/>
    </w:p>
    <w:p w14:paraId="1CC92DE9" w14:textId="430BAFEA" w:rsidR="00183287" w:rsidRPr="00E158B3" w:rsidRDefault="00891965" w:rsidP="00E158B3">
      <w:pPr>
        <w:pStyle w:val="3-BodyText"/>
        <w:rPr>
          <w:snapToGrid/>
          <w:color w:val="0066FF"/>
        </w:rPr>
      </w:pPr>
      <w:bookmarkStart w:id="90" w:name="_Hlk107307804"/>
      <w:r w:rsidRPr="00990136">
        <w:t>Based on the cost</w:t>
      </w:r>
      <w:r w:rsidR="004E70AA">
        <w:t xml:space="preserve"> </w:t>
      </w:r>
      <w:r w:rsidRPr="00990136">
        <w:t>minimised DPMQ of $</w:t>
      </w:r>
      <w:r w:rsidR="00BF29EB" w:rsidRPr="00DE7B7E">
        <w:rPr>
          <w:color w:val="000000"/>
          <w:w w:val="61"/>
          <w:shd w:val="solid" w:color="000000" w:fill="000000"/>
          <w:fitText w:val="474" w:id="-860170238"/>
          <w14:textFill>
            <w14:solidFill>
              <w14:srgbClr w14:val="000000">
                <w14:alpha w14:val="100000"/>
              </w14:srgbClr>
            </w14:solidFill>
          </w14:textFill>
        </w:rPr>
        <w:t>|||  |||</w:t>
      </w:r>
      <w:r w:rsidR="00BE2F04" w:rsidRPr="00990136">
        <w:t xml:space="preserve"> for fruquintinib</w:t>
      </w:r>
      <w:r w:rsidR="00675A98">
        <w:t xml:space="preserve"> (using published prices)</w:t>
      </w:r>
      <w:r w:rsidRPr="00990136">
        <w:t>, the estimated cost per patient per course was $</w:t>
      </w:r>
      <w:r w:rsidR="00BF29EB" w:rsidRPr="00F03729">
        <w:rPr>
          <w:color w:val="000000"/>
          <w:w w:val="15"/>
          <w:shd w:val="solid" w:color="000000" w:fill="000000"/>
          <w:fitText w:val="-20" w:id="-860170237"/>
          <w14:textFill>
            <w14:solidFill>
              <w14:srgbClr w14:val="000000">
                <w14:alpha w14:val="100000"/>
              </w14:srgbClr>
            </w14:solidFill>
          </w14:textFill>
        </w:rPr>
        <w:t xml:space="preserve">|  </w:t>
      </w:r>
      <w:r w:rsidR="00BF29EB" w:rsidRPr="00F03729">
        <w:rPr>
          <w:color w:val="000000"/>
          <w:spacing w:val="-69"/>
          <w:w w:val="15"/>
          <w:shd w:val="solid" w:color="000000" w:fill="000000"/>
          <w:fitText w:val="-20" w:id="-860170237"/>
          <w14:textFill>
            <w14:solidFill>
              <w14:srgbClr w14:val="000000">
                <w14:alpha w14:val="100000"/>
              </w14:srgbClr>
            </w14:solidFill>
          </w14:textFill>
        </w:rPr>
        <w:t>|</w:t>
      </w:r>
      <w:r w:rsidRPr="00990136">
        <w:t>. This was based on a mean treatment duration of 4.04 months (4.34 cycles) observed in the fruquintinib arm of the FRESCO</w:t>
      </w:r>
      <w:r w:rsidR="00C9447B">
        <w:t> </w:t>
      </w:r>
      <w:r w:rsidRPr="00990136">
        <w:t>2 trial.</w:t>
      </w:r>
    </w:p>
    <w:p w14:paraId="0CBA85BA" w14:textId="77777777" w:rsidR="00891965" w:rsidRPr="00A74236" w:rsidRDefault="00891965" w:rsidP="00891965">
      <w:pPr>
        <w:pStyle w:val="4-SubsectionHeading"/>
      </w:pPr>
      <w:bookmarkStart w:id="91" w:name="_Toc22897647"/>
      <w:bookmarkStart w:id="92" w:name="_Toc107927633"/>
      <w:bookmarkStart w:id="93" w:name="_Toc166861366"/>
      <w:bookmarkEnd w:id="90"/>
      <w:r w:rsidRPr="00A74236">
        <w:t>Estimated PBS usage &amp; financial implications</w:t>
      </w:r>
      <w:bookmarkEnd w:id="91"/>
      <w:bookmarkEnd w:id="92"/>
      <w:bookmarkEnd w:id="93"/>
    </w:p>
    <w:p w14:paraId="5288EA87" w14:textId="0F0B83A6" w:rsidR="000C286B" w:rsidRPr="000C286B" w:rsidRDefault="00891965" w:rsidP="00891965">
      <w:pPr>
        <w:pStyle w:val="3-BodyText"/>
      </w:pPr>
      <w:bookmarkStart w:id="94" w:name="_Toc22897649"/>
      <w:bookmarkStart w:id="95" w:name="_Toc107927635"/>
      <w:r w:rsidRPr="000C286B">
        <w:t xml:space="preserve">This submission </w:t>
      </w:r>
      <w:r w:rsidR="00AC0220">
        <w:t>was</w:t>
      </w:r>
      <w:r w:rsidRPr="000C286B">
        <w:t xml:space="preserve"> not considered by DUSC</w:t>
      </w:r>
      <w:r w:rsidRPr="000C286B">
        <w:rPr>
          <w:color w:val="0070C0"/>
        </w:rPr>
        <w:t xml:space="preserve">. </w:t>
      </w:r>
    </w:p>
    <w:p w14:paraId="6AA8DB21" w14:textId="55275E58" w:rsidR="00891965" w:rsidRPr="001D4ECC" w:rsidRDefault="00891965" w:rsidP="00891965">
      <w:pPr>
        <w:pStyle w:val="3-BodyText"/>
      </w:pPr>
      <w:r w:rsidRPr="001D4ECC">
        <w:t xml:space="preserve">The submission used a market share approach to estimate the use and financial impact of listing </w:t>
      </w:r>
      <w:r>
        <w:t xml:space="preserve">fruquintinib. </w:t>
      </w:r>
      <w:r w:rsidRPr="001D4ECC">
        <w:t xml:space="preserve">The sources of data used in the financial estimates are presented in </w:t>
      </w:r>
      <w:r>
        <w:fldChar w:fldCharType="begin"/>
      </w:r>
      <w:r>
        <w:instrText xml:space="preserve"> REF _Ref104805262 \h </w:instrText>
      </w:r>
      <w:r>
        <w:fldChar w:fldCharType="separate"/>
      </w:r>
      <w:r w:rsidR="00F03729">
        <w:t xml:space="preserve">Table </w:t>
      </w:r>
      <w:r w:rsidR="00F03729">
        <w:rPr>
          <w:noProof/>
        </w:rPr>
        <w:t>10</w:t>
      </w:r>
      <w:r>
        <w:fldChar w:fldCharType="end"/>
      </w:r>
      <w:r w:rsidRPr="001D4ECC">
        <w:t xml:space="preserve">. </w:t>
      </w:r>
    </w:p>
    <w:p w14:paraId="6AEB616B" w14:textId="1C28E144" w:rsidR="00891965" w:rsidRPr="007925DF" w:rsidRDefault="00891965" w:rsidP="00891965">
      <w:pPr>
        <w:pStyle w:val="Caption"/>
        <w:rPr>
          <w:rStyle w:val="CommentReference"/>
          <w:b/>
          <w:szCs w:val="24"/>
        </w:rPr>
      </w:pPr>
      <w:bookmarkStart w:id="96" w:name="_Ref104805262"/>
      <w:r>
        <w:lastRenderedPageBreak/>
        <w:t xml:space="preserve">Table </w:t>
      </w:r>
      <w:r w:rsidR="00DD5C00">
        <w:fldChar w:fldCharType="begin"/>
      </w:r>
      <w:r w:rsidR="00DD5C00">
        <w:instrText xml:space="preserve"> SEQ Table \* ARABIC </w:instrText>
      </w:r>
      <w:r w:rsidR="00DD5C00">
        <w:fldChar w:fldCharType="separate"/>
      </w:r>
      <w:r w:rsidR="00F03729">
        <w:rPr>
          <w:noProof/>
        </w:rPr>
        <w:t>10</w:t>
      </w:r>
      <w:r w:rsidR="00DD5C00">
        <w:rPr>
          <w:noProof/>
        </w:rPr>
        <w:fldChar w:fldCharType="end"/>
      </w:r>
      <w:bookmarkEnd w:id="96"/>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inputs for financial estimates"/>
      </w:tblPr>
      <w:tblGrid>
        <w:gridCol w:w="1696"/>
        <w:gridCol w:w="3402"/>
        <w:gridCol w:w="3919"/>
      </w:tblGrid>
      <w:tr w:rsidR="00891965" w:rsidRPr="003D1DE4" w14:paraId="645B9E07" w14:textId="77777777" w:rsidTr="00C9447B">
        <w:trPr>
          <w:tblHeader/>
        </w:trPr>
        <w:tc>
          <w:tcPr>
            <w:tcW w:w="940" w:type="pct"/>
            <w:shd w:val="clear" w:color="auto" w:fill="auto"/>
          </w:tcPr>
          <w:p w14:paraId="63053D4E" w14:textId="77777777" w:rsidR="00891965" w:rsidRPr="003D1DE4" w:rsidRDefault="00891965" w:rsidP="00DB2E12">
            <w:pPr>
              <w:pStyle w:val="In-tableHeading"/>
            </w:pPr>
            <w:r>
              <w:t>Parameter</w:t>
            </w:r>
          </w:p>
        </w:tc>
        <w:tc>
          <w:tcPr>
            <w:tcW w:w="1886" w:type="pct"/>
            <w:shd w:val="clear" w:color="auto" w:fill="auto"/>
          </w:tcPr>
          <w:p w14:paraId="5B0DC7DB" w14:textId="77777777" w:rsidR="00891965" w:rsidRPr="003D1DE4" w:rsidRDefault="00891965" w:rsidP="00DB2E12">
            <w:pPr>
              <w:pStyle w:val="In-tableHeading"/>
            </w:pPr>
            <w:r>
              <w:t>Value applied and source</w:t>
            </w:r>
          </w:p>
        </w:tc>
        <w:tc>
          <w:tcPr>
            <w:tcW w:w="2173" w:type="pct"/>
            <w:shd w:val="clear" w:color="auto" w:fill="auto"/>
          </w:tcPr>
          <w:p w14:paraId="3AB8F354" w14:textId="77777777" w:rsidR="00891965" w:rsidRPr="003D1DE4" w:rsidRDefault="00891965" w:rsidP="00DB2E12">
            <w:pPr>
              <w:pStyle w:val="In-tableHeading"/>
            </w:pPr>
            <w:r>
              <w:t>Comment</w:t>
            </w:r>
          </w:p>
        </w:tc>
      </w:tr>
      <w:tr w:rsidR="00891965" w:rsidRPr="00E2771E" w14:paraId="567E4245" w14:textId="77777777" w:rsidTr="00C9447B">
        <w:tc>
          <w:tcPr>
            <w:tcW w:w="940" w:type="pct"/>
            <w:shd w:val="clear" w:color="auto" w:fill="auto"/>
          </w:tcPr>
          <w:p w14:paraId="29CA5B72" w14:textId="00180F02" w:rsidR="00891965" w:rsidRPr="0098386B" w:rsidRDefault="00891965" w:rsidP="00DB2E12">
            <w:pPr>
              <w:pStyle w:val="TableText0"/>
              <w:rPr>
                <w:b/>
                <w:bCs w:val="0"/>
                <w:lang w:val="en-US"/>
              </w:rPr>
            </w:pPr>
            <w:r w:rsidRPr="0098386B">
              <w:rPr>
                <w:b/>
                <w:bCs w:val="0"/>
                <w:lang w:val="en-US"/>
              </w:rPr>
              <w:t xml:space="preserve">Projected use of </w:t>
            </w:r>
            <w:r w:rsidR="001A1119" w:rsidRPr="001A1119">
              <w:rPr>
                <w:b/>
                <w:bCs w:val="0"/>
                <w:lang w:val="en-US"/>
              </w:rPr>
              <w:t>TRI/TIP</w:t>
            </w:r>
          </w:p>
        </w:tc>
        <w:tc>
          <w:tcPr>
            <w:tcW w:w="1886" w:type="pct"/>
            <w:shd w:val="clear" w:color="auto" w:fill="auto"/>
          </w:tcPr>
          <w:p w14:paraId="5322E347" w14:textId="5594E32C" w:rsidR="00891965" w:rsidRPr="00E2771E" w:rsidRDefault="003806A2" w:rsidP="00DB2E12">
            <w:pPr>
              <w:pStyle w:val="TableText0"/>
              <w:rPr>
                <w:lang w:val="en-US"/>
              </w:rPr>
            </w:pPr>
            <w:r w:rsidRPr="00DE7B7E">
              <w:rPr>
                <w:color w:val="000000"/>
                <w:spacing w:val="54"/>
                <w:shd w:val="solid" w:color="000000" w:fill="000000"/>
                <w:fitText w:val="333" w:id="-863234814"/>
                <w:lang w:val="en-US"/>
                <w14:textFill>
                  <w14:solidFill>
                    <w14:srgbClr w14:val="000000">
                      <w14:alpha w14:val="100000"/>
                    </w14:srgbClr>
                  </w14:solidFill>
                </w14:textFill>
              </w:rPr>
              <w:t>|||</w:t>
            </w:r>
            <w:r w:rsidRPr="00DE7B7E">
              <w:rPr>
                <w:color w:val="000000"/>
                <w:spacing w:val="1"/>
                <w:shd w:val="solid" w:color="000000" w:fill="000000"/>
                <w:fitText w:val="333" w:id="-863234814"/>
                <w:lang w:val="en-US"/>
                <w14:textFill>
                  <w14:solidFill>
                    <w14:srgbClr w14:val="000000">
                      <w14:alpha w14:val="100000"/>
                    </w14:srgbClr>
                  </w14:solidFill>
                </w14:textFill>
              </w:rPr>
              <w:t>|</w:t>
            </w:r>
            <w:r w:rsidR="00754F39">
              <w:rPr>
                <w:vertAlign w:val="superscript"/>
                <w:lang w:val="en-US"/>
              </w:rPr>
              <w:t>1</w:t>
            </w:r>
            <w:r w:rsidR="00891965">
              <w:rPr>
                <w:lang w:val="en-US"/>
              </w:rPr>
              <w:t xml:space="preserve"> prescriptions; based on prescription data for </w:t>
            </w:r>
            <w:r w:rsidR="001A1119">
              <w:rPr>
                <w:rFonts w:eastAsia="Calibri"/>
              </w:rPr>
              <w:t>TRI/TIP</w:t>
            </w:r>
            <w:r w:rsidR="00891965">
              <w:rPr>
                <w:lang w:val="en-US"/>
              </w:rPr>
              <w:t xml:space="preserve"> from</w:t>
            </w:r>
            <w:r w:rsidR="007E3DEE">
              <w:rPr>
                <w:lang w:val="en-US"/>
              </w:rPr>
              <w:t xml:space="preserve"> </w:t>
            </w:r>
            <w:r w:rsidR="007E3DEE" w:rsidRPr="007E3DEE">
              <w:rPr>
                <w:lang w:val="en-US"/>
              </w:rPr>
              <w:t>Medicare PBS Statistics Item Reports</w:t>
            </w:r>
            <w:r w:rsidR="007E3DEE">
              <w:rPr>
                <w:lang w:val="en-US"/>
              </w:rPr>
              <w:t xml:space="preserve"> for the year 2020. </w:t>
            </w:r>
            <w:r w:rsidR="00183287">
              <w:rPr>
                <w:iCs/>
                <w:lang w:val="en-US"/>
              </w:rPr>
              <w:t>The submission assumed that the</w:t>
            </w:r>
            <w:r w:rsidR="00675A98">
              <w:rPr>
                <w:iCs/>
                <w:lang w:val="en-US"/>
              </w:rPr>
              <w:t xml:space="preserve"> decrease in</w:t>
            </w:r>
            <w:r w:rsidR="00183287">
              <w:rPr>
                <w:iCs/>
                <w:lang w:val="en-US"/>
              </w:rPr>
              <w:t xml:space="preserve"> use of </w:t>
            </w:r>
            <w:r w:rsidR="001A1119">
              <w:rPr>
                <w:rFonts w:eastAsia="Calibri"/>
              </w:rPr>
              <w:t>TRI/TIP</w:t>
            </w:r>
            <w:r w:rsidR="00183287">
              <w:rPr>
                <w:iCs/>
                <w:lang w:val="en-US"/>
              </w:rPr>
              <w:t xml:space="preserve"> in 2021 and 2022 </w:t>
            </w:r>
            <w:r w:rsidR="00675A98">
              <w:rPr>
                <w:iCs/>
                <w:lang w:val="en-US"/>
              </w:rPr>
              <w:t>was</w:t>
            </w:r>
            <w:r w:rsidR="00183287">
              <w:rPr>
                <w:iCs/>
                <w:lang w:val="en-US"/>
              </w:rPr>
              <w:t xml:space="preserve"> reversed in 2023 and </w:t>
            </w:r>
            <w:r w:rsidR="00675A98">
              <w:rPr>
                <w:iCs/>
                <w:lang w:val="en-US"/>
              </w:rPr>
              <w:t>wa</w:t>
            </w:r>
            <w:r w:rsidR="00183287">
              <w:rPr>
                <w:iCs/>
                <w:lang w:val="en-US"/>
              </w:rPr>
              <w:t>s expected to return to levels of utilisation recorded in 2019 and 2020 in 2024.</w:t>
            </w:r>
          </w:p>
        </w:tc>
        <w:tc>
          <w:tcPr>
            <w:tcW w:w="2173" w:type="pct"/>
            <w:shd w:val="clear" w:color="auto" w:fill="auto"/>
          </w:tcPr>
          <w:p w14:paraId="7C7603D7" w14:textId="212D8D4F" w:rsidR="00891965" w:rsidRPr="00990136" w:rsidRDefault="00891965" w:rsidP="00DB2E12">
            <w:pPr>
              <w:pStyle w:val="TableText0"/>
              <w:rPr>
                <w:iCs/>
                <w:lang w:val="en-US"/>
              </w:rPr>
            </w:pPr>
            <w:r w:rsidRPr="00990136">
              <w:rPr>
                <w:iCs/>
                <w:lang w:val="en-US"/>
              </w:rPr>
              <w:t xml:space="preserve">This was uncertain; the use of </w:t>
            </w:r>
            <w:r w:rsidR="001A1119">
              <w:rPr>
                <w:rFonts w:eastAsia="Calibri"/>
              </w:rPr>
              <w:t>TRI/TIP</w:t>
            </w:r>
            <w:r w:rsidRPr="00990136">
              <w:rPr>
                <w:iCs/>
                <w:lang w:val="en-US"/>
              </w:rPr>
              <w:t xml:space="preserve"> was based on data from the year 2020 and assumed to remain constant from year 1 to year 6.</w:t>
            </w:r>
          </w:p>
        </w:tc>
      </w:tr>
      <w:tr w:rsidR="00891965" w:rsidRPr="00E2771E" w14:paraId="0AB5C532" w14:textId="77777777" w:rsidTr="00C9447B">
        <w:tc>
          <w:tcPr>
            <w:tcW w:w="940" w:type="pct"/>
            <w:shd w:val="clear" w:color="auto" w:fill="auto"/>
          </w:tcPr>
          <w:p w14:paraId="44C131F3" w14:textId="77777777" w:rsidR="00891965" w:rsidRPr="0098386B" w:rsidRDefault="00891965" w:rsidP="00DB2E12">
            <w:pPr>
              <w:pStyle w:val="TableText0"/>
              <w:rPr>
                <w:b/>
                <w:bCs w:val="0"/>
                <w:lang w:val="en-US"/>
              </w:rPr>
            </w:pPr>
            <w:r w:rsidRPr="0098386B">
              <w:rPr>
                <w:b/>
                <w:bCs w:val="0"/>
                <w:lang w:val="en-US"/>
              </w:rPr>
              <w:t>Projected utilisation of fruquintinib</w:t>
            </w:r>
          </w:p>
        </w:tc>
        <w:tc>
          <w:tcPr>
            <w:tcW w:w="1886" w:type="pct"/>
            <w:shd w:val="clear" w:color="auto" w:fill="auto"/>
          </w:tcPr>
          <w:p w14:paraId="42A60BCC" w14:textId="393C7A32" w:rsidR="00891965" w:rsidRDefault="003806A2" w:rsidP="00DB2E12">
            <w:pPr>
              <w:pStyle w:val="TableText0"/>
              <w:rPr>
                <w:lang w:val="en-US"/>
              </w:rPr>
            </w:pPr>
            <w:r w:rsidRPr="00DE7B7E">
              <w:rPr>
                <w:color w:val="000000"/>
                <w:spacing w:val="54"/>
                <w:shd w:val="solid" w:color="000000" w:fill="000000"/>
                <w:fitText w:val="333" w:id="-863234813"/>
                <w:lang w:val="en-US"/>
                <w14:textFill>
                  <w14:solidFill>
                    <w14:srgbClr w14:val="000000">
                      <w14:alpha w14:val="100000"/>
                    </w14:srgbClr>
                  </w14:solidFill>
                </w14:textFill>
              </w:rPr>
              <w:t>|||</w:t>
            </w:r>
            <w:r w:rsidRPr="00DE7B7E">
              <w:rPr>
                <w:color w:val="000000"/>
                <w:spacing w:val="1"/>
                <w:shd w:val="solid" w:color="000000" w:fill="000000"/>
                <w:fitText w:val="333" w:id="-863234813"/>
                <w:lang w:val="en-US"/>
                <w14:textFill>
                  <w14:solidFill>
                    <w14:srgbClr w14:val="000000">
                      <w14:alpha w14:val="100000"/>
                    </w14:srgbClr>
                  </w14:solidFill>
                </w14:textFill>
              </w:rPr>
              <w:t>|</w:t>
            </w:r>
            <w:r w:rsidR="00891965">
              <w:rPr>
                <w:lang w:val="en-US"/>
              </w:rPr>
              <w:t xml:space="preserve">% in Year 1 increasing to </w:t>
            </w:r>
            <w:r w:rsidRPr="00DE7B7E">
              <w:rPr>
                <w:color w:val="000000"/>
                <w:spacing w:val="50"/>
                <w:shd w:val="solid" w:color="000000" w:fill="000000"/>
                <w:fitText w:val="323" w:id="-863234812"/>
                <w:lang w:val="en-US"/>
                <w14:textFill>
                  <w14:solidFill>
                    <w14:srgbClr w14:val="000000">
                      <w14:alpha w14:val="100000"/>
                    </w14:srgbClr>
                  </w14:solidFill>
                </w14:textFill>
              </w:rPr>
              <w:t>|||</w:t>
            </w:r>
            <w:r w:rsidRPr="00DE7B7E">
              <w:rPr>
                <w:color w:val="000000"/>
                <w:spacing w:val="3"/>
                <w:shd w:val="solid" w:color="000000" w:fill="000000"/>
                <w:fitText w:val="323" w:id="-863234812"/>
                <w:lang w:val="en-US"/>
                <w14:textFill>
                  <w14:solidFill>
                    <w14:srgbClr w14:val="000000">
                      <w14:alpha w14:val="100000"/>
                    </w14:srgbClr>
                  </w14:solidFill>
                </w14:textFill>
              </w:rPr>
              <w:t>|</w:t>
            </w:r>
            <w:r w:rsidR="00891965">
              <w:rPr>
                <w:lang w:val="en-US"/>
              </w:rPr>
              <w:t>% in Year 6</w:t>
            </w:r>
            <w:r w:rsidR="00653F40">
              <w:rPr>
                <w:lang w:val="en-US"/>
              </w:rPr>
              <w:t>; b</w:t>
            </w:r>
            <w:r w:rsidR="00891965">
              <w:rPr>
                <w:lang w:val="en-US"/>
              </w:rPr>
              <w:t xml:space="preserve">ased on the Sponsor’s assumption. </w:t>
            </w:r>
          </w:p>
        </w:tc>
        <w:tc>
          <w:tcPr>
            <w:tcW w:w="2173" w:type="pct"/>
            <w:shd w:val="clear" w:color="auto" w:fill="auto"/>
          </w:tcPr>
          <w:p w14:paraId="771F66C0" w14:textId="77777777" w:rsidR="00891965" w:rsidRPr="00990136" w:rsidRDefault="00891965" w:rsidP="00DB2E12">
            <w:pPr>
              <w:pStyle w:val="TableText0"/>
              <w:rPr>
                <w:iCs/>
                <w:lang w:val="en-US"/>
              </w:rPr>
            </w:pPr>
            <w:r w:rsidRPr="00990136">
              <w:rPr>
                <w:iCs/>
                <w:lang w:val="en-US"/>
              </w:rPr>
              <w:t>This was uncertain; no data or evidence was provided to support the assumption.</w:t>
            </w:r>
          </w:p>
        </w:tc>
      </w:tr>
      <w:tr w:rsidR="00165A38" w:rsidRPr="00E2771E" w14:paraId="3077D348" w14:textId="77777777" w:rsidTr="00C9447B">
        <w:tc>
          <w:tcPr>
            <w:tcW w:w="940" w:type="pct"/>
            <w:shd w:val="clear" w:color="auto" w:fill="auto"/>
          </w:tcPr>
          <w:p w14:paraId="5282EFB5" w14:textId="7C7C2A25" w:rsidR="00165A38" w:rsidRPr="0098386B" w:rsidRDefault="00165A38" w:rsidP="00DB2E12">
            <w:pPr>
              <w:pStyle w:val="TableText0"/>
              <w:rPr>
                <w:b/>
                <w:bCs w:val="0"/>
                <w:lang w:val="en-US"/>
              </w:rPr>
            </w:pPr>
            <w:r>
              <w:rPr>
                <w:b/>
                <w:bCs w:val="0"/>
                <w:lang w:val="en-US"/>
              </w:rPr>
              <w:t>Duration of therapy</w:t>
            </w:r>
            <w:r w:rsidR="00C3047F">
              <w:rPr>
                <w:b/>
                <w:bCs w:val="0"/>
                <w:lang w:val="en-US"/>
              </w:rPr>
              <w:t xml:space="preserve"> </w:t>
            </w:r>
            <w:r>
              <w:rPr>
                <w:b/>
                <w:bCs w:val="0"/>
                <w:lang w:val="en-US"/>
              </w:rPr>
              <w:t xml:space="preserve">and dose of fruquintinib and </w:t>
            </w:r>
            <w:r w:rsidR="001A1119" w:rsidRPr="001A1119">
              <w:rPr>
                <w:b/>
                <w:bCs w:val="0"/>
                <w:lang w:val="en-US"/>
              </w:rPr>
              <w:t>TRI/TIP</w:t>
            </w:r>
          </w:p>
        </w:tc>
        <w:tc>
          <w:tcPr>
            <w:tcW w:w="1886" w:type="pct"/>
            <w:shd w:val="clear" w:color="auto" w:fill="auto"/>
          </w:tcPr>
          <w:p w14:paraId="0432CA80" w14:textId="759440FF" w:rsidR="00165A38" w:rsidRPr="00165A38" w:rsidRDefault="00165A38" w:rsidP="00DB2E12">
            <w:pPr>
              <w:pStyle w:val="TableText0"/>
              <w:rPr>
                <w:lang w:val="en-US"/>
              </w:rPr>
            </w:pPr>
            <w:r w:rsidRPr="00165A38">
              <w:t>The mean treatment durations of both therapies were assumed to be equal. The dose intensity of both treatments were assumed to be 100%.</w:t>
            </w:r>
          </w:p>
        </w:tc>
        <w:tc>
          <w:tcPr>
            <w:tcW w:w="2173" w:type="pct"/>
            <w:shd w:val="clear" w:color="auto" w:fill="auto"/>
          </w:tcPr>
          <w:p w14:paraId="2B8F3883" w14:textId="1DD49DA4" w:rsidR="00165A38" w:rsidRPr="00990136" w:rsidRDefault="00165A38" w:rsidP="00DB2E12">
            <w:pPr>
              <w:pStyle w:val="TableText0"/>
              <w:rPr>
                <w:iCs/>
              </w:rPr>
            </w:pPr>
            <w:r w:rsidRPr="00990136">
              <w:rPr>
                <w:iCs/>
              </w:rPr>
              <w:t>This was uncertain</w:t>
            </w:r>
            <w:r w:rsidR="00F104CE">
              <w:rPr>
                <w:iCs/>
              </w:rPr>
              <w:t xml:space="preserve"> as noted for the economic analysis</w:t>
            </w:r>
            <w:r w:rsidR="003E51DF">
              <w:rPr>
                <w:iCs/>
              </w:rPr>
              <w:t>.</w:t>
            </w:r>
          </w:p>
        </w:tc>
      </w:tr>
      <w:tr w:rsidR="00891965" w:rsidRPr="00E2771E" w14:paraId="387DFA5D" w14:textId="77777777" w:rsidTr="00C9447B">
        <w:tc>
          <w:tcPr>
            <w:tcW w:w="940" w:type="pct"/>
            <w:shd w:val="clear" w:color="auto" w:fill="auto"/>
          </w:tcPr>
          <w:p w14:paraId="064D63D9" w14:textId="1A1A4EA6" w:rsidR="00891965" w:rsidRPr="0098386B" w:rsidRDefault="00891965" w:rsidP="00DB2E12">
            <w:pPr>
              <w:pStyle w:val="TableText0"/>
              <w:rPr>
                <w:b/>
                <w:bCs w:val="0"/>
                <w:lang w:val="en-US"/>
              </w:rPr>
            </w:pPr>
            <w:r w:rsidRPr="0098386B">
              <w:rPr>
                <w:b/>
                <w:bCs w:val="0"/>
              </w:rPr>
              <w:t xml:space="preserve">Proportion of fruquintinib utilisation in </w:t>
            </w:r>
            <w:r w:rsidR="0037384E" w:rsidRPr="0098386B">
              <w:rPr>
                <w:b/>
                <w:bCs w:val="0"/>
              </w:rPr>
              <w:t>4L</w:t>
            </w:r>
            <w:r w:rsidRPr="0098386B">
              <w:rPr>
                <w:b/>
                <w:bCs w:val="0"/>
              </w:rPr>
              <w:t xml:space="preserve"> setting</w:t>
            </w:r>
          </w:p>
        </w:tc>
        <w:tc>
          <w:tcPr>
            <w:tcW w:w="1886" w:type="pct"/>
            <w:shd w:val="clear" w:color="auto" w:fill="auto"/>
          </w:tcPr>
          <w:p w14:paraId="61FC42DD" w14:textId="452A3C26" w:rsidR="00891965" w:rsidRDefault="00891965" w:rsidP="00DB2E12">
            <w:pPr>
              <w:pStyle w:val="TableText0"/>
              <w:rPr>
                <w:lang w:val="en-US"/>
              </w:rPr>
            </w:pPr>
            <w:r w:rsidRPr="00377D7D">
              <w:t>30%</w:t>
            </w:r>
            <w:r>
              <w:t xml:space="preserve">; based on the proportion of patients who received subsequent </w:t>
            </w:r>
            <w:r w:rsidR="00C2268E">
              <w:t xml:space="preserve">chemotherapy </w:t>
            </w:r>
            <w:r>
              <w:t>treatment in FRESCO 1 trial (32.4%).</w:t>
            </w:r>
          </w:p>
        </w:tc>
        <w:tc>
          <w:tcPr>
            <w:tcW w:w="2173" w:type="pct"/>
            <w:shd w:val="clear" w:color="auto" w:fill="auto"/>
          </w:tcPr>
          <w:p w14:paraId="259DF99E" w14:textId="377FD3E0" w:rsidR="00891965" w:rsidRPr="00990136" w:rsidRDefault="00767AB4" w:rsidP="00DB2E12">
            <w:pPr>
              <w:pStyle w:val="TableText0"/>
              <w:rPr>
                <w:iCs/>
                <w:lang w:val="en-US"/>
              </w:rPr>
            </w:pPr>
            <w:r w:rsidRPr="00990136">
              <w:rPr>
                <w:iCs/>
                <w:lang w:val="en-US"/>
              </w:rPr>
              <w:t xml:space="preserve">The utilisation of fruquintinib in the </w:t>
            </w:r>
            <w:r w:rsidR="00B807EE" w:rsidRPr="00990136">
              <w:rPr>
                <w:iCs/>
                <w:lang w:val="en-US"/>
              </w:rPr>
              <w:t>4L</w:t>
            </w:r>
            <w:r w:rsidR="004E3079">
              <w:rPr>
                <w:iCs/>
                <w:lang w:val="en-US"/>
              </w:rPr>
              <w:t xml:space="preserve"> may</w:t>
            </w:r>
            <w:r w:rsidRPr="00990136">
              <w:rPr>
                <w:iCs/>
                <w:lang w:val="en-US"/>
              </w:rPr>
              <w:t xml:space="preserve"> be higher, considering the possible use of </w:t>
            </w:r>
            <w:r w:rsidR="001A1119">
              <w:rPr>
                <w:rFonts w:eastAsia="Calibri"/>
              </w:rPr>
              <w:t>TRI/TIP</w:t>
            </w:r>
            <w:r w:rsidRPr="00990136">
              <w:rPr>
                <w:iCs/>
                <w:lang w:val="en-US"/>
              </w:rPr>
              <w:t xml:space="preserve"> + </w:t>
            </w:r>
            <w:r w:rsidR="000C36AA">
              <w:rPr>
                <w:iCs/>
                <w:lang w:val="en-US"/>
              </w:rPr>
              <w:t>BEVA</w:t>
            </w:r>
            <w:r w:rsidRPr="00990136">
              <w:rPr>
                <w:iCs/>
                <w:lang w:val="en-US"/>
              </w:rPr>
              <w:t xml:space="preserve"> in the </w:t>
            </w:r>
            <w:r w:rsidR="00C36182" w:rsidRPr="00990136">
              <w:rPr>
                <w:iCs/>
                <w:lang w:val="en-US"/>
              </w:rPr>
              <w:t>3L</w:t>
            </w:r>
            <w:r w:rsidRPr="00990136">
              <w:rPr>
                <w:iCs/>
                <w:lang w:val="en-US"/>
              </w:rPr>
              <w:t xml:space="preserve"> setting</w:t>
            </w:r>
            <w:r w:rsidR="00891965" w:rsidRPr="00990136">
              <w:rPr>
                <w:iCs/>
                <w:lang w:val="en-US"/>
              </w:rPr>
              <w:t xml:space="preserve"> </w:t>
            </w:r>
            <w:r w:rsidRPr="00990136">
              <w:rPr>
                <w:iCs/>
              </w:rPr>
              <w:t xml:space="preserve">and </w:t>
            </w:r>
            <w:r w:rsidRPr="00990136">
              <w:rPr>
                <w:iCs/>
                <w:lang w:val="en-US"/>
              </w:rPr>
              <w:t xml:space="preserve">its effectiveness in the heavily </w:t>
            </w:r>
            <w:r w:rsidR="001A1119">
              <w:rPr>
                <w:rFonts w:eastAsia="Calibri"/>
              </w:rPr>
              <w:t>TRI/TIP</w:t>
            </w:r>
            <w:r w:rsidRPr="00990136">
              <w:rPr>
                <w:iCs/>
                <w:lang w:val="en-US"/>
              </w:rPr>
              <w:t xml:space="preserve"> pretreated population of the FRESCO 2 trial.</w:t>
            </w:r>
          </w:p>
        </w:tc>
      </w:tr>
      <w:tr w:rsidR="007E3DEE" w:rsidRPr="00E2771E" w14:paraId="209C4EDF" w14:textId="77777777" w:rsidTr="00C9447B">
        <w:tc>
          <w:tcPr>
            <w:tcW w:w="940" w:type="pct"/>
            <w:shd w:val="clear" w:color="auto" w:fill="auto"/>
          </w:tcPr>
          <w:p w14:paraId="3D0DC3B3" w14:textId="28881FE8" w:rsidR="007E3DEE" w:rsidRPr="0098386B" w:rsidRDefault="007E3DEE" w:rsidP="007E3DEE">
            <w:pPr>
              <w:pStyle w:val="TableText0"/>
              <w:rPr>
                <w:b/>
                <w:bCs w:val="0"/>
              </w:rPr>
            </w:pPr>
            <w:r w:rsidRPr="0098386B">
              <w:rPr>
                <w:b/>
                <w:bCs w:val="0"/>
              </w:rPr>
              <w:t xml:space="preserve">Proportion of fruquintinib utilisation as a substitution of </w:t>
            </w:r>
            <w:r w:rsidR="001A1119" w:rsidRPr="001A1119">
              <w:rPr>
                <w:b/>
                <w:bCs w:val="0"/>
              </w:rPr>
              <w:t>TRI/TIP</w:t>
            </w:r>
            <w:r w:rsidRPr="0098386B">
              <w:rPr>
                <w:b/>
                <w:bCs w:val="0"/>
              </w:rPr>
              <w:t>, in the third-line setting</w:t>
            </w:r>
          </w:p>
        </w:tc>
        <w:tc>
          <w:tcPr>
            <w:tcW w:w="1886" w:type="pct"/>
            <w:shd w:val="clear" w:color="auto" w:fill="auto"/>
          </w:tcPr>
          <w:p w14:paraId="54196D76" w14:textId="2C376D47" w:rsidR="007E3DEE" w:rsidRPr="00377D7D" w:rsidRDefault="007E3DEE" w:rsidP="007E3DEE">
            <w:pPr>
              <w:pStyle w:val="TableText0"/>
            </w:pPr>
            <w:r w:rsidRPr="00377D7D">
              <w:t>70%</w:t>
            </w:r>
            <w:r>
              <w:t>; complement of the proportion fruquintinib utilisation in the fourth-line setting</w:t>
            </w:r>
            <w:r w:rsidR="002A5D1E">
              <w:t>.</w:t>
            </w:r>
          </w:p>
        </w:tc>
        <w:tc>
          <w:tcPr>
            <w:tcW w:w="2173" w:type="pct"/>
            <w:shd w:val="clear" w:color="auto" w:fill="auto"/>
          </w:tcPr>
          <w:p w14:paraId="6E8933FC" w14:textId="7BFD5D51" w:rsidR="007E3DEE" w:rsidRPr="00990136" w:rsidRDefault="00C2268E" w:rsidP="007E3DEE">
            <w:pPr>
              <w:pStyle w:val="TableText0"/>
              <w:rPr>
                <w:iCs/>
                <w:lang w:val="en-US"/>
              </w:rPr>
            </w:pPr>
            <w:r w:rsidRPr="00990136">
              <w:rPr>
                <w:iCs/>
                <w:lang w:val="en-US"/>
              </w:rPr>
              <w:t>T</w:t>
            </w:r>
            <w:r w:rsidR="007E3DEE" w:rsidRPr="00990136">
              <w:rPr>
                <w:iCs/>
                <w:lang w:val="en-US"/>
              </w:rPr>
              <w:t>here is no optimal sequence of treatment in the third</w:t>
            </w:r>
            <w:r w:rsidR="00083AA9" w:rsidRPr="00990136">
              <w:rPr>
                <w:iCs/>
                <w:lang w:val="en-US"/>
              </w:rPr>
              <w:t xml:space="preserve"> </w:t>
            </w:r>
            <w:r w:rsidR="007E3DEE" w:rsidRPr="00990136">
              <w:rPr>
                <w:iCs/>
                <w:lang w:val="en-US"/>
              </w:rPr>
              <w:t xml:space="preserve">line setting for mCRC. Both fruquintinib and </w:t>
            </w:r>
            <w:r w:rsidR="001A1119">
              <w:rPr>
                <w:rFonts w:eastAsia="Calibri"/>
              </w:rPr>
              <w:t>TRI/TIP</w:t>
            </w:r>
            <w:r w:rsidR="007E3DEE" w:rsidRPr="00990136">
              <w:rPr>
                <w:iCs/>
                <w:lang w:val="en-US"/>
              </w:rPr>
              <w:t xml:space="preserve"> can be used sequentially. </w:t>
            </w:r>
          </w:p>
        </w:tc>
      </w:tr>
      <w:tr w:rsidR="00891965" w:rsidRPr="00E2771E" w14:paraId="0BB4BCD2" w14:textId="77777777" w:rsidTr="00C9447B">
        <w:tc>
          <w:tcPr>
            <w:tcW w:w="940" w:type="pct"/>
            <w:shd w:val="clear" w:color="auto" w:fill="auto"/>
          </w:tcPr>
          <w:p w14:paraId="53FAA510" w14:textId="32688724" w:rsidR="00891965" w:rsidRPr="0098386B" w:rsidRDefault="00891965" w:rsidP="00DB2E12">
            <w:pPr>
              <w:pStyle w:val="TableText0"/>
              <w:rPr>
                <w:b/>
                <w:bCs w:val="0"/>
                <w:lang w:val="en-US"/>
              </w:rPr>
            </w:pPr>
            <w:r w:rsidRPr="0098386B">
              <w:rPr>
                <w:b/>
                <w:bCs w:val="0"/>
                <w:lang w:val="en-US"/>
              </w:rPr>
              <w:t>Fruquintinib</w:t>
            </w:r>
          </w:p>
        </w:tc>
        <w:tc>
          <w:tcPr>
            <w:tcW w:w="1886" w:type="pct"/>
            <w:shd w:val="clear" w:color="auto" w:fill="auto"/>
          </w:tcPr>
          <w:p w14:paraId="519B4A80" w14:textId="77777777" w:rsidR="00891965" w:rsidRDefault="00891965" w:rsidP="00DB2E12">
            <w:pPr>
              <w:pStyle w:val="TableText0"/>
              <w:rPr>
                <w:lang w:val="en-US"/>
              </w:rPr>
            </w:pPr>
            <w:r w:rsidRPr="003E73F8">
              <w:rPr>
                <w:lang w:val="en-US"/>
              </w:rPr>
              <w:t xml:space="preserve">Published DPMQ: </w:t>
            </w:r>
          </w:p>
          <w:p w14:paraId="0A9D34CA" w14:textId="65680AA4" w:rsidR="00891965" w:rsidRDefault="00891965" w:rsidP="00DB2E12">
            <w:pPr>
              <w:pStyle w:val="TableText0"/>
              <w:rPr>
                <w:lang w:val="en-US"/>
              </w:rPr>
            </w:pPr>
            <w:r w:rsidRPr="003E73F8">
              <w:rPr>
                <w:lang w:val="en-US"/>
              </w:rPr>
              <w:t>$7,299.70 for both 5</w:t>
            </w:r>
            <w:r w:rsidR="008E637E">
              <w:rPr>
                <w:lang w:val="en-US"/>
              </w:rPr>
              <w:t xml:space="preserve"> </w:t>
            </w:r>
            <w:r w:rsidRPr="003E73F8">
              <w:rPr>
                <w:lang w:val="en-US"/>
              </w:rPr>
              <w:t>mg</w:t>
            </w:r>
            <w:r w:rsidR="008E637E">
              <w:rPr>
                <w:lang w:val="en-US"/>
              </w:rPr>
              <w:t xml:space="preserve"> (1 pack)</w:t>
            </w:r>
            <w:r w:rsidRPr="003E73F8">
              <w:rPr>
                <w:lang w:val="en-US"/>
              </w:rPr>
              <w:t xml:space="preserve"> and 1</w:t>
            </w:r>
            <w:r w:rsidR="008E637E">
              <w:rPr>
                <w:lang w:val="en-US"/>
              </w:rPr>
              <w:t xml:space="preserve"> </w:t>
            </w:r>
            <w:r w:rsidRPr="003E73F8">
              <w:rPr>
                <w:lang w:val="en-US"/>
              </w:rPr>
              <w:t>mg</w:t>
            </w:r>
            <w:r w:rsidR="008E637E">
              <w:rPr>
                <w:lang w:val="en-US"/>
              </w:rPr>
              <w:t xml:space="preserve"> (4 packs)</w:t>
            </w:r>
            <w:r w:rsidR="002A5D1E">
              <w:rPr>
                <w:lang w:val="en-US"/>
              </w:rPr>
              <w:t>.</w:t>
            </w:r>
          </w:p>
          <w:p w14:paraId="613B978F" w14:textId="77777777" w:rsidR="00247292" w:rsidRDefault="00247292" w:rsidP="00DB2E12">
            <w:pPr>
              <w:pStyle w:val="TableText0"/>
              <w:rPr>
                <w:lang w:val="en-US"/>
              </w:rPr>
            </w:pPr>
            <w:r>
              <w:rPr>
                <w:lang w:val="en-US"/>
              </w:rPr>
              <w:t>Cost minimised published DPMQ:</w:t>
            </w:r>
          </w:p>
          <w:p w14:paraId="4D85FBB9" w14:textId="34D7B951" w:rsidR="00247292" w:rsidRDefault="00247292" w:rsidP="00DB2E12">
            <w:pPr>
              <w:pStyle w:val="TableText0"/>
              <w:rPr>
                <w:lang w:val="en-US"/>
              </w:rPr>
            </w:pPr>
            <w:r w:rsidRPr="003E73F8">
              <w:rPr>
                <w:lang w:val="en-US"/>
              </w:rPr>
              <w:t>$</w:t>
            </w:r>
            <w:r w:rsidR="00BF29EB" w:rsidRPr="00DE7B7E">
              <w:rPr>
                <w:color w:val="000000"/>
                <w:spacing w:val="52"/>
                <w:shd w:val="solid" w:color="000000" w:fill="000000"/>
                <w:fitText w:val="327" w:id="-860170236"/>
                <w:lang w:val="en-US"/>
                <w14:textFill>
                  <w14:solidFill>
                    <w14:srgbClr w14:val="000000">
                      <w14:alpha w14:val="100000"/>
                    </w14:srgbClr>
                  </w14:solidFill>
                </w14:textFill>
              </w:rPr>
              <w:t>|||</w:t>
            </w:r>
            <w:r w:rsidR="00BF29EB" w:rsidRPr="00DE7B7E">
              <w:rPr>
                <w:color w:val="000000"/>
                <w:spacing w:val="1"/>
                <w:shd w:val="solid" w:color="000000" w:fill="000000"/>
                <w:fitText w:val="327" w:id="-860170236"/>
                <w:lang w:val="en-US"/>
                <w14:textFill>
                  <w14:solidFill>
                    <w14:srgbClr w14:val="000000">
                      <w14:alpha w14:val="100000"/>
                    </w14:srgbClr>
                  </w14:solidFill>
                </w14:textFill>
              </w:rPr>
              <w:t>|</w:t>
            </w:r>
            <w:r w:rsidRPr="003E73F8">
              <w:rPr>
                <w:lang w:val="en-US"/>
              </w:rPr>
              <w:t xml:space="preserve"> for both 5</w:t>
            </w:r>
            <w:r>
              <w:rPr>
                <w:lang w:val="en-US"/>
              </w:rPr>
              <w:t xml:space="preserve"> </w:t>
            </w:r>
            <w:r w:rsidRPr="003E73F8">
              <w:rPr>
                <w:lang w:val="en-US"/>
              </w:rPr>
              <w:t>mg</w:t>
            </w:r>
            <w:r>
              <w:rPr>
                <w:lang w:val="en-US"/>
              </w:rPr>
              <w:t xml:space="preserve"> (1 pack)</w:t>
            </w:r>
            <w:r w:rsidRPr="003E73F8">
              <w:rPr>
                <w:lang w:val="en-US"/>
              </w:rPr>
              <w:t xml:space="preserve"> and 1</w:t>
            </w:r>
            <w:r>
              <w:rPr>
                <w:lang w:val="en-US"/>
              </w:rPr>
              <w:t xml:space="preserve"> </w:t>
            </w:r>
            <w:r w:rsidRPr="003E73F8">
              <w:rPr>
                <w:lang w:val="en-US"/>
              </w:rPr>
              <w:t>mg</w:t>
            </w:r>
            <w:r>
              <w:rPr>
                <w:lang w:val="en-US"/>
              </w:rPr>
              <w:t xml:space="preserve"> (4</w:t>
            </w:r>
            <w:r w:rsidR="00806ACD">
              <w:rPr>
                <w:lang w:val="en-US"/>
              </w:rPr>
              <w:t> </w:t>
            </w:r>
            <w:r>
              <w:rPr>
                <w:lang w:val="en-US"/>
              </w:rPr>
              <w:t>packs)</w:t>
            </w:r>
            <w:r w:rsidR="002A5D1E">
              <w:rPr>
                <w:lang w:val="en-US"/>
              </w:rPr>
              <w:t>.</w:t>
            </w:r>
          </w:p>
        </w:tc>
        <w:tc>
          <w:tcPr>
            <w:tcW w:w="2173" w:type="pct"/>
            <w:shd w:val="clear" w:color="auto" w:fill="auto"/>
          </w:tcPr>
          <w:p w14:paraId="2816BF47" w14:textId="25058AFB" w:rsidR="00891965" w:rsidRPr="00990136" w:rsidRDefault="00B3728C" w:rsidP="00DB2E12">
            <w:pPr>
              <w:pStyle w:val="TableText0"/>
              <w:rPr>
                <w:iCs/>
                <w:lang w:val="en-US"/>
              </w:rPr>
            </w:pPr>
            <w:r w:rsidRPr="00990136">
              <w:rPr>
                <w:iCs/>
                <w:lang w:val="en-US"/>
              </w:rPr>
              <w:t xml:space="preserve">The effective price of </w:t>
            </w:r>
            <w:r>
              <w:rPr>
                <w:rFonts w:eastAsia="Calibri"/>
              </w:rPr>
              <w:t>TRI/TIP</w:t>
            </w:r>
            <w:r w:rsidRPr="00990136">
              <w:rPr>
                <w:iCs/>
                <w:lang w:val="en-US"/>
              </w:rPr>
              <w:t xml:space="preserve"> was unknown to the sponsor.</w:t>
            </w:r>
          </w:p>
        </w:tc>
      </w:tr>
      <w:tr w:rsidR="00891965" w:rsidRPr="00E2771E" w14:paraId="1EFB81E4" w14:textId="77777777" w:rsidTr="00C9447B">
        <w:tc>
          <w:tcPr>
            <w:tcW w:w="940" w:type="pct"/>
            <w:shd w:val="clear" w:color="auto" w:fill="auto"/>
          </w:tcPr>
          <w:p w14:paraId="2FBC7658" w14:textId="0F6D672C" w:rsidR="00891965" w:rsidRPr="0098386B" w:rsidRDefault="001A1119" w:rsidP="00DB2E12">
            <w:pPr>
              <w:pStyle w:val="TableText0"/>
              <w:rPr>
                <w:b/>
                <w:bCs w:val="0"/>
                <w:lang w:val="en-US"/>
              </w:rPr>
            </w:pPr>
            <w:r w:rsidRPr="001A1119">
              <w:rPr>
                <w:b/>
                <w:bCs w:val="0"/>
                <w:lang w:val="en-US"/>
              </w:rPr>
              <w:t>TRI/TIP</w:t>
            </w:r>
          </w:p>
        </w:tc>
        <w:tc>
          <w:tcPr>
            <w:tcW w:w="1886" w:type="pct"/>
            <w:shd w:val="clear" w:color="auto" w:fill="auto"/>
          </w:tcPr>
          <w:p w14:paraId="6C14CE54" w14:textId="77777777" w:rsidR="00891965" w:rsidRDefault="00891965" w:rsidP="00DB2E12">
            <w:pPr>
              <w:pStyle w:val="TableText0"/>
              <w:rPr>
                <w:lang w:val="en-US"/>
              </w:rPr>
            </w:pPr>
            <w:r w:rsidRPr="003E73F8">
              <w:rPr>
                <w:lang w:val="en-US"/>
              </w:rPr>
              <w:t xml:space="preserve">Published DPMQ: </w:t>
            </w:r>
          </w:p>
          <w:p w14:paraId="753C6DD7" w14:textId="18C11B42" w:rsidR="00891965" w:rsidRPr="003E73F8" w:rsidRDefault="00891965" w:rsidP="00DB2E12">
            <w:pPr>
              <w:pStyle w:val="TableText0"/>
              <w:rPr>
                <w:lang w:val="en-US"/>
              </w:rPr>
            </w:pPr>
            <w:r w:rsidRPr="003E73F8">
              <w:rPr>
                <w:lang w:val="en-US"/>
              </w:rPr>
              <w:t>$2,283.57 for 15 mg</w:t>
            </w:r>
            <w:r w:rsidR="00203BB9">
              <w:rPr>
                <w:lang w:val="en-US"/>
              </w:rPr>
              <w:t>/</w:t>
            </w:r>
            <w:r w:rsidR="00203BB9">
              <w:t>6.14 mg</w:t>
            </w:r>
          </w:p>
          <w:p w14:paraId="2A4EBEBA" w14:textId="77C89B07" w:rsidR="00891965" w:rsidRPr="00E2771E" w:rsidRDefault="00891965" w:rsidP="00DB2E12">
            <w:pPr>
              <w:pStyle w:val="TableText0"/>
              <w:rPr>
                <w:lang w:val="en-US"/>
              </w:rPr>
            </w:pPr>
            <w:r w:rsidRPr="003E73F8">
              <w:rPr>
                <w:lang w:val="en-US"/>
              </w:rPr>
              <w:t>$3,933.61 for 20 m</w:t>
            </w:r>
            <w:r>
              <w:rPr>
                <w:lang w:val="en-US"/>
              </w:rPr>
              <w:t>g</w:t>
            </w:r>
            <w:r w:rsidR="00203BB9">
              <w:rPr>
                <w:lang w:val="en-US"/>
              </w:rPr>
              <w:t>/</w:t>
            </w:r>
            <w:r w:rsidR="00203BB9">
              <w:t>8.19 mg</w:t>
            </w:r>
          </w:p>
        </w:tc>
        <w:tc>
          <w:tcPr>
            <w:tcW w:w="2173" w:type="pct"/>
            <w:shd w:val="clear" w:color="auto" w:fill="auto"/>
          </w:tcPr>
          <w:p w14:paraId="29F7B585" w14:textId="09F15602" w:rsidR="00891965" w:rsidRPr="00990136" w:rsidRDefault="00891965" w:rsidP="00DB2E12">
            <w:pPr>
              <w:pStyle w:val="TableText0"/>
              <w:rPr>
                <w:iCs/>
                <w:lang w:val="en-US"/>
              </w:rPr>
            </w:pPr>
            <w:r w:rsidRPr="00990136">
              <w:rPr>
                <w:iCs/>
                <w:lang w:val="en-US"/>
              </w:rPr>
              <w:t xml:space="preserve">The effective price of </w:t>
            </w:r>
            <w:r w:rsidR="001A1119">
              <w:rPr>
                <w:rFonts w:eastAsia="Calibri"/>
              </w:rPr>
              <w:t>TRI/TIP</w:t>
            </w:r>
            <w:r w:rsidRPr="00990136">
              <w:rPr>
                <w:iCs/>
                <w:lang w:val="en-US"/>
              </w:rPr>
              <w:t xml:space="preserve"> was unknown to </w:t>
            </w:r>
            <w:r w:rsidR="00653F40" w:rsidRPr="00990136">
              <w:rPr>
                <w:iCs/>
                <w:lang w:val="en-US"/>
              </w:rPr>
              <w:t xml:space="preserve">the </w:t>
            </w:r>
            <w:r w:rsidRPr="00990136">
              <w:rPr>
                <w:iCs/>
                <w:lang w:val="en-US"/>
              </w:rPr>
              <w:t>sponsor.</w:t>
            </w:r>
          </w:p>
        </w:tc>
      </w:tr>
    </w:tbl>
    <w:p w14:paraId="31B2C1C0" w14:textId="77777777" w:rsidR="00891965" w:rsidRDefault="00891965" w:rsidP="00891965">
      <w:pPr>
        <w:pStyle w:val="FooterTableFigure"/>
      </w:pPr>
      <w:r w:rsidRPr="007925DF">
        <w:t xml:space="preserve">Source: </w:t>
      </w:r>
      <w:r>
        <w:t>Table 4-2, p222; Table 4-3, p224 and Table 4-5, p225 of the submission.</w:t>
      </w:r>
    </w:p>
    <w:p w14:paraId="31BFA5E3" w14:textId="38FD6F18" w:rsidR="00891965" w:rsidRDefault="000C36AA" w:rsidP="00202C0C">
      <w:pPr>
        <w:pStyle w:val="FooterTableFigure"/>
        <w:spacing w:after="0"/>
      </w:pPr>
      <w:r>
        <w:t xml:space="preserve">BEVA = bevacizumab; </w:t>
      </w:r>
      <w:r w:rsidR="000540F9" w:rsidRPr="000540F9">
        <w:t xml:space="preserve">DPMQ =Dispensed Price for Maximum Quantity; </w:t>
      </w:r>
      <w:r w:rsidR="00C36182">
        <w:t xml:space="preserve">3L = third line; </w:t>
      </w:r>
      <w:r w:rsidR="0037384E">
        <w:t xml:space="preserve">4L = fourth line; </w:t>
      </w:r>
      <w:r w:rsidR="000540F9" w:rsidRPr="000540F9">
        <w:t>mCRC= metastatic colorectal cancer</w:t>
      </w:r>
      <w:r w:rsidR="005F3253">
        <w:t>; RDI = relative dose intensity</w:t>
      </w:r>
      <w:r w:rsidR="001A1119">
        <w:t xml:space="preserve">; </w:t>
      </w:r>
      <w:r w:rsidR="001A1119">
        <w:rPr>
          <w:rFonts w:eastAsia="Calibri"/>
        </w:rPr>
        <w:t xml:space="preserve">TRI/TIP = </w:t>
      </w:r>
      <w:r w:rsidR="001A1119">
        <w:rPr>
          <w:lang w:eastAsia="en-GB"/>
        </w:rPr>
        <w:t>trifluridine/tipiracil</w:t>
      </w:r>
      <w:r w:rsidR="000540F9" w:rsidRPr="000540F9">
        <w:t>.</w:t>
      </w:r>
    </w:p>
    <w:p w14:paraId="3ACF1A06" w14:textId="77777777" w:rsidR="00B04CE8" w:rsidRPr="009A6D58" w:rsidRDefault="00B04CE8" w:rsidP="00B04CE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E06D048" w14:textId="49819770" w:rsidR="00B04CE8" w:rsidRPr="007925DF" w:rsidRDefault="00B04CE8" w:rsidP="00414582">
      <w:pPr>
        <w:spacing w:after="120"/>
      </w:pPr>
      <w:r w:rsidRPr="009A6D58">
        <w:rPr>
          <w:rFonts w:ascii="Arial Narrow" w:hAnsi="Arial Narrow"/>
          <w:i/>
          <w:sz w:val="18"/>
          <w:szCs w:val="18"/>
          <w:vertAlign w:val="superscript"/>
        </w:rPr>
        <w:t>1</w:t>
      </w:r>
      <w:r>
        <w:rPr>
          <w:rFonts w:ascii="Arial Narrow" w:hAnsi="Arial Narrow"/>
          <w:i/>
          <w:sz w:val="18"/>
          <w:szCs w:val="18"/>
        </w:rPr>
        <w:t xml:space="preserve"> </w:t>
      </w:r>
      <w:r w:rsidR="00754F39" w:rsidRPr="00754F39">
        <w:rPr>
          <w:rFonts w:ascii="Arial Narrow" w:hAnsi="Arial Narrow"/>
          <w:i/>
          <w:sz w:val="18"/>
          <w:szCs w:val="18"/>
        </w:rPr>
        <w:t>500 to &lt; 5,000</w:t>
      </w:r>
    </w:p>
    <w:p w14:paraId="204BC5B7" w14:textId="0BDF67DD" w:rsidR="00891965" w:rsidRPr="00C91A65" w:rsidRDefault="00891965" w:rsidP="00891965">
      <w:pPr>
        <w:pStyle w:val="3-BodyText"/>
      </w:pPr>
      <w:r w:rsidRPr="00C91A65">
        <w:fldChar w:fldCharType="begin"/>
      </w:r>
      <w:r w:rsidRPr="00C91A65">
        <w:instrText xml:space="preserve"> REF _Ref104805295 \h  \* MERGEFORMAT </w:instrText>
      </w:r>
      <w:r w:rsidRPr="00C91A65">
        <w:fldChar w:fldCharType="separate"/>
      </w:r>
      <w:r w:rsidR="00F03729">
        <w:t>Table 11</w:t>
      </w:r>
      <w:r w:rsidRPr="00C91A65">
        <w:fldChar w:fldCharType="end"/>
      </w:r>
      <w:r w:rsidRPr="00C91A65">
        <w:t xml:space="preserve"> presents the estimated financial implications of listing fruquintinib, based on the </w:t>
      </w:r>
      <w:r w:rsidR="00B8663F">
        <w:t xml:space="preserve">proposed </w:t>
      </w:r>
      <w:r>
        <w:t xml:space="preserve">published </w:t>
      </w:r>
      <w:r w:rsidRPr="00C91A65">
        <w:t>price of fruquintinib (</w:t>
      </w:r>
      <w:r w:rsidR="004E70AA" w:rsidRPr="00F52F06">
        <w:t>cost minimised</w:t>
      </w:r>
      <w:r w:rsidR="00F52F06" w:rsidRPr="00F52F06">
        <w:t xml:space="preserve"> DPMQ: $</w:t>
      </w:r>
      <w:r w:rsidR="00BF29EB" w:rsidRPr="00F03729">
        <w:rPr>
          <w:color w:val="000000"/>
          <w:w w:val="15"/>
          <w:shd w:val="solid" w:color="000000" w:fill="000000"/>
          <w:fitText w:val="-20" w:id="-860170235"/>
          <w14:textFill>
            <w14:solidFill>
              <w14:srgbClr w14:val="000000">
                <w14:alpha w14:val="100000"/>
              </w14:srgbClr>
            </w14:solidFill>
          </w14:textFill>
        </w:rPr>
        <w:t xml:space="preserve">|  </w:t>
      </w:r>
      <w:r w:rsidR="00BF29EB" w:rsidRPr="00F03729">
        <w:rPr>
          <w:color w:val="000000"/>
          <w:spacing w:val="-69"/>
          <w:w w:val="15"/>
          <w:shd w:val="solid" w:color="000000" w:fill="000000"/>
          <w:fitText w:val="-20" w:id="-860170235"/>
          <w14:textFill>
            <w14:solidFill>
              <w14:srgbClr w14:val="000000">
                <w14:alpha w14:val="100000"/>
              </w14:srgbClr>
            </w14:solidFill>
          </w14:textFill>
        </w:rPr>
        <w:t>|</w:t>
      </w:r>
      <w:r w:rsidRPr="00C91A65">
        <w:t xml:space="preserve">) and the published price of </w:t>
      </w:r>
      <w:r w:rsidR="001A1119">
        <w:rPr>
          <w:rFonts w:eastAsia="Calibri"/>
        </w:rPr>
        <w:t>TRI/TIP</w:t>
      </w:r>
      <w:r w:rsidRPr="00C91A65">
        <w:t xml:space="preserve"> (DPMQ: $3,933.61</w:t>
      </w:r>
      <w:r w:rsidR="00767AB4">
        <w:t xml:space="preserve"> for the 20 mg</w:t>
      </w:r>
      <w:r w:rsidR="00C36182">
        <w:t>/8.19 mg</w:t>
      </w:r>
      <w:r w:rsidR="00767AB4">
        <w:t xml:space="preserve"> </w:t>
      </w:r>
      <w:r w:rsidR="00A75BF0">
        <w:t xml:space="preserve">strength </w:t>
      </w:r>
      <w:r w:rsidR="00767AB4">
        <w:t>and $2,283.57</w:t>
      </w:r>
      <w:r w:rsidR="00C36182">
        <w:t xml:space="preserve"> for the 15 mg/6.14 mg </w:t>
      </w:r>
      <w:r w:rsidR="00A75BF0">
        <w:t>strength</w:t>
      </w:r>
      <w:r w:rsidRPr="00C91A65">
        <w:t>).</w:t>
      </w:r>
    </w:p>
    <w:p w14:paraId="15ECC590" w14:textId="0F264A50" w:rsidR="00891965" w:rsidRPr="00606FBA" w:rsidRDefault="00891965" w:rsidP="00F927E4">
      <w:pPr>
        <w:pStyle w:val="Caption"/>
      </w:pPr>
      <w:bookmarkStart w:id="97" w:name="_Ref104805295"/>
      <w:r>
        <w:lastRenderedPageBreak/>
        <w:t xml:space="preserve">Table </w:t>
      </w:r>
      <w:r w:rsidR="00DD5C00">
        <w:fldChar w:fldCharType="begin"/>
      </w:r>
      <w:r w:rsidR="00DD5C00">
        <w:instrText xml:space="preserve"> SEQ Table \* ARABIC </w:instrText>
      </w:r>
      <w:r w:rsidR="00DD5C00">
        <w:fldChar w:fldCharType="separate"/>
      </w:r>
      <w:r w:rsidR="00F03729">
        <w:rPr>
          <w:noProof/>
        </w:rPr>
        <w:t>11</w:t>
      </w:r>
      <w:r w:rsidR="00DD5C00">
        <w:rPr>
          <w:noProof/>
        </w:rPr>
        <w:fldChar w:fldCharType="end"/>
      </w:r>
      <w:bookmarkEnd w:id="97"/>
      <w:r>
        <w:t>:</w:t>
      </w:r>
      <w:r w:rsidRPr="00606FB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d use and financial implications"/>
      </w:tblPr>
      <w:tblGrid>
        <w:gridCol w:w="2688"/>
        <w:gridCol w:w="994"/>
        <w:gridCol w:w="992"/>
        <w:gridCol w:w="1041"/>
        <w:gridCol w:w="1102"/>
        <w:gridCol w:w="1102"/>
        <w:gridCol w:w="1098"/>
      </w:tblGrid>
      <w:tr w:rsidR="00891965" w:rsidRPr="00D1078F" w14:paraId="37730ACE" w14:textId="77777777" w:rsidTr="00F52F06">
        <w:trPr>
          <w:tblHeader/>
        </w:trPr>
        <w:tc>
          <w:tcPr>
            <w:tcW w:w="1491" w:type="pct"/>
            <w:shd w:val="clear" w:color="auto" w:fill="auto"/>
            <w:vAlign w:val="center"/>
          </w:tcPr>
          <w:p w14:paraId="3763F51D" w14:textId="77777777" w:rsidR="00891965" w:rsidRPr="003639A6" w:rsidRDefault="00891965" w:rsidP="00F927E4">
            <w:pPr>
              <w:pStyle w:val="In-tableHeading"/>
              <w:keepLines/>
              <w:jc w:val="center"/>
            </w:pPr>
          </w:p>
        </w:tc>
        <w:tc>
          <w:tcPr>
            <w:tcW w:w="551" w:type="pct"/>
            <w:shd w:val="clear" w:color="auto" w:fill="auto"/>
            <w:vAlign w:val="center"/>
          </w:tcPr>
          <w:p w14:paraId="1293CB08" w14:textId="77777777" w:rsidR="00891965" w:rsidRDefault="00891965" w:rsidP="00F927E4">
            <w:pPr>
              <w:pStyle w:val="In-tableHeading"/>
              <w:keepLines/>
              <w:jc w:val="center"/>
            </w:pPr>
            <w:r w:rsidRPr="00D1078F">
              <w:t>Year 1</w:t>
            </w:r>
          </w:p>
          <w:p w14:paraId="10BF1E2C" w14:textId="6F60DFEC" w:rsidR="000540F9" w:rsidRPr="00D1078F" w:rsidRDefault="000540F9" w:rsidP="00F927E4">
            <w:pPr>
              <w:pStyle w:val="In-tableHeading"/>
              <w:keepLines/>
              <w:jc w:val="center"/>
            </w:pPr>
            <w:r>
              <w:t>(2025)</w:t>
            </w:r>
          </w:p>
        </w:tc>
        <w:tc>
          <w:tcPr>
            <w:tcW w:w="550" w:type="pct"/>
            <w:shd w:val="clear" w:color="auto" w:fill="auto"/>
            <w:vAlign w:val="center"/>
          </w:tcPr>
          <w:p w14:paraId="003D4038" w14:textId="77777777" w:rsidR="00891965" w:rsidRDefault="00891965" w:rsidP="00F927E4">
            <w:pPr>
              <w:pStyle w:val="In-tableHeading"/>
              <w:keepLines/>
              <w:jc w:val="center"/>
            </w:pPr>
            <w:r w:rsidRPr="00D1078F">
              <w:t>Year 2</w:t>
            </w:r>
          </w:p>
          <w:p w14:paraId="0EF54026" w14:textId="2EAAC501" w:rsidR="000540F9" w:rsidRPr="00D1078F" w:rsidRDefault="000540F9" w:rsidP="00F927E4">
            <w:pPr>
              <w:pStyle w:val="In-tableHeading"/>
              <w:keepLines/>
              <w:jc w:val="center"/>
            </w:pPr>
            <w:r>
              <w:t>(2026)</w:t>
            </w:r>
          </w:p>
        </w:tc>
        <w:tc>
          <w:tcPr>
            <w:tcW w:w="577" w:type="pct"/>
            <w:shd w:val="clear" w:color="auto" w:fill="auto"/>
            <w:vAlign w:val="center"/>
          </w:tcPr>
          <w:p w14:paraId="0C148EF1" w14:textId="77777777" w:rsidR="00891965" w:rsidRDefault="00891965" w:rsidP="00F927E4">
            <w:pPr>
              <w:pStyle w:val="In-tableHeading"/>
              <w:keepLines/>
              <w:jc w:val="center"/>
            </w:pPr>
            <w:r w:rsidRPr="00D1078F">
              <w:t>Year 3</w:t>
            </w:r>
          </w:p>
          <w:p w14:paraId="71AAB430" w14:textId="32FFCBC4" w:rsidR="000540F9" w:rsidRPr="00D1078F" w:rsidRDefault="000540F9" w:rsidP="00F927E4">
            <w:pPr>
              <w:pStyle w:val="In-tableHeading"/>
              <w:keepLines/>
              <w:jc w:val="center"/>
            </w:pPr>
            <w:r>
              <w:t>(2027)</w:t>
            </w:r>
          </w:p>
        </w:tc>
        <w:tc>
          <w:tcPr>
            <w:tcW w:w="611" w:type="pct"/>
            <w:shd w:val="clear" w:color="auto" w:fill="auto"/>
            <w:vAlign w:val="center"/>
          </w:tcPr>
          <w:p w14:paraId="160695E1" w14:textId="77777777" w:rsidR="00891965" w:rsidRDefault="00891965" w:rsidP="00F927E4">
            <w:pPr>
              <w:pStyle w:val="In-tableHeading"/>
              <w:keepLines/>
              <w:jc w:val="center"/>
            </w:pPr>
            <w:r w:rsidRPr="00D1078F">
              <w:t>Year 4</w:t>
            </w:r>
          </w:p>
          <w:p w14:paraId="3CCF9318" w14:textId="4AB77F00" w:rsidR="000540F9" w:rsidRPr="00D1078F" w:rsidRDefault="000540F9" w:rsidP="00F927E4">
            <w:pPr>
              <w:pStyle w:val="In-tableHeading"/>
              <w:keepLines/>
              <w:jc w:val="center"/>
            </w:pPr>
            <w:r>
              <w:t>(2028)</w:t>
            </w:r>
          </w:p>
        </w:tc>
        <w:tc>
          <w:tcPr>
            <w:tcW w:w="611" w:type="pct"/>
            <w:shd w:val="clear" w:color="auto" w:fill="auto"/>
            <w:vAlign w:val="center"/>
          </w:tcPr>
          <w:p w14:paraId="39B8A33A" w14:textId="77777777" w:rsidR="00891965" w:rsidRDefault="00891965" w:rsidP="00F927E4">
            <w:pPr>
              <w:pStyle w:val="In-tableHeading"/>
              <w:keepLines/>
              <w:jc w:val="center"/>
            </w:pPr>
            <w:r w:rsidRPr="00D1078F">
              <w:t>Year 5</w:t>
            </w:r>
          </w:p>
          <w:p w14:paraId="024ACABA" w14:textId="744D2A55" w:rsidR="000540F9" w:rsidRPr="00D1078F" w:rsidRDefault="000540F9" w:rsidP="00F927E4">
            <w:pPr>
              <w:pStyle w:val="In-tableHeading"/>
              <w:keepLines/>
              <w:jc w:val="center"/>
            </w:pPr>
            <w:r>
              <w:t>(2029)</w:t>
            </w:r>
          </w:p>
        </w:tc>
        <w:tc>
          <w:tcPr>
            <w:tcW w:w="609" w:type="pct"/>
          </w:tcPr>
          <w:p w14:paraId="5FF389B5" w14:textId="77777777" w:rsidR="00891965" w:rsidRDefault="00891965" w:rsidP="00F927E4">
            <w:pPr>
              <w:pStyle w:val="In-tableHeading"/>
              <w:keepLines/>
              <w:jc w:val="center"/>
            </w:pPr>
            <w:r w:rsidRPr="00D1078F">
              <w:t>Year 6</w:t>
            </w:r>
          </w:p>
          <w:p w14:paraId="0A4FEE3B" w14:textId="70891B6D" w:rsidR="000540F9" w:rsidRPr="00D1078F" w:rsidRDefault="000540F9" w:rsidP="00F927E4">
            <w:pPr>
              <w:pStyle w:val="In-tableHeading"/>
              <w:keepLines/>
              <w:jc w:val="center"/>
            </w:pPr>
            <w:r>
              <w:t>(2030)</w:t>
            </w:r>
          </w:p>
        </w:tc>
      </w:tr>
      <w:tr w:rsidR="00891965" w:rsidRPr="00D1078F" w14:paraId="6163FEAB" w14:textId="77777777" w:rsidTr="00DB2E12">
        <w:tc>
          <w:tcPr>
            <w:tcW w:w="5000" w:type="pct"/>
            <w:gridSpan w:val="7"/>
            <w:shd w:val="clear" w:color="auto" w:fill="auto"/>
            <w:vAlign w:val="center"/>
          </w:tcPr>
          <w:p w14:paraId="5372423D" w14:textId="77777777" w:rsidR="00891965" w:rsidRPr="00D1078F" w:rsidRDefault="00891965" w:rsidP="00F927E4">
            <w:pPr>
              <w:pStyle w:val="In-tableHeading"/>
              <w:keepLines/>
              <w:rPr>
                <w:bCs/>
                <w:color w:val="000000"/>
              </w:rPr>
            </w:pPr>
            <w:r w:rsidRPr="00D1078F">
              <w:rPr>
                <w:bCs/>
                <w:color w:val="000000"/>
              </w:rPr>
              <w:t>Estimated extent of use</w:t>
            </w:r>
          </w:p>
        </w:tc>
      </w:tr>
      <w:tr w:rsidR="00891965" w:rsidRPr="003639A6" w14:paraId="3E1677F3" w14:textId="77777777" w:rsidTr="00F52F06">
        <w:tc>
          <w:tcPr>
            <w:tcW w:w="1491" w:type="pct"/>
            <w:shd w:val="clear" w:color="auto" w:fill="auto"/>
            <w:vAlign w:val="center"/>
          </w:tcPr>
          <w:p w14:paraId="542DBE29" w14:textId="77777777" w:rsidR="00891965" w:rsidRPr="0098514F" w:rsidRDefault="00891965" w:rsidP="00F927E4">
            <w:pPr>
              <w:pStyle w:val="TableText0"/>
              <w:keepLines/>
              <w:rPr>
                <w:sz w:val="19"/>
                <w:szCs w:val="19"/>
              </w:rPr>
            </w:pPr>
            <w:r w:rsidRPr="0098514F">
              <w:rPr>
                <w:sz w:val="19"/>
                <w:szCs w:val="19"/>
              </w:rPr>
              <w:t>Fruquintinib 5 mg</w:t>
            </w:r>
          </w:p>
        </w:tc>
        <w:tc>
          <w:tcPr>
            <w:tcW w:w="551" w:type="pct"/>
            <w:shd w:val="clear" w:color="auto" w:fill="auto"/>
          </w:tcPr>
          <w:p w14:paraId="79E51524" w14:textId="16316693" w:rsidR="00891965" w:rsidRPr="00885BAE" w:rsidRDefault="003806A2" w:rsidP="00F927E4">
            <w:pPr>
              <w:pStyle w:val="TableText0"/>
              <w:keepLines/>
              <w:jc w:val="center"/>
              <w:rPr>
                <w:color w:val="000000"/>
                <w:highlight w:val="lightGray"/>
              </w:rPr>
            </w:pPr>
            <w:r w:rsidRPr="00DE7B7E">
              <w:rPr>
                <w:rFonts w:hint="eastAsia"/>
                <w:color w:val="000000"/>
                <w:w w:val="21"/>
                <w:shd w:val="solid" w:color="000000" w:fill="000000"/>
                <w:fitText w:val="97" w:id="-863234811"/>
                <w14:textFill>
                  <w14:solidFill>
                    <w14:srgbClr w14:val="000000">
                      <w14:alpha w14:val="100000"/>
                    </w14:srgbClr>
                  </w14:solidFill>
                </w14:textFill>
              </w:rPr>
              <w:t xml:space="preserve">　</w:t>
            </w:r>
            <w:r w:rsidRPr="00DE7B7E">
              <w:rPr>
                <w:color w:val="000000"/>
                <w:w w:val="21"/>
                <w:shd w:val="solid" w:color="000000" w:fill="000000"/>
                <w:fitText w:val="97" w:id="-863234811"/>
                <w14:textFill>
                  <w14:solidFill>
                    <w14:srgbClr w14:val="000000">
                      <w14:alpha w14:val="100000"/>
                    </w14:srgbClr>
                  </w14:solidFill>
                </w14:textFill>
              </w:rPr>
              <w:t>|</w:t>
            </w:r>
            <w:r w:rsidRPr="00DE7B7E">
              <w:rPr>
                <w:rFonts w:hint="eastAsia"/>
                <w:color w:val="000000"/>
                <w:w w:val="21"/>
                <w:shd w:val="solid" w:color="000000" w:fill="000000"/>
                <w:fitText w:val="97" w:id="-863234811"/>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c>
          <w:tcPr>
            <w:tcW w:w="550" w:type="pct"/>
            <w:shd w:val="clear" w:color="auto" w:fill="auto"/>
          </w:tcPr>
          <w:p w14:paraId="6468F5A5" w14:textId="5DB2EACA" w:rsidR="00891965" w:rsidRPr="00885BAE" w:rsidRDefault="003806A2" w:rsidP="00F927E4">
            <w:pPr>
              <w:pStyle w:val="TableText0"/>
              <w:keepLines/>
              <w:jc w:val="center"/>
              <w:rPr>
                <w:color w:val="000000"/>
                <w:highlight w:val="lightGray"/>
              </w:rPr>
            </w:pPr>
            <w:r w:rsidRPr="00DE7B7E">
              <w:rPr>
                <w:rFonts w:hint="eastAsia"/>
                <w:color w:val="000000"/>
                <w:w w:val="24"/>
                <w:shd w:val="solid" w:color="000000" w:fill="000000"/>
                <w:fitText w:val="108" w:id="-863234810"/>
                <w14:textFill>
                  <w14:solidFill>
                    <w14:srgbClr w14:val="000000">
                      <w14:alpha w14:val="100000"/>
                    </w14:srgbClr>
                  </w14:solidFill>
                </w14:textFill>
              </w:rPr>
              <w:t xml:space="preserve">　</w:t>
            </w:r>
            <w:r w:rsidRPr="00DE7B7E">
              <w:rPr>
                <w:color w:val="000000"/>
                <w:w w:val="24"/>
                <w:shd w:val="solid" w:color="000000" w:fill="000000"/>
                <w:fitText w:val="108" w:id="-863234810"/>
                <w14:textFill>
                  <w14:solidFill>
                    <w14:srgbClr w14:val="000000">
                      <w14:alpha w14:val="100000"/>
                    </w14:srgbClr>
                  </w14:solidFill>
                </w14:textFill>
              </w:rPr>
              <w:t>|</w:t>
            </w:r>
            <w:r w:rsidRPr="00DE7B7E">
              <w:rPr>
                <w:rFonts w:hint="eastAsia"/>
                <w:color w:val="000000"/>
                <w:w w:val="24"/>
                <w:shd w:val="solid" w:color="000000" w:fill="000000"/>
                <w:fitText w:val="108" w:id="-863234810"/>
                <w14:textFill>
                  <w14:solidFill>
                    <w14:srgbClr w14:val="000000">
                      <w14:alpha w14:val="100000"/>
                    </w14:srgbClr>
                  </w14:solidFill>
                </w14:textFill>
              </w:rPr>
              <w:t xml:space="preserve">　</w:t>
            </w:r>
            <w:r w:rsidR="00E64602">
              <w:rPr>
                <w:vertAlign w:val="superscript"/>
              </w:rPr>
              <w:t>2</w:t>
            </w:r>
            <w:r w:rsidR="00A27ADD" w:rsidRPr="00A27ADD">
              <w:t xml:space="preserve"> </w:t>
            </w:r>
          </w:p>
        </w:tc>
        <w:tc>
          <w:tcPr>
            <w:tcW w:w="577" w:type="pct"/>
            <w:shd w:val="clear" w:color="auto" w:fill="auto"/>
          </w:tcPr>
          <w:p w14:paraId="29A4A69D" w14:textId="5BEFBE15" w:rsidR="00891965" w:rsidRPr="00885BAE" w:rsidRDefault="003806A2" w:rsidP="00F927E4">
            <w:pPr>
              <w:pStyle w:val="TableText0"/>
              <w:keepLines/>
              <w:jc w:val="center"/>
              <w:rPr>
                <w:color w:val="000000"/>
                <w:highlight w:val="lightGray"/>
              </w:rPr>
            </w:pPr>
            <w:r w:rsidRPr="00DE7B7E">
              <w:rPr>
                <w:rFonts w:hint="eastAsia"/>
                <w:color w:val="000000"/>
                <w:w w:val="17"/>
                <w:shd w:val="solid" w:color="000000" w:fill="000000"/>
                <w:fitText w:val="76" w:id="-863234809"/>
                <w14:textFill>
                  <w14:solidFill>
                    <w14:srgbClr w14:val="000000">
                      <w14:alpha w14:val="100000"/>
                    </w14:srgbClr>
                  </w14:solidFill>
                </w14:textFill>
              </w:rPr>
              <w:t xml:space="preserve">　</w:t>
            </w:r>
            <w:r w:rsidRPr="00DE7B7E">
              <w:rPr>
                <w:color w:val="000000"/>
                <w:w w:val="17"/>
                <w:shd w:val="solid" w:color="000000" w:fill="000000"/>
                <w:fitText w:val="76" w:id="-863234809"/>
                <w14:textFill>
                  <w14:solidFill>
                    <w14:srgbClr w14:val="000000">
                      <w14:alpha w14:val="100000"/>
                    </w14:srgbClr>
                  </w14:solidFill>
                </w14:textFill>
              </w:rPr>
              <w:t>|</w:t>
            </w:r>
            <w:r w:rsidRPr="00DE7B7E">
              <w:rPr>
                <w:rFonts w:hint="eastAsia"/>
                <w:color w:val="000000"/>
                <w:w w:val="17"/>
                <w:shd w:val="solid" w:color="000000" w:fill="000000"/>
                <w:fitText w:val="76" w:id="-863234809"/>
                <w14:textFill>
                  <w14:solidFill>
                    <w14:srgbClr w14:val="000000">
                      <w14:alpha w14:val="100000"/>
                    </w14:srgbClr>
                  </w14:solidFill>
                </w14:textFill>
              </w:rPr>
              <w:t xml:space="preserve">　</w:t>
            </w:r>
            <w:r w:rsidR="00E64602">
              <w:rPr>
                <w:vertAlign w:val="superscript"/>
              </w:rPr>
              <w:t>2</w:t>
            </w:r>
            <w:r w:rsidR="00A27ADD" w:rsidRPr="00A27ADD">
              <w:t xml:space="preserve"> </w:t>
            </w:r>
          </w:p>
        </w:tc>
        <w:tc>
          <w:tcPr>
            <w:tcW w:w="611" w:type="pct"/>
            <w:shd w:val="clear" w:color="auto" w:fill="auto"/>
          </w:tcPr>
          <w:p w14:paraId="2C98AF8D" w14:textId="40CA00E0" w:rsidR="00891965" w:rsidRPr="00885BAE" w:rsidRDefault="003806A2" w:rsidP="00F927E4">
            <w:pPr>
              <w:pStyle w:val="TableText0"/>
              <w:keepLines/>
              <w:jc w:val="center"/>
              <w:rPr>
                <w:color w:val="000000"/>
                <w:highlight w:val="lightGray"/>
              </w:rPr>
            </w:pPr>
            <w:r w:rsidRPr="00DE7B7E">
              <w:rPr>
                <w:rFonts w:hint="eastAsia"/>
                <w:color w:val="000000"/>
                <w:w w:val="15"/>
                <w:shd w:val="solid" w:color="000000" w:fill="000000"/>
                <w:fitText w:val="43" w:id="-863234808"/>
                <w14:textFill>
                  <w14:solidFill>
                    <w14:srgbClr w14:val="000000">
                      <w14:alpha w14:val="100000"/>
                    </w14:srgbClr>
                  </w14:solidFill>
                </w14:textFill>
              </w:rPr>
              <w:t xml:space="preserve">　</w:t>
            </w:r>
            <w:r w:rsidRPr="00DE7B7E">
              <w:rPr>
                <w:color w:val="000000"/>
                <w:w w:val="15"/>
                <w:shd w:val="solid" w:color="000000" w:fill="000000"/>
                <w:fitText w:val="43" w:id="-863234808"/>
                <w14:textFill>
                  <w14:solidFill>
                    <w14:srgbClr w14:val="000000">
                      <w14:alpha w14:val="100000"/>
                    </w14:srgbClr>
                  </w14:solidFill>
                </w14:textFill>
              </w:rPr>
              <w:t>|</w:t>
            </w:r>
            <w:r w:rsidRPr="00DE7B7E">
              <w:rPr>
                <w:rFonts w:hint="eastAsia"/>
                <w:color w:val="000000"/>
                <w:spacing w:val="-22"/>
                <w:w w:val="15"/>
                <w:shd w:val="solid" w:color="000000" w:fill="000000"/>
                <w:fitText w:val="43" w:id="-863234808"/>
                <w14:textFill>
                  <w14:solidFill>
                    <w14:srgbClr w14:val="000000">
                      <w14:alpha w14:val="100000"/>
                    </w14:srgbClr>
                  </w14:solidFill>
                </w14:textFill>
              </w:rPr>
              <w:t xml:space="preserve">　</w:t>
            </w:r>
            <w:r w:rsidR="00E64602">
              <w:rPr>
                <w:vertAlign w:val="superscript"/>
              </w:rPr>
              <w:t>2</w:t>
            </w:r>
            <w:r w:rsidR="00A27ADD" w:rsidRPr="00A27ADD">
              <w:t xml:space="preserve"> </w:t>
            </w:r>
          </w:p>
        </w:tc>
        <w:tc>
          <w:tcPr>
            <w:tcW w:w="611" w:type="pct"/>
            <w:shd w:val="clear" w:color="auto" w:fill="auto"/>
          </w:tcPr>
          <w:p w14:paraId="789377E1" w14:textId="19349E39" w:rsidR="00891965" w:rsidRPr="00885BAE" w:rsidRDefault="003806A2" w:rsidP="00F927E4">
            <w:pPr>
              <w:pStyle w:val="TableText0"/>
              <w:keepLines/>
              <w:jc w:val="center"/>
              <w:rPr>
                <w:color w:val="000000"/>
                <w:highlight w:val="lightGray"/>
              </w:rPr>
            </w:pPr>
            <w:r w:rsidRPr="00DE7B7E">
              <w:rPr>
                <w:rFonts w:hint="eastAsia"/>
                <w:color w:val="000000"/>
                <w:w w:val="15"/>
                <w:shd w:val="solid" w:color="000000" w:fill="000000"/>
                <w:fitText w:val="43" w:id="-863234807"/>
                <w14:textFill>
                  <w14:solidFill>
                    <w14:srgbClr w14:val="000000">
                      <w14:alpha w14:val="100000"/>
                    </w14:srgbClr>
                  </w14:solidFill>
                </w14:textFill>
              </w:rPr>
              <w:t xml:space="preserve">　</w:t>
            </w:r>
            <w:r w:rsidRPr="00DE7B7E">
              <w:rPr>
                <w:color w:val="000000"/>
                <w:w w:val="15"/>
                <w:shd w:val="solid" w:color="000000" w:fill="000000"/>
                <w:fitText w:val="43" w:id="-863234807"/>
                <w14:textFill>
                  <w14:solidFill>
                    <w14:srgbClr w14:val="000000">
                      <w14:alpha w14:val="100000"/>
                    </w14:srgbClr>
                  </w14:solidFill>
                </w14:textFill>
              </w:rPr>
              <w:t>|</w:t>
            </w:r>
            <w:r w:rsidRPr="00DE7B7E">
              <w:rPr>
                <w:rFonts w:hint="eastAsia"/>
                <w:color w:val="000000"/>
                <w:spacing w:val="-22"/>
                <w:w w:val="15"/>
                <w:shd w:val="solid" w:color="000000" w:fill="000000"/>
                <w:fitText w:val="43" w:id="-863234807"/>
                <w14:textFill>
                  <w14:solidFill>
                    <w14:srgbClr w14:val="000000">
                      <w14:alpha w14:val="100000"/>
                    </w14:srgbClr>
                  </w14:solidFill>
                </w14:textFill>
              </w:rPr>
              <w:t xml:space="preserve">　</w:t>
            </w:r>
            <w:r w:rsidR="00E64602">
              <w:rPr>
                <w:vertAlign w:val="superscript"/>
              </w:rPr>
              <w:t>2</w:t>
            </w:r>
            <w:r w:rsidR="00A27ADD" w:rsidRPr="00A27ADD">
              <w:t xml:space="preserve"> </w:t>
            </w:r>
          </w:p>
        </w:tc>
        <w:tc>
          <w:tcPr>
            <w:tcW w:w="609" w:type="pct"/>
          </w:tcPr>
          <w:p w14:paraId="4C6AF3C4" w14:textId="28DAEB42" w:rsidR="00891965" w:rsidRPr="00885BAE" w:rsidRDefault="003806A2" w:rsidP="00F927E4">
            <w:pPr>
              <w:pStyle w:val="TableText0"/>
              <w:keepLines/>
              <w:jc w:val="center"/>
              <w:rPr>
                <w:color w:val="000000"/>
                <w:highlight w:val="lightGray"/>
              </w:rPr>
            </w:pPr>
            <w:r w:rsidRPr="00DE7B7E">
              <w:rPr>
                <w:rFonts w:hint="eastAsia"/>
                <w:color w:val="000000"/>
                <w:w w:val="15"/>
                <w:shd w:val="solid" w:color="000000" w:fill="000000"/>
                <w:fitText w:val="54" w:id="-863234806"/>
                <w14:textFill>
                  <w14:solidFill>
                    <w14:srgbClr w14:val="000000">
                      <w14:alpha w14:val="100000"/>
                    </w14:srgbClr>
                  </w14:solidFill>
                </w14:textFill>
              </w:rPr>
              <w:t xml:space="preserve">　</w:t>
            </w:r>
            <w:r w:rsidRPr="00DE7B7E">
              <w:rPr>
                <w:color w:val="000000"/>
                <w:w w:val="15"/>
                <w:shd w:val="solid" w:color="000000" w:fill="000000"/>
                <w:fitText w:val="54" w:id="-863234806"/>
                <w14:textFill>
                  <w14:solidFill>
                    <w14:srgbClr w14:val="000000">
                      <w14:alpha w14:val="100000"/>
                    </w14:srgbClr>
                  </w14:solidFill>
                </w14:textFill>
              </w:rPr>
              <w:t>|</w:t>
            </w:r>
            <w:r w:rsidRPr="00DE7B7E">
              <w:rPr>
                <w:rFonts w:hint="eastAsia"/>
                <w:color w:val="000000"/>
                <w:spacing w:val="-11"/>
                <w:w w:val="15"/>
                <w:shd w:val="solid" w:color="000000" w:fill="000000"/>
                <w:fitText w:val="54" w:id="-863234806"/>
                <w14:textFill>
                  <w14:solidFill>
                    <w14:srgbClr w14:val="000000">
                      <w14:alpha w14:val="100000"/>
                    </w14:srgbClr>
                  </w14:solidFill>
                </w14:textFill>
              </w:rPr>
              <w:t xml:space="preserve">　</w:t>
            </w:r>
            <w:r w:rsidR="00E64602">
              <w:rPr>
                <w:vertAlign w:val="superscript"/>
              </w:rPr>
              <w:t>2</w:t>
            </w:r>
            <w:r w:rsidR="00A27ADD" w:rsidRPr="00A27ADD">
              <w:t xml:space="preserve"> </w:t>
            </w:r>
          </w:p>
        </w:tc>
      </w:tr>
      <w:tr w:rsidR="00891965" w:rsidRPr="003639A6" w14:paraId="56E3BB73" w14:textId="77777777" w:rsidTr="00F52F06">
        <w:tc>
          <w:tcPr>
            <w:tcW w:w="1491" w:type="pct"/>
            <w:shd w:val="clear" w:color="auto" w:fill="auto"/>
            <w:vAlign w:val="center"/>
          </w:tcPr>
          <w:p w14:paraId="7F0485A2" w14:textId="77777777" w:rsidR="00891965" w:rsidRPr="0098514F" w:rsidRDefault="00891965" w:rsidP="00F927E4">
            <w:pPr>
              <w:pStyle w:val="TableText0"/>
              <w:keepLines/>
              <w:rPr>
                <w:sz w:val="19"/>
                <w:szCs w:val="19"/>
              </w:rPr>
            </w:pPr>
            <w:r w:rsidRPr="0098514F">
              <w:rPr>
                <w:sz w:val="19"/>
                <w:szCs w:val="19"/>
              </w:rPr>
              <w:t>Fruquintinib 1 mg</w:t>
            </w:r>
          </w:p>
        </w:tc>
        <w:tc>
          <w:tcPr>
            <w:tcW w:w="551" w:type="pct"/>
            <w:shd w:val="clear" w:color="auto" w:fill="auto"/>
          </w:tcPr>
          <w:p w14:paraId="6B878851" w14:textId="782EAFEF" w:rsidR="00891965" w:rsidRPr="00885BAE" w:rsidRDefault="003806A2" w:rsidP="00F927E4">
            <w:pPr>
              <w:pStyle w:val="TableText0"/>
              <w:keepLines/>
              <w:jc w:val="center"/>
              <w:rPr>
                <w:color w:val="000000"/>
                <w:highlight w:val="lightGray"/>
              </w:rPr>
            </w:pPr>
            <w:r w:rsidRPr="00DE7B7E">
              <w:rPr>
                <w:rFonts w:hint="eastAsia"/>
                <w:color w:val="000000"/>
                <w:w w:val="21"/>
                <w:shd w:val="solid" w:color="000000" w:fill="000000"/>
                <w:fitText w:val="97" w:id="-863234805"/>
                <w14:textFill>
                  <w14:solidFill>
                    <w14:srgbClr w14:val="000000">
                      <w14:alpha w14:val="100000"/>
                    </w14:srgbClr>
                  </w14:solidFill>
                </w14:textFill>
              </w:rPr>
              <w:t xml:space="preserve">　</w:t>
            </w:r>
            <w:r w:rsidRPr="00DE7B7E">
              <w:rPr>
                <w:color w:val="000000"/>
                <w:w w:val="21"/>
                <w:shd w:val="solid" w:color="000000" w:fill="000000"/>
                <w:fitText w:val="97" w:id="-863234805"/>
                <w14:textFill>
                  <w14:solidFill>
                    <w14:srgbClr w14:val="000000">
                      <w14:alpha w14:val="100000"/>
                    </w14:srgbClr>
                  </w14:solidFill>
                </w14:textFill>
              </w:rPr>
              <w:t>|</w:t>
            </w:r>
            <w:r w:rsidRPr="00DE7B7E">
              <w:rPr>
                <w:rFonts w:hint="eastAsia"/>
                <w:color w:val="000000"/>
                <w:w w:val="21"/>
                <w:shd w:val="solid" w:color="000000" w:fill="000000"/>
                <w:fitText w:val="97" w:id="-863234805"/>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c>
          <w:tcPr>
            <w:tcW w:w="550" w:type="pct"/>
            <w:shd w:val="clear" w:color="auto" w:fill="auto"/>
          </w:tcPr>
          <w:p w14:paraId="49857DFE" w14:textId="76AB78E0" w:rsidR="00891965" w:rsidRPr="00885BAE" w:rsidRDefault="003806A2" w:rsidP="00F927E4">
            <w:pPr>
              <w:pStyle w:val="TableText0"/>
              <w:keepLines/>
              <w:jc w:val="center"/>
              <w:rPr>
                <w:color w:val="000000"/>
                <w:highlight w:val="lightGray"/>
              </w:rPr>
            </w:pPr>
            <w:r w:rsidRPr="00DE7B7E">
              <w:rPr>
                <w:rFonts w:hint="eastAsia"/>
                <w:color w:val="000000"/>
                <w:w w:val="24"/>
                <w:shd w:val="solid" w:color="000000" w:fill="000000"/>
                <w:fitText w:val="108" w:id="-863234804"/>
                <w14:textFill>
                  <w14:solidFill>
                    <w14:srgbClr w14:val="000000">
                      <w14:alpha w14:val="100000"/>
                    </w14:srgbClr>
                  </w14:solidFill>
                </w14:textFill>
              </w:rPr>
              <w:t xml:space="preserve">　</w:t>
            </w:r>
            <w:r w:rsidRPr="00DE7B7E">
              <w:rPr>
                <w:color w:val="000000"/>
                <w:w w:val="24"/>
                <w:shd w:val="solid" w:color="000000" w:fill="000000"/>
                <w:fitText w:val="108" w:id="-863234804"/>
                <w14:textFill>
                  <w14:solidFill>
                    <w14:srgbClr w14:val="000000">
                      <w14:alpha w14:val="100000"/>
                    </w14:srgbClr>
                  </w14:solidFill>
                </w14:textFill>
              </w:rPr>
              <w:t>|</w:t>
            </w:r>
            <w:r w:rsidRPr="00DE7B7E">
              <w:rPr>
                <w:rFonts w:hint="eastAsia"/>
                <w:color w:val="000000"/>
                <w:w w:val="24"/>
                <w:shd w:val="solid" w:color="000000" w:fill="000000"/>
                <w:fitText w:val="108" w:id="-863234804"/>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c>
          <w:tcPr>
            <w:tcW w:w="577" w:type="pct"/>
            <w:shd w:val="clear" w:color="auto" w:fill="auto"/>
          </w:tcPr>
          <w:p w14:paraId="213F48C6" w14:textId="079978FC" w:rsidR="00891965" w:rsidRPr="00885BAE" w:rsidRDefault="003806A2" w:rsidP="00F927E4">
            <w:pPr>
              <w:pStyle w:val="TableText0"/>
              <w:keepLines/>
              <w:jc w:val="center"/>
              <w:rPr>
                <w:color w:val="000000"/>
                <w:highlight w:val="lightGray"/>
              </w:rPr>
            </w:pPr>
            <w:r w:rsidRPr="00DE7B7E">
              <w:rPr>
                <w:rFonts w:hint="eastAsia"/>
                <w:color w:val="000000"/>
                <w:w w:val="17"/>
                <w:shd w:val="solid" w:color="000000" w:fill="000000"/>
                <w:fitText w:val="76" w:id="-863234803"/>
                <w14:textFill>
                  <w14:solidFill>
                    <w14:srgbClr w14:val="000000">
                      <w14:alpha w14:val="100000"/>
                    </w14:srgbClr>
                  </w14:solidFill>
                </w14:textFill>
              </w:rPr>
              <w:t xml:space="preserve">　</w:t>
            </w:r>
            <w:r w:rsidRPr="00DE7B7E">
              <w:rPr>
                <w:color w:val="000000"/>
                <w:w w:val="17"/>
                <w:shd w:val="solid" w:color="000000" w:fill="000000"/>
                <w:fitText w:val="76" w:id="-863234803"/>
                <w14:textFill>
                  <w14:solidFill>
                    <w14:srgbClr w14:val="000000">
                      <w14:alpha w14:val="100000"/>
                    </w14:srgbClr>
                  </w14:solidFill>
                </w14:textFill>
              </w:rPr>
              <w:t>|</w:t>
            </w:r>
            <w:r w:rsidRPr="00DE7B7E">
              <w:rPr>
                <w:rFonts w:hint="eastAsia"/>
                <w:color w:val="000000"/>
                <w:w w:val="17"/>
                <w:shd w:val="solid" w:color="000000" w:fill="000000"/>
                <w:fitText w:val="76" w:id="-863234803"/>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c>
          <w:tcPr>
            <w:tcW w:w="611" w:type="pct"/>
            <w:shd w:val="clear" w:color="auto" w:fill="auto"/>
          </w:tcPr>
          <w:p w14:paraId="13D7A30F" w14:textId="306F1CC0" w:rsidR="00891965" w:rsidRPr="00885BAE" w:rsidRDefault="003806A2" w:rsidP="00F927E4">
            <w:pPr>
              <w:pStyle w:val="TableText0"/>
              <w:keepLines/>
              <w:jc w:val="center"/>
              <w:rPr>
                <w:color w:val="000000"/>
                <w:highlight w:val="lightGray"/>
              </w:rPr>
            </w:pPr>
            <w:r w:rsidRPr="00DE7B7E">
              <w:rPr>
                <w:rFonts w:hint="eastAsia"/>
                <w:color w:val="000000"/>
                <w:w w:val="15"/>
                <w:shd w:val="solid" w:color="000000" w:fill="000000"/>
                <w:fitText w:val="43" w:id="-863234802"/>
                <w14:textFill>
                  <w14:solidFill>
                    <w14:srgbClr w14:val="000000">
                      <w14:alpha w14:val="100000"/>
                    </w14:srgbClr>
                  </w14:solidFill>
                </w14:textFill>
              </w:rPr>
              <w:t xml:space="preserve">　</w:t>
            </w:r>
            <w:r w:rsidRPr="00DE7B7E">
              <w:rPr>
                <w:color w:val="000000"/>
                <w:w w:val="15"/>
                <w:shd w:val="solid" w:color="000000" w:fill="000000"/>
                <w:fitText w:val="43" w:id="-863234802"/>
                <w14:textFill>
                  <w14:solidFill>
                    <w14:srgbClr w14:val="000000">
                      <w14:alpha w14:val="100000"/>
                    </w14:srgbClr>
                  </w14:solidFill>
                </w14:textFill>
              </w:rPr>
              <w:t>|</w:t>
            </w:r>
            <w:r w:rsidRPr="00DE7B7E">
              <w:rPr>
                <w:rFonts w:hint="eastAsia"/>
                <w:color w:val="000000"/>
                <w:spacing w:val="-22"/>
                <w:w w:val="15"/>
                <w:shd w:val="solid" w:color="000000" w:fill="000000"/>
                <w:fitText w:val="43" w:id="-863234802"/>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c>
          <w:tcPr>
            <w:tcW w:w="611" w:type="pct"/>
            <w:shd w:val="clear" w:color="auto" w:fill="auto"/>
          </w:tcPr>
          <w:p w14:paraId="529722BB" w14:textId="3446CEB7" w:rsidR="00891965" w:rsidRPr="00885BAE" w:rsidRDefault="003806A2" w:rsidP="00F927E4">
            <w:pPr>
              <w:pStyle w:val="TableText0"/>
              <w:keepLines/>
              <w:jc w:val="center"/>
              <w:rPr>
                <w:color w:val="000000"/>
                <w:highlight w:val="lightGray"/>
              </w:rPr>
            </w:pPr>
            <w:r w:rsidRPr="00DE7B7E">
              <w:rPr>
                <w:rFonts w:hint="eastAsia"/>
                <w:color w:val="000000"/>
                <w:w w:val="15"/>
                <w:shd w:val="solid" w:color="000000" w:fill="000000"/>
                <w:fitText w:val="43" w:id="-863234801"/>
                <w14:textFill>
                  <w14:solidFill>
                    <w14:srgbClr w14:val="000000">
                      <w14:alpha w14:val="100000"/>
                    </w14:srgbClr>
                  </w14:solidFill>
                </w14:textFill>
              </w:rPr>
              <w:t xml:space="preserve">　</w:t>
            </w:r>
            <w:r w:rsidRPr="00DE7B7E">
              <w:rPr>
                <w:color w:val="000000"/>
                <w:w w:val="15"/>
                <w:shd w:val="solid" w:color="000000" w:fill="000000"/>
                <w:fitText w:val="43" w:id="-863234801"/>
                <w14:textFill>
                  <w14:solidFill>
                    <w14:srgbClr w14:val="000000">
                      <w14:alpha w14:val="100000"/>
                    </w14:srgbClr>
                  </w14:solidFill>
                </w14:textFill>
              </w:rPr>
              <w:t>|</w:t>
            </w:r>
            <w:r w:rsidRPr="00DE7B7E">
              <w:rPr>
                <w:rFonts w:hint="eastAsia"/>
                <w:color w:val="000000"/>
                <w:spacing w:val="-22"/>
                <w:w w:val="15"/>
                <w:shd w:val="solid" w:color="000000" w:fill="000000"/>
                <w:fitText w:val="43" w:id="-863234801"/>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c>
          <w:tcPr>
            <w:tcW w:w="609" w:type="pct"/>
          </w:tcPr>
          <w:p w14:paraId="0B1C4730" w14:textId="441361CF" w:rsidR="00891965" w:rsidRPr="00885BAE" w:rsidRDefault="003806A2" w:rsidP="00F927E4">
            <w:pPr>
              <w:pStyle w:val="TableText0"/>
              <w:keepLines/>
              <w:jc w:val="center"/>
              <w:rPr>
                <w:color w:val="000000"/>
                <w:highlight w:val="lightGray"/>
              </w:rPr>
            </w:pPr>
            <w:r w:rsidRPr="00DE7B7E">
              <w:rPr>
                <w:rFonts w:hint="eastAsia"/>
                <w:color w:val="000000"/>
                <w:w w:val="15"/>
                <w:shd w:val="solid" w:color="000000" w:fill="000000"/>
                <w:fitText w:val="54" w:id="-863234800"/>
                <w14:textFill>
                  <w14:solidFill>
                    <w14:srgbClr w14:val="000000">
                      <w14:alpha w14:val="100000"/>
                    </w14:srgbClr>
                  </w14:solidFill>
                </w14:textFill>
              </w:rPr>
              <w:t xml:space="preserve">　</w:t>
            </w:r>
            <w:r w:rsidRPr="00DE7B7E">
              <w:rPr>
                <w:color w:val="000000"/>
                <w:w w:val="15"/>
                <w:shd w:val="solid" w:color="000000" w:fill="000000"/>
                <w:fitText w:val="54" w:id="-863234800"/>
                <w14:textFill>
                  <w14:solidFill>
                    <w14:srgbClr w14:val="000000">
                      <w14:alpha w14:val="100000"/>
                    </w14:srgbClr>
                  </w14:solidFill>
                </w14:textFill>
              </w:rPr>
              <w:t>|</w:t>
            </w:r>
            <w:r w:rsidRPr="00DE7B7E">
              <w:rPr>
                <w:rFonts w:hint="eastAsia"/>
                <w:color w:val="000000"/>
                <w:spacing w:val="-11"/>
                <w:w w:val="15"/>
                <w:shd w:val="solid" w:color="000000" w:fill="000000"/>
                <w:fitText w:val="54" w:id="-863234800"/>
                <w14:textFill>
                  <w14:solidFill>
                    <w14:srgbClr w14:val="000000">
                      <w14:alpha w14:val="100000"/>
                    </w14:srgbClr>
                  </w14:solidFill>
                </w14:textFill>
              </w:rPr>
              <w:t xml:space="preserve">　</w:t>
            </w:r>
            <w:r w:rsidR="00484D5E" w:rsidRPr="00484D5E">
              <w:rPr>
                <w:vertAlign w:val="superscript"/>
              </w:rPr>
              <w:t>1</w:t>
            </w:r>
            <w:r w:rsidR="00A27ADD" w:rsidRPr="00A27ADD">
              <w:t xml:space="preserve"> </w:t>
            </w:r>
          </w:p>
        </w:tc>
      </w:tr>
      <w:tr w:rsidR="00F52F06" w:rsidRPr="003639A6" w14:paraId="2B05A5E8" w14:textId="77777777" w:rsidTr="00F52F06">
        <w:tc>
          <w:tcPr>
            <w:tcW w:w="5000" w:type="pct"/>
            <w:gridSpan w:val="7"/>
            <w:shd w:val="clear" w:color="auto" w:fill="auto"/>
            <w:vAlign w:val="center"/>
          </w:tcPr>
          <w:p w14:paraId="6CAFB026" w14:textId="703E9244" w:rsidR="00F52F06" w:rsidRPr="004E0053" w:rsidRDefault="00F52F06" w:rsidP="00F927E4">
            <w:pPr>
              <w:pStyle w:val="TableText0"/>
              <w:keepLines/>
              <w:rPr>
                <w:b/>
                <w:bCs w:val="0"/>
              </w:rPr>
            </w:pPr>
            <w:r w:rsidRPr="004E0053">
              <w:rPr>
                <w:b/>
                <w:bCs w:val="0"/>
              </w:rPr>
              <w:t>Net financial implications using the base case cost minimised price of fruquintinib (DPMQ: $</w:t>
            </w:r>
            <w:r w:rsidR="00BF29EB" w:rsidRPr="00DE7B7E">
              <w:rPr>
                <w:b/>
                <w:bCs w:val="0"/>
                <w:color w:val="000000"/>
                <w:spacing w:val="59"/>
                <w:shd w:val="solid" w:color="000000" w:fill="000000"/>
                <w:fitText w:val="362" w:id="-860170234"/>
                <w14:textFill>
                  <w14:solidFill>
                    <w14:srgbClr w14:val="000000">
                      <w14:alpha w14:val="100000"/>
                    </w14:srgbClr>
                  </w14:solidFill>
                </w14:textFill>
              </w:rPr>
              <w:t>|||</w:t>
            </w:r>
            <w:r w:rsidR="00BF29EB" w:rsidRPr="00DE7B7E">
              <w:rPr>
                <w:b/>
                <w:bCs w:val="0"/>
                <w:color w:val="000000"/>
                <w:spacing w:val="2"/>
                <w:shd w:val="solid" w:color="000000" w:fill="000000"/>
                <w:fitText w:val="362" w:id="-860170234"/>
                <w14:textFill>
                  <w14:solidFill>
                    <w14:srgbClr w14:val="000000">
                      <w14:alpha w14:val="100000"/>
                    </w14:srgbClr>
                  </w14:solidFill>
                </w14:textFill>
              </w:rPr>
              <w:t>|</w:t>
            </w:r>
            <w:r w:rsidRPr="004E0053">
              <w:rPr>
                <w:b/>
                <w:bCs w:val="0"/>
                <w:vertAlign w:val="superscript"/>
              </w:rPr>
              <w:t>a</w:t>
            </w:r>
            <w:r w:rsidRPr="004E0053">
              <w:rPr>
                <w:b/>
                <w:bCs w:val="0"/>
              </w:rPr>
              <w:t>)</w:t>
            </w:r>
          </w:p>
        </w:tc>
      </w:tr>
      <w:tr w:rsidR="00651F42" w:rsidRPr="003639A6" w14:paraId="30F48B97" w14:textId="77777777" w:rsidTr="002C508F">
        <w:tc>
          <w:tcPr>
            <w:tcW w:w="1491" w:type="pct"/>
            <w:shd w:val="clear" w:color="auto" w:fill="auto"/>
          </w:tcPr>
          <w:p w14:paraId="6C8A6894" w14:textId="3E76C309" w:rsidR="00651F42" w:rsidRPr="004E0053" w:rsidRDefault="00651F42" w:rsidP="00651F42">
            <w:pPr>
              <w:pStyle w:val="TableText0"/>
              <w:keepLines/>
              <w:rPr>
                <w:sz w:val="19"/>
                <w:szCs w:val="19"/>
              </w:rPr>
            </w:pPr>
            <w:r w:rsidRPr="004E0053">
              <w:t>Net cost to PBS/RPBS</w:t>
            </w:r>
            <w:r w:rsidR="00885BAE">
              <w:t xml:space="preserve"> ($)</w:t>
            </w:r>
          </w:p>
        </w:tc>
        <w:tc>
          <w:tcPr>
            <w:tcW w:w="551" w:type="pct"/>
            <w:shd w:val="clear" w:color="auto" w:fill="auto"/>
          </w:tcPr>
          <w:p w14:paraId="14DADDEB" w14:textId="1E34EE53" w:rsidR="00651F42" w:rsidRPr="00885BAE" w:rsidRDefault="003806A2" w:rsidP="00651F42">
            <w:pPr>
              <w:pStyle w:val="TableText0"/>
              <w:keepLines/>
              <w:jc w:val="center"/>
              <w:rPr>
                <w:highlight w:val="lightGray"/>
              </w:rPr>
            </w:pPr>
            <w:r w:rsidRPr="00DE7B7E">
              <w:rPr>
                <w:rFonts w:hint="eastAsia"/>
                <w:color w:val="000000"/>
                <w:w w:val="21"/>
                <w:shd w:val="solid" w:color="000000" w:fill="000000"/>
                <w:fitText w:val="97" w:id="-863234816"/>
                <w14:textFill>
                  <w14:solidFill>
                    <w14:srgbClr w14:val="000000">
                      <w14:alpha w14:val="100000"/>
                    </w14:srgbClr>
                  </w14:solidFill>
                </w14:textFill>
              </w:rPr>
              <w:t xml:space="preserve">　</w:t>
            </w:r>
            <w:r w:rsidRPr="00DE7B7E">
              <w:rPr>
                <w:color w:val="000000"/>
                <w:w w:val="21"/>
                <w:shd w:val="solid" w:color="000000" w:fill="000000"/>
                <w:fitText w:val="97" w:id="-863234816"/>
                <w14:textFill>
                  <w14:solidFill>
                    <w14:srgbClr w14:val="000000">
                      <w14:alpha w14:val="100000"/>
                    </w14:srgbClr>
                  </w14:solidFill>
                </w14:textFill>
              </w:rPr>
              <w:t>|</w:t>
            </w:r>
            <w:r w:rsidRPr="00DE7B7E">
              <w:rPr>
                <w:rFonts w:hint="eastAsia"/>
                <w:color w:val="000000"/>
                <w:w w:val="21"/>
                <w:shd w:val="solid" w:color="000000" w:fill="000000"/>
                <w:fitText w:val="97" w:id="-863234816"/>
                <w14:textFill>
                  <w14:solidFill>
                    <w14:srgbClr w14:val="000000">
                      <w14:alpha w14:val="100000"/>
                    </w14:srgbClr>
                  </w14:solidFill>
                </w14:textFill>
              </w:rPr>
              <w:t xml:space="preserve">　</w:t>
            </w:r>
            <w:r w:rsidR="006562D1">
              <w:rPr>
                <w:vertAlign w:val="superscript"/>
              </w:rPr>
              <w:t>3</w:t>
            </w:r>
          </w:p>
        </w:tc>
        <w:tc>
          <w:tcPr>
            <w:tcW w:w="550" w:type="pct"/>
            <w:shd w:val="clear" w:color="auto" w:fill="auto"/>
          </w:tcPr>
          <w:p w14:paraId="2B80466E" w14:textId="26E3F58A" w:rsidR="00651F42" w:rsidRPr="00885BAE" w:rsidRDefault="003806A2" w:rsidP="00651F42">
            <w:pPr>
              <w:pStyle w:val="TableText0"/>
              <w:keepLines/>
              <w:jc w:val="center"/>
              <w:rPr>
                <w:highlight w:val="lightGray"/>
              </w:rPr>
            </w:pPr>
            <w:r w:rsidRPr="00DE7B7E">
              <w:rPr>
                <w:rFonts w:hint="eastAsia"/>
                <w:color w:val="000000"/>
                <w:w w:val="24"/>
                <w:shd w:val="solid" w:color="000000" w:fill="000000"/>
                <w:fitText w:val="108" w:id="-863234815"/>
                <w14:textFill>
                  <w14:solidFill>
                    <w14:srgbClr w14:val="000000">
                      <w14:alpha w14:val="100000"/>
                    </w14:srgbClr>
                  </w14:solidFill>
                </w14:textFill>
              </w:rPr>
              <w:t xml:space="preserve">　</w:t>
            </w:r>
            <w:r w:rsidRPr="00DE7B7E">
              <w:rPr>
                <w:color w:val="000000"/>
                <w:w w:val="24"/>
                <w:shd w:val="solid" w:color="000000" w:fill="000000"/>
                <w:fitText w:val="108" w:id="-863234815"/>
                <w14:textFill>
                  <w14:solidFill>
                    <w14:srgbClr w14:val="000000">
                      <w14:alpha w14:val="100000"/>
                    </w14:srgbClr>
                  </w14:solidFill>
                </w14:textFill>
              </w:rPr>
              <w:t>|</w:t>
            </w:r>
            <w:r w:rsidRPr="00DE7B7E">
              <w:rPr>
                <w:rFonts w:hint="eastAsia"/>
                <w:color w:val="000000"/>
                <w:w w:val="24"/>
                <w:shd w:val="solid" w:color="000000" w:fill="000000"/>
                <w:fitText w:val="108" w:id="-863234815"/>
                <w14:textFill>
                  <w14:solidFill>
                    <w14:srgbClr w14:val="000000">
                      <w14:alpha w14:val="100000"/>
                    </w14:srgbClr>
                  </w14:solidFill>
                </w14:textFill>
              </w:rPr>
              <w:t xml:space="preserve">　</w:t>
            </w:r>
            <w:r w:rsidR="006562D1">
              <w:rPr>
                <w:vertAlign w:val="superscript"/>
              </w:rPr>
              <w:t>3</w:t>
            </w:r>
          </w:p>
        </w:tc>
        <w:tc>
          <w:tcPr>
            <w:tcW w:w="577" w:type="pct"/>
            <w:shd w:val="clear" w:color="auto" w:fill="auto"/>
          </w:tcPr>
          <w:p w14:paraId="731ABD6E" w14:textId="1D5A6837" w:rsidR="00651F42" w:rsidRPr="00885BAE" w:rsidRDefault="003806A2" w:rsidP="00651F42">
            <w:pPr>
              <w:pStyle w:val="TableText0"/>
              <w:keepLines/>
              <w:jc w:val="center"/>
              <w:rPr>
                <w:highlight w:val="lightGray"/>
              </w:rPr>
            </w:pPr>
            <w:r w:rsidRPr="00DE7B7E">
              <w:rPr>
                <w:rFonts w:hint="eastAsia"/>
                <w:color w:val="000000"/>
                <w:w w:val="17"/>
                <w:shd w:val="solid" w:color="000000" w:fill="000000"/>
                <w:fitText w:val="76" w:id="-863234814"/>
                <w14:textFill>
                  <w14:solidFill>
                    <w14:srgbClr w14:val="000000">
                      <w14:alpha w14:val="100000"/>
                    </w14:srgbClr>
                  </w14:solidFill>
                </w14:textFill>
              </w:rPr>
              <w:t xml:space="preserve">　</w:t>
            </w:r>
            <w:r w:rsidRPr="00DE7B7E">
              <w:rPr>
                <w:color w:val="000000"/>
                <w:w w:val="17"/>
                <w:shd w:val="solid" w:color="000000" w:fill="000000"/>
                <w:fitText w:val="76" w:id="-863234814"/>
                <w14:textFill>
                  <w14:solidFill>
                    <w14:srgbClr w14:val="000000">
                      <w14:alpha w14:val="100000"/>
                    </w14:srgbClr>
                  </w14:solidFill>
                </w14:textFill>
              </w:rPr>
              <w:t>|</w:t>
            </w:r>
            <w:r w:rsidRPr="00DE7B7E">
              <w:rPr>
                <w:rFonts w:hint="eastAsia"/>
                <w:color w:val="000000"/>
                <w:w w:val="17"/>
                <w:shd w:val="solid" w:color="000000" w:fill="000000"/>
                <w:fitText w:val="76" w:id="-863234814"/>
                <w14:textFill>
                  <w14:solidFill>
                    <w14:srgbClr w14:val="000000">
                      <w14:alpha w14:val="100000"/>
                    </w14:srgbClr>
                  </w14:solidFill>
                </w14:textFill>
              </w:rPr>
              <w:t xml:space="preserve">　</w:t>
            </w:r>
            <w:r w:rsidR="006562D1">
              <w:rPr>
                <w:vertAlign w:val="superscript"/>
              </w:rPr>
              <w:t>3</w:t>
            </w:r>
          </w:p>
        </w:tc>
        <w:tc>
          <w:tcPr>
            <w:tcW w:w="611" w:type="pct"/>
            <w:shd w:val="clear" w:color="auto" w:fill="auto"/>
          </w:tcPr>
          <w:p w14:paraId="63E20C23" w14:textId="648FCDE6" w:rsidR="00651F42" w:rsidRPr="00885BAE" w:rsidRDefault="003806A2" w:rsidP="00651F42">
            <w:pPr>
              <w:pStyle w:val="TableText0"/>
              <w:keepLines/>
              <w:jc w:val="center"/>
              <w:rPr>
                <w:highlight w:val="lightGray"/>
              </w:rPr>
            </w:pPr>
            <w:r w:rsidRPr="00DE7B7E">
              <w:rPr>
                <w:rFonts w:hint="eastAsia"/>
                <w:color w:val="000000"/>
                <w:w w:val="15"/>
                <w:shd w:val="solid" w:color="000000" w:fill="000000"/>
                <w:fitText w:val="43" w:id="-863234813"/>
                <w14:textFill>
                  <w14:solidFill>
                    <w14:srgbClr w14:val="000000">
                      <w14:alpha w14:val="100000"/>
                    </w14:srgbClr>
                  </w14:solidFill>
                </w14:textFill>
              </w:rPr>
              <w:t xml:space="preserve">　</w:t>
            </w:r>
            <w:r w:rsidRPr="00DE7B7E">
              <w:rPr>
                <w:color w:val="000000"/>
                <w:w w:val="15"/>
                <w:shd w:val="solid" w:color="000000" w:fill="000000"/>
                <w:fitText w:val="43" w:id="-863234813"/>
                <w14:textFill>
                  <w14:solidFill>
                    <w14:srgbClr w14:val="000000">
                      <w14:alpha w14:val="100000"/>
                    </w14:srgbClr>
                  </w14:solidFill>
                </w14:textFill>
              </w:rPr>
              <w:t>|</w:t>
            </w:r>
            <w:r w:rsidRPr="00DE7B7E">
              <w:rPr>
                <w:rFonts w:hint="eastAsia"/>
                <w:color w:val="000000"/>
                <w:spacing w:val="-22"/>
                <w:w w:val="15"/>
                <w:shd w:val="solid" w:color="000000" w:fill="000000"/>
                <w:fitText w:val="43" w:id="-863234813"/>
                <w14:textFill>
                  <w14:solidFill>
                    <w14:srgbClr w14:val="000000">
                      <w14:alpha w14:val="100000"/>
                    </w14:srgbClr>
                  </w14:solidFill>
                </w14:textFill>
              </w:rPr>
              <w:t xml:space="preserve">　</w:t>
            </w:r>
            <w:r w:rsidR="006562D1">
              <w:rPr>
                <w:vertAlign w:val="superscript"/>
              </w:rPr>
              <w:t>3</w:t>
            </w:r>
          </w:p>
        </w:tc>
        <w:tc>
          <w:tcPr>
            <w:tcW w:w="611" w:type="pct"/>
            <w:shd w:val="clear" w:color="auto" w:fill="auto"/>
          </w:tcPr>
          <w:p w14:paraId="71F87932" w14:textId="2FDBA774" w:rsidR="00651F42" w:rsidRPr="00885BAE" w:rsidRDefault="003806A2" w:rsidP="00651F42">
            <w:pPr>
              <w:pStyle w:val="TableText0"/>
              <w:keepLines/>
              <w:jc w:val="center"/>
              <w:rPr>
                <w:highlight w:val="lightGray"/>
              </w:rPr>
            </w:pPr>
            <w:r w:rsidRPr="00DE7B7E">
              <w:rPr>
                <w:rFonts w:hint="eastAsia"/>
                <w:color w:val="000000"/>
                <w:w w:val="15"/>
                <w:shd w:val="solid" w:color="000000" w:fill="000000"/>
                <w:fitText w:val="43" w:id="-863234812"/>
                <w14:textFill>
                  <w14:solidFill>
                    <w14:srgbClr w14:val="000000">
                      <w14:alpha w14:val="100000"/>
                    </w14:srgbClr>
                  </w14:solidFill>
                </w14:textFill>
              </w:rPr>
              <w:t xml:space="preserve">　</w:t>
            </w:r>
            <w:r w:rsidRPr="00DE7B7E">
              <w:rPr>
                <w:color w:val="000000"/>
                <w:w w:val="15"/>
                <w:shd w:val="solid" w:color="000000" w:fill="000000"/>
                <w:fitText w:val="43" w:id="-863234812"/>
                <w14:textFill>
                  <w14:solidFill>
                    <w14:srgbClr w14:val="000000">
                      <w14:alpha w14:val="100000"/>
                    </w14:srgbClr>
                  </w14:solidFill>
                </w14:textFill>
              </w:rPr>
              <w:t>|</w:t>
            </w:r>
            <w:r w:rsidRPr="00DE7B7E">
              <w:rPr>
                <w:rFonts w:hint="eastAsia"/>
                <w:color w:val="000000"/>
                <w:spacing w:val="-22"/>
                <w:w w:val="15"/>
                <w:shd w:val="solid" w:color="000000" w:fill="000000"/>
                <w:fitText w:val="43" w:id="-863234812"/>
                <w14:textFill>
                  <w14:solidFill>
                    <w14:srgbClr w14:val="000000">
                      <w14:alpha w14:val="100000"/>
                    </w14:srgbClr>
                  </w14:solidFill>
                </w14:textFill>
              </w:rPr>
              <w:t xml:space="preserve">　</w:t>
            </w:r>
            <w:r w:rsidR="006562D1">
              <w:rPr>
                <w:vertAlign w:val="superscript"/>
              </w:rPr>
              <w:t>3</w:t>
            </w:r>
          </w:p>
        </w:tc>
        <w:tc>
          <w:tcPr>
            <w:tcW w:w="609" w:type="pct"/>
          </w:tcPr>
          <w:p w14:paraId="644E753D" w14:textId="49A3514D" w:rsidR="00651F42" w:rsidRPr="00885BAE" w:rsidRDefault="003806A2" w:rsidP="00651F42">
            <w:pPr>
              <w:pStyle w:val="TableText0"/>
              <w:keepLines/>
              <w:jc w:val="center"/>
              <w:rPr>
                <w:highlight w:val="lightGray"/>
              </w:rPr>
            </w:pPr>
            <w:r w:rsidRPr="00DE7B7E">
              <w:rPr>
                <w:rFonts w:hint="eastAsia"/>
                <w:color w:val="000000"/>
                <w:w w:val="15"/>
                <w:shd w:val="solid" w:color="000000" w:fill="000000"/>
                <w:fitText w:val="54" w:id="-863234811"/>
                <w14:textFill>
                  <w14:solidFill>
                    <w14:srgbClr w14:val="000000">
                      <w14:alpha w14:val="100000"/>
                    </w14:srgbClr>
                  </w14:solidFill>
                </w14:textFill>
              </w:rPr>
              <w:t xml:space="preserve">　</w:t>
            </w:r>
            <w:r w:rsidRPr="00DE7B7E">
              <w:rPr>
                <w:color w:val="000000"/>
                <w:w w:val="15"/>
                <w:shd w:val="solid" w:color="000000" w:fill="000000"/>
                <w:fitText w:val="54" w:id="-863234811"/>
                <w14:textFill>
                  <w14:solidFill>
                    <w14:srgbClr w14:val="000000">
                      <w14:alpha w14:val="100000"/>
                    </w14:srgbClr>
                  </w14:solidFill>
                </w14:textFill>
              </w:rPr>
              <w:t>|</w:t>
            </w:r>
            <w:r w:rsidRPr="00DE7B7E">
              <w:rPr>
                <w:rFonts w:hint="eastAsia"/>
                <w:color w:val="000000"/>
                <w:spacing w:val="-11"/>
                <w:w w:val="15"/>
                <w:shd w:val="solid" w:color="000000" w:fill="000000"/>
                <w:fitText w:val="54" w:id="-863234811"/>
                <w14:textFill>
                  <w14:solidFill>
                    <w14:srgbClr w14:val="000000">
                      <w14:alpha w14:val="100000"/>
                    </w14:srgbClr>
                  </w14:solidFill>
                </w14:textFill>
              </w:rPr>
              <w:t xml:space="preserve">　</w:t>
            </w:r>
            <w:r w:rsidR="006562D1">
              <w:rPr>
                <w:vertAlign w:val="superscript"/>
              </w:rPr>
              <w:t>3</w:t>
            </w:r>
          </w:p>
        </w:tc>
      </w:tr>
      <w:tr w:rsidR="00F52F06" w:rsidRPr="003639A6" w14:paraId="26EF8ECF" w14:textId="77777777" w:rsidTr="00F52F06">
        <w:tc>
          <w:tcPr>
            <w:tcW w:w="5000" w:type="pct"/>
            <w:gridSpan w:val="7"/>
            <w:shd w:val="clear" w:color="auto" w:fill="auto"/>
            <w:vAlign w:val="center"/>
          </w:tcPr>
          <w:p w14:paraId="1A721DD7" w14:textId="160F404E" w:rsidR="00F52F06" w:rsidRPr="004E0053" w:rsidRDefault="00F52F06" w:rsidP="00F927E4">
            <w:pPr>
              <w:keepNext/>
              <w:keepLines/>
              <w:jc w:val="left"/>
              <w:rPr>
                <w:rFonts w:ascii="Arial Narrow" w:hAnsi="Arial Narrow"/>
                <w:color w:val="0C64C0"/>
                <w:sz w:val="20"/>
                <w:szCs w:val="20"/>
              </w:rPr>
            </w:pPr>
            <w:r w:rsidRPr="004E0053">
              <w:rPr>
                <w:rFonts w:ascii="Arial Narrow" w:hAnsi="Arial Narrow"/>
                <w:b/>
                <w:bCs/>
                <w:sz w:val="20"/>
                <w:szCs w:val="20"/>
              </w:rPr>
              <w:t xml:space="preserve">Sensitivity </w:t>
            </w:r>
            <w:r w:rsidR="00F927E4" w:rsidRPr="004E0053">
              <w:rPr>
                <w:rFonts w:ascii="Arial Narrow" w:hAnsi="Arial Narrow"/>
                <w:b/>
                <w:bCs/>
                <w:sz w:val="20"/>
                <w:szCs w:val="20"/>
              </w:rPr>
              <w:t>a</w:t>
            </w:r>
            <w:r w:rsidRPr="004E0053">
              <w:rPr>
                <w:rFonts w:ascii="Arial Narrow" w:hAnsi="Arial Narrow"/>
                <w:b/>
                <w:bCs/>
                <w:sz w:val="20"/>
                <w:szCs w:val="20"/>
              </w:rPr>
              <w:t xml:space="preserve">nalysis: net financial implications </w:t>
            </w:r>
            <w:proofErr w:type="gramStart"/>
            <w:r w:rsidRPr="004E0053">
              <w:rPr>
                <w:rFonts w:ascii="Arial Narrow" w:hAnsi="Arial Narrow"/>
                <w:b/>
                <w:bCs/>
                <w:sz w:val="20"/>
                <w:szCs w:val="20"/>
              </w:rPr>
              <w:t>assuming that</w:t>
            </w:r>
            <w:proofErr w:type="gramEnd"/>
            <w:r w:rsidRPr="004E0053">
              <w:rPr>
                <w:rFonts w:ascii="Arial Narrow" w:hAnsi="Arial Narrow"/>
                <w:b/>
                <w:bCs/>
                <w:sz w:val="20"/>
                <w:szCs w:val="20"/>
              </w:rPr>
              <w:t xml:space="preserve"> 100% fruquintinib utilisation would be in substitution to </w:t>
            </w:r>
            <w:r w:rsidR="001A1119" w:rsidRPr="001A1119">
              <w:rPr>
                <w:rFonts w:ascii="Arial Narrow" w:hAnsi="Arial Narrow"/>
                <w:b/>
                <w:bCs/>
                <w:sz w:val="20"/>
                <w:szCs w:val="20"/>
              </w:rPr>
              <w:t>TRI/TIP</w:t>
            </w:r>
            <w:r w:rsidRPr="004E0053">
              <w:rPr>
                <w:rFonts w:ascii="Arial Narrow" w:hAnsi="Arial Narrow"/>
                <w:b/>
                <w:bCs/>
                <w:sz w:val="20"/>
                <w:szCs w:val="20"/>
              </w:rPr>
              <w:t xml:space="preserve"> (i.e., only in 3L setting)</w:t>
            </w:r>
            <w:r w:rsidR="004E0053" w:rsidRPr="004E0053">
              <w:rPr>
                <w:rFonts w:ascii="Arial Narrow" w:hAnsi="Arial Narrow"/>
                <w:b/>
                <w:bCs/>
                <w:sz w:val="20"/>
                <w:szCs w:val="20"/>
                <w:vertAlign w:val="superscript"/>
              </w:rPr>
              <w:t>b</w:t>
            </w:r>
          </w:p>
        </w:tc>
      </w:tr>
      <w:tr w:rsidR="00950E8E" w:rsidRPr="00F52F06" w14:paraId="5A2D5389" w14:textId="77777777" w:rsidTr="007201B1">
        <w:tc>
          <w:tcPr>
            <w:tcW w:w="1491" w:type="pct"/>
            <w:shd w:val="clear" w:color="auto" w:fill="auto"/>
          </w:tcPr>
          <w:p w14:paraId="56CFFB5F" w14:textId="3307CB46" w:rsidR="00950E8E" w:rsidRPr="004E0053" w:rsidRDefault="00950E8E" w:rsidP="00950E8E">
            <w:pPr>
              <w:pStyle w:val="TableText0"/>
              <w:keepLines/>
              <w:rPr>
                <w:sz w:val="19"/>
                <w:szCs w:val="19"/>
                <w:highlight w:val="yellow"/>
              </w:rPr>
            </w:pPr>
            <w:r w:rsidRPr="004E0053">
              <w:t>Net cost to PBS/RPBS</w:t>
            </w:r>
            <w:r w:rsidR="00885BAE">
              <w:t xml:space="preserve"> ($)</w:t>
            </w:r>
          </w:p>
        </w:tc>
        <w:tc>
          <w:tcPr>
            <w:tcW w:w="551" w:type="pct"/>
            <w:shd w:val="clear" w:color="auto" w:fill="auto"/>
          </w:tcPr>
          <w:p w14:paraId="03EB47D4" w14:textId="331F8E7A" w:rsidR="00950E8E" w:rsidRPr="00885BAE" w:rsidRDefault="003806A2" w:rsidP="00950E8E">
            <w:pPr>
              <w:pStyle w:val="TableText0"/>
              <w:keepLines/>
              <w:jc w:val="center"/>
              <w:rPr>
                <w:highlight w:val="lightGray"/>
              </w:rPr>
            </w:pPr>
            <w:r w:rsidRPr="00DE7B7E">
              <w:rPr>
                <w:rFonts w:hint="eastAsia"/>
                <w:color w:val="000000"/>
                <w:w w:val="21"/>
                <w:shd w:val="solid" w:color="000000" w:fill="000000"/>
                <w:fitText w:val="97" w:id="-863234810"/>
                <w14:textFill>
                  <w14:solidFill>
                    <w14:srgbClr w14:val="000000">
                      <w14:alpha w14:val="100000"/>
                    </w14:srgbClr>
                  </w14:solidFill>
                </w14:textFill>
              </w:rPr>
              <w:t xml:space="preserve">　</w:t>
            </w:r>
            <w:r w:rsidRPr="00DE7B7E">
              <w:rPr>
                <w:color w:val="000000"/>
                <w:w w:val="21"/>
                <w:shd w:val="solid" w:color="000000" w:fill="000000"/>
                <w:fitText w:val="97" w:id="-863234810"/>
                <w14:textFill>
                  <w14:solidFill>
                    <w14:srgbClr w14:val="000000">
                      <w14:alpha w14:val="100000"/>
                    </w14:srgbClr>
                  </w14:solidFill>
                </w14:textFill>
              </w:rPr>
              <w:t>|</w:t>
            </w:r>
            <w:r w:rsidRPr="00DE7B7E">
              <w:rPr>
                <w:rFonts w:hint="eastAsia"/>
                <w:color w:val="000000"/>
                <w:w w:val="21"/>
                <w:shd w:val="solid" w:color="000000" w:fill="000000"/>
                <w:fitText w:val="97" w:id="-863234810"/>
                <w14:textFill>
                  <w14:solidFill>
                    <w14:srgbClr w14:val="000000">
                      <w14:alpha w14:val="100000"/>
                    </w14:srgbClr>
                  </w14:solidFill>
                </w14:textFill>
              </w:rPr>
              <w:t xml:space="preserve">　</w:t>
            </w:r>
            <w:r w:rsidR="006562D1">
              <w:rPr>
                <w:vertAlign w:val="superscript"/>
              </w:rPr>
              <w:t>3</w:t>
            </w:r>
          </w:p>
        </w:tc>
        <w:tc>
          <w:tcPr>
            <w:tcW w:w="550" w:type="pct"/>
            <w:shd w:val="clear" w:color="auto" w:fill="auto"/>
          </w:tcPr>
          <w:p w14:paraId="742F3B19" w14:textId="31D639D5" w:rsidR="00950E8E" w:rsidRPr="00885BAE" w:rsidRDefault="003806A2" w:rsidP="00950E8E">
            <w:pPr>
              <w:pStyle w:val="TableText0"/>
              <w:keepLines/>
              <w:jc w:val="center"/>
              <w:rPr>
                <w:highlight w:val="lightGray"/>
              </w:rPr>
            </w:pPr>
            <w:r w:rsidRPr="00DE7B7E">
              <w:rPr>
                <w:rFonts w:hint="eastAsia"/>
                <w:color w:val="000000"/>
                <w:w w:val="24"/>
                <w:shd w:val="solid" w:color="000000" w:fill="000000"/>
                <w:fitText w:val="108" w:id="-863234809"/>
                <w14:textFill>
                  <w14:solidFill>
                    <w14:srgbClr w14:val="000000">
                      <w14:alpha w14:val="100000"/>
                    </w14:srgbClr>
                  </w14:solidFill>
                </w14:textFill>
              </w:rPr>
              <w:t xml:space="preserve">　</w:t>
            </w:r>
            <w:r w:rsidRPr="00DE7B7E">
              <w:rPr>
                <w:color w:val="000000"/>
                <w:w w:val="24"/>
                <w:shd w:val="solid" w:color="000000" w:fill="000000"/>
                <w:fitText w:val="108" w:id="-863234809"/>
                <w14:textFill>
                  <w14:solidFill>
                    <w14:srgbClr w14:val="000000">
                      <w14:alpha w14:val="100000"/>
                    </w14:srgbClr>
                  </w14:solidFill>
                </w14:textFill>
              </w:rPr>
              <w:t>|</w:t>
            </w:r>
            <w:r w:rsidRPr="00DE7B7E">
              <w:rPr>
                <w:rFonts w:hint="eastAsia"/>
                <w:color w:val="000000"/>
                <w:w w:val="24"/>
                <w:shd w:val="solid" w:color="000000" w:fill="000000"/>
                <w:fitText w:val="108" w:id="-863234809"/>
                <w14:textFill>
                  <w14:solidFill>
                    <w14:srgbClr w14:val="000000">
                      <w14:alpha w14:val="100000"/>
                    </w14:srgbClr>
                  </w14:solidFill>
                </w14:textFill>
              </w:rPr>
              <w:t xml:space="preserve">　</w:t>
            </w:r>
            <w:r w:rsidR="006562D1">
              <w:rPr>
                <w:vertAlign w:val="superscript"/>
              </w:rPr>
              <w:t>3</w:t>
            </w:r>
          </w:p>
        </w:tc>
        <w:tc>
          <w:tcPr>
            <w:tcW w:w="577" w:type="pct"/>
            <w:shd w:val="clear" w:color="auto" w:fill="auto"/>
          </w:tcPr>
          <w:p w14:paraId="52FB18EE" w14:textId="4C2602F8" w:rsidR="00950E8E" w:rsidRPr="00885BAE" w:rsidRDefault="003806A2" w:rsidP="00950E8E">
            <w:pPr>
              <w:pStyle w:val="TableText0"/>
              <w:keepLines/>
              <w:jc w:val="center"/>
              <w:rPr>
                <w:highlight w:val="lightGray"/>
              </w:rPr>
            </w:pPr>
            <w:r w:rsidRPr="00DE7B7E">
              <w:rPr>
                <w:rFonts w:hint="eastAsia"/>
                <w:color w:val="000000"/>
                <w:w w:val="17"/>
                <w:shd w:val="solid" w:color="000000" w:fill="000000"/>
                <w:fitText w:val="76" w:id="-863234808"/>
                <w14:textFill>
                  <w14:solidFill>
                    <w14:srgbClr w14:val="000000">
                      <w14:alpha w14:val="100000"/>
                    </w14:srgbClr>
                  </w14:solidFill>
                </w14:textFill>
              </w:rPr>
              <w:t xml:space="preserve">　</w:t>
            </w:r>
            <w:r w:rsidRPr="00DE7B7E">
              <w:rPr>
                <w:color w:val="000000"/>
                <w:w w:val="17"/>
                <w:shd w:val="solid" w:color="000000" w:fill="000000"/>
                <w:fitText w:val="76" w:id="-863234808"/>
                <w14:textFill>
                  <w14:solidFill>
                    <w14:srgbClr w14:val="000000">
                      <w14:alpha w14:val="100000"/>
                    </w14:srgbClr>
                  </w14:solidFill>
                </w14:textFill>
              </w:rPr>
              <w:t>|</w:t>
            </w:r>
            <w:r w:rsidRPr="00DE7B7E">
              <w:rPr>
                <w:rFonts w:hint="eastAsia"/>
                <w:color w:val="000000"/>
                <w:w w:val="17"/>
                <w:shd w:val="solid" w:color="000000" w:fill="000000"/>
                <w:fitText w:val="76" w:id="-863234808"/>
                <w14:textFill>
                  <w14:solidFill>
                    <w14:srgbClr w14:val="000000">
                      <w14:alpha w14:val="100000"/>
                    </w14:srgbClr>
                  </w14:solidFill>
                </w14:textFill>
              </w:rPr>
              <w:t xml:space="preserve">　</w:t>
            </w:r>
            <w:r w:rsidR="006562D1">
              <w:rPr>
                <w:vertAlign w:val="superscript"/>
              </w:rPr>
              <w:t>3</w:t>
            </w:r>
          </w:p>
        </w:tc>
        <w:tc>
          <w:tcPr>
            <w:tcW w:w="611" w:type="pct"/>
            <w:shd w:val="clear" w:color="auto" w:fill="auto"/>
          </w:tcPr>
          <w:p w14:paraId="05F83D34" w14:textId="2D91B9C7" w:rsidR="00950E8E" w:rsidRPr="00885BAE" w:rsidRDefault="003806A2" w:rsidP="00950E8E">
            <w:pPr>
              <w:pStyle w:val="TableText0"/>
              <w:keepLines/>
              <w:jc w:val="center"/>
              <w:rPr>
                <w:highlight w:val="lightGray"/>
              </w:rPr>
            </w:pPr>
            <w:r w:rsidRPr="00DE7B7E">
              <w:rPr>
                <w:rFonts w:hint="eastAsia"/>
                <w:color w:val="000000"/>
                <w:w w:val="15"/>
                <w:shd w:val="solid" w:color="000000" w:fill="000000"/>
                <w:fitText w:val="43" w:id="-863234807"/>
                <w14:textFill>
                  <w14:solidFill>
                    <w14:srgbClr w14:val="000000">
                      <w14:alpha w14:val="100000"/>
                    </w14:srgbClr>
                  </w14:solidFill>
                </w14:textFill>
              </w:rPr>
              <w:t xml:space="preserve">　</w:t>
            </w:r>
            <w:r w:rsidRPr="00DE7B7E">
              <w:rPr>
                <w:color w:val="000000"/>
                <w:w w:val="15"/>
                <w:shd w:val="solid" w:color="000000" w:fill="000000"/>
                <w:fitText w:val="43" w:id="-863234807"/>
                <w14:textFill>
                  <w14:solidFill>
                    <w14:srgbClr w14:val="000000">
                      <w14:alpha w14:val="100000"/>
                    </w14:srgbClr>
                  </w14:solidFill>
                </w14:textFill>
              </w:rPr>
              <w:t>|</w:t>
            </w:r>
            <w:r w:rsidRPr="00DE7B7E">
              <w:rPr>
                <w:rFonts w:hint="eastAsia"/>
                <w:color w:val="000000"/>
                <w:spacing w:val="-22"/>
                <w:w w:val="15"/>
                <w:shd w:val="solid" w:color="000000" w:fill="000000"/>
                <w:fitText w:val="43" w:id="-863234807"/>
                <w14:textFill>
                  <w14:solidFill>
                    <w14:srgbClr w14:val="000000">
                      <w14:alpha w14:val="100000"/>
                    </w14:srgbClr>
                  </w14:solidFill>
                </w14:textFill>
              </w:rPr>
              <w:t xml:space="preserve">　</w:t>
            </w:r>
            <w:r w:rsidR="006562D1">
              <w:rPr>
                <w:vertAlign w:val="superscript"/>
              </w:rPr>
              <w:t>3</w:t>
            </w:r>
          </w:p>
        </w:tc>
        <w:tc>
          <w:tcPr>
            <w:tcW w:w="611" w:type="pct"/>
            <w:shd w:val="clear" w:color="auto" w:fill="auto"/>
          </w:tcPr>
          <w:p w14:paraId="1F50A618" w14:textId="71E39A1C" w:rsidR="00950E8E" w:rsidRPr="00885BAE" w:rsidRDefault="003806A2" w:rsidP="00950E8E">
            <w:pPr>
              <w:pStyle w:val="TableText0"/>
              <w:keepLines/>
              <w:jc w:val="center"/>
              <w:rPr>
                <w:highlight w:val="lightGray"/>
              </w:rPr>
            </w:pPr>
            <w:r w:rsidRPr="00DE7B7E">
              <w:rPr>
                <w:rFonts w:hint="eastAsia"/>
                <w:color w:val="000000"/>
                <w:w w:val="15"/>
                <w:shd w:val="solid" w:color="000000" w:fill="000000"/>
                <w:fitText w:val="43" w:id="-863234806"/>
                <w14:textFill>
                  <w14:solidFill>
                    <w14:srgbClr w14:val="000000">
                      <w14:alpha w14:val="100000"/>
                    </w14:srgbClr>
                  </w14:solidFill>
                </w14:textFill>
              </w:rPr>
              <w:t xml:space="preserve">　</w:t>
            </w:r>
            <w:r w:rsidRPr="00DE7B7E">
              <w:rPr>
                <w:color w:val="000000"/>
                <w:w w:val="15"/>
                <w:shd w:val="solid" w:color="000000" w:fill="000000"/>
                <w:fitText w:val="43" w:id="-863234806"/>
                <w14:textFill>
                  <w14:solidFill>
                    <w14:srgbClr w14:val="000000">
                      <w14:alpha w14:val="100000"/>
                    </w14:srgbClr>
                  </w14:solidFill>
                </w14:textFill>
              </w:rPr>
              <w:t>|</w:t>
            </w:r>
            <w:r w:rsidRPr="00DE7B7E">
              <w:rPr>
                <w:rFonts w:hint="eastAsia"/>
                <w:color w:val="000000"/>
                <w:spacing w:val="-22"/>
                <w:w w:val="15"/>
                <w:shd w:val="solid" w:color="000000" w:fill="000000"/>
                <w:fitText w:val="43" w:id="-863234806"/>
                <w14:textFill>
                  <w14:solidFill>
                    <w14:srgbClr w14:val="000000">
                      <w14:alpha w14:val="100000"/>
                    </w14:srgbClr>
                  </w14:solidFill>
                </w14:textFill>
              </w:rPr>
              <w:t xml:space="preserve">　</w:t>
            </w:r>
            <w:r w:rsidR="006562D1">
              <w:rPr>
                <w:vertAlign w:val="superscript"/>
              </w:rPr>
              <w:t>3</w:t>
            </w:r>
          </w:p>
        </w:tc>
        <w:tc>
          <w:tcPr>
            <w:tcW w:w="609" w:type="pct"/>
          </w:tcPr>
          <w:p w14:paraId="7400B504" w14:textId="581B07F2" w:rsidR="00950E8E" w:rsidRPr="00885BAE" w:rsidRDefault="003806A2" w:rsidP="00950E8E">
            <w:pPr>
              <w:pStyle w:val="TableText0"/>
              <w:keepLines/>
              <w:jc w:val="center"/>
              <w:rPr>
                <w:highlight w:val="lightGray"/>
              </w:rPr>
            </w:pPr>
            <w:r w:rsidRPr="00DE7B7E">
              <w:rPr>
                <w:rFonts w:hint="eastAsia"/>
                <w:color w:val="000000"/>
                <w:w w:val="15"/>
                <w:shd w:val="solid" w:color="000000" w:fill="000000"/>
                <w:fitText w:val="54" w:id="-863234805"/>
                <w14:textFill>
                  <w14:solidFill>
                    <w14:srgbClr w14:val="000000">
                      <w14:alpha w14:val="100000"/>
                    </w14:srgbClr>
                  </w14:solidFill>
                </w14:textFill>
              </w:rPr>
              <w:t xml:space="preserve">　</w:t>
            </w:r>
            <w:r w:rsidRPr="00DE7B7E">
              <w:rPr>
                <w:color w:val="000000"/>
                <w:w w:val="15"/>
                <w:shd w:val="solid" w:color="000000" w:fill="000000"/>
                <w:fitText w:val="54" w:id="-863234805"/>
                <w14:textFill>
                  <w14:solidFill>
                    <w14:srgbClr w14:val="000000">
                      <w14:alpha w14:val="100000"/>
                    </w14:srgbClr>
                  </w14:solidFill>
                </w14:textFill>
              </w:rPr>
              <w:t>|</w:t>
            </w:r>
            <w:r w:rsidRPr="00DE7B7E">
              <w:rPr>
                <w:rFonts w:hint="eastAsia"/>
                <w:color w:val="000000"/>
                <w:spacing w:val="-11"/>
                <w:w w:val="15"/>
                <w:shd w:val="solid" w:color="000000" w:fill="000000"/>
                <w:fitText w:val="54" w:id="-863234805"/>
                <w14:textFill>
                  <w14:solidFill>
                    <w14:srgbClr w14:val="000000">
                      <w14:alpha w14:val="100000"/>
                    </w14:srgbClr>
                  </w14:solidFill>
                </w14:textFill>
              </w:rPr>
              <w:t xml:space="preserve">　</w:t>
            </w:r>
            <w:r w:rsidR="006562D1">
              <w:rPr>
                <w:vertAlign w:val="superscript"/>
              </w:rPr>
              <w:t>3</w:t>
            </w:r>
          </w:p>
        </w:tc>
      </w:tr>
    </w:tbl>
    <w:p w14:paraId="5336934E" w14:textId="77777777" w:rsidR="00891965" w:rsidRDefault="00891965" w:rsidP="00F927E4">
      <w:pPr>
        <w:pStyle w:val="FooterTableFigure"/>
        <w:keepNext/>
        <w:keepLines/>
      </w:pPr>
      <w:r w:rsidRPr="00057CC5">
        <w:t>Source: Table 4-11, p229 of the submission.</w:t>
      </w:r>
    </w:p>
    <w:p w14:paraId="677A22A5" w14:textId="15F725B2" w:rsidR="001A1119" w:rsidRPr="00057CC5" w:rsidRDefault="001A1119" w:rsidP="00F927E4">
      <w:pPr>
        <w:pStyle w:val="FooterTableFigure"/>
        <w:keepNext/>
        <w:keepLines/>
      </w:pPr>
      <w:r>
        <w:rPr>
          <w:rFonts w:eastAsia="Calibri"/>
        </w:rPr>
        <w:t xml:space="preserve">TRI/TIP = </w:t>
      </w:r>
      <w:r>
        <w:rPr>
          <w:lang w:eastAsia="en-GB"/>
        </w:rPr>
        <w:t>trifluridine/tipiracil</w:t>
      </w:r>
      <w:r w:rsidRPr="000540F9">
        <w:t>.</w:t>
      </w:r>
    </w:p>
    <w:p w14:paraId="2A96F45B" w14:textId="44010F94" w:rsidR="00F52F06" w:rsidRDefault="00F52F06" w:rsidP="00F927E4">
      <w:pPr>
        <w:pStyle w:val="FooterTableFigure"/>
        <w:keepNext/>
        <w:keepLines/>
      </w:pPr>
      <w:r w:rsidRPr="00F52F06">
        <w:rPr>
          <w:vertAlign w:val="superscript"/>
        </w:rPr>
        <w:t>a</w:t>
      </w:r>
      <w:r>
        <w:t xml:space="preserve"> The DPMQ of fruquintinib was calculated from the </w:t>
      </w:r>
      <w:r w:rsidR="004E70AA">
        <w:t>cost minimised</w:t>
      </w:r>
      <w:r>
        <w:t xml:space="preserve"> AEMP of $</w:t>
      </w:r>
      <w:r w:rsidR="00BF29EB" w:rsidRPr="00DE7B7E">
        <w:rPr>
          <w:color w:val="000000"/>
          <w:spacing w:val="40"/>
          <w:shd w:val="solid" w:color="000000" w:fill="000000"/>
          <w:fitText w:val="280" w:id="-860170233"/>
          <w14:textFill>
            <w14:solidFill>
              <w14:srgbClr w14:val="000000">
                <w14:alpha w14:val="100000"/>
              </w14:srgbClr>
            </w14:solidFill>
          </w14:textFill>
        </w:rPr>
        <w:t xml:space="preserve">|  </w:t>
      </w:r>
      <w:r w:rsidR="00BF29EB" w:rsidRPr="00DE7B7E">
        <w:rPr>
          <w:color w:val="000000"/>
          <w:spacing w:val="2"/>
          <w:shd w:val="solid" w:color="000000" w:fill="000000"/>
          <w:fitText w:val="280" w:id="-860170233"/>
          <w14:textFill>
            <w14:solidFill>
              <w14:srgbClr w14:val="000000">
                <w14:alpha w14:val="100000"/>
              </w14:srgbClr>
            </w14:solidFill>
          </w14:textFill>
        </w:rPr>
        <w:t>|</w:t>
      </w:r>
      <w:r>
        <w:t>.</w:t>
      </w:r>
      <w:r w:rsidR="001F5EF4">
        <w:t xml:space="preserve"> The </w:t>
      </w:r>
      <w:r w:rsidR="0017718F">
        <w:t>submission’s</w:t>
      </w:r>
      <w:r w:rsidR="001F5EF4">
        <w:t xml:space="preserve"> nominated published DPMQ of $7,2</w:t>
      </w:r>
      <w:r w:rsidR="0017718F">
        <w:t>99.70 was replaced by the cost minimised published DPMQ</w:t>
      </w:r>
      <w:r w:rsidR="00B7517A">
        <w:t xml:space="preserve"> ($</w:t>
      </w:r>
      <w:r w:rsidR="00BF29EB" w:rsidRPr="00DE7B7E">
        <w:rPr>
          <w:color w:val="000000"/>
          <w:spacing w:val="40"/>
          <w:shd w:val="solid" w:color="000000" w:fill="000000"/>
          <w:fitText w:val="280" w:id="-860170232"/>
          <w14:textFill>
            <w14:solidFill>
              <w14:srgbClr w14:val="000000">
                <w14:alpha w14:val="100000"/>
              </w14:srgbClr>
            </w14:solidFill>
          </w14:textFill>
        </w:rPr>
        <w:t xml:space="preserve">|  </w:t>
      </w:r>
      <w:r w:rsidR="00BF29EB" w:rsidRPr="00DE7B7E">
        <w:rPr>
          <w:color w:val="000000"/>
          <w:spacing w:val="2"/>
          <w:shd w:val="solid" w:color="000000" w:fill="000000"/>
          <w:fitText w:val="280" w:id="-860170232"/>
          <w14:textFill>
            <w14:solidFill>
              <w14:srgbClr w14:val="000000">
                <w14:alpha w14:val="100000"/>
              </w14:srgbClr>
            </w14:solidFill>
          </w14:textFill>
        </w:rPr>
        <w:t>|</w:t>
      </w:r>
      <w:r w:rsidR="00B7517A">
        <w:t>)</w:t>
      </w:r>
      <w:r w:rsidR="0017718F">
        <w:t xml:space="preserve"> for the purposes of calculating the financial estimates in the evaluation.</w:t>
      </w:r>
    </w:p>
    <w:p w14:paraId="5606FF37" w14:textId="0FC633C5" w:rsidR="001721A4" w:rsidRDefault="004E0053" w:rsidP="00F927E4">
      <w:pPr>
        <w:pStyle w:val="FooterTableFigure"/>
        <w:keepNext/>
        <w:keepLines/>
      </w:pPr>
      <w:r w:rsidRPr="004E0053">
        <w:rPr>
          <w:vertAlign w:val="superscript"/>
        </w:rPr>
        <w:t>b</w:t>
      </w:r>
      <w:r w:rsidRPr="004E0053">
        <w:t xml:space="preserve"> C</w:t>
      </w:r>
      <w:r w:rsidR="00F52F06" w:rsidRPr="004E0053">
        <w:t>alculated during</w:t>
      </w:r>
      <w:r>
        <w:t xml:space="preserve"> the</w:t>
      </w:r>
      <w:r w:rsidR="00F52F06" w:rsidRPr="004E0053">
        <w:t xml:space="preserve"> evaluation.</w:t>
      </w:r>
    </w:p>
    <w:p w14:paraId="151A6A73" w14:textId="7C242E04" w:rsidR="004E0053" w:rsidRDefault="004E0053" w:rsidP="00202C0C">
      <w:pPr>
        <w:pStyle w:val="FooterTableFigure"/>
        <w:keepNext/>
        <w:keepLines/>
        <w:spacing w:after="0"/>
      </w:pPr>
      <w:r>
        <w:t xml:space="preserve">Note: The requested published price of fruquintinib (DPMQ </w:t>
      </w:r>
      <w:r w:rsidRPr="00C91A65">
        <w:t>$7,299.70</w:t>
      </w:r>
      <w:r>
        <w:t xml:space="preserve">) is considerably higher than the price based on the CMA with the </w:t>
      </w:r>
      <w:r w:rsidR="001A1119">
        <w:rPr>
          <w:rFonts w:eastAsia="Calibri"/>
        </w:rPr>
        <w:t>TRI/TIP</w:t>
      </w:r>
      <w:r>
        <w:t xml:space="preserve"> published price (fruquintinib DPMQ </w:t>
      </w:r>
      <w:r w:rsidRPr="00F52F06">
        <w:t>$</w:t>
      </w:r>
      <w:r w:rsidR="00BF29EB" w:rsidRPr="00DE7B7E">
        <w:rPr>
          <w:color w:val="000000"/>
          <w:spacing w:val="40"/>
          <w:shd w:val="solid" w:color="000000" w:fill="000000"/>
          <w:fitText w:val="280" w:id="-860170231"/>
          <w14:textFill>
            <w14:solidFill>
              <w14:srgbClr w14:val="000000">
                <w14:alpha w14:val="100000"/>
              </w14:srgbClr>
            </w14:solidFill>
          </w14:textFill>
        </w:rPr>
        <w:t xml:space="preserve">|  </w:t>
      </w:r>
      <w:r w:rsidR="00BF29EB" w:rsidRPr="00DE7B7E">
        <w:rPr>
          <w:color w:val="000000"/>
          <w:spacing w:val="2"/>
          <w:shd w:val="solid" w:color="000000" w:fill="000000"/>
          <w:fitText w:val="280" w:id="-860170231"/>
          <w14:textFill>
            <w14:solidFill>
              <w14:srgbClr w14:val="000000">
                <w14:alpha w14:val="100000"/>
              </w14:srgbClr>
            </w14:solidFill>
          </w14:textFill>
        </w:rPr>
        <w:t>|</w:t>
      </w:r>
      <w:r>
        <w:t>).</w:t>
      </w:r>
    </w:p>
    <w:p w14:paraId="16BF19A6" w14:textId="77777777" w:rsidR="00885BAE" w:rsidRPr="009A6D58" w:rsidRDefault="00885BAE" w:rsidP="00885BA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C47B5BE" w14:textId="04C66B0F" w:rsidR="00885BAE" w:rsidRPr="009A6D58" w:rsidRDefault="00885BAE" w:rsidP="00885BA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484D5E" w:rsidRPr="00484D5E">
        <w:rPr>
          <w:rFonts w:ascii="Arial Narrow" w:hAnsi="Arial Narrow"/>
          <w:i/>
          <w:sz w:val="18"/>
          <w:szCs w:val="18"/>
        </w:rPr>
        <w:t>&lt; 500</w:t>
      </w:r>
    </w:p>
    <w:p w14:paraId="26141BF5" w14:textId="35C7F996" w:rsidR="00885BAE" w:rsidRPr="009A6D58" w:rsidRDefault="00885BAE" w:rsidP="00885BA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64602" w:rsidRPr="00E64602">
        <w:rPr>
          <w:rFonts w:ascii="Arial Narrow" w:hAnsi="Arial Narrow"/>
          <w:i/>
          <w:sz w:val="18"/>
          <w:szCs w:val="18"/>
        </w:rPr>
        <w:t>5,000 to &lt; 10,000</w:t>
      </w:r>
    </w:p>
    <w:p w14:paraId="6C8148FD" w14:textId="38C83F00" w:rsidR="00885BAE" w:rsidRDefault="00885BAE" w:rsidP="00617EAD">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17EAD" w:rsidRPr="00617EAD">
        <w:rPr>
          <w:rFonts w:ascii="Arial Narrow" w:hAnsi="Arial Narrow"/>
          <w:i/>
          <w:sz w:val="18"/>
          <w:szCs w:val="18"/>
        </w:rPr>
        <w:t>$0 to &lt; $10 million</w:t>
      </w:r>
      <w:r w:rsidR="00BA6322">
        <w:rPr>
          <w:rFonts w:ascii="Arial Narrow" w:hAnsi="Arial Narrow"/>
          <w:i/>
          <w:sz w:val="18"/>
          <w:szCs w:val="18"/>
        </w:rPr>
        <w:t xml:space="preserve"> </w:t>
      </w:r>
    </w:p>
    <w:p w14:paraId="6FBDECE7" w14:textId="627B942F" w:rsidR="00891965" w:rsidRPr="00990136" w:rsidRDefault="004C2426" w:rsidP="00891965">
      <w:pPr>
        <w:pStyle w:val="3-BodyText"/>
      </w:pPr>
      <w:bookmarkStart w:id="98" w:name="_Ref178091055"/>
      <w:r w:rsidRPr="00990136">
        <w:t xml:space="preserve">Based on the </w:t>
      </w:r>
      <w:r w:rsidR="004E70AA" w:rsidRPr="00990136">
        <w:t>cost minimised</w:t>
      </w:r>
      <w:r w:rsidRPr="00990136">
        <w:t xml:space="preserve"> DPMQ</w:t>
      </w:r>
      <w:r w:rsidR="00341C98">
        <w:t xml:space="preserve"> (using the published price for TRI/TIP)</w:t>
      </w:r>
      <w:r w:rsidRPr="00990136">
        <w:t xml:space="preserve">, the total cost to the PBS/RPBS of listing fruquintinib was estimated to be </w:t>
      </w:r>
      <w:r w:rsidR="00CC71F2" w:rsidRPr="00CC71F2">
        <w:t>$0 to &lt;</w:t>
      </w:r>
      <w:r w:rsidR="007A3BD4">
        <w:t> </w:t>
      </w:r>
      <w:r w:rsidR="00CC71F2" w:rsidRPr="00CC71F2">
        <w:t>$10</w:t>
      </w:r>
      <w:r w:rsidR="007A3BD4">
        <w:t> </w:t>
      </w:r>
      <w:r w:rsidR="00CC71F2" w:rsidRPr="00CC71F2">
        <w:t xml:space="preserve">million </w:t>
      </w:r>
      <w:r w:rsidRPr="00990136">
        <w:t xml:space="preserve">in Year 6, and a total of </w:t>
      </w:r>
      <w:r w:rsidR="00CC71F2" w:rsidRPr="00CC71F2">
        <w:t xml:space="preserve">$0 to &lt; $10 million </w:t>
      </w:r>
      <w:r w:rsidRPr="00990136">
        <w:t>in the first six years of listing.</w:t>
      </w:r>
      <w:r w:rsidR="00891965" w:rsidRPr="00990136">
        <w:t xml:space="preserve"> </w:t>
      </w:r>
      <w:r w:rsidR="00B8663F" w:rsidRPr="00990136">
        <w:t xml:space="preserve">Although fruquintinib is cost-minimised to </w:t>
      </w:r>
      <w:r w:rsidR="001A1119">
        <w:rPr>
          <w:rFonts w:eastAsia="Calibri"/>
        </w:rPr>
        <w:t>TRI/TIP</w:t>
      </w:r>
      <w:r w:rsidR="00B8663F" w:rsidRPr="00990136">
        <w:t>, it resulted in a</w:t>
      </w:r>
      <w:r w:rsidR="008D0775" w:rsidRPr="00990136">
        <w:t xml:space="preserve"> net</w:t>
      </w:r>
      <w:r w:rsidR="00B8663F" w:rsidRPr="00990136">
        <w:t xml:space="preserve"> cost to the PBS/RPBS due to its subsequent use in the </w:t>
      </w:r>
      <w:r w:rsidR="00A75BF0" w:rsidRPr="00990136">
        <w:t>4L</w:t>
      </w:r>
      <w:r w:rsidR="00B8663F" w:rsidRPr="00990136">
        <w:t xml:space="preserve"> setting</w:t>
      </w:r>
      <w:r w:rsidRPr="00990136">
        <w:t xml:space="preserve"> </w:t>
      </w:r>
      <w:r w:rsidR="00341C98">
        <w:t xml:space="preserve">(as well as </w:t>
      </w:r>
      <w:r w:rsidRPr="00990136">
        <w:t xml:space="preserve">a small </w:t>
      </w:r>
      <w:r w:rsidR="00341C98">
        <w:t xml:space="preserve">cost due to differences in </w:t>
      </w:r>
      <w:r w:rsidRPr="00990136">
        <w:t>mark-ups and patient co-payments</w:t>
      </w:r>
      <w:r w:rsidR="00341C98">
        <w:t xml:space="preserve">; </w:t>
      </w:r>
      <w:r w:rsidRPr="00990136">
        <w:t xml:space="preserve">see paragraph </w:t>
      </w:r>
      <w:r w:rsidRPr="00990136">
        <w:fldChar w:fldCharType="begin"/>
      </w:r>
      <w:r w:rsidRPr="00990136">
        <w:instrText xml:space="preserve"> REF _Ref167266560 \r \h </w:instrText>
      </w:r>
      <w:r w:rsidR="00990136">
        <w:instrText xml:space="preserve"> \* MERGEFORMAT </w:instrText>
      </w:r>
      <w:r w:rsidRPr="00990136">
        <w:fldChar w:fldCharType="separate"/>
      </w:r>
      <w:r w:rsidR="00F03729">
        <w:t>6.61</w:t>
      </w:r>
      <w:r w:rsidRPr="00990136">
        <w:fldChar w:fldCharType="end"/>
      </w:r>
      <w:r w:rsidRPr="00990136">
        <w:t xml:space="preserve"> below)</w:t>
      </w:r>
      <w:r w:rsidR="00B8663F" w:rsidRPr="00990136">
        <w:t>.</w:t>
      </w:r>
      <w:bookmarkEnd w:id="98"/>
      <w:r w:rsidR="00F55E72" w:rsidRPr="00990136">
        <w:t xml:space="preserve"> </w:t>
      </w:r>
    </w:p>
    <w:p w14:paraId="643652C7" w14:textId="77777777" w:rsidR="00891965" w:rsidRPr="00380B09" w:rsidRDefault="00891965" w:rsidP="00891965">
      <w:pPr>
        <w:pStyle w:val="3-BodyText"/>
        <w:rPr>
          <w:iCs/>
        </w:rPr>
      </w:pPr>
      <w:r>
        <w:t>The utilisation/financial estimates were considered uncertain due to the following issues:</w:t>
      </w:r>
    </w:p>
    <w:p w14:paraId="131275AF" w14:textId="0B043BC4" w:rsidR="00891965" w:rsidRPr="00990136" w:rsidRDefault="00891965" w:rsidP="004E70AA">
      <w:pPr>
        <w:pStyle w:val="ListParagraph"/>
        <w:ind w:left="1080"/>
      </w:pPr>
      <w:r w:rsidRPr="00990136">
        <w:t>The total number of prescription</w:t>
      </w:r>
      <w:r w:rsidR="00653F40" w:rsidRPr="00990136">
        <w:t>s</w:t>
      </w:r>
      <w:r w:rsidRPr="00990136">
        <w:t xml:space="preserve"> for </w:t>
      </w:r>
      <w:r w:rsidR="001A1119">
        <w:rPr>
          <w:rFonts w:eastAsia="Calibri"/>
        </w:rPr>
        <w:t>TRI/TIP</w:t>
      </w:r>
      <w:r w:rsidRPr="00990136">
        <w:t xml:space="preserve"> was assumed to remain constant, i.e. </w:t>
      </w:r>
      <w:r w:rsidR="00410129">
        <w:t>5,000 to &lt; 10,000</w:t>
      </w:r>
      <w:r w:rsidRPr="00990136">
        <w:t xml:space="preserve"> prescriptions, from Year 1 to Year 6 and was based on historical prescription data for the year 2020, extracted from the Medicare PBS Statistic</w:t>
      </w:r>
      <w:r w:rsidR="00653F40" w:rsidRPr="00990136">
        <w:t>s</w:t>
      </w:r>
      <w:r w:rsidRPr="00990136">
        <w:t xml:space="preserve"> Item Reports. </w:t>
      </w:r>
      <w:r w:rsidR="004C7CD5" w:rsidRPr="00990136">
        <w:t xml:space="preserve">The submission anticipated that the utilisation of </w:t>
      </w:r>
      <w:r w:rsidR="001A1119">
        <w:rPr>
          <w:rFonts w:eastAsia="Calibri"/>
        </w:rPr>
        <w:t>TRI/TIP</w:t>
      </w:r>
      <w:r w:rsidR="004C7CD5" w:rsidRPr="00990136">
        <w:t xml:space="preserve"> in 2024 would return to the levels observed in 2019 and 2020. Based on the recent data from DUSC, the utilisation of </w:t>
      </w:r>
      <w:r w:rsidR="001A1119">
        <w:rPr>
          <w:rFonts w:eastAsia="Calibri"/>
        </w:rPr>
        <w:t>TRI/TIP</w:t>
      </w:r>
      <w:r w:rsidR="004C7CD5" w:rsidRPr="00990136">
        <w:t xml:space="preserve"> for mCRC appears to be stable.  </w:t>
      </w:r>
    </w:p>
    <w:p w14:paraId="463988CD" w14:textId="49001F1C" w:rsidR="00891965" w:rsidRPr="00990136" w:rsidRDefault="00891965" w:rsidP="004E70AA">
      <w:pPr>
        <w:pStyle w:val="ListParagraph"/>
        <w:ind w:left="1080"/>
      </w:pPr>
      <w:r w:rsidRPr="00990136">
        <w:t xml:space="preserve">The submission did not provide any evidence to support the assumption of </w:t>
      </w:r>
      <w:r w:rsidR="003806A2" w:rsidRPr="00F03729">
        <w:rPr>
          <w:color w:val="000000"/>
          <w:w w:val="15"/>
          <w:shd w:val="solid" w:color="000000" w:fill="000000"/>
          <w:fitText w:val="-20" w:id="-863234804"/>
          <w14:textFill>
            <w14:solidFill>
              <w14:srgbClr w14:val="000000">
                <w14:alpha w14:val="100000"/>
              </w14:srgbClr>
            </w14:solidFill>
          </w14:textFill>
        </w:rPr>
        <w:t xml:space="preserve">|  </w:t>
      </w:r>
      <w:r w:rsidR="003806A2" w:rsidRPr="00F03729">
        <w:rPr>
          <w:color w:val="000000"/>
          <w:spacing w:val="-69"/>
          <w:w w:val="15"/>
          <w:shd w:val="solid" w:color="000000" w:fill="000000"/>
          <w:fitText w:val="-20" w:id="-863234804"/>
          <w14:textFill>
            <w14:solidFill>
              <w14:srgbClr w14:val="000000">
                <w14:alpha w14:val="100000"/>
              </w14:srgbClr>
            </w14:solidFill>
          </w14:textFill>
        </w:rPr>
        <w:t>|</w:t>
      </w:r>
      <w:r w:rsidRPr="00990136">
        <w:t xml:space="preserve">% market share of fruquintinib in Year 1, increasing to </w:t>
      </w:r>
      <w:r w:rsidR="003806A2" w:rsidRPr="00F03729">
        <w:rPr>
          <w:color w:val="000000"/>
          <w:w w:val="15"/>
          <w:shd w:val="solid" w:color="000000" w:fill="000000"/>
          <w:fitText w:val="-20" w:id="-863234803"/>
          <w14:textFill>
            <w14:solidFill>
              <w14:srgbClr w14:val="000000">
                <w14:alpha w14:val="100000"/>
              </w14:srgbClr>
            </w14:solidFill>
          </w14:textFill>
        </w:rPr>
        <w:t xml:space="preserve">|  </w:t>
      </w:r>
      <w:r w:rsidR="003806A2" w:rsidRPr="00F03729">
        <w:rPr>
          <w:color w:val="000000"/>
          <w:spacing w:val="-69"/>
          <w:w w:val="15"/>
          <w:shd w:val="solid" w:color="000000" w:fill="000000"/>
          <w:fitText w:val="-20" w:id="-863234803"/>
          <w14:textFill>
            <w14:solidFill>
              <w14:srgbClr w14:val="000000">
                <w14:alpha w14:val="100000"/>
              </w14:srgbClr>
            </w14:solidFill>
          </w14:textFill>
        </w:rPr>
        <w:t>|</w:t>
      </w:r>
      <w:r w:rsidRPr="00990136">
        <w:t>% in Year 6.</w:t>
      </w:r>
    </w:p>
    <w:p w14:paraId="378AA991" w14:textId="60DD670F" w:rsidR="003D3580" w:rsidRPr="00F11539" w:rsidRDefault="00891965" w:rsidP="004E70AA">
      <w:pPr>
        <w:pStyle w:val="ListParagraph"/>
        <w:ind w:left="1080"/>
      </w:pPr>
      <w:r w:rsidRPr="00A014A9">
        <w:t xml:space="preserve">The submission assumed that </w:t>
      </w:r>
      <w:r w:rsidR="00D242AC">
        <w:t>30</w:t>
      </w:r>
      <w:r w:rsidRPr="00A014A9">
        <w:t xml:space="preserve">% of fruquintinib utilisation would </w:t>
      </w:r>
      <w:r w:rsidR="00D242AC">
        <w:t xml:space="preserve">be </w:t>
      </w:r>
      <w:r w:rsidR="00AA6FB7">
        <w:t>following</w:t>
      </w:r>
      <w:r w:rsidR="00D242AC">
        <w:t xml:space="preserve"> </w:t>
      </w:r>
      <w:r w:rsidR="001A1119">
        <w:rPr>
          <w:rFonts w:eastAsia="Calibri"/>
        </w:rPr>
        <w:t>TRI/TIP</w:t>
      </w:r>
      <w:r w:rsidRPr="00A014A9">
        <w:t xml:space="preserve"> in the </w:t>
      </w:r>
      <w:r w:rsidR="0037384E">
        <w:t>4L</w:t>
      </w:r>
      <w:r w:rsidRPr="00A014A9">
        <w:t xml:space="preserve"> setting</w:t>
      </w:r>
      <w:r w:rsidR="009D603D">
        <w:t xml:space="preserve">, </w:t>
      </w:r>
      <w:r w:rsidR="009D603D" w:rsidRPr="00B03A7F">
        <w:t xml:space="preserve">based on the proportion of patients who initiated subsequent </w:t>
      </w:r>
      <w:r w:rsidR="00C2268E" w:rsidRPr="00B03A7F">
        <w:t>chemo</w:t>
      </w:r>
      <w:r w:rsidR="009D603D" w:rsidRPr="00B03A7F">
        <w:t>therapy in the FRESCO 1 trial (32%)</w:t>
      </w:r>
      <w:r w:rsidR="004754D4" w:rsidRPr="00B03A7F">
        <w:t>,</w:t>
      </w:r>
      <w:r w:rsidR="009D603D" w:rsidRPr="00B03A7F">
        <w:t xml:space="preserve"> </w:t>
      </w:r>
      <w:r w:rsidR="004754D4" w:rsidRPr="00B03A7F">
        <w:t>w</w:t>
      </w:r>
      <w:r w:rsidR="009343C2" w:rsidRPr="00B03A7F">
        <w:t>hile t</w:t>
      </w:r>
      <w:r w:rsidR="009D603D" w:rsidRPr="00B03A7F">
        <w:t xml:space="preserve">he remaining 70% </w:t>
      </w:r>
      <w:r w:rsidR="009343C2" w:rsidRPr="00B03A7F">
        <w:t>would substitute</w:t>
      </w:r>
      <w:r w:rsidR="009D603D" w:rsidRPr="00B03A7F">
        <w:t xml:space="preserve"> </w:t>
      </w:r>
      <w:r w:rsidR="001A1119" w:rsidRPr="00B03A7F">
        <w:rPr>
          <w:rFonts w:eastAsia="Calibri"/>
        </w:rPr>
        <w:t>TRI/TIP</w:t>
      </w:r>
      <w:r w:rsidR="009D603D" w:rsidRPr="00B03A7F">
        <w:t xml:space="preserve"> in the </w:t>
      </w:r>
      <w:r w:rsidR="00B807EE" w:rsidRPr="00B03A7F">
        <w:t>3L</w:t>
      </w:r>
      <w:r w:rsidR="009D603D" w:rsidRPr="00B03A7F">
        <w:t xml:space="preserve"> setting.</w:t>
      </w:r>
      <w:r w:rsidR="004C7CD5" w:rsidRPr="00B03A7F">
        <w:rPr>
          <w:i/>
          <w:iCs/>
        </w:rPr>
        <w:t xml:space="preserve"> </w:t>
      </w:r>
      <w:r w:rsidR="00C03AD2" w:rsidRPr="00B03A7F">
        <w:t>However, approximately 42% of patients in fruquintinib arm received at least one subsequent systemic anti-cancer therapy in the FRESCO 1 trial.</w:t>
      </w:r>
      <w:r w:rsidR="00C03AD2" w:rsidRPr="00990136">
        <w:t xml:space="preserve"> This was tested as an upper limit of fruquintinib utilisation in </w:t>
      </w:r>
      <w:r w:rsidR="00B807EE" w:rsidRPr="00990136">
        <w:t xml:space="preserve">a </w:t>
      </w:r>
      <w:r w:rsidR="00C03AD2" w:rsidRPr="00990136">
        <w:t>sensitivity analysis</w:t>
      </w:r>
      <w:r w:rsidR="004C7CD5" w:rsidRPr="00990136">
        <w:t xml:space="preserve"> (refer to paragraph</w:t>
      </w:r>
      <w:r w:rsidR="00B807EE" w:rsidRPr="00990136">
        <w:t xml:space="preserve"> </w:t>
      </w:r>
      <w:r w:rsidR="00B807EE" w:rsidRPr="00990136">
        <w:fldChar w:fldCharType="begin"/>
      </w:r>
      <w:r w:rsidR="00B807EE" w:rsidRPr="00990136">
        <w:instrText xml:space="preserve"> REF _Ref166822744 \r \h </w:instrText>
      </w:r>
      <w:r w:rsidR="00990136">
        <w:instrText xml:space="preserve"> \* MERGEFORMAT </w:instrText>
      </w:r>
      <w:r w:rsidR="00B807EE" w:rsidRPr="00990136">
        <w:fldChar w:fldCharType="separate"/>
      </w:r>
      <w:r w:rsidR="00F03729">
        <w:t>6.60</w:t>
      </w:r>
      <w:r w:rsidR="00B807EE" w:rsidRPr="00990136">
        <w:fldChar w:fldCharType="end"/>
      </w:r>
      <w:r w:rsidR="004C7CD5" w:rsidRPr="00F11539">
        <w:t>)</w:t>
      </w:r>
      <w:r w:rsidR="00C03AD2" w:rsidRPr="00F11539">
        <w:t>.</w:t>
      </w:r>
      <w:r w:rsidR="00BF5657" w:rsidRPr="00F11539">
        <w:t xml:space="preserve"> The ESC considered that this was the most important financial issue for consideration.</w:t>
      </w:r>
    </w:p>
    <w:p w14:paraId="0410390D" w14:textId="26CDFD54" w:rsidR="00891965" w:rsidRPr="00990136" w:rsidRDefault="003D3580" w:rsidP="003E51DF">
      <w:pPr>
        <w:pStyle w:val="ListParagraph"/>
        <w:ind w:left="1080"/>
      </w:pPr>
      <w:bookmarkStart w:id="99" w:name="_Hlk167268937"/>
      <w:r w:rsidRPr="002A6CBE">
        <w:lastRenderedPageBreak/>
        <w:t>The s</w:t>
      </w:r>
      <w:r w:rsidR="002A6CBE" w:rsidRPr="002A6CBE">
        <w:t>ubmission assumed that t</w:t>
      </w:r>
      <w:r w:rsidRPr="002A6CBE">
        <w:t xml:space="preserve">he </w:t>
      </w:r>
      <w:r w:rsidR="003326F9">
        <w:t>same treatment duration and dose intensity for both fruq</w:t>
      </w:r>
      <w:r w:rsidR="00CB22B5">
        <w:t>u</w:t>
      </w:r>
      <w:r w:rsidR="003326F9">
        <w:t>intinib and TRI/TIP</w:t>
      </w:r>
      <w:r w:rsidR="002A6CBE" w:rsidRPr="00990136">
        <w:t>.</w:t>
      </w:r>
      <w:bookmarkEnd w:id="99"/>
    </w:p>
    <w:p w14:paraId="2699C7CE" w14:textId="715A1F43" w:rsidR="001677B1" w:rsidRPr="00F11539" w:rsidRDefault="00C2268E" w:rsidP="001677B1">
      <w:pPr>
        <w:pStyle w:val="3-BodyText"/>
      </w:pPr>
      <w:bookmarkStart w:id="100" w:name="_Ref166822744"/>
      <w:r>
        <w:t>The submission conducted a sensitivity analysis</w:t>
      </w:r>
      <w:r w:rsidR="0027073A">
        <w:t>,</w:t>
      </w:r>
      <w:r>
        <w:t xml:space="preserve"> assuming 42% fruquintinib utilisation </w:t>
      </w:r>
      <w:r w:rsidR="0027073A">
        <w:t>would be</w:t>
      </w:r>
      <w:r>
        <w:t xml:space="preserve"> </w:t>
      </w:r>
      <w:r w:rsidR="004535AE">
        <w:t xml:space="preserve">used </w:t>
      </w:r>
      <w:proofErr w:type="gramStart"/>
      <w:r w:rsidR="004535AE">
        <w:t>subsequent</w:t>
      </w:r>
      <w:r>
        <w:t xml:space="preserve"> to</w:t>
      </w:r>
      <w:proofErr w:type="gramEnd"/>
      <w:r>
        <w:t xml:space="preserve"> </w:t>
      </w:r>
      <w:r w:rsidR="001A1119">
        <w:rPr>
          <w:rFonts w:eastAsia="Calibri"/>
        </w:rPr>
        <w:t>TRI/TIP</w:t>
      </w:r>
      <w:r w:rsidR="0027073A">
        <w:t>, while</w:t>
      </w:r>
      <w:r>
        <w:t xml:space="preserve"> 58% utilisation w</w:t>
      </w:r>
      <w:r w:rsidR="0027073A">
        <w:t>ould</w:t>
      </w:r>
      <w:r>
        <w:t xml:space="preserve"> result in substitution of </w:t>
      </w:r>
      <w:r w:rsidR="001A1119">
        <w:rPr>
          <w:rFonts w:eastAsia="Calibri"/>
        </w:rPr>
        <w:t>TRI/TIP</w:t>
      </w:r>
      <w:r>
        <w:t>.</w:t>
      </w:r>
      <w:r w:rsidR="0098557D">
        <w:t xml:space="preserve"> </w:t>
      </w:r>
      <w:r w:rsidR="0098557D" w:rsidRPr="00A75BF0">
        <w:t xml:space="preserve">Increasing the utilisation in the fourth-line setting increases the financial estimates by </w:t>
      </w:r>
      <w:r w:rsidR="00C864A2">
        <w:t>39%</w:t>
      </w:r>
      <w:r w:rsidR="0098557D" w:rsidRPr="00A75BF0">
        <w:t xml:space="preserve">, from </w:t>
      </w:r>
      <w:r w:rsidR="00410129" w:rsidRPr="00410129">
        <w:t xml:space="preserve">$0 to &lt; $10 million </w:t>
      </w:r>
      <w:r w:rsidR="0098557D" w:rsidRPr="00A75BF0">
        <w:t xml:space="preserve">to </w:t>
      </w:r>
      <w:r w:rsidR="00410129" w:rsidRPr="00410129">
        <w:t>$0 to &lt;</w:t>
      </w:r>
      <w:r w:rsidR="00400F49">
        <w:t> </w:t>
      </w:r>
      <w:r w:rsidR="00410129" w:rsidRPr="00410129">
        <w:t>$10</w:t>
      </w:r>
      <w:r w:rsidR="00400F49">
        <w:t> </w:t>
      </w:r>
      <w:r w:rsidR="00410129" w:rsidRPr="00410129">
        <w:t xml:space="preserve">million </w:t>
      </w:r>
      <w:r w:rsidR="0098557D" w:rsidRPr="00990136">
        <w:t>in the first six years of listing</w:t>
      </w:r>
      <w:r w:rsidR="0098557D" w:rsidRPr="00A75BF0">
        <w:t>.</w:t>
      </w:r>
      <w:r>
        <w:t xml:space="preserve"> </w:t>
      </w:r>
      <w:bookmarkEnd w:id="100"/>
      <w:r w:rsidR="00BF5657" w:rsidRPr="00F11539">
        <w:t>The ESC</w:t>
      </w:r>
      <w:r w:rsidR="00D57F89">
        <w:t xml:space="preserve"> and the PBAC</w:t>
      </w:r>
      <w:r w:rsidR="00BF5657" w:rsidRPr="00F11539">
        <w:t xml:space="preserve"> noted the increase in cost associated with this scenario.</w:t>
      </w:r>
    </w:p>
    <w:p w14:paraId="1DF85D06" w14:textId="027A78F0" w:rsidR="008C4B36" w:rsidRDefault="001677B1" w:rsidP="004B181E">
      <w:pPr>
        <w:pStyle w:val="3-BodyText"/>
      </w:pPr>
      <w:bookmarkStart w:id="101" w:name="_Ref167266560"/>
      <w:r w:rsidRPr="00990136">
        <w:t xml:space="preserve">A sensitivity analysis was conducted by the evaluation using the </w:t>
      </w:r>
      <w:r w:rsidR="004E70AA" w:rsidRPr="00990136">
        <w:t>cost minimised</w:t>
      </w:r>
      <w:r w:rsidRPr="00990136">
        <w:t xml:space="preserve"> published DPMQ of fruquintinib </w:t>
      </w:r>
      <w:bookmarkStart w:id="102" w:name="_Hlk178176234"/>
      <w:r w:rsidRPr="00990136">
        <w:t>($</w:t>
      </w:r>
      <w:bookmarkEnd w:id="102"/>
      <w:r w:rsidR="00BF29EB" w:rsidRPr="00F03729">
        <w:rPr>
          <w:color w:val="000000"/>
          <w:w w:val="15"/>
          <w:shd w:val="solid" w:color="000000" w:fill="000000"/>
          <w:fitText w:val="-20" w:id="-860170230"/>
          <w14:textFill>
            <w14:solidFill>
              <w14:srgbClr w14:val="000000">
                <w14:alpha w14:val="100000"/>
              </w14:srgbClr>
            </w14:solidFill>
          </w14:textFill>
        </w:rPr>
        <w:t xml:space="preserve">|  </w:t>
      </w:r>
      <w:r w:rsidR="00BF29EB" w:rsidRPr="00F03729">
        <w:rPr>
          <w:color w:val="000000"/>
          <w:spacing w:val="-69"/>
          <w:w w:val="15"/>
          <w:shd w:val="solid" w:color="000000" w:fill="000000"/>
          <w:fitText w:val="-20" w:id="-860170230"/>
          <w14:textFill>
            <w14:solidFill>
              <w14:srgbClr w14:val="000000">
                <w14:alpha w14:val="100000"/>
              </w14:srgbClr>
            </w14:solidFill>
          </w14:textFill>
        </w:rPr>
        <w:t>|</w:t>
      </w:r>
      <w:r w:rsidRPr="00990136">
        <w:t xml:space="preserve">), </w:t>
      </w:r>
      <w:proofErr w:type="gramStart"/>
      <w:r w:rsidRPr="00990136">
        <w:t>assuming that</w:t>
      </w:r>
      <w:proofErr w:type="gramEnd"/>
      <w:r w:rsidRPr="00990136">
        <w:t xml:space="preserve"> 100% fruquintinib utilisation would be in substitution to </w:t>
      </w:r>
      <w:r w:rsidR="001A1119">
        <w:rPr>
          <w:rFonts w:eastAsia="Calibri"/>
        </w:rPr>
        <w:t>TRI/TIP</w:t>
      </w:r>
      <w:r w:rsidRPr="00990136">
        <w:t xml:space="preserve"> (i.e., only in 3L setting). This resulted in a cost to the PBS/RPBS: </w:t>
      </w:r>
      <w:r w:rsidR="00410129" w:rsidRPr="00410129">
        <w:t xml:space="preserve">$0 to &lt; $10 million </w:t>
      </w:r>
      <w:r w:rsidRPr="00990136">
        <w:t xml:space="preserve">in Year 1 increasing to </w:t>
      </w:r>
      <w:r w:rsidR="00410129" w:rsidRPr="00410129">
        <w:t xml:space="preserve">$0 to &lt; $10 million </w:t>
      </w:r>
      <w:r w:rsidRPr="00990136">
        <w:t xml:space="preserve">in Year 6. This was due to the difference in mark-ups (CMA was conducted at AEMP level instead of DPMQ) and the </w:t>
      </w:r>
      <w:r w:rsidR="00F52F06" w:rsidRPr="00990136">
        <w:t>effect</w:t>
      </w:r>
      <w:r w:rsidRPr="00990136">
        <w:t xml:space="preserve"> of </w:t>
      </w:r>
      <w:r w:rsidR="00F52F06" w:rsidRPr="00990136">
        <w:t>patient</w:t>
      </w:r>
      <w:r w:rsidRPr="00990136">
        <w:t xml:space="preserve"> co-payments (</w:t>
      </w:r>
      <w:r w:rsidR="004C2426" w:rsidRPr="00990136">
        <w:t xml:space="preserve">the </w:t>
      </w:r>
      <w:r w:rsidRPr="00990136">
        <w:t>CMA did not include any co-payments).</w:t>
      </w:r>
      <w:bookmarkEnd w:id="94"/>
      <w:bookmarkEnd w:id="95"/>
      <w:bookmarkEnd w:id="101"/>
    </w:p>
    <w:p w14:paraId="6F16A0EE" w14:textId="3FDC36F7" w:rsidR="00546AB7" w:rsidRDefault="003D7422" w:rsidP="00806EC8">
      <w:pPr>
        <w:pStyle w:val="3-BodyText"/>
        <w:numPr>
          <w:ilvl w:val="0"/>
          <w:numId w:val="0"/>
        </w:numPr>
        <w:ind w:left="720"/>
        <w:rPr>
          <w:iCs/>
        </w:rPr>
      </w:pPr>
      <w:r w:rsidRPr="00C33D30">
        <w:rPr>
          <w:i/>
        </w:rPr>
        <w:t>For more detail on PBAC’s view, see section 7 PBAC outcome.</w:t>
      </w:r>
    </w:p>
    <w:p w14:paraId="1AB65C4D" w14:textId="77777777" w:rsidR="00546AB7" w:rsidRPr="003A2C78" w:rsidRDefault="00546AB7" w:rsidP="003A2C78">
      <w:pPr>
        <w:pStyle w:val="2-SectionHeading"/>
      </w:pPr>
      <w:bookmarkStart w:id="103" w:name="_Hlk76381249"/>
      <w:bookmarkStart w:id="104" w:name="_Hlk76377955"/>
      <w:r w:rsidRPr="003A2C78">
        <w:t>PBAC Outcome</w:t>
      </w:r>
    </w:p>
    <w:p w14:paraId="533D77E5" w14:textId="62939E5F" w:rsidR="00546AB7" w:rsidRPr="00461E36" w:rsidRDefault="00461E36" w:rsidP="00461E36">
      <w:pPr>
        <w:widowControl w:val="0"/>
        <w:numPr>
          <w:ilvl w:val="1"/>
          <w:numId w:val="1"/>
        </w:numPr>
        <w:spacing w:after="120"/>
        <w:rPr>
          <w:rFonts w:asciiTheme="minorHAnsi" w:hAnsiTheme="minorHAnsi"/>
          <w:snapToGrid w:val="0"/>
          <w:lang w:val="en-GB"/>
        </w:rPr>
      </w:pPr>
      <w:bookmarkStart w:id="105" w:name="_Ref178087022"/>
      <w:r w:rsidRPr="00CE42B4">
        <w:rPr>
          <w:rFonts w:asciiTheme="minorHAnsi" w:hAnsiTheme="minorHAnsi"/>
          <w:snapToGrid w:val="0"/>
          <w:lang w:val="en-GB"/>
        </w:rPr>
        <w:t>The PBAC recommended the</w:t>
      </w:r>
      <w:r>
        <w:rPr>
          <w:rFonts w:asciiTheme="minorHAnsi" w:hAnsiTheme="minorHAnsi"/>
          <w:snapToGrid w:val="0"/>
          <w:lang w:val="en-GB"/>
        </w:rPr>
        <w:t xml:space="preserve"> </w:t>
      </w:r>
      <w:r w:rsidRPr="00A74236">
        <w:t xml:space="preserve">Authority Required (STREAMLINED) listing for fruquintinib for the treatment of patients with metastatic colorectal cancer (mCRC) who have been previously treated with or who are not considered candidates for </w:t>
      </w:r>
      <w:r w:rsidR="000F3874" w:rsidRPr="00A74236">
        <w:t>fluoropyrimidine-, oxaliplatin-, and irinotecan-based chemotherapy, an anti-VEGF therapy, and an anti-EGFR therapy</w:t>
      </w:r>
      <w:r w:rsidR="000F3874">
        <w:t>.</w:t>
      </w:r>
      <w:r>
        <w:t xml:space="preserve"> </w:t>
      </w:r>
      <w:r w:rsidRPr="00940F72">
        <w:t xml:space="preserve">Listing was recommended on a cost-minimisation basis against </w:t>
      </w:r>
      <w:r w:rsidRPr="00A74236">
        <w:t>trifluridine/tipiracil</w:t>
      </w:r>
      <w:r>
        <w:t xml:space="preserve"> (TRI/TIP)</w:t>
      </w:r>
      <w:r w:rsidRPr="00940F72">
        <w:t>.</w:t>
      </w:r>
      <w:bookmarkEnd w:id="105"/>
    </w:p>
    <w:p w14:paraId="377844FF" w14:textId="66BDFE76" w:rsidR="00CD6ACB" w:rsidRPr="001220D1" w:rsidRDefault="00461E36" w:rsidP="00CD6ACB">
      <w:pPr>
        <w:pStyle w:val="3-BodyText"/>
        <w:rPr>
          <w:lang w:val="en-GB"/>
        </w:rPr>
      </w:pPr>
      <w:bookmarkStart w:id="106" w:name="_Ref177672119"/>
      <w:r w:rsidRPr="00940F72">
        <w:rPr>
          <w:rFonts w:cs="Calibri"/>
        </w:rPr>
        <w:t>The</w:t>
      </w:r>
      <w:r w:rsidRPr="00940F72">
        <w:rPr>
          <w:bCs/>
        </w:rPr>
        <w:t xml:space="preserve"> PBAC considered that </w:t>
      </w:r>
      <w:r w:rsidRPr="00A74236">
        <w:t xml:space="preserve">fruquintinib </w:t>
      </w:r>
      <w:r w:rsidR="00CD6ACB" w:rsidRPr="00A71B55">
        <w:t>5</w:t>
      </w:r>
      <w:r w:rsidR="00CD6ACB">
        <w:t> </w:t>
      </w:r>
      <w:r w:rsidR="00CD6ACB" w:rsidRPr="00A71B55">
        <w:t>mg</w:t>
      </w:r>
      <w:r w:rsidR="00CD6ACB">
        <w:t>/</w:t>
      </w:r>
      <w:r w:rsidR="00CD6ACB" w:rsidRPr="00A71B55">
        <w:t>day for 21 days of each 28-day cycle</w:t>
      </w:r>
      <w:r w:rsidR="00CD6ACB">
        <w:t xml:space="preserve"> (total 105 mg) is equi-effective to</w:t>
      </w:r>
      <w:r w:rsidR="00CD6ACB" w:rsidRPr="00A71B55">
        <w:t xml:space="preserve"> </w:t>
      </w:r>
      <w:r w:rsidR="00CD6ACB">
        <w:rPr>
          <w:rFonts w:eastAsia="Calibri"/>
        </w:rPr>
        <w:t>TRI/TIP</w:t>
      </w:r>
      <w:r w:rsidR="00CD6ACB" w:rsidRPr="00A71B55">
        <w:t xml:space="preserve"> </w:t>
      </w:r>
      <w:r w:rsidR="00CD6ACB">
        <w:t>60 mg</w:t>
      </w:r>
      <w:r w:rsidR="00CD6ACB" w:rsidRPr="00A71B55">
        <w:t xml:space="preserve"> twice daily on day</w:t>
      </w:r>
      <w:r w:rsidR="00CD6ACB">
        <w:t>s</w:t>
      </w:r>
      <w:r w:rsidR="00CD6ACB" w:rsidRPr="00A71B55">
        <w:t xml:space="preserve"> 1-5 and 8-12 of each 28-day cycle</w:t>
      </w:r>
      <w:r w:rsidR="00CD6ACB">
        <w:t xml:space="preserve"> (total 1,200 mg)</w:t>
      </w:r>
      <w:r w:rsidR="00CD6ACB" w:rsidRPr="00A71B55">
        <w:t>.</w:t>
      </w:r>
      <w:bookmarkEnd w:id="106"/>
    </w:p>
    <w:p w14:paraId="09044F0D" w14:textId="19B87B27" w:rsidR="0031168C" w:rsidRPr="0031168C" w:rsidRDefault="001220D1" w:rsidP="0031168C">
      <w:pPr>
        <w:widowControl w:val="0"/>
        <w:numPr>
          <w:ilvl w:val="1"/>
          <w:numId w:val="1"/>
        </w:numPr>
        <w:spacing w:after="120"/>
        <w:rPr>
          <w:lang w:val="en-GB"/>
        </w:rPr>
      </w:pPr>
      <w:r>
        <w:rPr>
          <w:snapToGrid w:val="0"/>
          <w:lang w:val="en-GB"/>
        </w:rPr>
        <w:t>The PBAC considered that a</w:t>
      </w:r>
      <w:r w:rsidR="00AC6B3A">
        <w:rPr>
          <w:snapToGrid w:val="0"/>
          <w:lang w:val="en-GB"/>
        </w:rPr>
        <w:t xml:space="preserve"> high</w:t>
      </w:r>
      <w:r>
        <w:rPr>
          <w:snapToGrid w:val="0"/>
          <w:lang w:val="en-GB"/>
        </w:rPr>
        <w:t xml:space="preserve"> clinical need exists for alternative treatments</w:t>
      </w:r>
      <w:r w:rsidR="00AC6B3A">
        <w:rPr>
          <w:snapToGrid w:val="0"/>
          <w:lang w:val="en-GB"/>
        </w:rPr>
        <w:t xml:space="preserve"> </w:t>
      </w:r>
      <w:r>
        <w:rPr>
          <w:snapToGrid w:val="0"/>
          <w:lang w:val="en-GB"/>
        </w:rPr>
        <w:t>because</w:t>
      </w:r>
      <w:r w:rsidR="00AC6B3A">
        <w:rPr>
          <w:snapToGrid w:val="0"/>
          <w:lang w:val="en-GB"/>
        </w:rPr>
        <w:t xml:space="preserve"> mCRC is a c</w:t>
      </w:r>
      <w:r w:rsidR="004131F7" w:rsidRPr="004131F7">
        <w:rPr>
          <w:lang w:val="en-GB"/>
        </w:rPr>
        <w:t>ommon cancer</w:t>
      </w:r>
      <w:r w:rsidR="00AC6B3A">
        <w:rPr>
          <w:lang w:val="en-GB"/>
        </w:rPr>
        <w:t xml:space="preserve"> and there are</w:t>
      </w:r>
      <w:r w:rsidR="004131F7" w:rsidRPr="004131F7">
        <w:rPr>
          <w:lang w:val="en-GB"/>
        </w:rPr>
        <w:t xml:space="preserve"> limited new therapeutic options</w:t>
      </w:r>
      <w:r w:rsidR="00036DC5">
        <w:rPr>
          <w:lang w:val="en-GB"/>
        </w:rPr>
        <w:t xml:space="preserve"> for this patient group</w:t>
      </w:r>
      <w:r w:rsidR="004131F7" w:rsidRPr="004131F7">
        <w:rPr>
          <w:lang w:val="en-GB"/>
        </w:rPr>
        <w:t xml:space="preserve"> (outside</w:t>
      </w:r>
      <w:r w:rsidR="00AC6B3A">
        <w:rPr>
          <w:lang w:val="en-GB"/>
        </w:rPr>
        <w:t xml:space="preserve"> the</w:t>
      </w:r>
      <w:r w:rsidR="004131F7" w:rsidRPr="004131F7">
        <w:rPr>
          <w:lang w:val="en-GB"/>
        </w:rPr>
        <w:t xml:space="preserve"> uncommon </w:t>
      </w:r>
      <w:r w:rsidR="00AC6B3A" w:rsidRPr="00AC6B3A">
        <w:rPr>
          <w:lang w:val="en-GB"/>
        </w:rPr>
        <w:t xml:space="preserve">deficient mismatch repair </w:t>
      </w:r>
      <w:r w:rsidR="00AC6B3A">
        <w:rPr>
          <w:lang w:val="en-GB"/>
        </w:rPr>
        <w:t>[</w:t>
      </w:r>
      <w:r w:rsidR="00AC6B3A" w:rsidRPr="00AC6B3A">
        <w:rPr>
          <w:lang w:val="en-GB"/>
        </w:rPr>
        <w:t>dMMR</w:t>
      </w:r>
      <w:r w:rsidR="00AC6B3A">
        <w:rPr>
          <w:lang w:val="en-GB"/>
        </w:rPr>
        <w:t xml:space="preserve">] </w:t>
      </w:r>
      <w:r w:rsidR="004131F7" w:rsidRPr="004131F7">
        <w:rPr>
          <w:lang w:val="en-GB"/>
        </w:rPr>
        <w:t>subset)</w:t>
      </w:r>
      <w:r w:rsidR="00036DC5">
        <w:rPr>
          <w:lang w:val="en-GB"/>
        </w:rPr>
        <w:t xml:space="preserve">. </w:t>
      </w:r>
      <w:r w:rsidR="00036DC5" w:rsidRPr="00036DC5">
        <w:rPr>
          <w:lang w:val="en-GB"/>
        </w:rPr>
        <w:t>The PBAC noted that c</w:t>
      </w:r>
      <w:r w:rsidR="004131F7" w:rsidRPr="004131F7">
        <w:rPr>
          <w:lang w:val="en-GB"/>
        </w:rPr>
        <w:t>urrent PBS medications</w:t>
      </w:r>
      <w:r w:rsidR="00036DC5" w:rsidRPr="00036DC5">
        <w:rPr>
          <w:lang w:val="en-GB"/>
        </w:rPr>
        <w:t xml:space="preserve"> are</w:t>
      </w:r>
      <w:r w:rsidR="004131F7" w:rsidRPr="004131F7">
        <w:rPr>
          <w:lang w:val="en-GB"/>
        </w:rPr>
        <w:t xml:space="preserve"> only moderately effective</w:t>
      </w:r>
      <w:r w:rsidR="00A52FD9">
        <w:rPr>
          <w:lang w:val="en-GB"/>
        </w:rPr>
        <w:t xml:space="preserve"> for mCRC</w:t>
      </w:r>
      <w:r w:rsidR="00036DC5" w:rsidRPr="00036DC5">
        <w:rPr>
          <w:lang w:val="en-GB"/>
        </w:rPr>
        <w:t xml:space="preserve"> and fruquintinib would provide an additional option</w:t>
      </w:r>
      <w:r w:rsidR="00036DC5">
        <w:rPr>
          <w:lang w:val="en-GB"/>
        </w:rPr>
        <w:t xml:space="preserve"> </w:t>
      </w:r>
      <w:r w:rsidR="00A52FD9">
        <w:rPr>
          <w:lang w:val="en-GB"/>
        </w:rPr>
        <w:t>with</w:t>
      </w:r>
      <w:r w:rsidR="00036DC5">
        <w:rPr>
          <w:lang w:val="en-GB"/>
        </w:rPr>
        <w:t xml:space="preserve"> a modest benefit to patients in both the 3L and 4L setting</w:t>
      </w:r>
      <w:r w:rsidR="00036DC5" w:rsidRPr="00036DC5">
        <w:rPr>
          <w:lang w:val="en-GB"/>
        </w:rPr>
        <w:t>.</w:t>
      </w:r>
      <w:r w:rsidR="00036DC5">
        <w:rPr>
          <w:lang w:val="en-GB"/>
        </w:rPr>
        <w:t xml:space="preserve"> </w:t>
      </w:r>
      <w:r w:rsidR="00722644" w:rsidRPr="0031168C">
        <w:rPr>
          <w:bCs/>
        </w:rPr>
        <w:t xml:space="preserve">The PBAC noted the consumer comments received for this submission from health care professionals, </w:t>
      </w:r>
      <w:r w:rsidR="00A52FD9">
        <w:rPr>
          <w:bCs/>
        </w:rPr>
        <w:t>who</w:t>
      </w:r>
      <w:r w:rsidR="00722644" w:rsidRPr="0031168C">
        <w:rPr>
          <w:bCs/>
        </w:rPr>
        <w:t xml:space="preserve"> emphasised that </w:t>
      </w:r>
      <w:r w:rsidR="0031168C" w:rsidRPr="0031168C">
        <w:rPr>
          <w:bCs/>
        </w:rPr>
        <w:t>fruquintinib</w:t>
      </w:r>
      <w:r w:rsidR="00722644" w:rsidRPr="0031168C">
        <w:rPr>
          <w:bCs/>
        </w:rPr>
        <w:t xml:space="preserve"> </w:t>
      </w:r>
      <w:r w:rsidR="0031168C" w:rsidRPr="0031168C">
        <w:rPr>
          <w:bCs/>
        </w:rPr>
        <w:t>will potentially fill a gap in effective later-line treatment options</w:t>
      </w:r>
      <w:r w:rsidR="00722644" w:rsidRPr="0031168C">
        <w:rPr>
          <w:bCs/>
        </w:rPr>
        <w:t xml:space="preserve">. </w:t>
      </w:r>
      <w:r w:rsidR="00722644" w:rsidRPr="0031168C">
        <w:t xml:space="preserve">The PBAC also noted the advice received from </w:t>
      </w:r>
      <w:r w:rsidR="0031168C" w:rsidRPr="0031168C">
        <w:rPr>
          <w:snapToGrid w:val="0"/>
        </w:rPr>
        <w:t xml:space="preserve">Bowel Cancer Australia, Rare Cancers Australia, and the MOGA, </w:t>
      </w:r>
      <w:r w:rsidR="0031168C" w:rsidRPr="0031168C">
        <w:t xml:space="preserve">all of </w:t>
      </w:r>
      <w:r w:rsidR="00722644" w:rsidRPr="0031168C">
        <w:t xml:space="preserve">which supported the proposed listing for </w:t>
      </w:r>
      <w:r w:rsidR="0031168C" w:rsidRPr="0031168C">
        <w:t>fruquintinib</w:t>
      </w:r>
      <w:r w:rsidR="00722644" w:rsidRPr="0031168C">
        <w:t>.</w:t>
      </w:r>
    </w:p>
    <w:p w14:paraId="4A6EBBF9" w14:textId="14F6BC98" w:rsidR="00546AB7" w:rsidRPr="000C2AE7" w:rsidRDefault="000942FF" w:rsidP="000C2AE7">
      <w:pPr>
        <w:pStyle w:val="3-BodyText"/>
      </w:pPr>
      <w:r w:rsidRPr="004F3865">
        <w:t>The</w:t>
      </w:r>
      <w:r>
        <w:t xml:space="preserve"> PBAC noted that the</w:t>
      </w:r>
      <w:r w:rsidRPr="004F3865">
        <w:t xml:space="preserve"> requested restriction </w:t>
      </w:r>
      <w:r w:rsidR="00A52FD9">
        <w:t>reflected</w:t>
      </w:r>
      <w:r w:rsidRPr="004F3865">
        <w:t xml:space="preserve"> that of </w:t>
      </w:r>
      <w:r>
        <w:t>TRI/TIP</w:t>
      </w:r>
      <w:r w:rsidRPr="004F3865">
        <w:t xml:space="preserve"> for the treatment of mCRC</w:t>
      </w:r>
      <w:r>
        <w:t xml:space="preserve"> and </w:t>
      </w:r>
      <w:r w:rsidRPr="004F3865">
        <w:t>was consistent with the FRESCO 1 trial</w:t>
      </w:r>
      <w:r>
        <w:t xml:space="preserve">, in which patients </w:t>
      </w:r>
      <w:r w:rsidRPr="002C3088">
        <w:rPr>
          <w:lang w:val="en-US"/>
        </w:rPr>
        <w:t>had previously received and failed at least two standard chemotherapy lines for mCRC</w:t>
      </w:r>
      <w:r>
        <w:t xml:space="preserve">. </w:t>
      </w:r>
      <w:r>
        <w:lastRenderedPageBreak/>
        <w:t>T</w:t>
      </w:r>
      <w:r w:rsidRPr="00F11539">
        <w:t>he requested restriction d</w:t>
      </w:r>
      <w:r>
        <w:t>id</w:t>
      </w:r>
      <w:r w:rsidRPr="00F11539">
        <w:t xml:space="preserve"> not restrict use of fruquintinib to a specific line of treatment (i.e., 3L </w:t>
      </w:r>
      <w:r>
        <w:t>(</w:t>
      </w:r>
      <w:r w:rsidRPr="00F11539">
        <w:t xml:space="preserve">replacing or displacing 3L TRI/TIP) or 4L </w:t>
      </w:r>
      <w:r>
        <w:t>(</w:t>
      </w:r>
      <w:r w:rsidRPr="00F11539">
        <w:t xml:space="preserve">used </w:t>
      </w:r>
      <w:proofErr w:type="gramStart"/>
      <w:r w:rsidRPr="00F11539">
        <w:t>subsequent to</w:t>
      </w:r>
      <w:proofErr w:type="gramEnd"/>
      <w:r w:rsidRPr="00F11539">
        <w:t xml:space="preserve"> 3L TRI/TIP)). </w:t>
      </w:r>
      <w:r>
        <w:t xml:space="preserve">The PBAC considered </w:t>
      </w:r>
      <w:r w:rsidRPr="00F11539">
        <w:t>that the totality of the clinical evidence for fruquintinib supports</w:t>
      </w:r>
      <w:r w:rsidR="008A017A">
        <w:t xml:space="preserve"> a line agnostic listing</w:t>
      </w:r>
      <w:r w:rsidRPr="00F11539">
        <w:t>, i.e. for all patients who will be eligible under the proposed 3L (or later) restriction.</w:t>
      </w:r>
      <w:r w:rsidR="000C2AE7">
        <w:t xml:space="preserve"> The PBAC accepted that proposed restriction aligned with the appropriate clinical place for fruquintinib in the treatment of mCRC.</w:t>
      </w:r>
    </w:p>
    <w:p w14:paraId="1FB7E8B2" w14:textId="3496A775" w:rsidR="00920952" w:rsidRPr="001A4AE7" w:rsidRDefault="00166BB1" w:rsidP="00B337E2">
      <w:pPr>
        <w:pStyle w:val="3-BodyText"/>
      </w:pPr>
      <w:r w:rsidRPr="00A74236">
        <w:t xml:space="preserve">The submission nominated </w:t>
      </w:r>
      <w:r>
        <w:t>TRI/TIP</w:t>
      </w:r>
      <w:r w:rsidRPr="00A74236">
        <w:t xml:space="preserve"> as the comparator</w:t>
      </w:r>
      <w:r>
        <w:t>, a</w:t>
      </w:r>
      <w:r w:rsidRPr="001538B7">
        <w:t xml:space="preserve">s </w:t>
      </w:r>
      <w:r>
        <w:t xml:space="preserve">the only </w:t>
      </w:r>
      <w:r w:rsidRPr="001538B7">
        <w:t>PBS</w:t>
      </w:r>
      <w:r>
        <w:t>-listed</w:t>
      </w:r>
      <w:r w:rsidRPr="001538B7">
        <w:t xml:space="preserve"> treatment </w:t>
      </w:r>
      <w:r>
        <w:t>option for</w:t>
      </w:r>
      <w:r w:rsidRPr="001538B7">
        <w:t xml:space="preserve"> patients with mCRC who have been treated previously or are not considered suitable for </w:t>
      </w:r>
      <w:r w:rsidR="00806EC8">
        <w:t>prior</w:t>
      </w:r>
      <w:r w:rsidRPr="001538B7">
        <w:t xml:space="preserve"> therapies</w:t>
      </w:r>
      <w:r w:rsidR="00806EC8">
        <w:t xml:space="preserve"> listed in paragraph </w:t>
      </w:r>
      <w:r w:rsidR="00806EC8">
        <w:fldChar w:fldCharType="begin"/>
      </w:r>
      <w:r w:rsidR="00806EC8">
        <w:instrText xml:space="preserve"> REF _Ref178087022 \r \h </w:instrText>
      </w:r>
      <w:r w:rsidR="00806EC8">
        <w:fldChar w:fldCharType="separate"/>
      </w:r>
      <w:r w:rsidR="00F03729">
        <w:t>7.1</w:t>
      </w:r>
      <w:r w:rsidR="00806EC8">
        <w:fldChar w:fldCharType="end"/>
      </w:r>
      <w:r w:rsidRPr="001538B7">
        <w:t>, and</w:t>
      </w:r>
      <w:r>
        <w:t xml:space="preserve"> most likely to be replaced by fruquintinib. </w:t>
      </w:r>
      <w:r w:rsidRPr="004F3865">
        <w:t xml:space="preserve">In November 2021, the PBAC considered </w:t>
      </w:r>
      <w:r>
        <w:t>TRI/TIP</w:t>
      </w:r>
      <w:r w:rsidRPr="004F3865">
        <w:t xml:space="preserve"> to be the reasonable comparator for this population when considering regorafenib</w:t>
      </w:r>
      <w:r>
        <w:t xml:space="preserve">, and considered it to </w:t>
      </w:r>
      <w:r w:rsidR="00CD6ACB">
        <w:t xml:space="preserve">also </w:t>
      </w:r>
      <w:r>
        <w:t>be the appropriate main comparator for fruquintinib</w:t>
      </w:r>
      <w:r w:rsidRPr="004F3865">
        <w:t>.</w:t>
      </w:r>
      <w:r>
        <w:t xml:space="preserve"> The PBAC noted that o</w:t>
      </w:r>
      <w:r w:rsidRPr="00166BB1">
        <w:rPr>
          <w:snapToGrid/>
        </w:rPr>
        <w:t>ther treatment options for mCRC includ</w:t>
      </w:r>
      <w:r>
        <w:rPr>
          <w:snapToGrid/>
        </w:rPr>
        <w:t>e</w:t>
      </w:r>
      <w:r w:rsidRPr="00166BB1">
        <w:rPr>
          <w:snapToGrid/>
        </w:rPr>
        <w:t xml:space="preserve"> regorafenib and </w:t>
      </w:r>
      <w:r>
        <w:t>TRI/TIP</w:t>
      </w:r>
      <w:r w:rsidRPr="00166BB1">
        <w:rPr>
          <w:snapToGrid/>
        </w:rPr>
        <w:t xml:space="preserve"> + BEVA</w:t>
      </w:r>
      <w:r>
        <w:rPr>
          <w:snapToGrid/>
        </w:rPr>
        <w:t>. Noting that r</w:t>
      </w:r>
      <w:r w:rsidRPr="00166BB1">
        <w:rPr>
          <w:snapToGrid/>
        </w:rPr>
        <w:t>egorafenib has previously been considered for mCRC (November</w:t>
      </w:r>
      <w:r w:rsidR="005B7304">
        <w:rPr>
          <w:snapToGrid/>
        </w:rPr>
        <w:t> </w:t>
      </w:r>
      <w:r w:rsidRPr="00166BB1">
        <w:rPr>
          <w:snapToGrid/>
        </w:rPr>
        <w:t>2021)</w:t>
      </w:r>
      <w:r>
        <w:rPr>
          <w:snapToGrid/>
        </w:rPr>
        <w:t xml:space="preserve"> </w:t>
      </w:r>
      <w:r w:rsidRPr="00166BB1">
        <w:rPr>
          <w:snapToGrid/>
        </w:rPr>
        <w:t xml:space="preserve">and not recommended </w:t>
      </w:r>
      <w:r>
        <w:rPr>
          <w:snapToGrid/>
        </w:rPr>
        <w:t>for listing, the PBAC considered the submission appropriately excluded it as a comparator</w:t>
      </w:r>
      <w:r w:rsidRPr="00166BB1">
        <w:rPr>
          <w:snapToGrid/>
        </w:rPr>
        <w:t>.</w:t>
      </w:r>
      <w:r>
        <w:rPr>
          <w:snapToGrid/>
        </w:rPr>
        <w:t xml:space="preserve"> While the PBAC considered that </w:t>
      </w:r>
      <w:r>
        <w:t>TRI/TIP</w:t>
      </w:r>
      <w:r w:rsidRPr="00166BB1">
        <w:rPr>
          <w:snapToGrid/>
        </w:rPr>
        <w:t xml:space="preserve"> + </w:t>
      </w:r>
      <w:r w:rsidR="00A52FD9">
        <w:rPr>
          <w:snapToGrid/>
        </w:rPr>
        <w:t>BEVA</w:t>
      </w:r>
      <w:r w:rsidRPr="00166BB1">
        <w:rPr>
          <w:snapToGrid/>
        </w:rPr>
        <w:t xml:space="preserve"> could be </w:t>
      </w:r>
      <w:r>
        <w:rPr>
          <w:snapToGrid/>
        </w:rPr>
        <w:t xml:space="preserve">a </w:t>
      </w:r>
      <w:r w:rsidRPr="00166BB1">
        <w:rPr>
          <w:snapToGrid/>
        </w:rPr>
        <w:t>reasonable secondary comparator</w:t>
      </w:r>
      <w:r w:rsidR="00B337E2">
        <w:rPr>
          <w:snapToGrid/>
        </w:rPr>
        <w:t xml:space="preserve"> based on favourable data from the SUNLIGHT trial</w:t>
      </w:r>
      <w:r w:rsidRPr="00166BB1">
        <w:rPr>
          <w:snapToGrid/>
        </w:rPr>
        <w:t xml:space="preserve">, </w:t>
      </w:r>
      <w:r w:rsidR="00CE27FE">
        <w:rPr>
          <w:snapToGrid/>
        </w:rPr>
        <w:t xml:space="preserve">it noted that listing for </w:t>
      </w:r>
      <w:r w:rsidRPr="00166BB1">
        <w:rPr>
          <w:snapToGrid/>
        </w:rPr>
        <w:t>combination therapy</w:t>
      </w:r>
      <w:r w:rsidR="00CE27FE">
        <w:rPr>
          <w:snapToGrid/>
        </w:rPr>
        <w:t xml:space="preserve"> has</w:t>
      </w:r>
      <w:r w:rsidRPr="00166BB1">
        <w:rPr>
          <w:snapToGrid/>
        </w:rPr>
        <w:t xml:space="preserve"> not</w:t>
      </w:r>
      <w:r w:rsidR="00A52FD9">
        <w:rPr>
          <w:snapToGrid/>
        </w:rPr>
        <w:t xml:space="preserve"> been</w:t>
      </w:r>
      <w:r w:rsidRPr="00166BB1">
        <w:rPr>
          <w:snapToGrid/>
        </w:rPr>
        <w:t xml:space="preserve"> pursued by </w:t>
      </w:r>
      <w:r w:rsidR="00CE27FE">
        <w:t>TRI/TIP</w:t>
      </w:r>
      <w:r w:rsidR="00CE27FE" w:rsidRPr="00166BB1">
        <w:rPr>
          <w:snapToGrid/>
        </w:rPr>
        <w:t xml:space="preserve"> </w:t>
      </w:r>
      <w:r w:rsidRPr="00166BB1">
        <w:rPr>
          <w:snapToGrid/>
        </w:rPr>
        <w:t>sponsor</w:t>
      </w:r>
      <w:r w:rsidR="00CE27FE">
        <w:rPr>
          <w:snapToGrid/>
        </w:rPr>
        <w:t xml:space="preserve"> and its </w:t>
      </w:r>
      <w:r w:rsidR="00CE27FE" w:rsidRPr="004F3865">
        <w:rPr>
          <w:snapToGrid/>
        </w:rPr>
        <w:t xml:space="preserve">PBS restriction states, </w:t>
      </w:r>
      <w:r w:rsidR="00C727FA">
        <w:rPr>
          <w:snapToGrid/>
        </w:rPr>
        <w:t>“</w:t>
      </w:r>
      <w:r w:rsidR="00CE27FE" w:rsidRPr="004F3865">
        <w:rPr>
          <w:snapToGrid/>
        </w:rPr>
        <w:t xml:space="preserve">The treatment must be the sole </w:t>
      </w:r>
      <w:r w:rsidR="00CE27FE" w:rsidRPr="00CE27FE">
        <w:rPr>
          <w:snapToGrid/>
        </w:rPr>
        <w:t>PBS-subsidised therapy for this condition”, precluding use with BEVA</w:t>
      </w:r>
      <w:r w:rsidR="00B337E2">
        <w:rPr>
          <w:snapToGrid/>
        </w:rPr>
        <w:t xml:space="preserve"> on the PBS</w:t>
      </w:r>
      <w:r w:rsidR="00CE27FE" w:rsidRPr="00CE27FE">
        <w:rPr>
          <w:snapToGrid/>
        </w:rPr>
        <w:t>.</w:t>
      </w:r>
      <w:r w:rsidR="006845A3" w:rsidRPr="00B337E2" w:rsidDel="006845A3">
        <w:rPr>
          <w:snapToGrid/>
        </w:rPr>
        <w:t xml:space="preserve"> </w:t>
      </w:r>
    </w:p>
    <w:p w14:paraId="5409709B" w14:textId="5CC81611" w:rsidR="00A258C1" w:rsidRPr="00B337E2" w:rsidRDefault="001A4AE7" w:rsidP="00A258C1">
      <w:pPr>
        <w:pStyle w:val="3-BodyText"/>
      </w:pPr>
      <w:bookmarkStart w:id="107" w:name="_Ref177399107"/>
      <w:r>
        <w:rPr>
          <w:lang w:val="en-US"/>
        </w:rPr>
        <w:t xml:space="preserve">The submission was based on two </w:t>
      </w:r>
      <w:r w:rsidRPr="00B824A4">
        <w:rPr>
          <w:snapToGrid/>
        </w:rPr>
        <w:t xml:space="preserve">ITCs between fruquintinib and </w:t>
      </w:r>
      <w:r>
        <w:t>TRI/TIP</w:t>
      </w:r>
      <w:r w:rsidRPr="00B824A4">
        <w:rPr>
          <w:snapToGrid/>
        </w:rPr>
        <w:t xml:space="preserve">, using placebo as the common </w:t>
      </w:r>
      <w:r>
        <w:rPr>
          <w:snapToGrid/>
        </w:rPr>
        <w:t xml:space="preserve">reference. </w:t>
      </w:r>
      <w:r w:rsidRPr="00AE2F8B">
        <w:t xml:space="preserve">The main ITC compared </w:t>
      </w:r>
      <w:r>
        <w:t>fruquintinib</w:t>
      </w:r>
      <w:r w:rsidRPr="00AE2F8B">
        <w:t xml:space="preserve"> (</w:t>
      </w:r>
      <w:r>
        <w:t>via the FRESCO 2 trial</w:t>
      </w:r>
      <w:r w:rsidRPr="00AE2F8B">
        <w:t xml:space="preserve">) with </w:t>
      </w:r>
      <w:r>
        <w:t>TRI/TIP</w:t>
      </w:r>
      <w:r w:rsidRPr="00AE2F8B">
        <w:t xml:space="preserve"> (</w:t>
      </w:r>
      <w:r>
        <w:t>via the RECOURSE trial</w:t>
      </w:r>
      <w:r w:rsidRPr="00AE2F8B">
        <w:t>).</w:t>
      </w:r>
      <w:r>
        <w:t xml:space="preserve"> The PBAC noted that </w:t>
      </w:r>
      <w:r w:rsidRPr="004F3865">
        <w:t>the FRESCO</w:t>
      </w:r>
      <w:r>
        <w:t> </w:t>
      </w:r>
      <w:r w:rsidRPr="004F3865">
        <w:t xml:space="preserve">2 trial </w:t>
      </w:r>
      <w:r>
        <w:t>was</w:t>
      </w:r>
      <w:r w:rsidRPr="004F3865">
        <w:t xml:space="preserve"> not the most appropriate for the comparison between fruquintinib and </w:t>
      </w:r>
      <w:r>
        <w:t>TRI/TIP in the requested 3L setting</w:t>
      </w:r>
      <w:r w:rsidRPr="004F3865">
        <w:t xml:space="preserve"> because fruquintinib patients</w:t>
      </w:r>
      <w:r>
        <w:t xml:space="preserve"> in FRESCO 2</w:t>
      </w:r>
      <w:r w:rsidRPr="004F3865">
        <w:t xml:space="preserve"> were required to have already failed </w:t>
      </w:r>
      <w:r>
        <w:t>TRI/TIP</w:t>
      </w:r>
      <w:r w:rsidRPr="004F3865">
        <w:t xml:space="preserve"> and/or regorafenib.</w:t>
      </w:r>
      <w:r>
        <w:t xml:space="preserve"> Further, the PBAC noted that the FRESCO 1 trial involved exclusively Chinese patients, which is </w:t>
      </w:r>
      <w:r w:rsidRPr="004F3865">
        <w:rPr>
          <w:snapToGrid/>
        </w:rPr>
        <w:t>a potential applicability issue for an Australian population</w:t>
      </w:r>
      <w:r>
        <w:rPr>
          <w:snapToGrid/>
        </w:rPr>
        <w:t xml:space="preserve">. Notwithstanding, the PBAC acknowledged the </w:t>
      </w:r>
      <w:r w:rsidR="005F388B">
        <w:rPr>
          <w:snapToGrid/>
        </w:rPr>
        <w:t xml:space="preserve">overall </w:t>
      </w:r>
      <w:r>
        <w:rPr>
          <w:snapToGrid/>
        </w:rPr>
        <w:t xml:space="preserve">evidence base from the FRESCO 1 (3L fruquintinib) and FRESCO 2 (4L fruquintinib) trials had similar results for PFS and OS, </w:t>
      </w:r>
      <w:r w:rsidR="005F388B">
        <w:rPr>
          <w:snapToGrid/>
        </w:rPr>
        <w:t>and</w:t>
      </w:r>
      <w:r>
        <w:rPr>
          <w:snapToGrid/>
        </w:rPr>
        <w:t xml:space="preserve"> </w:t>
      </w:r>
      <w:r w:rsidR="005F388B">
        <w:rPr>
          <w:rFonts w:eastAsia="Calibri"/>
        </w:rPr>
        <w:t>o</w:t>
      </w:r>
      <w:r>
        <w:rPr>
          <w:rFonts w:eastAsia="Calibri"/>
        </w:rPr>
        <w:t xml:space="preserve">n balance, the PBAC considered that the claim of non-inferior efficacy </w:t>
      </w:r>
      <w:r w:rsidRPr="00F11539">
        <w:rPr>
          <w:rFonts w:eastAsia="Calibri"/>
        </w:rPr>
        <w:t>compared to TRI/TIP</w:t>
      </w:r>
      <w:r>
        <w:rPr>
          <w:rFonts w:eastAsia="Calibri"/>
        </w:rPr>
        <w:t xml:space="preserve"> was justified.</w:t>
      </w:r>
      <w:bookmarkEnd w:id="107"/>
    </w:p>
    <w:p w14:paraId="41D424F8" w14:textId="3D49BB00" w:rsidR="00546AB7" w:rsidRDefault="008532FC" w:rsidP="005D3685">
      <w:pPr>
        <w:pStyle w:val="3-BodyText"/>
      </w:pPr>
      <w:r w:rsidRPr="005D3685">
        <w:rPr>
          <w:rFonts w:eastAsia="Calibri"/>
          <w:iCs/>
        </w:rPr>
        <w:t xml:space="preserve">The PBAC considered the claim that </w:t>
      </w:r>
      <w:r w:rsidR="00A258C1" w:rsidRPr="005D3685">
        <w:rPr>
          <w:rFonts w:eastAsia="Calibri"/>
          <w:iCs/>
        </w:rPr>
        <w:t>fruquintinib</w:t>
      </w:r>
      <w:r w:rsidRPr="005D3685">
        <w:rPr>
          <w:rFonts w:eastAsia="Calibri"/>
          <w:iCs/>
        </w:rPr>
        <w:t xml:space="preserve"> is </w:t>
      </w:r>
      <w:r w:rsidR="00A258C1" w:rsidRPr="005D3685">
        <w:rPr>
          <w:rFonts w:eastAsia="Calibri"/>
          <w:iCs/>
        </w:rPr>
        <w:t>non-inferior</w:t>
      </w:r>
      <w:r w:rsidRPr="005D3685">
        <w:rPr>
          <w:rFonts w:eastAsia="Calibri"/>
          <w:iCs/>
        </w:rPr>
        <w:t xml:space="preserve"> in terms of comparative safety compared with </w:t>
      </w:r>
      <w:r w:rsidR="00A258C1" w:rsidRPr="005D3685">
        <w:rPr>
          <w:rFonts w:eastAsia="Calibri"/>
          <w:iCs/>
        </w:rPr>
        <w:t>TRI/TIP</w:t>
      </w:r>
      <w:r w:rsidRPr="005D3685">
        <w:rPr>
          <w:rFonts w:eastAsia="Calibri"/>
          <w:iCs/>
        </w:rPr>
        <w:t xml:space="preserve"> was not adequately supported</w:t>
      </w:r>
      <w:r w:rsidR="00A258C1" w:rsidRPr="005D3685">
        <w:rPr>
          <w:rFonts w:eastAsia="Calibri"/>
          <w:iCs/>
        </w:rPr>
        <w:t xml:space="preserve"> </w:t>
      </w:r>
      <w:r w:rsidR="00A258C1" w:rsidRPr="005D3685">
        <w:rPr>
          <w:rFonts w:eastAsia="Calibri"/>
        </w:rPr>
        <w:t>because f</w:t>
      </w:r>
      <w:r w:rsidR="00A258C1" w:rsidRPr="005D3685">
        <w:t xml:space="preserve">ruquintinib and </w:t>
      </w:r>
      <w:r w:rsidR="00A258C1" w:rsidRPr="005D3685">
        <w:rPr>
          <w:rFonts w:eastAsia="Calibri"/>
        </w:rPr>
        <w:t>TRI/TIP</w:t>
      </w:r>
      <w:r w:rsidR="00A258C1" w:rsidRPr="005D3685">
        <w:t xml:space="preserve"> have distinct safety profiles</w:t>
      </w:r>
      <w:r w:rsidRPr="005D3685">
        <w:rPr>
          <w:rFonts w:eastAsia="Calibri"/>
          <w:iCs/>
        </w:rPr>
        <w:t>.</w:t>
      </w:r>
      <w:r w:rsidR="00A258C1" w:rsidRPr="005D3685">
        <w:rPr>
          <w:rFonts w:eastAsia="Calibri"/>
          <w:iCs/>
        </w:rPr>
        <w:t xml:space="preserve"> Clinical trial data shows that f</w:t>
      </w:r>
      <w:r w:rsidR="00A258C1" w:rsidRPr="005D3685">
        <w:rPr>
          <w:rFonts w:eastAsia="Calibri"/>
        </w:rPr>
        <w:t xml:space="preserve">ruquintinib is associated with hypertension, hand-foot syndrome and asthenia, whereas TRI/TIP </w:t>
      </w:r>
      <w:r w:rsidR="00846E0B" w:rsidRPr="005D3685">
        <w:rPr>
          <w:rFonts w:eastAsia="Calibri"/>
        </w:rPr>
        <w:t>is associated with</w:t>
      </w:r>
      <w:r w:rsidR="00A258C1" w:rsidRPr="005D3685">
        <w:rPr>
          <w:rFonts w:eastAsia="Calibri"/>
        </w:rPr>
        <w:t xml:space="preserve"> myelosuppression events </w:t>
      </w:r>
      <w:r w:rsidR="00846E0B" w:rsidRPr="005D3685">
        <w:rPr>
          <w:rFonts w:eastAsia="Calibri"/>
        </w:rPr>
        <w:t xml:space="preserve">such as </w:t>
      </w:r>
      <w:r w:rsidR="00A258C1" w:rsidRPr="005D3685">
        <w:rPr>
          <w:rFonts w:eastAsia="Calibri"/>
        </w:rPr>
        <w:t xml:space="preserve">neutropenia, decrease in neutrophil count and anaemia. </w:t>
      </w:r>
      <w:r w:rsidR="005D3685" w:rsidRPr="005D3685">
        <w:rPr>
          <w:rFonts w:eastAsia="Calibri"/>
        </w:rPr>
        <w:t>The PBAC noted the Sponsor’s argument</w:t>
      </w:r>
      <w:r w:rsidR="00A258C1" w:rsidRPr="005D3685">
        <w:rPr>
          <w:rFonts w:eastAsia="Calibri"/>
        </w:rPr>
        <w:t xml:space="preserve"> that neither toxicity profile is necessarily preferable over the other and there may be broader benefits of having agents with different safety profiles available to patients; in particular, fruquintinib may be more suitable for patients who are more susceptible </w:t>
      </w:r>
      <w:r w:rsidR="00A258C1" w:rsidRPr="005D3685">
        <w:rPr>
          <w:rFonts w:eastAsia="Calibri"/>
        </w:rPr>
        <w:lastRenderedPageBreak/>
        <w:t xml:space="preserve">to myelosuppression. </w:t>
      </w:r>
      <w:r w:rsidR="00A258C1" w:rsidRPr="005D3685">
        <w:t>Overall, the</w:t>
      </w:r>
      <w:r w:rsidR="005D3685" w:rsidRPr="005D3685">
        <w:t xml:space="preserve"> </w:t>
      </w:r>
      <w:r w:rsidR="00A258C1" w:rsidRPr="005D3685">
        <w:t>PBAC considered that the safety of fruquintinib was different but manageable compared to TRI/TIP.</w:t>
      </w:r>
    </w:p>
    <w:p w14:paraId="23C5C6AB" w14:textId="4D32E04F" w:rsidR="004B3A52" w:rsidRPr="000E799F" w:rsidRDefault="00A969BB" w:rsidP="00382A6D">
      <w:pPr>
        <w:widowControl w:val="0"/>
        <w:numPr>
          <w:ilvl w:val="1"/>
          <w:numId w:val="1"/>
        </w:numPr>
        <w:spacing w:after="120"/>
        <w:rPr>
          <w:iCs/>
        </w:rPr>
      </w:pPr>
      <w:r w:rsidRPr="000E799F">
        <w:rPr>
          <w:rFonts w:eastAsia="Calibri"/>
        </w:rPr>
        <w:t>The PBAC considered that the CMA should be based on the equi-effective doses of fruquintinib and TRI/TIP</w:t>
      </w:r>
      <w:r w:rsidR="005048BC">
        <w:rPr>
          <w:rFonts w:eastAsia="Calibri"/>
        </w:rPr>
        <w:t>,</w:t>
      </w:r>
      <w:r w:rsidR="00427EEC" w:rsidRPr="000E799F">
        <w:rPr>
          <w:rFonts w:eastAsia="Calibri"/>
        </w:rPr>
        <w:t xml:space="preserve"> as per paragraph </w:t>
      </w:r>
      <w:r w:rsidR="00427EEC" w:rsidRPr="000E799F">
        <w:rPr>
          <w:rFonts w:eastAsia="Calibri"/>
        </w:rPr>
        <w:fldChar w:fldCharType="begin"/>
      </w:r>
      <w:r w:rsidR="00427EEC" w:rsidRPr="000E799F">
        <w:rPr>
          <w:rFonts w:eastAsia="Calibri"/>
        </w:rPr>
        <w:instrText xml:space="preserve"> REF _Ref177672119 \r \h </w:instrText>
      </w:r>
      <w:r w:rsidR="00427EEC" w:rsidRPr="000E799F">
        <w:rPr>
          <w:rFonts w:eastAsia="Calibri"/>
        </w:rPr>
      </w:r>
      <w:r w:rsidR="00427EEC" w:rsidRPr="000E799F">
        <w:rPr>
          <w:rFonts w:eastAsia="Calibri"/>
        </w:rPr>
        <w:fldChar w:fldCharType="separate"/>
      </w:r>
      <w:r w:rsidR="00F03729">
        <w:rPr>
          <w:rFonts w:eastAsia="Calibri"/>
        </w:rPr>
        <w:t>7.2</w:t>
      </w:r>
      <w:r w:rsidR="00427EEC" w:rsidRPr="000E799F">
        <w:rPr>
          <w:rFonts w:eastAsia="Calibri"/>
        </w:rPr>
        <w:fldChar w:fldCharType="end"/>
      </w:r>
      <w:r w:rsidRPr="000E799F">
        <w:rPr>
          <w:rFonts w:eastAsia="Calibri"/>
        </w:rPr>
        <w:t xml:space="preserve">. The PBAC </w:t>
      </w:r>
      <w:r w:rsidR="0062707C" w:rsidRPr="000E799F">
        <w:rPr>
          <w:rFonts w:eastAsia="Calibri"/>
        </w:rPr>
        <w:t>considered</w:t>
      </w:r>
      <w:r w:rsidRPr="000E799F">
        <w:rPr>
          <w:rFonts w:eastAsia="Calibri"/>
        </w:rPr>
        <w:t xml:space="preserve"> that</w:t>
      </w:r>
      <w:r w:rsidR="0062707C" w:rsidRPr="000E799F">
        <w:rPr>
          <w:rFonts w:eastAsia="Calibri"/>
        </w:rPr>
        <w:t xml:space="preserve"> the</w:t>
      </w:r>
      <w:r w:rsidRPr="000E799F">
        <w:rPr>
          <w:rFonts w:eastAsia="Calibri"/>
        </w:rPr>
        <w:t xml:space="preserve"> costs of </w:t>
      </w:r>
      <w:r w:rsidR="00427EEC" w:rsidRPr="000E799F">
        <w:rPr>
          <w:rFonts w:eastAsia="Calibri"/>
        </w:rPr>
        <w:t xml:space="preserve">managing </w:t>
      </w:r>
      <w:r w:rsidRPr="000E799F">
        <w:rPr>
          <w:rFonts w:eastAsia="Calibri"/>
        </w:rPr>
        <w:t xml:space="preserve">AEs associated with fruquintinib are likely to be </w:t>
      </w:r>
      <w:proofErr w:type="gramStart"/>
      <w:r w:rsidRPr="000E799F">
        <w:rPr>
          <w:rFonts w:eastAsia="Calibri"/>
        </w:rPr>
        <w:t>similar to</w:t>
      </w:r>
      <w:proofErr w:type="gramEnd"/>
      <w:r w:rsidRPr="000E799F">
        <w:rPr>
          <w:rFonts w:eastAsia="Calibri"/>
        </w:rPr>
        <w:t xml:space="preserve"> those associated with TRI/TIP, and therefore AE costs were not required to be applied to the CMA. </w:t>
      </w:r>
      <w:r w:rsidR="004B3A52" w:rsidRPr="000E799F">
        <w:rPr>
          <w:rFonts w:eastAsia="Calibri"/>
        </w:rPr>
        <w:t xml:space="preserve">The PBAC noted the relative dose intensity and treatment duration </w:t>
      </w:r>
      <w:r w:rsidR="008721DC">
        <w:rPr>
          <w:rFonts w:eastAsia="Calibri"/>
        </w:rPr>
        <w:t>were</w:t>
      </w:r>
      <w:r w:rsidR="008721DC" w:rsidRPr="000E799F">
        <w:rPr>
          <w:rFonts w:eastAsia="Calibri"/>
        </w:rPr>
        <w:t xml:space="preserve"> </w:t>
      </w:r>
      <w:r w:rsidR="004B3A52" w:rsidRPr="000E799F">
        <w:rPr>
          <w:rFonts w:eastAsia="Calibri"/>
        </w:rPr>
        <w:t xml:space="preserve">assumed to be the same for fruquintinib and TRI/TIP. The PBAC considered this assumption, especially in relation to treatment duration, to be uncertain given the differences observed across the trials. The PBAC noted the </w:t>
      </w:r>
      <w:r w:rsidR="00807852">
        <w:rPr>
          <w:rFonts w:eastAsia="Calibri"/>
        </w:rPr>
        <w:t xml:space="preserve">differences in </w:t>
      </w:r>
      <w:r w:rsidR="004B3A52" w:rsidRPr="000E799F">
        <w:rPr>
          <w:rFonts w:eastAsia="Calibri"/>
        </w:rPr>
        <w:t>treatment duration</w:t>
      </w:r>
      <w:r w:rsidR="00807852">
        <w:rPr>
          <w:rFonts w:eastAsia="Calibri"/>
        </w:rPr>
        <w:t xml:space="preserve"> may reflect differences in the patient characteristics across the </w:t>
      </w:r>
      <w:r w:rsidR="00EC089E">
        <w:rPr>
          <w:rFonts w:eastAsia="Calibri"/>
        </w:rPr>
        <w:t xml:space="preserve">FRESCO 2 and RECOURSE </w:t>
      </w:r>
      <w:r w:rsidR="00807852">
        <w:rPr>
          <w:rFonts w:eastAsia="Calibri"/>
        </w:rPr>
        <w:t xml:space="preserve">trials, </w:t>
      </w:r>
      <w:r w:rsidR="00005A60">
        <w:rPr>
          <w:rFonts w:eastAsia="Calibri"/>
        </w:rPr>
        <w:t>including line of therapy</w:t>
      </w:r>
      <w:r w:rsidR="00B65784">
        <w:rPr>
          <w:rFonts w:eastAsia="Calibri"/>
        </w:rPr>
        <w:t xml:space="preserve"> (paragraph </w:t>
      </w:r>
      <w:r w:rsidR="00B65784">
        <w:rPr>
          <w:rFonts w:eastAsia="Calibri"/>
        </w:rPr>
        <w:fldChar w:fldCharType="begin"/>
      </w:r>
      <w:r w:rsidR="00B65784">
        <w:rPr>
          <w:rFonts w:eastAsia="Calibri"/>
        </w:rPr>
        <w:instrText xml:space="preserve"> REF _Ref178152481 \r \h </w:instrText>
      </w:r>
      <w:r w:rsidR="00B65784">
        <w:rPr>
          <w:rFonts w:eastAsia="Calibri"/>
        </w:rPr>
      </w:r>
      <w:r w:rsidR="00B65784">
        <w:rPr>
          <w:rFonts w:eastAsia="Calibri"/>
        </w:rPr>
        <w:fldChar w:fldCharType="separate"/>
      </w:r>
      <w:r w:rsidR="00F03729">
        <w:rPr>
          <w:rFonts w:eastAsia="Calibri"/>
        </w:rPr>
        <w:t>6.40</w:t>
      </w:r>
      <w:r w:rsidR="00B65784">
        <w:rPr>
          <w:rFonts w:eastAsia="Calibri"/>
        </w:rPr>
        <w:fldChar w:fldCharType="end"/>
      </w:r>
      <w:r w:rsidR="00B65784">
        <w:rPr>
          <w:rFonts w:eastAsia="Calibri"/>
        </w:rPr>
        <w:t>)</w:t>
      </w:r>
      <w:r w:rsidR="00005A60">
        <w:rPr>
          <w:rFonts w:eastAsia="Calibri"/>
        </w:rPr>
        <w:t xml:space="preserve">, </w:t>
      </w:r>
      <w:r w:rsidR="00807852">
        <w:rPr>
          <w:rFonts w:eastAsia="Calibri"/>
        </w:rPr>
        <w:t>and in clinical practice the treatment duration will</w:t>
      </w:r>
      <w:r w:rsidR="004B3A52" w:rsidRPr="000E799F">
        <w:rPr>
          <w:rFonts w:eastAsia="Calibri"/>
        </w:rPr>
        <w:t xml:space="preserve"> be impacted by </w:t>
      </w:r>
      <w:r w:rsidR="000E799F" w:rsidRPr="000E799F">
        <w:rPr>
          <w:rFonts w:eastAsia="Calibri"/>
        </w:rPr>
        <w:t xml:space="preserve">relative </w:t>
      </w:r>
      <w:r w:rsidR="004B3A52" w:rsidRPr="000E799F">
        <w:rPr>
          <w:rFonts w:eastAsia="Calibri"/>
        </w:rPr>
        <w:t xml:space="preserve">use in the 3L </w:t>
      </w:r>
      <w:r w:rsidR="000E799F" w:rsidRPr="000E799F">
        <w:rPr>
          <w:rFonts w:eastAsia="Calibri"/>
        </w:rPr>
        <w:t>versus</w:t>
      </w:r>
      <w:r w:rsidR="004B3A52" w:rsidRPr="000E799F">
        <w:rPr>
          <w:rFonts w:eastAsia="Calibri"/>
        </w:rPr>
        <w:t xml:space="preserve"> 4L setting</w:t>
      </w:r>
      <w:r w:rsidR="000E799F" w:rsidRPr="000E799F">
        <w:rPr>
          <w:rFonts w:eastAsia="Calibri"/>
        </w:rPr>
        <w:t>s. Given this</w:t>
      </w:r>
      <w:r w:rsidR="005048BC">
        <w:rPr>
          <w:rFonts w:eastAsia="Calibri"/>
        </w:rPr>
        <w:t>,</w:t>
      </w:r>
      <w:r w:rsidR="000E799F" w:rsidRPr="000E799F">
        <w:rPr>
          <w:rFonts w:eastAsia="Calibri"/>
        </w:rPr>
        <w:t xml:space="preserve"> the PBAC considered it would be reasonable to assume no difference in the dose intensity and duration of treatment for the purposes of the equi-effective doses.</w:t>
      </w:r>
    </w:p>
    <w:p w14:paraId="031C5267" w14:textId="115E7515" w:rsidR="00546AB7" w:rsidRPr="008121CE" w:rsidRDefault="00612E49" w:rsidP="00494D3C">
      <w:pPr>
        <w:widowControl w:val="0"/>
        <w:numPr>
          <w:ilvl w:val="1"/>
          <w:numId w:val="1"/>
        </w:numPr>
        <w:spacing w:after="120"/>
      </w:pPr>
      <w:bookmarkStart w:id="108" w:name="_Hlk178250764"/>
      <w:r>
        <w:t xml:space="preserve">The market share approach used to estimate the financial impact assumed that 70% of fruquintinib </w:t>
      </w:r>
      <w:r w:rsidR="008064FB">
        <w:t xml:space="preserve">treated </w:t>
      </w:r>
      <w:r>
        <w:t>patients would substitute for TRI/TIP in the 3L setting and 30% of fruquintinib patients would receive fruquintinib in the 4L setting</w:t>
      </w:r>
      <w:r w:rsidR="00916F54">
        <w:t xml:space="preserve"> following TRI/TIP</w:t>
      </w:r>
      <w:r>
        <w:t xml:space="preserve">. </w:t>
      </w:r>
      <w:r w:rsidR="001B6DA4">
        <w:t xml:space="preserve">The PBAC noted that </w:t>
      </w:r>
      <w:r w:rsidR="008064FB">
        <w:t xml:space="preserve">the </w:t>
      </w:r>
      <w:r w:rsidR="001B6DA4">
        <w:t>sequential use of fruquintinib is associated with a net PBS/RPBS cost</w:t>
      </w:r>
      <w:r w:rsidR="008064FB">
        <w:t xml:space="preserve"> of approximately </w:t>
      </w:r>
      <w:r w:rsidR="009A2EAA" w:rsidRPr="009A2EAA">
        <w:t>$0 to &lt; $10 million</w:t>
      </w:r>
      <w:r w:rsidR="008064FB">
        <w:t xml:space="preserve"> in the first six years of listing (</w:t>
      </w:r>
      <w:r w:rsidR="00655AFE">
        <w:t xml:space="preserve">based on the cost minimised published price of fruquintinib, </w:t>
      </w:r>
      <w:r w:rsidR="004E3079">
        <w:t xml:space="preserve">see </w:t>
      </w:r>
      <w:r w:rsidR="00655AFE">
        <w:t xml:space="preserve">paragraphs </w:t>
      </w:r>
      <w:r w:rsidR="00655AFE">
        <w:fldChar w:fldCharType="begin"/>
      </w:r>
      <w:r w:rsidR="00655AFE">
        <w:instrText xml:space="preserve"> REF _Ref178091041 \r \h </w:instrText>
      </w:r>
      <w:r w:rsidR="00655AFE">
        <w:fldChar w:fldCharType="separate"/>
      </w:r>
      <w:r w:rsidR="00F03729">
        <w:t>6.52</w:t>
      </w:r>
      <w:r w:rsidR="00655AFE">
        <w:fldChar w:fldCharType="end"/>
      </w:r>
      <w:r w:rsidR="00655AFE">
        <w:t xml:space="preserve"> and </w:t>
      </w:r>
      <w:r w:rsidR="00655AFE">
        <w:fldChar w:fldCharType="begin"/>
      </w:r>
      <w:r w:rsidR="00655AFE">
        <w:instrText xml:space="preserve"> REF _Ref178091055 \r \h </w:instrText>
      </w:r>
      <w:r w:rsidR="00655AFE">
        <w:fldChar w:fldCharType="separate"/>
      </w:r>
      <w:r w:rsidR="00F03729">
        <w:t>6.58</w:t>
      </w:r>
      <w:r w:rsidR="00655AFE">
        <w:fldChar w:fldCharType="end"/>
      </w:r>
      <w:r w:rsidR="00655AFE">
        <w:t>)</w:t>
      </w:r>
      <w:r w:rsidR="0098365F">
        <w:t xml:space="preserve">, and that this would be </w:t>
      </w:r>
      <w:r w:rsidR="008A70E4">
        <w:t>lower when</w:t>
      </w:r>
      <w:r w:rsidR="0098365F">
        <w:t xml:space="preserve"> using the effective price for TRI/TIP in the cost-minimisation analysis</w:t>
      </w:r>
      <w:r w:rsidR="008064FB">
        <w:t>.</w:t>
      </w:r>
      <w:bookmarkEnd w:id="108"/>
      <w:r w:rsidR="008064FB">
        <w:t xml:space="preserve"> </w:t>
      </w:r>
      <w:r>
        <w:t xml:space="preserve">The PBAC considered that </w:t>
      </w:r>
      <w:r w:rsidR="00AB4251">
        <w:t xml:space="preserve">the </w:t>
      </w:r>
      <w:r w:rsidR="003E26E1">
        <w:t xml:space="preserve">extent of sequential use of fruquintinib to be uncertain and noted increasing the </w:t>
      </w:r>
      <w:r w:rsidR="008064FB">
        <w:t xml:space="preserve">extent of </w:t>
      </w:r>
      <w:r w:rsidR="003E26E1">
        <w:t xml:space="preserve">sequential use </w:t>
      </w:r>
      <w:r w:rsidR="000118CD">
        <w:t>to 42%</w:t>
      </w:r>
      <w:r w:rsidR="008064FB">
        <w:t>,</w:t>
      </w:r>
      <w:r w:rsidR="000118CD">
        <w:t xml:space="preserve"> </w:t>
      </w:r>
      <w:r w:rsidR="008064FB">
        <w:t xml:space="preserve">based on the </w:t>
      </w:r>
      <w:r w:rsidR="008064FB" w:rsidRPr="008121CE">
        <w:t>proportion of patients in FRESCO 1 trial receiving at least one subsequent systemic anti-cancer therapy</w:t>
      </w:r>
      <w:r w:rsidR="0098365F" w:rsidRPr="008121CE">
        <w:t>, increased</w:t>
      </w:r>
      <w:r w:rsidR="000118CD" w:rsidRPr="008121CE">
        <w:t xml:space="preserve"> the financial estimates by </w:t>
      </w:r>
      <w:r w:rsidR="008121CE">
        <w:t>39%</w:t>
      </w:r>
      <w:r w:rsidR="000118CD" w:rsidRPr="008121CE">
        <w:t>.</w:t>
      </w:r>
      <w:r w:rsidR="008121CE" w:rsidRPr="008121CE">
        <w:t xml:space="preserve"> However, the PBAC noted that the absolute increase in cost to government, from </w:t>
      </w:r>
      <w:r w:rsidR="009A2EAA" w:rsidRPr="009A2EAA">
        <w:t>$0 to &lt;</w:t>
      </w:r>
      <w:r w:rsidR="00D91958">
        <w:t> </w:t>
      </w:r>
      <w:r w:rsidR="009A2EAA" w:rsidRPr="009A2EAA">
        <w:t>$10</w:t>
      </w:r>
      <w:r w:rsidR="00D91958">
        <w:t> </w:t>
      </w:r>
      <w:r w:rsidR="009A2EAA" w:rsidRPr="009A2EAA">
        <w:t>million</w:t>
      </w:r>
      <w:r w:rsidR="008121CE" w:rsidRPr="008121CE">
        <w:t xml:space="preserve"> to </w:t>
      </w:r>
      <w:r w:rsidR="009A2EAA" w:rsidRPr="009A2EAA">
        <w:t>$0 to &lt; $10 million</w:t>
      </w:r>
      <w:r w:rsidR="008121CE" w:rsidRPr="008121CE">
        <w:t xml:space="preserve"> over the first six years of listing, is relatively small.</w:t>
      </w:r>
      <w:r w:rsidR="000118CD" w:rsidRPr="008121CE">
        <w:t xml:space="preserve"> </w:t>
      </w:r>
      <w:r w:rsidR="00F02FAA" w:rsidRPr="008121CE">
        <w:t xml:space="preserve">Overall, the PBAC considered </w:t>
      </w:r>
      <w:r w:rsidR="008A70E4" w:rsidRPr="008121CE">
        <w:t>the likely extent</w:t>
      </w:r>
      <w:r w:rsidR="0098365F" w:rsidRPr="008121CE">
        <w:t xml:space="preserve"> of sequential use</w:t>
      </w:r>
      <w:r w:rsidR="008A70E4" w:rsidRPr="008121CE">
        <w:t xml:space="preserve"> to be between 30% and 42% of </w:t>
      </w:r>
      <w:r w:rsidR="00F02FAA" w:rsidRPr="008121CE">
        <w:t>fruquintinib</w:t>
      </w:r>
      <w:r w:rsidR="008A70E4" w:rsidRPr="008121CE">
        <w:t xml:space="preserve"> use</w:t>
      </w:r>
      <w:r w:rsidR="0098365F" w:rsidRPr="008121CE">
        <w:t>.</w:t>
      </w:r>
      <w:r w:rsidR="00F02FAA" w:rsidRPr="008121CE">
        <w:t xml:space="preserve"> </w:t>
      </w:r>
    </w:p>
    <w:p w14:paraId="5741F407" w14:textId="7F81E52E" w:rsidR="006E0938" w:rsidRDefault="006E0938" w:rsidP="00546AB7">
      <w:pPr>
        <w:widowControl w:val="0"/>
        <w:numPr>
          <w:ilvl w:val="1"/>
          <w:numId w:val="1"/>
        </w:numPr>
        <w:spacing w:after="120"/>
        <w:rPr>
          <w:rFonts w:asciiTheme="minorHAnsi" w:hAnsiTheme="minorHAnsi"/>
          <w:bCs/>
          <w:snapToGrid w:val="0"/>
          <w:lang w:val="en-GB"/>
        </w:rPr>
      </w:pPr>
      <w:r w:rsidRPr="006E0938">
        <w:rPr>
          <w:rFonts w:asciiTheme="minorHAnsi" w:hAnsiTheme="minorHAnsi"/>
          <w:bCs/>
          <w:snapToGrid w:val="0"/>
          <w:lang w:val="en-GB"/>
        </w:rPr>
        <w:t xml:space="preserve">The PBAC advised that </w:t>
      </w:r>
      <w:r>
        <w:rPr>
          <w:rFonts w:asciiTheme="minorHAnsi" w:hAnsiTheme="minorHAnsi"/>
          <w:bCs/>
          <w:snapToGrid w:val="0"/>
          <w:lang w:val="en-GB"/>
        </w:rPr>
        <w:t>fruquintinib</w:t>
      </w:r>
      <w:r w:rsidRPr="006E0938">
        <w:rPr>
          <w:rFonts w:asciiTheme="minorHAnsi" w:hAnsiTheme="minorHAnsi"/>
          <w:bCs/>
          <w:snapToGrid w:val="0"/>
          <w:lang w:val="en-GB"/>
        </w:rPr>
        <w:t xml:space="preserve"> is not suitable for prescribing by nurse practitioners. The PBAC noted that </w:t>
      </w:r>
      <w:r>
        <w:rPr>
          <w:rFonts w:asciiTheme="minorHAnsi" w:hAnsiTheme="minorHAnsi"/>
          <w:bCs/>
          <w:snapToGrid w:val="0"/>
          <w:lang w:val="en-GB"/>
        </w:rPr>
        <w:t>TRI/TIP</w:t>
      </w:r>
      <w:r w:rsidRPr="006E0938">
        <w:rPr>
          <w:rFonts w:asciiTheme="minorHAnsi" w:hAnsiTheme="minorHAnsi"/>
          <w:bCs/>
          <w:snapToGrid w:val="0"/>
          <w:lang w:val="en-GB"/>
        </w:rPr>
        <w:t xml:space="preserve"> is not available for nurse prescribing.</w:t>
      </w:r>
    </w:p>
    <w:p w14:paraId="6031777D" w14:textId="0B73E9FD" w:rsidR="007F18E8" w:rsidRPr="007F18E8" w:rsidRDefault="006E0938" w:rsidP="007F18E8">
      <w:pPr>
        <w:widowControl w:val="0"/>
        <w:numPr>
          <w:ilvl w:val="1"/>
          <w:numId w:val="1"/>
        </w:numPr>
        <w:spacing w:after="120"/>
        <w:rPr>
          <w:rFonts w:asciiTheme="minorHAnsi" w:hAnsiTheme="minorHAnsi"/>
          <w:bCs/>
          <w:snapToGrid w:val="0"/>
          <w:lang w:val="en-GB"/>
        </w:rPr>
      </w:pPr>
      <w:r w:rsidRPr="006E0938">
        <w:rPr>
          <w:rFonts w:asciiTheme="minorHAnsi" w:hAnsiTheme="minorHAnsi"/>
          <w:bCs/>
          <w:snapToGrid w:val="0"/>
          <w:lang w:val="en-GB"/>
        </w:rPr>
        <w:t>The PBAC recommended that the Early Supply Rule should</w:t>
      </w:r>
      <w:r w:rsidR="00825B72">
        <w:rPr>
          <w:rFonts w:asciiTheme="minorHAnsi" w:hAnsiTheme="minorHAnsi"/>
          <w:bCs/>
          <w:snapToGrid w:val="0"/>
          <w:lang w:val="en-GB"/>
        </w:rPr>
        <w:t xml:space="preserve"> not</w:t>
      </w:r>
      <w:r w:rsidRPr="006E0938">
        <w:rPr>
          <w:rFonts w:asciiTheme="minorHAnsi" w:hAnsiTheme="minorHAnsi"/>
          <w:bCs/>
          <w:snapToGrid w:val="0"/>
          <w:lang w:val="en-GB"/>
        </w:rPr>
        <w:t xml:space="preserve"> apply to </w:t>
      </w:r>
      <w:r>
        <w:rPr>
          <w:rFonts w:asciiTheme="minorHAnsi" w:hAnsiTheme="minorHAnsi"/>
          <w:bCs/>
          <w:snapToGrid w:val="0"/>
          <w:lang w:val="en-GB"/>
        </w:rPr>
        <w:t>fruquintinib</w:t>
      </w:r>
      <w:r w:rsidRPr="006E0938">
        <w:rPr>
          <w:rFonts w:asciiTheme="minorHAnsi" w:hAnsiTheme="minorHAnsi"/>
          <w:bCs/>
          <w:snapToGrid w:val="0"/>
          <w:lang w:val="en-GB"/>
        </w:rPr>
        <w:t xml:space="preserve">. The PBAC noted that the Early Supply Rule </w:t>
      </w:r>
      <w:r w:rsidR="00825B72">
        <w:rPr>
          <w:rFonts w:asciiTheme="minorHAnsi" w:hAnsiTheme="minorHAnsi"/>
          <w:bCs/>
          <w:snapToGrid w:val="0"/>
          <w:lang w:val="en-GB"/>
        </w:rPr>
        <w:t>does not apply</w:t>
      </w:r>
      <w:r w:rsidRPr="006E0938">
        <w:rPr>
          <w:rFonts w:asciiTheme="minorHAnsi" w:hAnsiTheme="minorHAnsi"/>
          <w:bCs/>
          <w:snapToGrid w:val="0"/>
          <w:lang w:val="en-GB"/>
        </w:rPr>
        <w:t xml:space="preserve"> to </w:t>
      </w:r>
      <w:r>
        <w:rPr>
          <w:rFonts w:asciiTheme="minorHAnsi" w:hAnsiTheme="minorHAnsi"/>
          <w:bCs/>
          <w:snapToGrid w:val="0"/>
          <w:lang w:val="en-GB"/>
        </w:rPr>
        <w:t>TRI/TIP</w:t>
      </w:r>
      <w:r w:rsidRPr="006E0938">
        <w:rPr>
          <w:rFonts w:asciiTheme="minorHAnsi" w:hAnsiTheme="minorHAnsi"/>
          <w:bCs/>
          <w:snapToGrid w:val="0"/>
          <w:lang w:val="en-GB"/>
        </w:rPr>
        <w:t>.</w:t>
      </w:r>
    </w:p>
    <w:p w14:paraId="34577412" w14:textId="44509115" w:rsidR="00546AB7" w:rsidRDefault="006E0938" w:rsidP="00C65FEE">
      <w:pPr>
        <w:widowControl w:val="0"/>
        <w:numPr>
          <w:ilvl w:val="1"/>
          <w:numId w:val="1"/>
        </w:numPr>
        <w:spacing w:after="120"/>
        <w:rPr>
          <w:rFonts w:asciiTheme="minorHAnsi" w:hAnsiTheme="minorHAnsi"/>
          <w:bCs/>
          <w:snapToGrid w:val="0"/>
          <w:lang w:val="en-GB"/>
        </w:rPr>
      </w:pPr>
      <w:r w:rsidRPr="006E0938">
        <w:rPr>
          <w:rFonts w:asciiTheme="minorHAnsi" w:hAnsiTheme="minorHAnsi"/>
          <w:bCs/>
          <w:snapToGrid w:val="0"/>
          <w:lang w:val="en-GB"/>
        </w:rPr>
        <w:t xml:space="preserve">The PBAC recommended that </w:t>
      </w:r>
      <w:r>
        <w:rPr>
          <w:rFonts w:asciiTheme="minorHAnsi" w:hAnsiTheme="minorHAnsi"/>
          <w:bCs/>
          <w:snapToGrid w:val="0"/>
          <w:lang w:val="en-GB"/>
        </w:rPr>
        <w:t>fruquintinib</w:t>
      </w:r>
      <w:r w:rsidRPr="006E0938">
        <w:rPr>
          <w:rFonts w:asciiTheme="minorHAnsi" w:hAnsiTheme="minorHAnsi"/>
          <w:bCs/>
          <w:snapToGrid w:val="0"/>
          <w:lang w:val="en-GB"/>
        </w:rPr>
        <w:t xml:space="preserve"> should not be treated as interchangeable</w:t>
      </w:r>
      <w:r w:rsidR="007F18E8">
        <w:rPr>
          <w:rFonts w:asciiTheme="minorHAnsi" w:hAnsiTheme="minorHAnsi"/>
          <w:bCs/>
          <w:snapToGrid w:val="0"/>
          <w:lang w:val="en-GB"/>
        </w:rPr>
        <w:t xml:space="preserve"> </w:t>
      </w:r>
      <w:r w:rsidR="007F18E8" w:rsidRPr="001C25C2">
        <w:rPr>
          <w:rFonts w:asciiTheme="minorHAnsi" w:eastAsiaTheme="minorHAnsi" w:hAnsiTheme="minorHAnsi" w:cstheme="minorBidi"/>
          <w:color w:val="000000" w:themeColor="text1"/>
        </w:rPr>
        <w:t>on an individual patient basis</w:t>
      </w:r>
      <w:r w:rsidRPr="006E0938">
        <w:rPr>
          <w:rFonts w:asciiTheme="minorHAnsi" w:hAnsiTheme="minorHAnsi"/>
          <w:bCs/>
          <w:snapToGrid w:val="0"/>
          <w:lang w:val="en-GB"/>
        </w:rPr>
        <w:t xml:space="preserve"> with any other drugs</w:t>
      </w:r>
      <w:r w:rsidR="007F18E8">
        <w:rPr>
          <w:rFonts w:asciiTheme="minorHAnsi" w:hAnsiTheme="minorHAnsi"/>
          <w:bCs/>
          <w:snapToGrid w:val="0"/>
          <w:lang w:val="en-GB"/>
        </w:rPr>
        <w:t xml:space="preserve"> </w:t>
      </w:r>
      <w:r w:rsidR="007F18E8" w:rsidRPr="001C25C2">
        <w:rPr>
          <w:rFonts w:asciiTheme="minorHAnsi" w:eastAsiaTheme="minorHAnsi" w:hAnsiTheme="minorHAnsi" w:cstheme="minorBidi"/>
          <w:color w:val="000000" w:themeColor="text1"/>
        </w:rPr>
        <w:t xml:space="preserve">under Section 101 (3BA) of the </w:t>
      </w:r>
      <w:r w:rsidR="007F18E8" w:rsidRPr="001C25C2">
        <w:rPr>
          <w:rFonts w:asciiTheme="minorHAnsi" w:eastAsiaTheme="minorHAnsi" w:hAnsiTheme="minorHAnsi" w:cstheme="minorBidi"/>
          <w:i/>
          <w:color w:val="000000" w:themeColor="text1"/>
        </w:rPr>
        <w:t>National Health Act 1953</w:t>
      </w:r>
      <w:r w:rsidRPr="006E0938">
        <w:rPr>
          <w:rFonts w:asciiTheme="minorHAnsi" w:hAnsiTheme="minorHAnsi"/>
          <w:bCs/>
          <w:snapToGrid w:val="0"/>
          <w:lang w:val="en-GB"/>
        </w:rPr>
        <w:t>.</w:t>
      </w:r>
    </w:p>
    <w:p w14:paraId="6D8AFC19" w14:textId="55DD256C" w:rsidR="00546AB7" w:rsidRPr="00962523" w:rsidRDefault="00962523" w:rsidP="00315B45">
      <w:pPr>
        <w:widowControl w:val="0"/>
        <w:numPr>
          <w:ilvl w:val="1"/>
          <w:numId w:val="1"/>
        </w:numPr>
        <w:spacing w:after="120"/>
        <w:rPr>
          <w:rFonts w:asciiTheme="minorHAnsi" w:hAnsiTheme="minorHAnsi"/>
          <w:bCs/>
          <w:snapToGrid w:val="0"/>
          <w:lang w:val="en-GB"/>
        </w:rPr>
      </w:pPr>
      <w:r w:rsidRPr="00962523">
        <w:rPr>
          <w:rFonts w:asciiTheme="minorHAnsi" w:hAnsiTheme="minorHAnsi" w:cstheme="minorHAnsi"/>
          <w:lang w:val="en-GB"/>
        </w:rPr>
        <w:t>The PBAC noted that its recommendation was on a cost-minimisation basis and advised that, because fruquintinib is not expected to provide a substantial</w:t>
      </w:r>
      <w:r w:rsidRPr="00962523">
        <w:rPr>
          <w:rFonts w:asciiTheme="minorHAnsi" w:hAnsiTheme="minorHAnsi"/>
          <w:bCs/>
          <w:lang w:val="en-GB"/>
        </w:rPr>
        <w:t xml:space="preserve"> and clinically relevant improvement in efficacy, or reduction of toxicity, over </w:t>
      </w:r>
      <w:r>
        <w:rPr>
          <w:rFonts w:asciiTheme="minorHAnsi" w:hAnsiTheme="minorHAnsi"/>
          <w:bCs/>
          <w:lang w:val="en-GB"/>
        </w:rPr>
        <w:t>TRI/TIP</w:t>
      </w:r>
      <w:r w:rsidRPr="00962523">
        <w:rPr>
          <w:rFonts w:asciiTheme="minorHAnsi" w:hAnsiTheme="minorHAnsi"/>
          <w:bCs/>
          <w:lang w:val="en-GB"/>
        </w:rPr>
        <w:t xml:space="preserve">, or not expected to address a high and urgent unmet clinical need given the presence of </w:t>
      </w:r>
      <w:r w:rsidRPr="00962523">
        <w:rPr>
          <w:rFonts w:asciiTheme="minorHAnsi" w:hAnsiTheme="minorHAnsi"/>
          <w:bCs/>
          <w:lang w:val="en-GB"/>
        </w:rPr>
        <w:lastRenderedPageBreak/>
        <w:t xml:space="preserve">an alternative therapy, the criteria prescribed by the </w:t>
      </w:r>
      <w:r w:rsidRPr="00962523">
        <w:rPr>
          <w:rFonts w:asciiTheme="minorHAnsi" w:hAnsiTheme="minorHAnsi"/>
          <w:bCs/>
          <w:i/>
          <w:lang w:val="en-GB"/>
        </w:rPr>
        <w:t>National Health (Pharmaceuticals and Vaccines – Cost Recovery) Regulations 2022</w:t>
      </w:r>
      <w:r w:rsidRPr="00962523">
        <w:rPr>
          <w:rFonts w:asciiTheme="minorHAnsi" w:hAnsiTheme="minorHAnsi"/>
          <w:bCs/>
          <w:lang w:val="en-GB"/>
        </w:rPr>
        <w:t xml:space="preserve"> for Pricing Pathway A were not met.</w:t>
      </w:r>
    </w:p>
    <w:p w14:paraId="7836D395" w14:textId="50F69D9E" w:rsidR="00546AB7" w:rsidRPr="00315B45" w:rsidRDefault="00C65FEE" w:rsidP="00546AB7">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Pr>
          <w:rFonts w:asciiTheme="minorHAnsi" w:hAnsiTheme="minorHAnsi"/>
          <w:bCs/>
          <w:snapToGrid w:val="0"/>
          <w:lang w:val="en-GB"/>
        </w:rPr>
        <w:t>, as it received a positive recommendation</w:t>
      </w:r>
      <w:r w:rsidRPr="00525B39">
        <w:rPr>
          <w:rFonts w:asciiTheme="minorHAnsi" w:hAnsiTheme="minorHAnsi"/>
          <w:bCs/>
          <w:snapToGrid w:val="0"/>
          <w:lang w:val="en-GB"/>
        </w:rPr>
        <w:t>.</w:t>
      </w:r>
    </w:p>
    <w:p w14:paraId="6A5FE3A7" w14:textId="77777777" w:rsidR="00546AB7" w:rsidRPr="00525B39" w:rsidRDefault="00546AB7" w:rsidP="00546AB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E692C07" w14:textId="21C70D3F" w:rsidR="00546AB7" w:rsidRPr="00577EB7" w:rsidRDefault="00C65FEE" w:rsidP="005C428D">
      <w:pPr>
        <w:rPr>
          <w:rFonts w:asciiTheme="minorHAnsi" w:hAnsiTheme="minorHAnsi"/>
          <w:bCs/>
          <w:snapToGrid w:val="0"/>
          <w:lang w:val="en-GB"/>
        </w:rPr>
      </w:pPr>
      <w:r w:rsidRPr="00525B39">
        <w:rPr>
          <w:rFonts w:asciiTheme="minorHAnsi" w:hAnsiTheme="minorHAnsi"/>
          <w:bCs/>
          <w:snapToGrid w:val="0"/>
          <w:lang w:val="en-GB"/>
        </w:rPr>
        <w:t>Recommended</w:t>
      </w:r>
      <w:r w:rsidR="005C428D">
        <w:t xml:space="preserve"> </w:t>
      </w:r>
    </w:p>
    <w:bookmarkEnd w:id="103"/>
    <w:p w14:paraId="63CAE860" w14:textId="77777777" w:rsidR="00546AB7" w:rsidRPr="003A2C78" w:rsidRDefault="00546AB7" w:rsidP="003A2C78">
      <w:pPr>
        <w:pStyle w:val="2-SectionHeading"/>
      </w:pPr>
      <w:r w:rsidRPr="003A2C78">
        <w:t>Recommended listing</w:t>
      </w:r>
    </w:p>
    <w:p w14:paraId="7F950E15" w14:textId="336AE52A" w:rsidR="00546AB7" w:rsidRPr="007E5007" w:rsidRDefault="004B36F8" w:rsidP="00546AB7">
      <w:pPr>
        <w:pStyle w:val="3-BodyText"/>
        <w:rPr>
          <w:b/>
        </w:rPr>
      </w:pPr>
      <w:r w:rsidRPr="00315B45">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302"/>
        <w:gridCol w:w="1302"/>
        <w:gridCol w:w="1302"/>
        <w:gridCol w:w="1302"/>
        <w:gridCol w:w="1410"/>
      </w:tblGrid>
      <w:tr w:rsidR="004B36F8" w:rsidRPr="008D1910" w14:paraId="2568B034" w14:textId="77777777" w:rsidTr="00D7080B">
        <w:tc>
          <w:tcPr>
            <w:tcW w:w="1330" w:type="pct"/>
          </w:tcPr>
          <w:p w14:paraId="433EE25D" w14:textId="77777777" w:rsidR="004B36F8" w:rsidRPr="00CE491A" w:rsidRDefault="004B36F8" w:rsidP="00D7080B">
            <w:pPr>
              <w:keepNext/>
              <w:keepLines/>
              <w:rPr>
                <w:rFonts w:ascii="Arial Narrow" w:hAnsi="Arial Narrow"/>
                <w:b/>
                <w:bCs/>
                <w:sz w:val="20"/>
                <w:szCs w:val="20"/>
              </w:rPr>
            </w:pPr>
            <w:r w:rsidRPr="00CE491A">
              <w:rPr>
                <w:rFonts w:ascii="Arial Narrow" w:hAnsi="Arial Narrow"/>
                <w:b/>
                <w:bCs/>
                <w:sz w:val="20"/>
                <w:szCs w:val="20"/>
              </w:rPr>
              <w:t>MEDICINAL PRODUCT</w:t>
            </w:r>
          </w:p>
          <w:p w14:paraId="5E7ED29D" w14:textId="77777777" w:rsidR="004B36F8" w:rsidRPr="00CE491A" w:rsidRDefault="004B36F8" w:rsidP="00D7080B">
            <w:pPr>
              <w:keepNext/>
              <w:keepLines/>
              <w:rPr>
                <w:rFonts w:ascii="Arial Narrow" w:hAnsi="Arial Narrow"/>
                <w:b/>
                <w:bCs/>
                <w:sz w:val="20"/>
                <w:szCs w:val="20"/>
              </w:rPr>
            </w:pPr>
            <w:r w:rsidRPr="00CE491A">
              <w:rPr>
                <w:rFonts w:ascii="Arial Narrow" w:hAnsi="Arial Narrow"/>
                <w:b/>
                <w:bCs/>
                <w:sz w:val="20"/>
                <w:szCs w:val="20"/>
              </w:rPr>
              <w:t>medicinal product pack</w:t>
            </w:r>
          </w:p>
        </w:tc>
        <w:tc>
          <w:tcPr>
            <w:tcW w:w="722" w:type="pct"/>
            <w:shd w:val="clear" w:color="auto" w:fill="auto"/>
          </w:tcPr>
          <w:p w14:paraId="4262C027" w14:textId="77777777" w:rsidR="004B36F8" w:rsidRPr="00CE491A" w:rsidRDefault="004B36F8" w:rsidP="00D7080B">
            <w:pPr>
              <w:keepNext/>
              <w:keepLines/>
              <w:jc w:val="center"/>
              <w:rPr>
                <w:rFonts w:ascii="Arial Narrow" w:hAnsi="Arial Narrow"/>
                <w:b/>
                <w:bCs/>
                <w:sz w:val="20"/>
                <w:szCs w:val="20"/>
              </w:rPr>
            </w:pPr>
            <w:r w:rsidRPr="00CE491A">
              <w:rPr>
                <w:rFonts w:ascii="Arial Narrow" w:hAnsi="Arial Narrow"/>
                <w:b/>
                <w:bCs/>
                <w:sz w:val="20"/>
                <w:szCs w:val="20"/>
              </w:rPr>
              <w:t>PBS item code</w:t>
            </w:r>
          </w:p>
        </w:tc>
        <w:tc>
          <w:tcPr>
            <w:tcW w:w="722" w:type="pct"/>
            <w:shd w:val="clear" w:color="auto" w:fill="auto"/>
          </w:tcPr>
          <w:p w14:paraId="61728051" w14:textId="77777777" w:rsidR="004B36F8" w:rsidRPr="00CE491A" w:rsidRDefault="004B36F8" w:rsidP="00D7080B">
            <w:pPr>
              <w:keepNext/>
              <w:keepLines/>
              <w:jc w:val="center"/>
              <w:rPr>
                <w:rFonts w:ascii="Arial Narrow" w:hAnsi="Arial Narrow"/>
                <w:b/>
                <w:bCs/>
                <w:sz w:val="20"/>
                <w:szCs w:val="20"/>
              </w:rPr>
            </w:pPr>
            <w:r w:rsidRPr="00CE491A">
              <w:rPr>
                <w:rFonts w:ascii="Arial Narrow" w:hAnsi="Arial Narrow"/>
                <w:b/>
                <w:bCs/>
                <w:sz w:val="20"/>
                <w:szCs w:val="20"/>
              </w:rPr>
              <w:t>Max. qty packs</w:t>
            </w:r>
          </w:p>
        </w:tc>
        <w:tc>
          <w:tcPr>
            <w:tcW w:w="722" w:type="pct"/>
            <w:shd w:val="clear" w:color="auto" w:fill="auto"/>
          </w:tcPr>
          <w:p w14:paraId="00B18FB4" w14:textId="77777777" w:rsidR="004B36F8" w:rsidRPr="00CE491A" w:rsidRDefault="004B36F8" w:rsidP="00D7080B">
            <w:pPr>
              <w:keepNext/>
              <w:keepLines/>
              <w:jc w:val="center"/>
              <w:rPr>
                <w:rFonts w:ascii="Arial Narrow" w:hAnsi="Arial Narrow"/>
                <w:b/>
                <w:bCs/>
                <w:sz w:val="20"/>
                <w:szCs w:val="20"/>
              </w:rPr>
            </w:pPr>
            <w:r w:rsidRPr="00CE491A">
              <w:rPr>
                <w:rFonts w:ascii="Arial Narrow" w:hAnsi="Arial Narrow"/>
                <w:b/>
                <w:bCs/>
                <w:sz w:val="20"/>
                <w:szCs w:val="20"/>
              </w:rPr>
              <w:t>Max. qty units</w:t>
            </w:r>
          </w:p>
        </w:tc>
        <w:tc>
          <w:tcPr>
            <w:tcW w:w="722" w:type="pct"/>
            <w:shd w:val="clear" w:color="auto" w:fill="auto"/>
          </w:tcPr>
          <w:p w14:paraId="36E28B90" w14:textId="77777777" w:rsidR="004B36F8" w:rsidRPr="00CE491A" w:rsidRDefault="004B36F8" w:rsidP="00D7080B">
            <w:pPr>
              <w:keepNext/>
              <w:keepLines/>
              <w:jc w:val="center"/>
              <w:rPr>
                <w:rFonts w:ascii="Arial Narrow" w:hAnsi="Arial Narrow"/>
                <w:b/>
                <w:bCs/>
                <w:sz w:val="20"/>
                <w:szCs w:val="20"/>
              </w:rPr>
            </w:pPr>
            <w:r w:rsidRPr="00CE491A">
              <w:rPr>
                <w:rFonts w:ascii="Arial Narrow" w:hAnsi="Arial Narrow"/>
                <w:b/>
                <w:bCs/>
                <w:sz w:val="20"/>
                <w:szCs w:val="20"/>
              </w:rPr>
              <w:t>№. of</w:t>
            </w:r>
          </w:p>
          <w:p w14:paraId="2C10DC5F" w14:textId="77777777" w:rsidR="004B36F8" w:rsidRPr="00CE491A" w:rsidRDefault="004B36F8" w:rsidP="00D7080B">
            <w:pPr>
              <w:keepNext/>
              <w:keepLines/>
              <w:jc w:val="center"/>
              <w:rPr>
                <w:rFonts w:ascii="Arial Narrow" w:hAnsi="Arial Narrow"/>
                <w:b/>
                <w:bCs/>
                <w:sz w:val="20"/>
                <w:szCs w:val="20"/>
              </w:rPr>
            </w:pPr>
            <w:r w:rsidRPr="00CE491A">
              <w:rPr>
                <w:rFonts w:ascii="Arial Narrow" w:hAnsi="Arial Narrow"/>
                <w:b/>
                <w:bCs/>
                <w:sz w:val="20"/>
                <w:szCs w:val="20"/>
              </w:rPr>
              <w:t>Rpts</w:t>
            </w:r>
          </w:p>
        </w:tc>
        <w:tc>
          <w:tcPr>
            <w:tcW w:w="782" w:type="pct"/>
            <w:shd w:val="clear" w:color="auto" w:fill="auto"/>
          </w:tcPr>
          <w:p w14:paraId="1DE2EB46" w14:textId="77777777" w:rsidR="004B36F8" w:rsidRPr="00CE491A" w:rsidRDefault="004B36F8" w:rsidP="00D7080B">
            <w:pPr>
              <w:keepNext/>
              <w:keepLines/>
              <w:jc w:val="center"/>
              <w:rPr>
                <w:rFonts w:ascii="Arial Narrow" w:hAnsi="Arial Narrow"/>
                <w:b/>
                <w:bCs/>
                <w:sz w:val="20"/>
                <w:szCs w:val="20"/>
              </w:rPr>
            </w:pPr>
            <w:r w:rsidRPr="00CE491A">
              <w:rPr>
                <w:rFonts w:ascii="Arial Narrow" w:hAnsi="Arial Narrow"/>
                <w:b/>
                <w:bCs/>
                <w:sz w:val="20"/>
                <w:szCs w:val="20"/>
              </w:rPr>
              <w:t>Available brands</w:t>
            </w:r>
          </w:p>
        </w:tc>
      </w:tr>
      <w:tr w:rsidR="004B36F8" w:rsidRPr="008D1910" w14:paraId="75D018E7" w14:textId="77777777" w:rsidTr="00D7080B">
        <w:tc>
          <w:tcPr>
            <w:tcW w:w="5000" w:type="pct"/>
            <w:gridSpan w:val="6"/>
          </w:tcPr>
          <w:p w14:paraId="3C3C7137" w14:textId="77777777" w:rsidR="004B36F8" w:rsidRPr="00CE491A" w:rsidRDefault="004B36F8" w:rsidP="00D7080B">
            <w:pPr>
              <w:keepNext/>
              <w:keepLines/>
              <w:rPr>
                <w:rFonts w:ascii="Arial Narrow" w:hAnsi="Arial Narrow"/>
                <w:sz w:val="20"/>
                <w:szCs w:val="20"/>
              </w:rPr>
            </w:pPr>
            <w:r w:rsidRPr="00CE491A">
              <w:rPr>
                <w:rFonts w:ascii="Arial Narrow" w:hAnsi="Arial Narrow"/>
                <w:sz w:val="20"/>
                <w:szCs w:val="20"/>
              </w:rPr>
              <w:t>FRUQUINTINIB</w:t>
            </w:r>
          </w:p>
        </w:tc>
      </w:tr>
      <w:tr w:rsidR="004B36F8" w:rsidRPr="008D1910" w14:paraId="7409DCC3" w14:textId="77777777" w:rsidTr="00D7080B">
        <w:tc>
          <w:tcPr>
            <w:tcW w:w="1330" w:type="pct"/>
          </w:tcPr>
          <w:p w14:paraId="4B585286" w14:textId="77777777" w:rsidR="004B36F8" w:rsidRPr="00CE491A" w:rsidRDefault="004B36F8" w:rsidP="00D7080B">
            <w:pPr>
              <w:keepNext/>
              <w:keepLines/>
              <w:rPr>
                <w:rFonts w:ascii="Arial Narrow" w:hAnsi="Arial Narrow"/>
                <w:sz w:val="20"/>
                <w:szCs w:val="20"/>
              </w:rPr>
            </w:pPr>
            <w:r w:rsidRPr="00CE491A">
              <w:rPr>
                <w:rFonts w:ascii="Arial Narrow" w:hAnsi="Arial Narrow"/>
                <w:sz w:val="20"/>
                <w:szCs w:val="20"/>
              </w:rPr>
              <w:t>fruquintinib 5 mg capsule, 21</w:t>
            </w:r>
          </w:p>
        </w:tc>
        <w:tc>
          <w:tcPr>
            <w:tcW w:w="722" w:type="pct"/>
            <w:shd w:val="clear" w:color="auto" w:fill="auto"/>
          </w:tcPr>
          <w:p w14:paraId="1662BB38"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NEW</w:t>
            </w:r>
          </w:p>
        </w:tc>
        <w:tc>
          <w:tcPr>
            <w:tcW w:w="722" w:type="pct"/>
            <w:shd w:val="clear" w:color="auto" w:fill="auto"/>
          </w:tcPr>
          <w:p w14:paraId="64B51355"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1</w:t>
            </w:r>
          </w:p>
        </w:tc>
        <w:tc>
          <w:tcPr>
            <w:tcW w:w="722" w:type="pct"/>
            <w:shd w:val="clear" w:color="auto" w:fill="auto"/>
          </w:tcPr>
          <w:p w14:paraId="11B3825E"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21</w:t>
            </w:r>
          </w:p>
        </w:tc>
        <w:tc>
          <w:tcPr>
            <w:tcW w:w="722" w:type="pct"/>
            <w:shd w:val="clear" w:color="auto" w:fill="auto"/>
          </w:tcPr>
          <w:p w14:paraId="2E9D0580"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5</w:t>
            </w:r>
          </w:p>
        </w:tc>
        <w:tc>
          <w:tcPr>
            <w:tcW w:w="782" w:type="pct"/>
            <w:shd w:val="clear" w:color="auto" w:fill="auto"/>
          </w:tcPr>
          <w:p w14:paraId="58E8BF90" w14:textId="77777777" w:rsidR="004B36F8" w:rsidRPr="00CE491A" w:rsidRDefault="004B36F8" w:rsidP="00D7080B">
            <w:pPr>
              <w:keepNext/>
              <w:keepLines/>
              <w:rPr>
                <w:rFonts w:ascii="Arial Narrow" w:hAnsi="Arial Narrow"/>
                <w:sz w:val="20"/>
                <w:szCs w:val="20"/>
              </w:rPr>
            </w:pPr>
            <w:r w:rsidRPr="00CE491A">
              <w:rPr>
                <w:rFonts w:ascii="Arial Narrow" w:hAnsi="Arial Narrow"/>
                <w:sz w:val="20"/>
                <w:szCs w:val="20"/>
              </w:rPr>
              <w:t>Fruzaqla</w:t>
            </w:r>
            <w:r w:rsidRPr="00CE491A">
              <w:rPr>
                <w:rFonts w:cs="Calibri"/>
                <w:sz w:val="20"/>
                <w:szCs w:val="20"/>
              </w:rPr>
              <w:t>®</w:t>
            </w:r>
          </w:p>
        </w:tc>
      </w:tr>
      <w:tr w:rsidR="004B36F8" w:rsidRPr="008D1910" w14:paraId="61F3BE7B" w14:textId="77777777" w:rsidTr="00D7080B">
        <w:tc>
          <w:tcPr>
            <w:tcW w:w="1330" w:type="pct"/>
          </w:tcPr>
          <w:p w14:paraId="396722CC" w14:textId="77777777" w:rsidR="004B36F8" w:rsidRPr="00CE491A" w:rsidRDefault="004B36F8" w:rsidP="00D7080B">
            <w:pPr>
              <w:keepNext/>
              <w:keepLines/>
              <w:rPr>
                <w:rFonts w:ascii="Arial Narrow" w:hAnsi="Arial Narrow"/>
                <w:sz w:val="20"/>
                <w:szCs w:val="20"/>
              </w:rPr>
            </w:pPr>
            <w:r w:rsidRPr="00CE491A">
              <w:rPr>
                <w:rFonts w:ascii="Arial Narrow" w:hAnsi="Arial Narrow"/>
                <w:sz w:val="20"/>
                <w:szCs w:val="20"/>
              </w:rPr>
              <w:t>fruquintinib 1 mg capsule, 21</w:t>
            </w:r>
          </w:p>
        </w:tc>
        <w:tc>
          <w:tcPr>
            <w:tcW w:w="722" w:type="pct"/>
            <w:shd w:val="clear" w:color="auto" w:fill="auto"/>
          </w:tcPr>
          <w:p w14:paraId="44AEAC9F"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NEW</w:t>
            </w:r>
          </w:p>
        </w:tc>
        <w:tc>
          <w:tcPr>
            <w:tcW w:w="722" w:type="pct"/>
            <w:shd w:val="clear" w:color="auto" w:fill="auto"/>
          </w:tcPr>
          <w:p w14:paraId="7C2138A8"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4</w:t>
            </w:r>
          </w:p>
        </w:tc>
        <w:tc>
          <w:tcPr>
            <w:tcW w:w="722" w:type="pct"/>
            <w:shd w:val="clear" w:color="auto" w:fill="auto"/>
          </w:tcPr>
          <w:p w14:paraId="218790A0"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84</w:t>
            </w:r>
          </w:p>
        </w:tc>
        <w:tc>
          <w:tcPr>
            <w:tcW w:w="722" w:type="pct"/>
            <w:shd w:val="clear" w:color="auto" w:fill="auto"/>
          </w:tcPr>
          <w:p w14:paraId="68C40CE2" w14:textId="77777777" w:rsidR="004B36F8" w:rsidRPr="00CE491A" w:rsidRDefault="004B36F8" w:rsidP="00D7080B">
            <w:pPr>
              <w:keepNext/>
              <w:keepLines/>
              <w:jc w:val="center"/>
              <w:rPr>
                <w:rFonts w:ascii="Arial Narrow" w:hAnsi="Arial Narrow"/>
                <w:sz w:val="20"/>
                <w:szCs w:val="20"/>
              </w:rPr>
            </w:pPr>
            <w:r w:rsidRPr="00CE491A">
              <w:rPr>
                <w:rFonts w:ascii="Arial Narrow" w:hAnsi="Arial Narrow"/>
                <w:sz w:val="20"/>
                <w:szCs w:val="20"/>
              </w:rPr>
              <w:t>5</w:t>
            </w:r>
          </w:p>
        </w:tc>
        <w:tc>
          <w:tcPr>
            <w:tcW w:w="782" w:type="pct"/>
            <w:shd w:val="clear" w:color="auto" w:fill="auto"/>
          </w:tcPr>
          <w:p w14:paraId="442F343C" w14:textId="77777777" w:rsidR="004B36F8" w:rsidRPr="00CE491A" w:rsidRDefault="004B36F8" w:rsidP="00D7080B">
            <w:pPr>
              <w:keepNext/>
              <w:keepLines/>
              <w:rPr>
                <w:rFonts w:ascii="Arial Narrow" w:hAnsi="Arial Narrow"/>
                <w:sz w:val="20"/>
                <w:szCs w:val="20"/>
              </w:rPr>
            </w:pPr>
            <w:r w:rsidRPr="00CE491A">
              <w:rPr>
                <w:rFonts w:ascii="Arial Narrow" w:hAnsi="Arial Narrow"/>
                <w:sz w:val="20"/>
                <w:szCs w:val="20"/>
              </w:rPr>
              <w:t>Fruzaqla</w:t>
            </w:r>
            <w:r w:rsidRPr="00CE491A">
              <w:rPr>
                <w:rFonts w:cs="Calibri"/>
                <w:sz w:val="20"/>
                <w:szCs w:val="20"/>
              </w:rPr>
              <w:t>®</w:t>
            </w:r>
          </w:p>
        </w:tc>
      </w:tr>
      <w:tr w:rsidR="004B36F8" w:rsidRPr="008D1910" w14:paraId="3BCAEEB3" w14:textId="77777777" w:rsidTr="00D7080B">
        <w:tc>
          <w:tcPr>
            <w:tcW w:w="5000" w:type="pct"/>
            <w:gridSpan w:val="6"/>
          </w:tcPr>
          <w:p w14:paraId="5EDF68F9" w14:textId="77777777" w:rsidR="004B36F8" w:rsidRPr="00CE491A" w:rsidRDefault="004B36F8" w:rsidP="00D7080B">
            <w:pPr>
              <w:keepNext/>
              <w:keepLines/>
              <w:rPr>
                <w:rFonts w:ascii="Arial Narrow" w:hAnsi="Arial Narrow"/>
                <w:sz w:val="20"/>
                <w:szCs w:val="20"/>
              </w:rPr>
            </w:pPr>
          </w:p>
        </w:tc>
      </w:tr>
      <w:tr w:rsidR="004B36F8" w:rsidRPr="008D1910" w14:paraId="328F0BCC" w14:textId="77777777" w:rsidTr="00D7080B">
        <w:tc>
          <w:tcPr>
            <w:tcW w:w="5000" w:type="pct"/>
            <w:gridSpan w:val="6"/>
          </w:tcPr>
          <w:p w14:paraId="7334257C" w14:textId="77777777" w:rsidR="004B36F8" w:rsidRPr="00CE491A" w:rsidRDefault="004B36F8" w:rsidP="00D7080B">
            <w:pPr>
              <w:keepNext/>
              <w:keepLines/>
              <w:rPr>
                <w:rFonts w:ascii="Arial Narrow" w:hAnsi="Arial Narrow"/>
                <w:b/>
                <w:sz w:val="20"/>
                <w:szCs w:val="20"/>
                <w:lang w:val="en-GB"/>
              </w:rPr>
            </w:pPr>
            <w:r w:rsidRPr="00CE491A">
              <w:rPr>
                <w:rFonts w:ascii="Arial Narrow" w:hAnsi="Arial Narrow"/>
                <w:b/>
                <w:sz w:val="20"/>
                <w:szCs w:val="20"/>
                <w:lang w:val="en-GB"/>
              </w:rPr>
              <w:t>Restriction Summary [new] / Treatment of Concept: [new]</w:t>
            </w:r>
          </w:p>
        </w:tc>
      </w:tr>
      <w:tr w:rsidR="004B36F8" w:rsidRPr="008D1910" w14:paraId="69DB30E7"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4C44D6D" w14:textId="77777777" w:rsidR="004B36F8" w:rsidRPr="00CE491A" w:rsidRDefault="004B36F8" w:rsidP="00D7080B">
            <w:pPr>
              <w:rPr>
                <w:rFonts w:ascii="Arial Narrow" w:hAnsi="Arial Narrow"/>
                <w:sz w:val="20"/>
                <w:szCs w:val="20"/>
              </w:rPr>
            </w:pPr>
            <w:r w:rsidRPr="00CE491A">
              <w:rPr>
                <w:rFonts w:ascii="Arial Narrow" w:hAnsi="Arial Narrow"/>
                <w:b/>
                <w:sz w:val="20"/>
                <w:szCs w:val="20"/>
              </w:rPr>
              <w:t xml:space="preserve">Category / Program:  </w:t>
            </w:r>
            <w:r w:rsidRPr="00CE491A">
              <w:rPr>
                <w:rFonts w:ascii="Arial Narrow" w:hAnsi="Arial Narrow"/>
                <w:sz w:val="20"/>
                <w:szCs w:val="20"/>
              </w:rPr>
              <w:t xml:space="preserve">GENERAL – General Schedule (Code GE) </w:t>
            </w:r>
          </w:p>
        </w:tc>
      </w:tr>
      <w:tr w:rsidR="004B36F8" w:rsidRPr="008D1910" w14:paraId="4866BA75"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18EFF3C0" w14:textId="77777777" w:rsidR="004B36F8" w:rsidRPr="00CE491A" w:rsidRDefault="004B36F8" w:rsidP="00D7080B">
            <w:pPr>
              <w:rPr>
                <w:rFonts w:ascii="Arial Narrow" w:hAnsi="Arial Narrow"/>
                <w:b/>
                <w:sz w:val="20"/>
                <w:szCs w:val="20"/>
              </w:rPr>
            </w:pPr>
            <w:r w:rsidRPr="00CE491A">
              <w:rPr>
                <w:rFonts w:ascii="Arial Narrow" w:hAnsi="Arial Narrow"/>
                <w:b/>
                <w:sz w:val="20"/>
                <w:szCs w:val="20"/>
              </w:rPr>
              <w:t xml:space="preserve">Prescriber type:   </w:t>
            </w:r>
            <w:r w:rsidRPr="00CE491A">
              <w:rPr>
                <w:rFonts w:ascii="Arial Narrow" w:hAnsi="Arial Narrow"/>
                <w:sz w:val="20"/>
                <w:szCs w:val="20"/>
              </w:rPr>
              <w:fldChar w:fldCharType="begin">
                <w:ffData>
                  <w:name w:val=""/>
                  <w:enabled/>
                  <w:calcOnExit w:val="0"/>
                  <w:checkBox>
                    <w:sizeAuto/>
                    <w:default w:val="1"/>
                  </w:checkBox>
                </w:ffData>
              </w:fldChar>
            </w:r>
            <w:r w:rsidRPr="00CE491A">
              <w:rPr>
                <w:rFonts w:ascii="Arial Narrow" w:hAnsi="Arial Narrow"/>
                <w:sz w:val="20"/>
                <w:szCs w:val="20"/>
              </w:rPr>
              <w:instrText xml:space="preserve"> FORMCHECKBOX </w:instrText>
            </w:r>
            <w:r w:rsidRPr="00CE491A">
              <w:rPr>
                <w:rFonts w:ascii="Arial Narrow" w:hAnsi="Arial Narrow"/>
                <w:sz w:val="20"/>
                <w:szCs w:val="20"/>
              </w:rPr>
            </w:r>
            <w:r w:rsidRPr="00CE491A">
              <w:rPr>
                <w:rFonts w:ascii="Arial Narrow" w:hAnsi="Arial Narrow"/>
                <w:sz w:val="20"/>
                <w:szCs w:val="20"/>
              </w:rPr>
              <w:fldChar w:fldCharType="separate"/>
            </w:r>
            <w:r w:rsidRPr="00CE491A">
              <w:rPr>
                <w:rFonts w:ascii="Arial Narrow" w:hAnsi="Arial Narrow"/>
                <w:sz w:val="20"/>
                <w:szCs w:val="20"/>
              </w:rPr>
              <w:fldChar w:fldCharType="end"/>
            </w:r>
            <w:r w:rsidRPr="00CE491A">
              <w:rPr>
                <w:rFonts w:ascii="Arial Narrow" w:hAnsi="Arial Narrow"/>
                <w:sz w:val="20"/>
                <w:szCs w:val="20"/>
              </w:rPr>
              <w:t xml:space="preserve">Medical Practitioners    </w:t>
            </w:r>
          </w:p>
        </w:tc>
      </w:tr>
      <w:tr w:rsidR="004B36F8" w:rsidRPr="008D1910" w14:paraId="30362D1F"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C8472D4" w14:textId="74AFE0C4" w:rsidR="004B36F8" w:rsidRPr="00CE491A" w:rsidRDefault="004B36F8" w:rsidP="00D7080B">
            <w:pPr>
              <w:rPr>
                <w:rFonts w:ascii="Arial Narrow" w:eastAsia="Calibri" w:hAnsi="Arial Narrow"/>
                <w:sz w:val="20"/>
                <w:szCs w:val="20"/>
              </w:rPr>
            </w:pPr>
            <w:r w:rsidRPr="00CE491A">
              <w:rPr>
                <w:rFonts w:ascii="Arial Narrow" w:hAnsi="Arial Narrow"/>
                <w:b/>
                <w:sz w:val="20"/>
                <w:szCs w:val="20"/>
              </w:rPr>
              <w:t xml:space="preserve">Restriction Type: </w:t>
            </w:r>
            <w:r w:rsidRPr="00CE491A">
              <w:rPr>
                <w:rFonts w:ascii="Arial Narrow" w:eastAsia="Calibri" w:hAnsi="Arial Narrow"/>
                <w:sz w:val="20"/>
                <w:szCs w:val="20"/>
              </w:rPr>
              <w:fldChar w:fldCharType="begin">
                <w:ffData>
                  <w:name w:val=""/>
                  <w:enabled/>
                  <w:calcOnExit w:val="0"/>
                  <w:checkBox>
                    <w:sizeAuto/>
                    <w:default w:val="1"/>
                  </w:checkBox>
                </w:ffData>
              </w:fldChar>
            </w:r>
            <w:r w:rsidRPr="00CE491A">
              <w:rPr>
                <w:rFonts w:ascii="Arial Narrow" w:eastAsia="Calibri" w:hAnsi="Arial Narrow"/>
                <w:sz w:val="20"/>
                <w:szCs w:val="20"/>
              </w:rPr>
              <w:instrText xml:space="preserve"> FORMCHECKBOX </w:instrText>
            </w:r>
            <w:r w:rsidRPr="00CE491A">
              <w:rPr>
                <w:rFonts w:ascii="Arial Narrow" w:eastAsia="Calibri" w:hAnsi="Arial Narrow"/>
                <w:sz w:val="20"/>
                <w:szCs w:val="20"/>
              </w:rPr>
            </w:r>
            <w:r w:rsidRPr="00CE491A">
              <w:rPr>
                <w:rFonts w:ascii="Arial Narrow" w:eastAsia="Calibri" w:hAnsi="Arial Narrow"/>
                <w:sz w:val="20"/>
                <w:szCs w:val="20"/>
              </w:rPr>
              <w:fldChar w:fldCharType="separate"/>
            </w:r>
            <w:r w:rsidRPr="00CE491A">
              <w:rPr>
                <w:rFonts w:ascii="Arial Narrow" w:eastAsia="Calibri" w:hAnsi="Arial Narrow"/>
                <w:sz w:val="20"/>
                <w:szCs w:val="20"/>
              </w:rPr>
              <w:fldChar w:fldCharType="end"/>
            </w:r>
            <w:r w:rsidRPr="00CE491A">
              <w:rPr>
                <w:rFonts w:ascii="Arial Narrow" w:eastAsia="Calibri" w:hAnsi="Arial Narrow"/>
                <w:sz w:val="20"/>
                <w:szCs w:val="20"/>
              </w:rPr>
              <w:t>Authority Required – Streamlined</w:t>
            </w:r>
          </w:p>
        </w:tc>
      </w:tr>
      <w:tr w:rsidR="004B36F8" w:rsidRPr="008D1910" w14:paraId="39358BE8"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45342C6" w14:textId="1A4EBFDC"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Administrative Advice:</w:t>
            </w:r>
            <w:r w:rsidR="00860647">
              <w:rPr>
                <w:rFonts w:ascii="Arial Narrow" w:hAnsi="Arial Narrow"/>
                <w:color w:val="333333"/>
                <w:sz w:val="20"/>
                <w:szCs w:val="20"/>
              </w:rPr>
              <w:t xml:space="preserve"> </w:t>
            </w:r>
            <w:r w:rsidRPr="00CE491A">
              <w:rPr>
                <w:rFonts w:ascii="Arial Narrow" w:hAnsi="Arial Narrow"/>
                <w:color w:val="333333"/>
                <w:sz w:val="20"/>
                <w:szCs w:val="20"/>
              </w:rPr>
              <w:t>No increase in the maximum quantity or number of units may be authorised.</w:t>
            </w:r>
          </w:p>
        </w:tc>
      </w:tr>
      <w:tr w:rsidR="004B36F8" w:rsidRPr="008D1910" w14:paraId="4FFACD30"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5B731B5" w14:textId="5A2309C0" w:rsidR="004B36F8" w:rsidRPr="00CE491A" w:rsidRDefault="004B36F8" w:rsidP="00D7080B">
            <w:pPr>
              <w:rPr>
                <w:rFonts w:ascii="Arial Narrow" w:hAnsi="Arial Narrow"/>
                <w:b/>
                <w:bCs/>
                <w:color w:val="333333"/>
                <w:sz w:val="20"/>
                <w:szCs w:val="20"/>
              </w:rPr>
            </w:pPr>
            <w:r w:rsidRPr="00CE491A">
              <w:rPr>
                <w:rFonts w:ascii="Arial Narrow" w:hAnsi="Arial Narrow"/>
                <w:b/>
                <w:bCs/>
                <w:color w:val="333333"/>
                <w:sz w:val="20"/>
                <w:szCs w:val="20"/>
              </w:rPr>
              <w:t>Administrative Advice:</w:t>
            </w:r>
            <w:r w:rsidR="00860647">
              <w:rPr>
                <w:rFonts w:ascii="Arial Narrow" w:hAnsi="Arial Narrow"/>
                <w:color w:val="333333"/>
                <w:sz w:val="20"/>
                <w:szCs w:val="20"/>
              </w:rPr>
              <w:t xml:space="preserve"> </w:t>
            </w:r>
            <w:r w:rsidRPr="00CE491A">
              <w:rPr>
                <w:rFonts w:ascii="Arial Narrow" w:hAnsi="Arial Narrow"/>
                <w:color w:val="333333"/>
                <w:sz w:val="20"/>
                <w:szCs w:val="20"/>
              </w:rPr>
              <w:t>No increase in the maximum number of repeats may be authorised.</w:t>
            </w:r>
          </w:p>
        </w:tc>
      </w:tr>
      <w:tr w:rsidR="004B36F8" w:rsidRPr="008D1910" w14:paraId="42BD6E6A"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1F51898" w14:textId="0D39F8C0" w:rsidR="004B36F8" w:rsidRPr="00CE491A" w:rsidRDefault="004B36F8" w:rsidP="00D7080B">
            <w:pPr>
              <w:rPr>
                <w:rFonts w:ascii="Arial Narrow" w:hAnsi="Arial Narrow"/>
                <w:b/>
                <w:bCs/>
                <w:color w:val="333333"/>
                <w:sz w:val="20"/>
                <w:szCs w:val="20"/>
              </w:rPr>
            </w:pPr>
            <w:r w:rsidRPr="00CE491A">
              <w:rPr>
                <w:rFonts w:ascii="Arial Narrow" w:hAnsi="Arial Narrow"/>
                <w:b/>
                <w:bCs/>
                <w:color w:val="333333"/>
                <w:sz w:val="20"/>
                <w:szCs w:val="20"/>
              </w:rPr>
              <w:t>Administrative Advice:</w:t>
            </w:r>
            <w:r w:rsidR="00860647">
              <w:rPr>
                <w:rFonts w:ascii="Arial Narrow" w:hAnsi="Arial Narrow"/>
                <w:color w:val="333333"/>
                <w:sz w:val="20"/>
                <w:szCs w:val="20"/>
              </w:rPr>
              <w:t xml:space="preserve"> </w:t>
            </w:r>
            <w:r w:rsidRPr="00CE491A">
              <w:rPr>
                <w:rFonts w:ascii="Arial Narrow" w:hAnsi="Arial Narrow"/>
                <w:color w:val="333333"/>
                <w:sz w:val="20"/>
                <w:szCs w:val="20"/>
              </w:rPr>
              <w:t>Special Pricing Arrangements apply.</w:t>
            </w:r>
          </w:p>
        </w:tc>
      </w:tr>
      <w:tr w:rsidR="004B36F8" w:rsidRPr="008D1910" w14:paraId="3E3490D9"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8D46F7E" w14:textId="040883BE" w:rsidR="004B36F8" w:rsidRPr="00CE491A" w:rsidRDefault="004B36F8" w:rsidP="00D7080B">
            <w:pPr>
              <w:rPr>
                <w:rFonts w:ascii="Arial Narrow" w:hAnsi="Arial Narrow"/>
                <w:sz w:val="20"/>
                <w:szCs w:val="20"/>
              </w:rPr>
            </w:pPr>
            <w:r w:rsidRPr="00CE491A">
              <w:rPr>
                <w:rFonts w:ascii="Arial Narrow" w:hAnsi="Arial Narrow"/>
                <w:b/>
                <w:bCs/>
                <w:sz w:val="20"/>
                <w:szCs w:val="20"/>
              </w:rPr>
              <w:t>Administrative advice:</w:t>
            </w:r>
            <w:r w:rsidR="00860647">
              <w:rPr>
                <w:rFonts w:ascii="Arial Narrow" w:hAnsi="Arial Narrow"/>
                <w:sz w:val="20"/>
                <w:szCs w:val="20"/>
              </w:rPr>
              <w:t xml:space="preserve"> </w:t>
            </w:r>
            <w:r w:rsidRPr="00CE491A">
              <w:rPr>
                <w:rFonts w:ascii="Arial Narrow" w:hAnsi="Arial Narrow"/>
                <w:sz w:val="20"/>
                <w:szCs w:val="20"/>
              </w:rPr>
              <w:t>A patient may only qualify for PBS-subsidised treatment under this restriction once.</w:t>
            </w:r>
          </w:p>
          <w:p w14:paraId="58C5FAD5" w14:textId="77777777" w:rsidR="004B36F8" w:rsidRPr="00CE491A" w:rsidRDefault="004B36F8" w:rsidP="00D7080B">
            <w:pPr>
              <w:rPr>
                <w:rFonts w:ascii="Arial Narrow" w:hAnsi="Arial Narrow"/>
                <w:sz w:val="20"/>
                <w:szCs w:val="20"/>
              </w:rPr>
            </w:pPr>
            <w:r w:rsidRPr="00CE491A">
              <w:rPr>
                <w:rFonts w:ascii="Arial Narrow" w:hAnsi="Arial Narrow"/>
                <w:sz w:val="20"/>
                <w:szCs w:val="20"/>
              </w:rPr>
              <w:t>Following completion of the initial PBS-subsidised course, further applications for treatment will be assessed under the continuing treatment restriction.</w:t>
            </w:r>
          </w:p>
        </w:tc>
      </w:tr>
      <w:tr w:rsidR="004B36F8" w:rsidRPr="008D1910" w14:paraId="4E2A7723"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1A5BC03" w14:textId="77777777"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Indication:</w:t>
            </w:r>
            <w:r w:rsidRPr="00CE491A">
              <w:rPr>
                <w:rFonts w:ascii="Arial Narrow" w:hAnsi="Arial Narrow"/>
                <w:color w:val="333333"/>
                <w:sz w:val="20"/>
                <w:szCs w:val="20"/>
              </w:rPr>
              <w:t xml:space="preserve"> Metastatic colorectal cancer</w:t>
            </w:r>
          </w:p>
        </w:tc>
      </w:tr>
      <w:tr w:rsidR="004B36F8" w:rsidRPr="008D1910" w14:paraId="21B3D485"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E294E76" w14:textId="77777777"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Treatment Phase:</w:t>
            </w:r>
            <w:r w:rsidRPr="00CE491A">
              <w:rPr>
                <w:rFonts w:ascii="Arial Narrow" w:hAnsi="Arial Narrow"/>
                <w:color w:val="333333"/>
                <w:sz w:val="20"/>
                <w:szCs w:val="20"/>
              </w:rPr>
              <w:t xml:space="preserve"> Initial PBS-subsidised treatment</w:t>
            </w:r>
          </w:p>
        </w:tc>
      </w:tr>
      <w:tr w:rsidR="004B36F8" w:rsidRPr="008D1910" w14:paraId="341CC8DC"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AECA905" w14:textId="77777777"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Clinical criteria:</w:t>
            </w:r>
          </w:p>
        </w:tc>
      </w:tr>
      <w:tr w:rsidR="004B36F8" w:rsidRPr="008D1910" w14:paraId="26758949"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F52618F" w14:textId="77777777" w:rsidR="004B36F8" w:rsidRPr="00CE491A" w:rsidRDefault="004B36F8" w:rsidP="00D7080B">
            <w:pPr>
              <w:rPr>
                <w:rFonts w:ascii="Arial Narrow" w:hAnsi="Arial Narrow"/>
                <w:color w:val="333333"/>
                <w:sz w:val="20"/>
                <w:szCs w:val="20"/>
              </w:rPr>
            </w:pPr>
            <w:r w:rsidRPr="00CE491A">
              <w:rPr>
                <w:rFonts w:ascii="Arial Narrow" w:hAnsi="Arial Narrow"/>
                <w:color w:val="333333"/>
                <w:sz w:val="20"/>
                <w:szCs w:val="20"/>
              </w:rPr>
              <w:t>Patient must have/had a WHO performance status of 1 or less, prior to initiation of treatment with this drug for this condition.</w:t>
            </w:r>
          </w:p>
        </w:tc>
      </w:tr>
      <w:tr w:rsidR="004B36F8" w:rsidRPr="008D1910" w14:paraId="2859C2EB"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620834D" w14:textId="77777777"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AND</w:t>
            </w:r>
          </w:p>
        </w:tc>
      </w:tr>
      <w:tr w:rsidR="004B36F8" w:rsidRPr="008D1910" w14:paraId="4AA577C0"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6976FB7" w14:textId="77777777" w:rsidR="004B36F8" w:rsidRPr="004B36F8" w:rsidRDefault="004B36F8" w:rsidP="00D7080B">
            <w:pPr>
              <w:rPr>
                <w:rFonts w:ascii="Arial Narrow" w:hAnsi="Arial Narrow"/>
                <w:sz w:val="20"/>
                <w:szCs w:val="20"/>
              </w:rPr>
            </w:pPr>
            <w:r w:rsidRPr="004B36F8">
              <w:rPr>
                <w:rFonts w:ascii="Arial Narrow" w:hAnsi="Arial Narrow"/>
                <w:b/>
                <w:bCs/>
                <w:sz w:val="20"/>
                <w:szCs w:val="20"/>
              </w:rPr>
              <w:t>Clinical criteria</w:t>
            </w:r>
          </w:p>
        </w:tc>
      </w:tr>
      <w:tr w:rsidR="004B36F8" w:rsidRPr="008D1910" w14:paraId="3700293E"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8EFEA66" w14:textId="77777777" w:rsidR="004B36F8" w:rsidRPr="00CE491A" w:rsidRDefault="004B36F8" w:rsidP="00D7080B">
            <w:pPr>
              <w:rPr>
                <w:rFonts w:ascii="Arial Narrow" w:hAnsi="Arial Narrow"/>
                <w:sz w:val="20"/>
                <w:szCs w:val="20"/>
              </w:rPr>
            </w:pPr>
            <w:r w:rsidRPr="00CE491A">
              <w:rPr>
                <w:rFonts w:ascii="Arial Narrow" w:hAnsi="Arial Narrow"/>
                <w:sz w:val="20"/>
                <w:szCs w:val="20"/>
              </w:rPr>
              <w:t xml:space="preserve">Patient must not have previously received </w:t>
            </w:r>
            <w:r w:rsidRPr="004B36F8">
              <w:rPr>
                <w:rFonts w:ascii="Arial Narrow" w:hAnsi="Arial Narrow"/>
                <w:sz w:val="20"/>
                <w:szCs w:val="20"/>
              </w:rPr>
              <w:t>PBS-subsidised treatment with</w:t>
            </w:r>
            <w:r w:rsidRPr="00CE491A">
              <w:rPr>
                <w:rFonts w:ascii="Arial Narrow" w:hAnsi="Arial Narrow"/>
                <w:sz w:val="20"/>
                <w:szCs w:val="20"/>
              </w:rPr>
              <w:t xml:space="preserve"> this drug for this condition; OR</w:t>
            </w:r>
          </w:p>
        </w:tc>
      </w:tr>
      <w:tr w:rsidR="004B36F8" w:rsidRPr="008D1910" w14:paraId="1BFD9356"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C3AEF5D" w14:textId="77777777" w:rsidR="004B36F8" w:rsidRPr="00CE491A" w:rsidRDefault="004B36F8" w:rsidP="00D7080B">
            <w:pPr>
              <w:rPr>
                <w:rFonts w:ascii="Arial Narrow" w:hAnsi="Arial Narrow"/>
                <w:sz w:val="20"/>
                <w:szCs w:val="20"/>
              </w:rPr>
            </w:pPr>
            <w:r w:rsidRPr="00CE491A">
              <w:rPr>
                <w:rFonts w:ascii="Arial Narrow" w:hAnsi="Arial Narrow"/>
                <w:sz w:val="20"/>
                <w:szCs w:val="20"/>
              </w:rPr>
              <w:t xml:space="preserve">Patient must be each of: (i) currently receiving non-PBS subsidised supply for this drug for this PBS indication, (ii) untreated with this drug at the time that non-PBS subsidised supply was commenced, (iii) free of disease progression since commencing non-PBS subsidised supply </w:t>
            </w:r>
          </w:p>
        </w:tc>
      </w:tr>
      <w:tr w:rsidR="004B36F8" w:rsidRPr="008D1910" w14:paraId="1DDB5C0F"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6A0A07D5" w14:textId="77777777"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AND</w:t>
            </w:r>
          </w:p>
        </w:tc>
      </w:tr>
      <w:tr w:rsidR="004B36F8" w:rsidRPr="008D1910" w14:paraId="327D3B92"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3677196" w14:textId="77777777" w:rsidR="004B36F8" w:rsidRPr="00CE491A" w:rsidRDefault="004B36F8" w:rsidP="00D7080B">
            <w:pPr>
              <w:rPr>
                <w:rFonts w:ascii="Arial Narrow" w:hAnsi="Arial Narrow"/>
                <w:sz w:val="20"/>
                <w:szCs w:val="20"/>
              </w:rPr>
            </w:pPr>
            <w:r w:rsidRPr="00CE491A">
              <w:rPr>
                <w:rFonts w:ascii="Arial Narrow" w:hAnsi="Arial Narrow"/>
                <w:b/>
                <w:bCs/>
                <w:sz w:val="20"/>
                <w:szCs w:val="20"/>
              </w:rPr>
              <w:t>Clinical criteria:</w:t>
            </w:r>
          </w:p>
        </w:tc>
      </w:tr>
      <w:tr w:rsidR="004B36F8" w:rsidRPr="008D1910" w14:paraId="37EC40B8"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9630CBC" w14:textId="6F92A276" w:rsidR="004B36F8" w:rsidRPr="00CE491A" w:rsidRDefault="002A5D1E" w:rsidP="00D7080B">
            <w:pPr>
              <w:rPr>
                <w:rFonts w:ascii="Arial Narrow" w:hAnsi="Arial Narrow"/>
                <w:sz w:val="20"/>
                <w:szCs w:val="20"/>
              </w:rPr>
            </w:pPr>
            <w:r>
              <w:rPr>
                <w:rFonts w:ascii="Arial Narrow" w:hAnsi="Arial Narrow"/>
                <w:sz w:val="20"/>
                <w:szCs w:val="20"/>
              </w:rPr>
              <w:t xml:space="preserve">Patient must have </w:t>
            </w:r>
            <w:bookmarkStart w:id="109" w:name="_Hlk178333674"/>
            <w:r>
              <w:rPr>
                <w:rFonts w:ascii="Arial Narrow" w:hAnsi="Arial Narrow"/>
                <w:sz w:val="20"/>
                <w:szCs w:val="20"/>
              </w:rPr>
              <w:t xml:space="preserve">been previously treated with or not considered a candidate </w:t>
            </w:r>
            <w:bookmarkEnd w:id="109"/>
            <w:r>
              <w:rPr>
                <w:rFonts w:ascii="Arial Narrow" w:hAnsi="Arial Narrow"/>
                <w:sz w:val="20"/>
                <w:szCs w:val="20"/>
              </w:rPr>
              <w:t>for treatment with fluoropyrimidine, oxaliplatin, irinotecan-based chemotherapies, an anti-vascular endothelial growth factor (anti-VEGF) agent and an anti-epidermal growth factor receptor (anti-EGFR) agent for this condition</w:t>
            </w:r>
          </w:p>
        </w:tc>
      </w:tr>
      <w:tr w:rsidR="004B36F8" w:rsidRPr="008D1910" w14:paraId="75782B91"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25BC3EC" w14:textId="77777777" w:rsidR="004B36F8" w:rsidRPr="00CE491A" w:rsidRDefault="004B36F8" w:rsidP="00D7080B">
            <w:pPr>
              <w:rPr>
                <w:rFonts w:ascii="Arial Narrow" w:hAnsi="Arial Narrow"/>
                <w:b/>
                <w:bCs/>
                <w:sz w:val="20"/>
                <w:szCs w:val="20"/>
              </w:rPr>
            </w:pPr>
            <w:r w:rsidRPr="00CE491A">
              <w:rPr>
                <w:rFonts w:ascii="Arial Narrow" w:hAnsi="Arial Narrow"/>
                <w:b/>
                <w:bCs/>
                <w:sz w:val="20"/>
                <w:szCs w:val="20"/>
              </w:rPr>
              <w:t xml:space="preserve">AND </w:t>
            </w:r>
          </w:p>
        </w:tc>
      </w:tr>
      <w:tr w:rsidR="004B36F8" w:rsidRPr="008D1910" w14:paraId="26F9990E"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E2C5D07" w14:textId="77777777" w:rsidR="004B36F8" w:rsidRPr="00CE491A" w:rsidRDefault="004B36F8" w:rsidP="00D7080B">
            <w:pPr>
              <w:rPr>
                <w:rStyle w:val="CommentReference"/>
                <w:szCs w:val="20"/>
              </w:rPr>
            </w:pPr>
            <w:r w:rsidRPr="00CE491A">
              <w:rPr>
                <w:rFonts w:ascii="Arial Narrow" w:hAnsi="Arial Narrow"/>
                <w:b/>
                <w:bCs/>
                <w:sz w:val="20"/>
                <w:szCs w:val="20"/>
              </w:rPr>
              <w:t>Clinical criteria:</w:t>
            </w:r>
          </w:p>
        </w:tc>
      </w:tr>
      <w:tr w:rsidR="004B36F8" w:rsidRPr="008D1910" w14:paraId="2C815767"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0717AD0" w14:textId="77777777" w:rsidR="004B36F8" w:rsidRPr="00CE491A" w:rsidRDefault="004B36F8" w:rsidP="00D7080B">
            <w:pPr>
              <w:rPr>
                <w:rStyle w:val="CommentReference"/>
                <w:szCs w:val="20"/>
              </w:rPr>
            </w:pPr>
            <w:r w:rsidRPr="00CE491A">
              <w:rPr>
                <w:rFonts w:ascii="Arial Narrow" w:hAnsi="Arial Narrow"/>
                <w:sz w:val="20"/>
                <w:szCs w:val="20"/>
              </w:rPr>
              <w:t>The treatment must be the sole PBS-subsidised therapy for this condition.</w:t>
            </w:r>
          </w:p>
        </w:tc>
      </w:tr>
      <w:tr w:rsidR="004B36F8" w:rsidRPr="008D1910" w14:paraId="0A94CD20"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879FABC" w14:textId="37AF69B1" w:rsidR="004B36F8" w:rsidRPr="00CE491A" w:rsidRDefault="00BB14F7" w:rsidP="00D7080B">
            <w:pPr>
              <w:rPr>
                <w:rFonts w:ascii="Arial Narrow" w:hAnsi="Arial Narrow"/>
                <w:b/>
                <w:bCs/>
                <w:color w:val="333333"/>
                <w:sz w:val="20"/>
                <w:szCs w:val="20"/>
              </w:rPr>
            </w:pPr>
            <w:r>
              <w:rPr>
                <w:rFonts w:ascii="Arial Narrow" w:hAnsi="Arial Narrow"/>
                <w:b/>
                <w:bCs/>
                <w:color w:val="333333"/>
                <w:sz w:val="20"/>
                <w:szCs w:val="20"/>
              </w:rPr>
              <w:t>Prescribing instruction:</w:t>
            </w:r>
          </w:p>
        </w:tc>
      </w:tr>
      <w:tr w:rsidR="00BB14F7" w:rsidRPr="008D1910" w14:paraId="13D2562A"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36F6714" w14:textId="1BD57758" w:rsidR="00BB14F7" w:rsidRPr="00BB14F7" w:rsidRDefault="00BB14F7" w:rsidP="00D7080B">
            <w:pPr>
              <w:rPr>
                <w:rFonts w:ascii="Arial Narrow" w:hAnsi="Arial Narrow"/>
                <w:color w:val="333333"/>
                <w:sz w:val="20"/>
                <w:szCs w:val="20"/>
              </w:rPr>
            </w:pPr>
            <w:r w:rsidRPr="00E901F1">
              <w:rPr>
                <w:rFonts w:ascii="Arial Narrow" w:hAnsi="Arial Narrow"/>
                <w:sz w:val="20"/>
                <w:szCs w:val="20"/>
              </w:rPr>
              <w:lastRenderedPageBreak/>
              <w:t>The patient's WHO performance status and body weight must be documented in the patient's medical records at the time the treatment is initiated.</w:t>
            </w:r>
          </w:p>
        </w:tc>
      </w:tr>
      <w:tr w:rsidR="00BB14F7" w:rsidRPr="008D1910" w14:paraId="7F9628FE"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9A2A4B9" w14:textId="77777777" w:rsidR="00BB14F7" w:rsidRPr="00CE491A" w:rsidRDefault="00BB14F7" w:rsidP="00D7080B">
            <w:pPr>
              <w:rPr>
                <w:rFonts w:ascii="Arial Narrow" w:hAnsi="Arial Narrow"/>
                <w:b/>
                <w:bCs/>
                <w:color w:val="333333"/>
                <w:sz w:val="20"/>
                <w:szCs w:val="20"/>
              </w:rPr>
            </w:pPr>
          </w:p>
        </w:tc>
      </w:tr>
      <w:tr w:rsidR="004B36F8" w:rsidRPr="008D1910" w14:paraId="26F2496E"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098DFB67" w14:textId="77777777" w:rsidR="004B36F8" w:rsidRPr="00CE491A" w:rsidRDefault="004B36F8" w:rsidP="00D7080B">
            <w:pPr>
              <w:rPr>
                <w:rFonts w:ascii="Arial Narrow" w:hAnsi="Arial Narrow"/>
                <w:sz w:val="20"/>
                <w:szCs w:val="20"/>
              </w:rPr>
            </w:pPr>
            <w:r w:rsidRPr="00CE491A">
              <w:rPr>
                <w:rFonts w:ascii="Arial Narrow" w:hAnsi="Arial Narrow"/>
                <w:b/>
                <w:sz w:val="20"/>
                <w:szCs w:val="20"/>
              </w:rPr>
              <w:t xml:space="preserve">Category / Program:  </w:t>
            </w:r>
            <w:r w:rsidRPr="00CE491A">
              <w:rPr>
                <w:rFonts w:ascii="Arial Narrow" w:hAnsi="Arial Narrow"/>
                <w:sz w:val="20"/>
                <w:szCs w:val="20"/>
              </w:rPr>
              <w:t xml:space="preserve">GENERAL – General Schedule (Code GE) </w:t>
            </w:r>
          </w:p>
        </w:tc>
      </w:tr>
      <w:tr w:rsidR="004B36F8" w:rsidRPr="008D1910" w14:paraId="36532D08"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7F7BE7A" w14:textId="77777777" w:rsidR="004B36F8" w:rsidRPr="00CE491A" w:rsidRDefault="004B36F8" w:rsidP="00D7080B">
            <w:pPr>
              <w:rPr>
                <w:rFonts w:ascii="Arial Narrow" w:hAnsi="Arial Narrow"/>
                <w:b/>
                <w:sz w:val="20"/>
                <w:szCs w:val="20"/>
              </w:rPr>
            </w:pPr>
            <w:r w:rsidRPr="00CE491A">
              <w:rPr>
                <w:rFonts w:ascii="Arial Narrow" w:hAnsi="Arial Narrow"/>
                <w:b/>
                <w:sz w:val="20"/>
                <w:szCs w:val="20"/>
              </w:rPr>
              <w:t xml:space="preserve">Prescriber type:   </w:t>
            </w:r>
            <w:r w:rsidRPr="00CE491A">
              <w:rPr>
                <w:rFonts w:ascii="Arial Narrow" w:hAnsi="Arial Narrow"/>
                <w:sz w:val="20"/>
                <w:szCs w:val="20"/>
              </w:rPr>
              <w:fldChar w:fldCharType="begin">
                <w:ffData>
                  <w:name w:val=""/>
                  <w:enabled/>
                  <w:calcOnExit w:val="0"/>
                  <w:checkBox>
                    <w:sizeAuto/>
                    <w:default w:val="1"/>
                  </w:checkBox>
                </w:ffData>
              </w:fldChar>
            </w:r>
            <w:r w:rsidRPr="00CE491A">
              <w:rPr>
                <w:rFonts w:ascii="Arial Narrow" w:hAnsi="Arial Narrow"/>
                <w:sz w:val="20"/>
                <w:szCs w:val="20"/>
              </w:rPr>
              <w:instrText xml:space="preserve"> FORMCHECKBOX </w:instrText>
            </w:r>
            <w:r w:rsidRPr="00CE491A">
              <w:rPr>
                <w:rFonts w:ascii="Arial Narrow" w:hAnsi="Arial Narrow"/>
                <w:sz w:val="20"/>
                <w:szCs w:val="20"/>
              </w:rPr>
            </w:r>
            <w:r w:rsidRPr="00CE491A">
              <w:rPr>
                <w:rFonts w:ascii="Arial Narrow" w:hAnsi="Arial Narrow"/>
                <w:sz w:val="20"/>
                <w:szCs w:val="20"/>
              </w:rPr>
              <w:fldChar w:fldCharType="separate"/>
            </w:r>
            <w:r w:rsidRPr="00CE491A">
              <w:rPr>
                <w:rFonts w:ascii="Arial Narrow" w:hAnsi="Arial Narrow"/>
                <w:sz w:val="20"/>
                <w:szCs w:val="20"/>
              </w:rPr>
              <w:fldChar w:fldCharType="end"/>
            </w:r>
            <w:r w:rsidRPr="00CE491A">
              <w:rPr>
                <w:rFonts w:ascii="Arial Narrow" w:hAnsi="Arial Narrow"/>
                <w:sz w:val="20"/>
                <w:szCs w:val="20"/>
              </w:rPr>
              <w:t xml:space="preserve">Medical Practitioners    </w:t>
            </w:r>
          </w:p>
        </w:tc>
      </w:tr>
      <w:tr w:rsidR="004B36F8" w:rsidRPr="008D1910" w14:paraId="39586995"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253D3CF6" w14:textId="4689F118" w:rsidR="004B36F8" w:rsidRPr="00CE491A" w:rsidRDefault="004B36F8" w:rsidP="00D7080B">
            <w:pPr>
              <w:rPr>
                <w:rFonts w:ascii="Arial Narrow" w:eastAsia="Calibri" w:hAnsi="Arial Narrow"/>
                <w:sz w:val="20"/>
                <w:szCs w:val="20"/>
              </w:rPr>
            </w:pPr>
            <w:r w:rsidRPr="00CE491A">
              <w:rPr>
                <w:rFonts w:ascii="Arial Narrow" w:hAnsi="Arial Narrow"/>
                <w:b/>
                <w:sz w:val="20"/>
                <w:szCs w:val="20"/>
              </w:rPr>
              <w:t xml:space="preserve">Restriction Type: </w:t>
            </w:r>
            <w:r w:rsidRPr="00CE491A">
              <w:rPr>
                <w:rFonts w:ascii="Arial Narrow" w:eastAsia="Calibri" w:hAnsi="Arial Narrow"/>
                <w:sz w:val="20"/>
                <w:szCs w:val="20"/>
              </w:rPr>
              <w:fldChar w:fldCharType="begin">
                <w:ffData>
                  <w:name w:val=""/>
                  <w:enabled/>
                  <w:calcOnExit w:val="0"/>
                  <w:checkBox>
                    <w:sizeAuto/>
                    <w:default w:val="1"/>
                  </w:checkBox>
                </w:ffData>
              </w:fldChar>
            </w:r>
            <w:r w:rsidRPr="00CE491A">
              <w:rPr>
                <w:rFonts w:ascii="Arial Narrow" w:eastAsia="Calibri" w:hAnsi="Arial Narrow"/>
                <w:sz w:val="20"/>
                <w:szCs w:val="20"/>
              </w:rPr>
              <w:instrText xml:space="preserve"> FORMCHECKBOX </w:instrText>
            </w:r>
            <w:r w:rsidRPr="00CE491A">
              <w:rPr>
                <w:rFonts w:ascii="Arial Narrow" w:eastAsia="Calibri" w:hAnsi="Arial Narrow"/>
                <w:sz w:val="20"/>
                <w:szCs w:val="20"/>
              </w:rPr>
            </w:r>
            <w:r w:rsidRPr="00CE491A">
              <w:rPr>
                <w:rFonts w:ascii="Arial Narrow" w:eastAsia="Calibri" w:hAnsi="Arial Narrow"/>
                <w:sz w:val="20"/>
                <w:szCs w:val="20"/>
              </w:rPr>
              <w:fldChar w:fldCharType="separate"/>
            </w:r>
            <w:r w:rsidRPr="00CE491A">
              <w:rPr>
                <w:rFonts w:ascii="Arial Narrow" w:eastAsia="Calibri" w:hAnsi="Arial Narrow"/>
                <w:sz w:val="20"/>
                <w:szCs w:val="20"/>
              </w:rPr>
              <w:fldChar w:fldCharType="end"/>
            </w:r>
            <w:r w:rsidRPr="00CE491A">
              <w:rPr>
                <w:rFonts w:ascii="Arial Narrow" w:eastAsia="Calibri" w:hAnsi="Arial Narrow"/>
                <w:sz w:val="20"/>
                <w:szCs w:val="20"/>
              </w:rPr>
              <w:t xml:space="preserve">Authority Required – Streamlined </w:t>
            </w:r>
          </w:p>
        </w:tc>
      </w:tr>
      <w:tr w:rsidR="004B36F8" w:rsidRPr="008D1910" w14:paraId="54250E4A"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0AB3BE1" w14:textId="34F2FD3C"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Administrative Advice:</w:t>
            </w:r>
            <w:r w:rsidR="00860647">
              <w:rPr>
                <w:rFonts w:ascii="Arial Narrow" w:hAnsi="Arial Narrow"/>
                <w:color w:val="333333"/>
                <w:sz w:val="20"/>
                <w:szCs w:val="20"/>
              </w:rPr>
              <w:t xml:space="preserve"> </w:t>
            </w:r>
            <w:r w:rsidRPr="00CE491A">
              <w:rPr>
                <w:rFonts w:ascii="Arial Narrow" w:hAnsi="Arial Narrow"/>
                <w:color w:val="333333"/>
                <w:sz w:val="20"/>
                <w:szCs w:val="20"/>
              </w:rPr>
              <w:t>No increase in the maximum quantity or number of units may be authorised.</w:t>
            </w:r>
          </w:p>
        </w:tc>
      </w:tr>
      <w:tr w:rsidR="004B36F8" w:rsidRPr="008D1910" w14:paraId="28E33399"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F10F711" w14:textId="68E9C6A1" w:rsidR="004B36F8" w:rsidRPr="00CE491A" w:rsidRDefault="004B36F8" w:rsidP="00D7080B">
            <w:pPr>
              <w:rPr>
                <w:rFonts w:ascii="Arial Narrow" w:hAnsi="Arial Narrow"/>
                <w:b/>
                <w:bCs/>
                <w:color w:val="333333"/>
                <w:sz w:val="20"/>
                <w:szCs w:val="20"/>
              </w:rPr>
            </w:pPr>
            <w:r w:rsidRPr="00CE491A">
              <w:rPr>
                <w:rFonts w:ascii="Arial Narrow" w:hAnsi="Arial Narrow"/>
                <w:b/>
                <w:bCs/>
                <w:color w:val="333333"/>
                <w:sz w:val="20"/>
                <w:szCs w:val="20"/>
              </w:rPr>
              <w:t>Administrative Advice:</w:t>
            </w:r>
            <w:r w:rsidR="00860647">
              <w:rPr>
                <w:rFonts w:ascii="Arial Narrow" w:hAnsi="Arial Narrow"/>
                <w:color w:val="333333"/>
                <w:sz w:val="20"/>
                <w:szCs w:val="20"/>
              </w:rPr>
              <w:t xml:space="preserve"> </w:t>
            </w:r>
            <w:r w:rsidRPr="00CE491A">
              <w:rPr>
                <w:rFonts w:ascii="Arial Narrow" w:hAnsi="Arial Narrow"/>
                <w:color w:val="333333"/>
                <w:sz w:val="20"/>
                <w:szCs w:val="20"/>
              </w:rPr>
              <w:t>No increase in the maximum number of repeats may be authorised.</w:t>
            </w:r>
          </w:p>
        </w:tc>
      </w:tr>
      <w:tr w:rsidR="004B36F8" w:rsidRPr="008D1910" w14:paraId="2CA1B2F7"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9BC01E7" w14:textId="6B75F48A" w:rsidR="004B36F8" w:rsidRPr="00CE491A" w:rsidRDefault="004B36F8" w:rsidP="00D7080B">
            <w:pPr>
              <w:rPr>
                <w:rFonts w:ascii="Arial Narrow" w:hAnsi="Arial Narrow"/>
                <w:b/>
                <w:bCs/>
                <w:color w:val="333333"/>
                <w:sz w:val="20"/>
                <w:szCs w:val="20"/>
              </w:rPr>
            </w:pPr>
            <w:r w:rsidRPr="00CE491A">
              <w:rPr>
                <w:rFonts w:ascii="Arial Narrow" w:hAnsi="Arial Narrow"/>
                <w:b/>
                <w:bCs/>
                <w:color w:val="333333"/>
                <w:sz w:val="20"/>
                <w:szCs w:val="20"/>
              </w:rPr>
              <w:t>Administrative Advice:</w:t>
            </w:r>
            <w:r w:rsidR="00860647">
              <w:rPr>
                <w:rFonts w:ascii="Arial Narrow" w:hAnsi="Arial Narrow"/>
                <w:color w:val="333333"/>
                <w:sz w:val="20"/>
                <w:szCs w:val="20"/>
              </w:rPr>
              <w:t xml:space="preserve"> </w:t>
            </w:r>
            <w:r w:rsidRPr="00CE491A">
              <w:rPr>
                <w:rFonts w:ascii="Arial Narrow" w:hAnsi="Arial Narrow"/>
                <w:color w:val="333333"/>
                <w:sz w:val="20"/>
                <w:szCs w:val="20"/>
              </w:rPr>
              <w:t>Special Pricing Arrangements apply.</w:t>
            </w:r>
          </w:p>
        </w:tc>
      </w:tr>
      <w:tr w:rsidR="004B36F8" w:rsidRPr="008D1910" w14:paraId="1BA94682"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25B8279" w14:textId="77777777" w:rsidR="004B36F8" w:rsidRPr="00CE491A" w:rsidRDefault="004B36F8" w:rsidP="00D7080B">
            <w:pPr>
              <w:rPr>
                <w:rFonts w:ascii="Arial Narrow" w:hAnsi="Arial Narrow"/>
                <w:sz w:val="20"/>
                <w:szCs w:val="20"/>
              </w:rPr>
            </w:pPr>
            <w:r w:rsidRPr="00CE491A">
              <w:rPr>
                <w:rFonts w:ascii="Arial Narrow" w:hAnsi="Arial Narrow"/>
                <w:b/>
                <w:bCs/>
                <w:sz w:val="20"/>
                <w:szCs w:val="20"/>
              </w:rPr>
              <w:t>Indication:</w:t>
            </w:r>
            <w:r w:rsidRPr="00CE491A">
              <w:rPr>
                <w:rFonts w:ascii="Arial Narrow" w:hAnsi="Arial Narrow"/>
                <w:sz w:val="20"/>
                <w:szCs w:val="20"/>
              </w:rPr>
              <w:t xml:space="preserve"> Metastatic colorectal cancer</w:t>
            </w:r>
          </w:p>
        </w:tc>
      </w:tr>
      <w:tr w:rsidR="004B36F8" w:rsidRPr="008D1910" w14:paraId="28F1A3AA"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802A7F1" w14:textId="77777777" w:rsidR="004B36F8" w:rsidRPr="00CE491A" w:rsidRDefault="004B36F8" w:rsidP="00D7080B">
            <w:pPr>
              <w:rPr>
                <w:rFonts w:ascii="Arial Narrow" w:hAnsi="Arial Narrow"/>
                <w:sz w:val="20"/>
                <w:szCs w:val="20"/>
              </w:rPr>
            </w:pPr>
            <w:r w:rsidRPr="00CE491A">
              <w:rPr>
                <w:rFonts w:ascii="Arial Narrow" w:hAnsi="Arial Narrow"/>
                <w:b/>
                <w:bCs/>
                <w:sz w:val="20"/>
                <w:szCs w:val="20"/>
              </w:rPr>
              <w:t>Treatment Phase:</w:t>
            </w:r>
            <w:r w:rsidRPr="00CE491A">
              <w:rPr>
                <w:rFonts w:ascii="Arial Narrow" w:hAnsi="Arial Narrow"/>
                <w:sz w:val="20"/>
                <w:szCs w:val="20"/>
              </w:rPr>
              <w:t xml:space="preserve"> Continuing </w:t>
            </w:r>
            <w:r w:rsidRPr="004B36F8">
              <w:rPr>
                <w:rFonts w:ascii="Arial Narrow" w:hAnsi="Arial Narrow"/>
                <w:sz w:val="20"/>
                <w:szCs w:val="20"/>
              </w:rPr>
              <w:t>treatment</w:t>
            </w:r>
            <w:r w:rsidRPr="00CE491A">
              <w:rPr>
                <w:rFonts w:ascii="Arial Narrow" w:hAnsi="Arial Narrow"/>
                <w:i/>
                <w:iCs/>
                <w:sz w:val="20"/>
                <w:szCs w:val="20"/>
              </w:rPr>
              <w:t xml:space="preserve"> </w:t>
            </w:r>
          </w:p>
        </w:tc>
      </w:tr>
      <w:tr w:rsidR="004B36F8" w:rsidRPr="008D1910" w14:paraId="4FB9E988"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92085CD" w14:textId="77777777" w:rsidR="004B36F8" w:rsidRPr="00CE491A" w:rsidRDefault="004B36F8" w:rsidP="00D7080B">
            <w:pPr>
              <w:rPr>
                <w:rFonts w:ascii="Arial Narrow" w:hAnsi="Arial Narrow"/>
                <w:sz w:val="20"/>
                <w:szCs w:val="20"/>
              </w:rPr>
            </w:pPr>
            <w:r w:rsidRPr="00CE491A">
              <w:rPr>
                <w:rFonts w:ascii="Arial Narrow" w:hAnsi="Arial Narrow"/>
                <w:b/>
                <w:bCs/>
                <w:sz w:val="20"/>
                <w:szCs w:val="20"/>
              </w:rPr>
              <w:t>Clinical criteria:</w:t>
            </w:r>
          </w:p>
        </w:tc>
      </w:tr>
      <w:tr w:rsidR="004B36F8" w:rsidRPr="008D1910" w14:paraId="151E6B9D"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A40DB00" w14:textId="77777777" w:rsidR="004B36F8" w:rsidRPr="00CE491A" w:rsidRDefault="004B36F8" w:rsidP="00D7080B">
            <w:pPr>
              <w:rPr>
                <w:rFonts w:ascii="Arial Narrow" w:hAnsi="Arial Narrow"/>
                <w:sz w:val="20"/>
                <w:szCs w:val="20"/>
              </w:rPr>
            </w:pPr>
            <w:r w:rsidRPr="00CE491A">
              <w:rPr>
                <w:rFonts w:ascii="Arial Narrow" w:hAnsi="Arial Narrow"/>
                <w:sz w:val="20"/>
                <w:szCs w:val="20"/>
              </w:rPr>
              <w:t>The treatment must be the sole PBS-subsidised therapy for this condition.</w:t>
            </w:r>
          </w:p>
        </w:tc>
      </w:tr>
      <w:tr w:rsidR="004B36F8" w:rsidRPr="008D1910" w14:paraId="39B1E6A3"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B132CFE" w14:textId="77777777" w:rsidR="004B36F8" w:rsidRPr="00CE491A" w:rsidRDefault="004B36F8" w:rsidP="00D7080B">
            <w:pPr>
              <w:rPr>
                <w:rFonts w:ascii="Arial Narrow" w:hAnsi="Arial Narrow"/>
                <w:b/>
                <w:bCs/>
                <w:sz w:val="20"/>
                <w:szCs w:val="20"/>
              </w:rPr>
            </w:pPr>
            <w:r w:rsidRPr="00CE491A">
              <w:rPr>
                <w:rFonts w:ascii="Arial Narrow" w:hAnsi="Arial Narrow"/>
                <w:b/>
                <w:bCs/>
                <w:sz w:val="20"/>
                <w:szCs w:val="20"/>
              </w:rPr>
              <w:t>AND</w:t>
            </w:r>
          </w:p>
        </w:tc>
      </w:tr>
      <w:tr w:rsidR="004B36F8" w:rsidRPr="008D1910" w14:paraId="3DF587E1"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78E9D74C" w14:textId="77777777" w:rsidR="004B36F8" w:rsidRPr="00CE491A" w:rsidRDefault="004B36F8" w:rsidP="00D7080B">
            <w:pPr>
              <w:rPr>
                <w:rFonts w:ascii="Arial Narrow" w:hAnsi="Arial Narrow"/>
                <w:sz w:val="20"/>
                <w:szCs w:val="20"/>
              </w:rPr>
            </w:pPr>
            <w:r w:rsidRPr="00CE491A">
              <w:rPr>
                <w:rFonts w:ascii="Arial Narrow" w:hAnsi="Arial Narrow"/>
                <w:b/>
                <w:bCs/>
                <w:sz w:val="20"/>
                <w:szCs w:val="20"/>
              </w:rPr>
              <w:t>Clinical criteria:</w:t>
            </w:r>
          </w:p>
        </w:tc>
      </w:tr>
      <w:tr w:rsidR="004B36F8" w:rsidRPr="008D1910" w14:paraId="2B8D1E33"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6ACBAF6" w14:textId="77777777" w:rsidR="004B36F8" w:rsidRPr="004B36F8" w:rsidRDefault="004B36F8" w:rsidP="00D7080B">
            <w:pPr>
              <w:rPr>
                <w:rFonts w:ascii="Arial Narrow" w:hAnsi="Arial Narrow"/>
                <w:sz w:val="20"/>
                <w:szCs w:val="20"/>
              </w:rPr>
            </w:pPr>
            <w:r w:rsidRPr="004B36F8">
              <w:rPr>
                <w:rFonts w:ascii="Arial Narrow" w:hAnsi="Arial Narrow"/>
                <w:sz w:val="20"/>
                <w:szCs w:val="20"/>
              </w:rPr>
              <w:t>Patient must have previously been treated with PBS-subsidised treatment with this drug for this condition</w:t>
            </w:r>
          </w:p>
        </w:tc>
      </w:tr>
      <w:tr w:rsidR="004B36F8" w:rsidRPr="008D1910" w14:paraId="3C78BB3F"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FCC5228" w14:textId="77777777" w:rsidR="004B36F8" w:rsidRPr="00CE491A" w:rsidRDefault="004B36F8" w:rsidP="00D7080B">
            <w:pPr>
              <w:rPr>
                <w:rFonts w:ascii="Arial Narrow" w:hAnsi="Arial Narrow"/>
                <w:color w:val="333333"/>
                <w:sz w:val="20"/>
                <w:szCs w:val="20"/>
              </w:rPr>
            </w:pPr>
            <w:r w:rsidRPr="00CE491A">
              <w:rPr>
                <w:rFonts w:ascii="Arial Narrow" w:hAnsi="Arial Narrow"/>
                <w:b/>
                <w:bCs/>
                <w:color w:val="333333"/>
                <w:sz w:val="20"/>
                <w:szCs w:val="20"/>
              </w:rPr>
              <w:t>AND</w:t>
            </w:r>
          </w:p>
        </w:tc>
      </w:tr>
      <w:tr w:rsidR="004B36F8" w:rsidRPr="008D1910" w14:paraId="639E8029"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7EB43D3E" w14:textId="77777777" w:rsidR="004B36F8" w:rsidRPr="00CE491A" w:rsidRDefault="004B36F8" w:rsidP="00D7080B">
            <w:pPr>
              <w:rPr>
                <w:rFonts w:ascii="Arial Narrow" w:hAnsi="Arial Narrow"/>
                <w:sz w:val="20"/>
                <w:szCs w:val="20"/>
              </w:rPr>
            </w:pPr>
            <w:r w:rsidRPr="00CE491A">
              <w:rPr>
                <w:rFonts w:ascii="Arial Narrow" w:hAnsi="Arial Narrow"/>
                <w:b/>
                <w:bCs/>
                <w:sz w:val="20"/>
                <w:szCs w:val="20"/>
              </w:rPr>
              <w:t>Clinical criteria:</w:t>
            </w:r>
          </w:p>
        </w:tc>
      </w:tr>
      <w:tr w:rsidR="004B36F8" w:rsidRPr="006E22A2" w14:paraId="3EBF39C9" w14:textId="77777777" w:rsidTr="00D7080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41F45A3" w14:textId="77777777" w:rsidR="004B36F8" w:rsidRPr="004B36F8" w:rsidRDefault="004B36F8" w:rsidP="00D7080B">
            <w:pPr>
              <w:rPr>
                <w:rFonts w:ascii="Arial Narrow" w:hAnsi="Arial Narrow"/>
                <w:sz w:val="20"/>
                <w:szCs w:val="20"/>
              </w:rPr>
            </w:pPr>
            <w:r w:rsidRPr="004B36F8">
              <w:rPr>
                <w:rFonts w:ascii="Arial Narrow" w:hAnsi="Arial Narrow"/>
                <w:sz w:val="20"/>
                <w:szCs w:val="20"/>
              </w:rPr>
              <w:t>Patient must not develop progressive disease whilst receiving PBS-subsidised treatment with this drug for this condition</w:t>
            </w:r>
          </w:p>
        </w:tc>
      </w:tr>
    </w:tbl>
    <w:p w14:paraId="7158BE63" w14:textId="594F1242" w:rsidR="00631365" w:rsidRPr="007E5007" w:rsidRDefault="00631365" w:rsidP="00F865E5">
      <w:pPr>
        <w:pStyle w:val="3-BodyText"/>
        <w:spacing w:before="120"/>
      </w:pPr>
      <w:r w:rsidRPr="007E5007">
        <w:rPr>
          <w:snapToGrid/>
        </w:rPr>
        <w:t>The PBAC recommended flow on changes to existing restriction for trifluridine</w:t>
      </w:r>
      <w:r w:rsidR="00BF6DE1" w:rsidRPr="007E5007">
        <w:rPr>
          <w:snapToGrid/>
        </w:rPr>
        <w:t xml:space="preserve"> </w:t>
      </w:r>
      <w:r w:rsidR="00853D0E" w:rsidRPr="007E5007">
        <w:rPr>
          <w:snapToGrid/>
        </w:rPr>
        <w:t>+ tipiracil</w:t>
      </w:r>
      <w:r w:rsidRPr="007E5007">
        <w:rPr>
          <w:snapToGrid/>
        </w:rPr>
        <w:t xml:space="preserve"> in mCRC (PBS item code</w:t>
      </w:r>
      <w:r w:rsidR="00AD41B9" w:rsidRPr="007E5007">
        <w:rPr>
          <w:snapToGrid/>
        </w:rPr>
        <w:t>s</w:t>
      </w:r>
      <w:r w:rsidRPr="007E5007">
        <w:rPr>
          <w:snapToGrid/>
        </w:rPr>
        <w:t>: 11524M</w:t>
      </w:r>
      <w:r w:rsidR="00AD41B9" w:rsidRPr="007E5007">
        <w:rPr>
          <w:snapToGrid/>
        </w:rPr>
        <w:t xml:space="preserve"> and 11507P</w:t>
      </w:r>
      <w:r w:rsidRPr="007E5007">
        <w:rPr>
          <w:snapToGrid/>
        </w:rPr>
        <w:t>)</w:t>
      </w:r>
      <w:r w:rsidR="00853D0E" w:rsidRPr="007E5007">
        <w:rPr>
          <w:snapToGrid/>
        </w:rPr>
        <w:t>.</w:t>
      </w:r>
    </w:p>
    <w:p w14:paraId="593DC282" w14:textId="1DA3F5D0" w:rsidR="00631365" w:rsidRPr="007E5007" w:rsidRDefault="00631365" w:rsidP="007E5007">
      <w:pPr>
        <w:pStyle w:val="3-BodyText"/>
        <w:rPr>
          <w:snapToGrid/>
        </w:rPr>
      </w:pPr>
      <w:r w:rsidRPr="007E5007">
        <w:rPr>
          <w:snapToGrid/>
        </w:rPr>
        <w:t>The PBAC noted the following flow-on changes:</w:t>
      </w:r>
    </w:p>
    <w:p w14:paraId="1A2D6BE0" w14:textId="0F020724" w:rsidR="00631365" w:rsidRPr="007E5007" w:rsidRDefault="00631365" w:rsidP="00F865E5">
      <w:pPr>
        <w:pStyle w:val="ListParagraph"/>
        <w:ind w:left="1134"/>
      </w:pPr>
      <w:r w:rsidRPr="007E5007">
        <w:t>Update to the current prescribing instruction to remove the word “cycle”</w:t>
      </w:r>
      <w:r w:rsidR="00853D0E" w:rsidRPr="007E500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F6DE1" w:rsidRPr="00CE491A" w14:paraId="6E617970" w14:textId="77777777" w:rsidTr="00A721AE">
        <w:tc>
          <w:tcPr>
            <w:tcW w:w="5000" w:type="pct"/>
            <w:vAlign w:val="center"/>
          </w:tcPr>
          <w:p w14:paraId="0A6F6424" w14:textId="77777777" w:rsidR="00BF6DE1" w:rsidRPr="00CE491A" w:rsidRDefault="00BF6DE1" w:rsidP="00A721AE">
            <w:pPr>
              <w:rPr>
                <w:rFonts w:ascii="Arial Narrow" w:hAnsi="Arial Narrow"/>
                <w:b/>
                <w:bCs/>
                <w:color w:val="333333"/>
                <w:sz w:val="20"/>
                <w:szCs w:val="20"/>
              </w:rPr>
            </w:pPr>
            <w:r>
              <w:rPr>
                <w:rFonts w:ascii="Arial Narrow" w:hAnsi="Arial Narrow"/>
                <w:b/>
                <w:bCs/>
                <w:color w:val="333333"/>
                <w:sz w:val="20"/>
                <w:szCs w:val="20"/>
              </w:rPr>
              <w:t>Prescribing instruction:</w:t>
            </w:r>
          </w:p>
        </w:tc>
      </w:tr>
      <w:tr w:rsidR="00BF6DE1" w:rsidRPr="00BB14F7" w14:paraId="48B8C3B6" w14:textId="77777777" w:rsidTr="00A721AE">
        <w:tc>
          <w:tcPr>
            <w:tcW w:w="5000" w:type="pct"/>
            <w:vAlign w:val="center"/>
          </w:tcPr>
          <w:p w14:paraId="2C7CBF04" w14:textId="77777777" w:rsidR="00BF6DE1" w:rsidRPr="00BB14F7" w:rsidRDefault="00BF6DE1" w:rsidP="00A721AE">
            <w:pPr>
              <w:rPr>
                <w:rFonts w:ascii="Arial Narrow" w:hAnsi="Arial Narrow"/>
                <w:color w:val="333333"/>
                <w:sz w:val="20"/>
                <w:szCs w:val="20"/>
              </w:rPr>
            </w:pPr>
            <w:r w:rsidRPr="00E901F1">
              <w:rPr>
                <w:rFonts w:ascii="Arial Narrow" w:hAnsi="Arial Narrow"/>
                <w:sz w:val="20"/>
                <w:szCs w:val="20"/>
              </w:rPr>
              <w:t xml:space="preserve">The patient's WHO performance status and body weight must be documented in the patient's medical records at the time the treatment </w:t>
            </w:r>
            <w:r w:rsidRPr="00A17FBE">
              <w:rPr>
                <w:rFonts w:ascii="Arial Narrow" w:hAnsi="Arial Narrow"/>
                <w:strike/>
                <w:sz w:val="20"/>
                <w:szCs w:val="20"/>
              </w:rPr>
              <w:t>cycle</w:t>
            </w:r>
            <w:r w:rsidRPr="00E901F1">
              <w:rPr>
                <w:rFonts w:ascii="Arial Narrow" w:hAnsi="Arial Narrow"/>
                <w:sz w:val="20"/>
                <w:szCs w:val="20"/>
              </w:rPr>
              <w:t xml:space="preserve"> is initiated.</w:t>
            </w:r>
          </w:p>
        </w:tc>
      </w:tr>
    </w:tbl>
    <w:p w14:paraId="3494274A" w14:textId="0178B69B" w:rsidR="00631365" w:rsidRPr="00F865E5" w:rsidRDefault="00631365" w:rsidP="00F865E5">
      <w:pPr>
        <w:pStyle w:val="ListParagraph"/>
        <w:spacing w:before="120"/>
        <w:ind w:left="1134"/>
      </w:pPr>
      <w:r w:rsidRPr="00F865E5">
        <w:t>Update to the clinical criteria to facilitate use in patients been previously treated with or not considered a candidate for all standard therapies</w:t>
      </w:r>
      <w:r w:rsidR="00853D0E" w:rsidRPr="00F865E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F6DE1" w:rsidRPr="00F865E5" w14:paraId="74DAA4D7" w14:textId="77777777" w:rsidTr="00A721AE">
        <w:tc>
          <w:tcPr>
            <w:tcW w:w="5000" w:type="pct"/>
            <w:vAlign w:val="center"/>
            <w:hideMark/>
          </w:tcPr>
          <w:p w14:paraId="27D015A2" w14:textId="77777777" w:rsidR="00BF6DE1" w:rsidRPr="00F865E5" w:rsidRDefault="00BF6DE1" w:rsidP="00A721AE">
            <w:pPr>
              <w:rPr>
                <w:rFonts w:ascii="Arial Narrow" w:hAnsi="Arial Narrow"/>
                <w:b/>
                <w:iCs/>
                <w:sz w:val="20"/>
                <w:szCs w:val="20"/>
              </w:rPr>
            </w:pPr>
            <w:r w:rsidRPr="00F865E5">
              <w:rPr>
                <w:rFonts w:ascii="Arial Narrow" w:hAnsi="Arial Narrow"/>
                <w:b/>
                <w:bCs/>
                <w:iCs/>
                <w:sz w:val="20"/>
                <w:szCs w:val="20"/>
              </w:rPr>
              <w:t>Clinical criteria:</w:t>
            </w:r>
          </w:p>
        </w:tc>
      </w:tr>
      <w:tr w:rsidR="00BF6DE1" w:rsidRPr="00F865E5" w14:paraId="6E616B63" w14:textId="77777777" w:rsidTr="00A721AE">
        <w:tc>
          <w:tcPr>
            <w:tcW w:w="5000" w:type="pct"/>
            <w:vAlign w:val="center"/>
            <w:hideMark/>
          </w:tcPr>
          <w:p w14:paraId="02F2C6C4" w14:textId="77777777" w:rsidR="00BF6DE1" w:rsidRPr="00F865E5" w:rsidRDefault="00BF6DE1" w:rsidP="00A721AE">
            <w:pPr>
              <w:numPr>
                <w:ilvl w:val="0"/>
                <w:numId w:val="38"/>
              </w:numPr>
              <w:rPr>
                <w:rFonts w:ascii="Arial Narrow" w:hAnsi="Arial Narrow"/>
                <w:bCs/>
                <w:iCs/>
                <w:strike/>
                <w:sz w:val="20"/>
                <w:szCs w:val="20"/>
              </w:rPr>
            </w:pPr>
            <w:r w:rsidRPr="00F865E5">
              <w:rPr>
                <w:rFonts w:ascii="Arial Narrow" w:hAnsi="Arial Narrow"/>
                <w:bCs/>
                <w:iCs/>
                <w:strike/>
                <w:sz w:val="20"/>
                <w:szCs w:val="20"/>
              </w:rPr>
              <w:t>Patient must have previously received treatment with fluoropyrimidine, oxaliplatin, irinotecan-based chemotherapies, an anti-vascular endothelial growth factor (anti-VEGF) agent and an anti-epidermal growth factor receptor (anti-EGFR) agent for this condition; or</w:t>
            </w:r>
          </w:p>
          <w:p w14:paraId="00E68DDF" w14:textId="575672DD" w:rsidR="00BF6DE1" w:rsidRPr="00F865E5" w:rsidRDefault="00BF6DE1" w:rsidP="00A721AE">
            <w:pPr>
              <w:numPr>
                <w:ilvl w:val="0"/>
                <w:numId w:val="38"/>
              </w:numPr>
              <w:rPr>
                <w:rFonts w:ascii="Arial Narrow" w:hAnsi="Arial Narrow"/>
                <w:bCs/>
                <w:iCs/>
                <w:strike/>
                <w:sz w:val="20"/>
                <w:szCs w:val="20"/>
              </w:rPr>
            </w:pPr>
            <w:r w:rsidRPr="00F865E5">
              <w:rPr>
                <w:rFonts w:ascii="Arial Narrow" w:hAnsi="Arial Narrow"/>
                <w:bCs/>
                <w:iCs/>
                <w:strike/>
                <w:sz w:val="20"/>
                <w:szCs w:val="20"/>
              </w:rPr>
              <w:t>Patient must not be a suitable candidate for treatment with fluoropyrimidine, oxaliplatin, irinotecan-based chemotherapies, an anti-VEGF agent and an anti-EGFR agent for this condition,</w:t>
            </w:r>
          </w:p>
          <w:p w14:paraId="27DD4309" w14:textId="77777777" w:rsidR="00BF6DE1" w:rsidRPr="00F865E5" w:rsidRDefault="00BF6DE1" w:rsidP="00A721AE">
            <w:pPr>
              <w:rPr>
                <w:rFonts w:ascii="Arial Narrow" w:hAnsi="Arial Narrow"/>
                <w:b/>
                <w:i/>
                <w:sz w:val="20"/>
                <w:szCs w:val="20"/>
              </w:rPr>
            </w:pPr>
            <w:r w:rsidRPr="00F865E5">
              <w:rPr>
                <w:rFonts w:ascii="Arial Narrow" w:hAnsi="Arial Narrow"/>
                <w:bCs/>
                <w:i/>
                <w:sz w:val="20"/>
                <w:szCs w:val="20"/>
              </w:rPr>
              <w:t>Patient must have been previously treated with or not considered a candidate for treatment with fluoropyrimidine, oxaliplatin, irinotecan-based chemotherapies, an anti-vascular endothelial growth factor (anti-VEGF) agent and an anti-epidermal growth factor receptor (anti-EGFR) agent for this condition</w:t>
            </w:r>
          </w:p>
        </w:tc>
      </w:tr>
    </w:tbl>
    <w:p w14:paraId="5DEE978F" w14:textId="77777777" w:rsidR="00BF6DE1" w:rsidRPr="00853D0E" w:rsidRDefault="00BF6DE1" w:rsidP="00BF6DE1">
      <w:pPr>
        <w:pStyle w:val="ListBullet"/>
        <w:numPr>
          <w:ilvl w:val="0"/>
          <w:numId w:val="0"/>
        </w:numPr>
        <w:ind w:left="360" w:hanging="360"/>
        <w:rPr>
          <w:b/>
          <w:i/>
        </w:rPr>
      </w:pPr>
    </w:p>
    <w:p w14:paraId="0F380688" w14:textId="2450F253" w:rsidR="00E751A2" w:rsidRDefault="00B706AE" w:rsidP="00F865E5">
      <w:pPr>
        <w:rPr>
          <w:rFonts w:asciiTheme="minorHAnsi" w:hAnsiTheme="minorHAnsi"/>
          <w:bCs/>
          <w:snapToGrid w:val="0"/>
          <w:lang w:val="en-GB"/>
        </w:rPr>
      </w:pPr>
      <w:r w:rsidRPr="00C56135">
        <w:rPr>
          <w:rFonts w:asciiTheme="minorHAnsi" w:hAnsiTheme="minorHAnsi"/>
          <w:b/>
          <w:i/>
          <w:szCs w:val="22"/>
        </w:rPr>
        <w:t>This restriction may be subject to further review. Should there be any changes made to the restriction the sponsor will be informed</w:t>
      </w:r>
      <w:r w:rsidRPr="00C56135">
        <w:rPr>
          <w:rFonts w:asciiTheme="minorHAnsi" w:hAnsiTheme="minorHAnsi"/>
          <w:b/>
          <w:szCs w:val="22"/>
        </w:rPr>
        <w:t>.</w:t>
      </w:r>
      <w:bookmarkEnd w:id="104"/>
    </w:p>
    <w:p w14:paraId="1469C99B" w14:textId="77777777" w:rsidR="001C6473" w:rsidRDefault="001C6473" w:rsidP="001C6473">
      <w:pPr>
        <w:pStyle w:val="COMH1numbered"/>
        <w:numPr>
          <w:ilvl w:val="0"/>
          <w:numId w:val="0"/>
        </w:numPr>
        <w:ind w:left="720" w:hanging="720"/>
        <w:rPr>
          <w:bCs/>
          <w:lang w:val="en-GB"/>
        </w:rPr>
      </w:pPr>
      <w:r w:rsidRPr="00C07617">
        <w:t>9</w:t>
      </w:r>
      <w:r w:rsidRPr="00C07617">
        <w:tab/>
        <w:t>Context for Decision</w:t>
      </w:r>
    </w:p>
    <w:p w14:paraId="39680CDC" w14:textId="77777777" w:rsidR="001C6473" w:rsidRPr="00311EEF" w:rsidRDefault="001C6473" w:rsidP="001C6473">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w:t>
      </w:r>
      <w:r w:rsidRPr="00311EEF">
        <w:rPr>
          <w:rFonts w:asciiTheme="minorHAnsi" w:hAnsiTheme="minorHAnsi"/>
          <w:bCs/>
          <w:lang w:val="en-GB"/>
        </w:rPr>
        <w:lastRenderedPageBreak/>
        <w:t>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C22DAF" w14:textId="77777777" w:rsidR="001C6473" w:rsidRPr="00311EEF" w:rsidRDefault="001C6473" w:rsidP="001C6473">
      <w:pPr>
        <w:pStyle w:val="COMH1numbered"/>
        <w:numPr>
          <w:ilvl w:val="0"/>
          <w:numId w:val="0"/>
        </w:numPr>
        <w:ind w:left="720" w:hanging="720"/>
      </w:pPr>
      <w:r w:rsidRPr="00311EEF">
        <w:t>10</w:t>
      </w:r>
      <w:r>
        <w:tab/>
      </w:r>
      <w:r w:rsidRPr="00311EEF">
        <w:t>Sponsor’s Comment</w:t>
      </w:r>
    </w:p>
    <w:p w14:paraId="73918C10" w14:textId="29F71E67" w:rsidR="001C6473" w:rsidRPr="00B85EF0" w:rsidRDefault="00B77209" w:rsidP="00B77209">
      <w:pPr>
        <w:ind w:firstLine="720"/>
        <w:jc w:val="left"/>
        <w:rPr>
          <w:rFonts w:asciiTheme="minorHAnsi" w:hAnsiTheme="minorHAnsi"/>
          <w:bCs/>
          <w:snapToGrid w:val="0"/>
          <w:lang w:val="en-GB"/>
        </w:rPr>
      </w:pPr>
      <w:r w:rsidRPr="00B77209">
        <w:rPr>
          <w:rFonts w:asciiTheme="minorHAnsi" w:hAnsiTheme="minorHAnsi"/>
          <w:bCs/>
        </w:rPr>
        <w:t>The sponsor had no comment.</w:t>
      </w:r>
    </w:p>
    <w:sectPr w:rsidR="001C6473" w:rsidRPr="00B85EF0" w:rsidSect="00963E4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C778" w14:textId="77777777" w:rsidR="00B036F7" w:rsidRDefault="00B036F7" w:rsidP="00124A51">
      <w:r>
        <w:separator/>
      </w:r>
    </w:p>
    <w:p w14:paraId="4F64FA38" w14:textId="77777777" w:rsidR="00B036F7" w:rsidRDefault="00B036F7"/>
  </w:endnote>
  <w:endnote w:type="continuationSeparator" w:id="0">
    <w:p w14:paraId="02B702CB" w14:textId="77777777" w:rsidR="00B036F7" w:rsidRDefault="00B036F7" w:rsidP="00124A51">
      <w:r>
        <w:continuationSeparator/>
      </w:r>
    </w:p>
    <w:p w14:paraId="41F2CE6F" w14:textId="77777777" w:rsidR="00B036F7" w:rsidRDefault="00B036F7"/>
  </w:endnote>
  <w:endnote w:type="continuationNotice" w:id="1">
    <w:p w14:paraId="0ECBB661" w14:textId="77777777" w:rsidR="00B036F7" w:rsidRDefault="00B0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ACB3" w14:textId="77777777" w:rsidR="00BF29EB" w:rsidRDefault="00BF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00A9" w14:textId="77777777" w:rsidR="0095667B" w:rsidRDefault="0095667B">
    <w:pPr>
      <w:pStyle w:val="Footer"/>
      <w:jc w:val="center"/>
    </w:pPr>
  </w:p>
  <w:p w14:paraId="5DD14C81" w14:textId="1D0DEB94" w:rsidR="0095667B" w:rsidRDefault="00000000" w:rsidP="004B08EC">
    <w:pPr>
      <w:pStyle w:val="Footer"/>
      <w:jc w:val="center"/>
    </w:pPr>
    <w:sdt>
      <w:sdtPr>
        <w:id w:val="-1591695263"/>
        <w:docPartObj>
          <w:docPartGallery w:val="Page Numbers (Bottom of Page)"/>
          <w:docPartUnique/>
        </w:docPartObj>
      </w:sdtPr>
      <w:sdtEndPr>
        <w:rPr>
          <w:noProof/>
        </w:rPr>
      </w:sdtEndPr>
      <w:sdtContent>
        <w:r w:rsidR="0095667B" w:rsidRPr="009217A3">
          <w:rPr>
            <w:b/>
            <w:bCs/>
          </w:rPr>
          <w:fldChar w:fldCharType="begin"/>
        </w:r>
        <w:r w:rsidR="0095667B" w:rsidRPr="009217A3">
          <w:rPr>
            <w:b/>
            <w:bCs/>
          </w:rPr>
          <w:instrText xml:space="preserve"> PAGE   \* MERGEFORMAT </w:instrText>
        </w:r>
        <w:r w:rsidR="0095667B" w:rsidRPr="009217A3">
          <w:rPr>
            <w:b/>
            <w:bCs/>
          </w:rPr>
          <w:fldChar w:fldCharType="separate"/>
        </w:r>
        <w:r w:rsidR="0095667B" w:rsidRPr="009217A3">
          <w:rPr>
            <w:b/>
            <w:bCs/>
            <w:noProof/>
          </w:rPr>
          <w:t>2</w:t>
        </w:r>
        <w:r w:rsidR="0095667B" w:rsidRPr="009217A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CE70" w14:textId="77777777" w:rsidR="00BF29EB" w:rsidRDefault="00BF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E349" w14:textId="77777777" w:rsidR="00B036F7" w:rsidRDefault="00B036F7" w:rsidP="00124A51">
      <w:r>
        <w:separator/>
      </w:r>
    </w:p>
    <w:p w14:paraId="73795523" w14:textId="77777777" w:rsidR="00B036F7" w:rsidRDefault="00B036F7"/>
  </w:footnote>
  <w:footnote w:type="continuationSeparator" w:id="0">
    <w:p w14:paraId="4D8AFD65" w14:textId="77777777" w:rsidR="00B036F7" w:rsidRDefault="00B036F7" w:rsidP="00124A51">
      <w:r>
        <w:continuationSeparator/>
      </w:r>
    </w:p>
    <w:p w14:paraId="6827D7AB" w14:textId="77777777" w:rsidR="00B036F7" w:rsidRDefault="00B036F7"/>
  </w:footnote>
  <w:footnote w:type="continuationNotice" w:id="1">
    <w:p w14:paraId="4932A6E2" w14:textId="77777777" w:rsidR="00B036F7" w:rsidRDefault="00B036F7"/>
  </w:footnote>
  <w:footnote w:id="2">
    <w:p w14:paraId="68E810F4" w14:textId="77777777" w:rsidR="00891965" w:rsidRPr="00A74236" w:rsidRDefault="00891965" w:rsidP="00FA70C8">
      <w:pPr>
        <w:pStyle w:val="FootnoteText"/>
        <w:jc w:val="left"/>
      </w:pPr>
      <w:r w:rsidRPr="00A74236">
        <w:rPr>
          <w:rStyle w:val="FootnoteReference"/>
        </w:rPr>
        <w:footnoteRef/>
      </w:r>
      <w:r w:rsidRPr="00A74236">
        <w:t xml:space="preserve"> Australian Institute of Health and Welfare (2023), Cancer data in Australia, AIHW, Australian Government, accessed 20 March 2024. Available at: </w:t>
      </w:r>
      <w:hyperlink r:id="rId1" w:history="1">
        <w:r w:rsidRPr="00A74236">
          <w:rPr>
            <w:rStyle w:val="Hyperlink"/>
          </w:rPr>
          <w:t>https://www.aihw.gov.au/reports/cancer/cancer-data-in-australia/contents/summary-dashboard</w:t>
        </w:r>
      </w:hyperlink>
      <w:r w:rsidRPr="00A74236">
        <w:t xml:space="preserve"> </w:t>
      </w:r>
    </w:p>
  </w:footnote>
  <w:footnote w:id="3">
    <w:p w14:paraId="29DF54EE" w14:textId="77777777" w:rsidR="00891965" w:rsidRDefault="00891965" w:rsidP="00891965">
      <w:pPr>
        <w:pStyle w:val="FootnoteText"/>
      </w:pPr>
      <w:r w:rsidRPr="00A74236">
        <w:rPr>
          <w:rStyle w:val="FootnoteReference"/>
        </w:rPr>
        <w:footnoteRef/>
      </w:r>
      <w:r w:rsidRPr="00A74236">
        <w:t xml:space="preserve"> Australian Institute of Health and Welfare (2018), Colorectal and other digestive-tract cancers, AIHW, Australian Government, accessed 20 March 2024. Available at: </w:t>
      </w:r>
      <w:hyperlink r:id="rId2" w:history="1">
        <w:r w:rsidRPr="00A74236">
          <w:rPr>
            <w:rStyle w:val="Hyperlink"/>
          </w:rPr>
          <w:t>https://www.aihw.gov.au/getmedia/892d43f7-ab5d-48fe-9969-129f138687f3/aihw-can-117.pdf?v=20230605165443&amp;inline=true</w:t>
        </w:r>
      </w:hyperlink>
      <w:r w:rsidRPr="00A74236">
        <w:t xml:space="preserve"> </w:t>
      </w:r>
    </w:p>
  </w:footnote>
  <w:footnote w:id="4">
    <w:p w14:paraId="22F420DE" w14:textId="2EFEF895" w:rsidR="00A87895" w:rsidRDefault="00A87895" w:rsidP="00A87895">
      <w:pPr>
        <w:pStyle w:val="FootnoteText"/>
      </w:pPr>
      <w:r>
        <w:rPr>
          <w:rStyle w:val="FootnoteReference"/>
        </w:rPr>
        <w:footnoteRef/>
      </w:r>
      <w:r w:rsidR="001957F8">
        <w:t xml:space="preserve"> </w:t>
      </w:r>
      <w:hyperlink r:id="rId3" w:history="1">
        <w:r w:rsidR="001957F8" w:rsidRPr="00BA1F02">
          <w:rPr>
            <w:rStyle w:val="Hyperlink"/>
          </w:rPr>
          <w:t>https://www.esmo.org/living-guidelines/esmo-metastatic-colorectal-cancer-living-guideline/advanced-and-metastatic-disease-without-potential-conversion/advanced-and-metastatic-disease-without-potential-conversion/third-and-further-lines</w:t>
        </w:r>
      </w:hyperlink>
      <w:r>
        <w:t xml:space="preserve"> </w:t>
      </w:r>
    </w:p>
  </w:footnote>
  <w:footnote w:id="5">
    <w:p w14:paraId="0A9DB9EC" w14:textId="77445FB4" w:rsidR="00A87895" w:rsidRDefault="00A87895" w:rsidP="00A87895">
      <w:pPr>
        <w:pStyle w:val="FootnoteText"/>
      </w:pPr>
      <w:r>
        <w:rPr>
          <w:rStyle w:val="FootnoteReference"/>
        </w:rPr>
        <w:footnoteRef/>
      </w:r>
      <w:r>
        <w:t xml:space="preserve"> </w:t>
      </w:r>
      <w:hyperlink r:id="rId4" w:history="1">
        <w:r w:rsidR="001957F8" w:rsidRPr="00BA1F02">
          <w:rPr>
            <w:rStyle w:val="Hyperlink"/>
          </w:rPr>
          <w:t>https://www.annalsofoncology.org/article/S0923-7534(23)04335-1/fulltext</w:t>
        </w:r>
      </w:hyperlink>
      <w:r w:rsidR="001957F8">
        <w:t xml:space="preserve"> </w:t>
      </w:r>
    </w:p>
  </w:footnote>
  <w:footnote w:id="6">
    <w:p w14:paraId="58BF2D56" w14:textId="7B66152E" w:rsidR="001957F8" w:rsidRDefault="001957F8">
      <w:pPr>
        <w:pStyle w:val="FootnoteText"/>
      </w:pPr>
      <w:r>
        <w:rPr>
          <w:rStyle w:val="FootnoteReference"/>
        </w:rPr>
        <w:footnoteRef/>
      </w:r>
      <w:r>
        <w:t xml:space="preserve"> </w:t>
      </w:r>
      <w:hyperlink r:id="rId5" w:history="1">
        <w:r w:rsidRPr="00BA1F02">
          <w:rPr>
            <w:rStyle w:val="Hyperlink"/>
          </w:rPr>
          <w:t>https://www.nccn.org/professionals/physician_gls/pdf/colon.pdf</w:t>
        </w:r>
      </w:hyperlink>
      <w:r>
        <w:t xml:space="preserve">  </w:t>
      </w:r>
    </w:p>
  </w:footnote>
  <w:footnote w:id="7">
    <w:p w14:paraId="598FE6AC" w14:textId="73F9821B" w:rsidR="00AE35EF" w:rsidRDefault="00AE35EF">
      <w:pPr>
        <w:pStyle w:val="FootnoteText"/>
      </w:pPr>
      <w:r>
        <w:rPr>
          <w:rStyle w:val="FootnoteReference"/>
        </w:rPr>
        <w:footnoteRef/>
      </w:r>
      <w:r>
        <w:t xml:space="preserve"> Prager et al., </w:t>
      </w:r>
      <w:r w:rsidRPr="00AE35EF">
        <w:t>Trifluridine–Tipiracil and Bevacizumab in Refractory Metastatic Colorectal Cancer</w:t>
      </w:r>
      <w:r>
        <w:t xml:space="preserve">. </w:t>
      </w:r>
      <w:r w:rsidRPr="00AE35EF">
        <w:t>The New England Journal of Medicine 20</w:t>
      </w:r>
      <w:r>
        <w:t>23</w:t>
      </w:r>
      <w:r w:rsidRPr="00AE35EF">
        <w:t xml:space="preserve">; </w:t>
      </w:r>
      <w:r>
        <w:t>388</w:t>
      </w:r>
      <w:r w:rsidRPr="00AE35EF">
        <w:t>, 1</w:t>
      </w:r>
      <w:r>
        <w:t>657-1667</w:t>
      </w:r>
      <w:r w:rsidRPr="00AE35EF">
        <w:t>.</w:t>
      </w:r>
    </w:p>
  </w:footnote>
  <w:footnote w:id="8">
    <w:p w14:paraId="76D5D63D" w14:textId="77777777" w:rsidR="00EC07F5" w:rsidRDefault="00EC07F5" w:rsidP="00EC07F5">
      <w:pPr>
        <w:pStyle w:val="FootnoteText"/>
      </w:pPr>
      <w:r>
        <w:rPr>
          <w:rStyle w:val="FootnoteReference"/>
        </w:rPr>
        <w:footnoteRef/>
      </w:r>
      <w:r>
        <w:t xml:space="preserve"> </w:t>
      </w:r>
      <w:r w:rsidRPr="00EC07F5">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C6EE" w14:textId="77777777" w:rsidR="00BF29EB" w:rsidRDefault="00BF2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7F2E" w14:textId="7429651E" w:rsidR="0010101B" w:rsidRPr="00B922FE" w:rsidRDefault="00FC62D1" w:rsidP="003A2C78">
    <w:pPr>
      <w:pStyle w:val="Header"/>
      <w:ind w:left="720"/>
      <w:rPr>
        <w:rFonts w:asciiTheme="minorHAnsi" w:hAnsiTheme="minorHAnsi"/>
        <w:i/>
      </w:rPr>
    </w:pPr>
    <w:r w:rsidRPr="00B922FE">
      <w:rPr>
        <w:rFonts w:asciiTheme="minorHAnsi" w:hAnsiTheme="minorHAnsi"/>
        <w:i/>
      </w:rPr>
      <w:t>Public Summary Document</w:t>
    </w:r>
    <w:r w:rsidR="009217A3" w:rsidRPr="00B922FE">
      <w:rPr>
        <w:rFonts w:asciiTheme="minorHAnsi" w:hAnsiTheme="minorHAnsi"/>
        <w:i/>
      </w:rPr>
      <w:t xml:space="preserve"> – </w:t>
    </w:r>
    <w:r w:rsidR="00E71E8C" w:rsidRPr="00B922FE">
      <w:rPr>
        <w:rFonts w:asciiTheme="minorHAnsi" w:hAnsiTheme="minorHAnsi"/>
        <w:i/>
      </w:rPr>
      <w:t>September</w:t>
    </w:r>
    <w:r w:rsidR="0010101B" w:rsidRPr="00B922FE">
      <w:rPr>
        <w:rFonts w:asciiTheme="minorHAnsi" w:hAnsiTheme="minorHAnsi"/>
        <w:i/>
      </w:rPr>
      <w:t xml:space="preserve"> 2024 PBAC Meeting</w:t>
    </w:r>
  </w:p>
  <w:p w14:paraId="18236B72" w14:textId="77777777" w:rsidR="0010101B" w:rsidRPr="008C7ECB" w:rsidRDefault="0010101B" w:rsidP="001E32B7">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01F2" w14:textId="77777777" w:rsidR="00BF29EB" w:rsidRDefault="00BF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1D66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D0B36"/>
    <w:multiLevelType w:val="hybridMultilevel"/>
    <w:tmpl w:val="6AD019C2"/>
    <w:lvl w:ilvl="0" w:tplc="AD3C4D7E">
      <w:start w:val="1"/>
      <w:numFmt w:val="bullet"/>
      <w:lvlText w:val="•"/>
      <w:lvlJc w:val="left"/>
      <w:pPr>
        <w:tabs>
          <w:tab w:val="num" w:pos="720"/>
        </w:tabs>
        <w:ind w:left="720" w:hanging="360"/>
      </w:pPr>
      <w:rPr>
        <w:rFonts w:ascii="Arial" w:hAnsi="Arial" w:hint="default"/>
      </w:rPr>
    </w:lvl>
    <w:lvl w:ilvl="1" w:tplc="3A08C0A4">
      <w:numFmt w:val="bullet"/>
      <w:lvlText w:val="•"/>
      <w:lvlJc w:val="left"/>
      <w:pPr>
        <w:tabs>
          <w:tab w:val="num" w:pos="1440"/>
        </w:tabs>
        <w:ind w:left="1440" w:hanging="360"/>
      </w:pPr>
      <w:rPr>
        <w:rFonts w:ascii="Arial" w:hAnsi="Arial" w:hint="default"/>
      </w:rPr>
    </w:lvl>
    <w:lvl w:ilvl="2" w:tplc="CD0A6C34" w:tentative="1">
      <w:start w:val="1"/>
      <w:numFmt w:val="bullet"/>
      <w:lvlText w:val="•"/>
      <w:lvlJc w:val="left"/>
      <w:pPr>
        <w:tabs>
          <w:tab w:val="num" w:pos="2160"/>
        </w:tabs>
        <w:ind w:left="2160" w:hanging="360"/>
      </w:pPr>
      <w:rPr>
        <w:rFonts w:ascii="Arial" w:hAnsi="Arial" w:hint="default"/>
      </w:rPr>
    </w:lvl>
    <w:lvl w:ilvl="3" w:tplc="7C28A52E" w:tentative="1">
      <w:start w:val="1"/>
      <w:numFmt w:val="bullet"/>
      <w:lvlText w:val="•"/>
      <w:lvlJc w:val="left"/>
      <w:pPr>
        <w:tabs>
          <w:tab w:val="num" w:pos="2880"/>
        </w:tabs>
        <w:ind w:left="2880" w:hanging="360"/>
      </w:pPr>
      <w:rPr>
        <w:rFonts w:ascii="Arial" w:hAnsi="Arial" w:hint="default"/>
      </w:rPr>
    </w:lvl>
    <w:lvl w:ilvl="4" w:tplc="8302830E" w:tentative="1">
      <w:start w:val="1"/>
      <w:numFmt w:val="bullet"/>
      <w:lvlText w:val="•"/>
      <w:lvlJc w:val="left"/>
      <w:pPr>
        <w:tabs>
          <w:tab w:val="num" w:pos="3600"/>
        </w:tabs>
        <w:ind w:left="3600" w:hanging="360"/>
      </w:pPr>
      <w:rPr>
        <w:rFonts w:ascii="Arial" w:hAnsi="Arial" w:hint="default"/>
      </w:rPr>
    </w:lvl>
    <w:lvl w:ilvl="5" w:tplc="4E881A5C" w:tentative="1">
      <w:start w:val="1"/>
      <w:numFmt w:val="bullet"/>
      <w:lvlText w:val="•"/>
      <w:lvlJc w:val="left"/>
      <w:pPr>
        <w:tabs>
          <w:tab w:val="num" w:pos="4320"/>
        </w:tabs>
        <w:ind w:left="4320" w:hanging="360"/>
      </w:pPr>
      <w:rPr>
        <w:rFonts w:ascii="Arial" w:hAnsi="Arial" w:hint="default"/>
      </w:rPr>
    </w:lvl>
    <w:lvl w:ilvl="6" w:tplc="9E6E7152" w:tentative="1">
      <w:start w:val="1"/>
      <w:numFmt w:val="bullet"/>
      <w:lvlText w:val="•"/>
      <w:lvlJc w:val="left"/>
      <w:pPr>
        <w:tabs>
          <w:tab w:val="num" w:pos="5040"/>
        </w:tabs>
        <w:ind w:left="5040" w:hanging="360"/>
      </w:pPr>
      <w:rPr>
        <w:rFonts w:ascii="Arial" w:hAnsi="Arial" w:hint="default"/>
      </w:rPr>
    </w:lvl>
    <w:lvl w:ilvl="7" w:tplc="C3449580" w:tentative="1">
      <w:start w:val="1"/>
      <w:numFmt w:val="bullet"/>
      <w:lvlText w:val="•"/>
      <w:lvlJc w:val="left"/>
      <w:pPr>
        <w:tabs>
          <w:tab w:val="num" w:pos="5760"/>
        </w:tabs>
        <w:ind w:left="5760" w:hanging="360"/>
      </w:pPr>
      <w:rPr>
        <w:rFonts w:ascii="Arial" w:hAnsi="Arial" w:hint="default"/>
      </w:rPr>
    </w:lvl>
    <w:lvl w:ilvl="8" w:tplc="B2AE57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202296"/>
    <w:multiLevelType w:val="hybridMultilevel"/>
    <w:tmpl w:val="3D10FA26"/>
    <w:lvl w:ilvl="0" w:tplc="40BAADBA">
      <w:start w:val="1"/>
      <w:numFmt w:val="decimal"/>
      <w:lvlText w:val="%1."/>
      <w:lvlJc w:val="left"/>
      <w:pPr>
        <w:ind w:left="720" w:hanging="360"/>
      </w:pPr>
    </w:lvl>
    <w:lvl w:ilvl="1" w:tplc="4F0E3BD6">
      <w:start w:val="1"/>
      <w:numFmt w:val="decimal"/>
      <w:lvlText w:val="%2."/>
      <w:lvlJc w:val="left"/>
      <w:pPr>
        <w:ind w:left="720" w:hanging="360"/>
      </w:pPr>
    </w:lvl>
    <w:lvl w:ilvl="2" w:tplc="D0AC0C1C">
      <w:start w:val="1"/>
      <w:numFmt w:val="decimal"/>
      <w:lvlText w:val="%3."/>
      <w:lvlJc w:val="left"/>
      <w:pPr>
        <w:ind w:left="720" w:hanging="360"/>
      </w:pPr>
    </w:lvl>
    <w:lvl w:ilvl="3" w:tplc="0F5825FA">
      <w:start w:val="1"/>
      <w:numFmt w:val="decimal"/>
      <w:lvlText w:val="%4."/>
      <w:lvlJc w:val="left"/>
      <w:pPr>
        <w:ind w:left="720" w:hanging="360"/>
      </w:pPr>
    </w:lvl>
    <w:lvl w:ilvl="4" w:tplc="64684C54">
      <w:start w:val="1"/>
      <w:numFmt w:val="decimal"/>
      <w:lvlText w:val="%5."/>
      <w:lvlJc w:val="left"/>
      <w:pPr>
        <w:ind w:left="720" w:hanging="360"/>
      </w:pPr>
    </w:lvl>
    <w:lvl w:ilvl="5" w:tplc="9370D5F4">
      <w:start w:val="1"/>
      <w:numFmt w:val="decimal"/>
      <w:lvlText w:val="%6."/>
      <w:lvlJc w:val="left"/>
      <w:pPr>
        <w:ind w:left="720" w:hanging="360"/>
      </w:pPr>
    </w:lvl>
    <w:lvl w:ilvl="6" w:tplc="9D708290">
      <w:start w:val="1"/>
      <w:numFmt w:val="decimal"/>
      <w:lvlText w:val="%7."/>
      <w:lvlJc w:val="left"/>
      <w:pPr>
        <w:ind w:left="720" w:hanging="360"/>
      </w:pPr>
    </w:lvl>
    <w:lvl w:ilvl="7" w:tplc="594C49C4">
      <w:start w:val="1"/>
      <w:numFmt w:val="decimal"/>
      <w:lvlText w:val="%8."/>
      <w:lvlJc w:val="left"/>
      <w:pPr>
        <w:ind w:left="720" w:hanging="360"/>
      </w:pPr>
    </w:lvl>
    <w:lvl w:ilvl="8" w:tplc="53DEF58E">
      <w:start w:val="1"/>
      <w:numFmt w:val="decimal"/>
      <w:lvlText w:val="%9."/>
      <w:lvlJc w:val="left"/>
      <w:pPr>
        <w:ind w:left="720" w:hanging="36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2087324"/>
    <w:multiLevelType w:val="hybridMultilevel"/>
    <w:tmpl w:val="B26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A4107"/>
    <w:multiLevelType w:val="hybridMultilevel"/>
    <w:tmpl w:val="B334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74561B"/>
    <w:multiLevelType w:val="hybridMultilevel"/>
    <w:tmpl w:val="2C42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90D49"/>
    <w:multiLevelType w:val="hybridMultilevel"/>
    <w:tmpl w:val="9EB4E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A1CAE"/>
    <w:multiLevelType w:val="hybridMultilevel"/>
    <w:tmpl w:val="77520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C82410"/>
    <w:multiLevelType w:val="multilevel"/>
    <w:tmpl w:val="855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AB323D12"/>
    <w:lvl w:ilvl="0" w:tplc="04090001">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667410"/>
    <w:multiLevelType w:val="hybridMultilevel"/>
    <w:tmpl w:val="6C52D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C652A"/>
    <w:multiLevelType w:val="hybridMultilevel"/>
    <w:tmpl w:val="BFC8F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569F4"/>
    <w:multiLevelType w:val="hybridMultilevel"/>
    <w:tmpl w:val="5EA418C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4045F6"/>
    <w:multiLevelType w:val="hybridMultilevel"/>
    <w:tmpl w:val="4F169338"/>
    <w:lvl w:ilvl="0" w:tplc="60EC9452">
      <w:start w:val="1"/>
      <w:numFmt w:val="decimal"/>
      <w:lvlText w:val="%1."/>
      <w:lvlJc w:val="left"/>
      <w:pPr>
        <w:ind w:left="720" w:hanging="360"/>
      </w:pPr>
    </w:lvl>
    <w:lvl w:ilvl="1" w:tplc="868059A0">
      <w:start w:val="1"/>
      <w:numFmt w:val="decimal"/>
      <w:lvlText w:val="%2."/>
      <w:lvlJc w:val="left"/>
      <w:pPr>
        <w:ind w:left="720" w:hanging="360"/>
      </w:pPr>
    </w:lvl>
    <w:lvl w:ilvl="2" w:tplc="E94238FC">
      <w:start w:val="1"/>
      <w:numFmt w:val="decimal"/>
      <w:lvlText w:val="%3."/>
      <w:lvlJc w:val="left"/>
      <w:pPr>
        <w:ind w:left="720" w:hanging="360"/>
      </w:pPr>
    </w:lvl>
    <w:lvl w:ilvl="3" w:tplc="A6244B7C">
      <w:start w:val="1"/>
      <w:numFmt w:val="decimal"/>
      <w:lvlText w:val="%4."/>
      <w:lvlJc w:val="left"/>
      <w:pPr>
        <w:ind w:left="720" w:hanging="360"/>
      </w:pPr>
    </w:lvl>
    <w:lvl w:ilvl="4" w:tplc="6AF6FDDC">
      <w:start w:val="1"/>
      <w:numFmt w:val="decimal"/>
      <w:lvlText w:val="%5."/>
      <w:lvlJc w:val="left"/>
      <w:pPr>
        <w:ind w:left="720" w:hanging="360"/>
      </w:pPr>
    </w:lvl>
    <w:lvl w:ilvl="5" w:tplc="AEF4620E">
      <w:start w:val="1"/>
      <w:numFmt w:val="decimal"/>
      <w:lvlText w:val="%6."/>
      <w:lvlJc w:val="left"/>
      <w:pPr>
        <w:ind w:left="720" w:hanging="360"/>
      </w:pPr>
    </w:lvl>
    <w:lvl w:ilvl="6" w:tplc="2E7828AC">
      <w:start w:val="1"/>
      <w:numFmt w:val="decimal"/>
      <w:lvlText w:val="%7."/>
      <w:lvlJc w:val="left"/>
      <w:pPr>
        <w:ind w:left="720" w:hanging="360"/>
      </w:pPr>
    </w:lvl>
    <w:lvl w:ilvl="7" w:tplc="DCC65646">
      <w:start w:val="1"/>
      <w:numFmt w:val="decimal"/>
      <w:lvlText w:val="%8."/>
      <w:lvlJc w:val="left"/>
      <w:pPr>
        <w:ind w:left="720" w:hanging="360"/>
      </w:pPr>
    </w:lvl>
    <w:lvl w:ilvl="8" w:tplc="0F4AD7DE">
      <w:start w:val="1"/>
      <w:numFmt w:val="decimal"/>
      <w:lvlText w:val="%9."/>
      <w:lvlJc w:val="left"/>
      <w:pPr>
        <w:ind w:left="720" w:hanging="360"/>
      </w:p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2A07267"/>
    <w:multiLevelType w:val="hybridMultilevel"/>
    <w:tmpl w:val="76786036"/>
    <w:lvl w:ilvl="0" w:tplc="91248322">
      <w:start w:val="1"/>
      <w:numFmt w:val="decimal"/>
      <w:lvlText w:val="%1."/>
      <w:lvlJc w:val="left"/>
      <w:pPr>
        <w:ind w:left="720" w:hanging="360"/>
      </w:pPr>
    </w:lvl>
    <w:lvl w:ilvl="1" w:tplc="507C2F1C">
      <w:start w:val="1"/>
      <w:numFmt w:val="decimal"/>
      <w:lvlText w:val="%2."/>
      <w:lvlJc w:val="left"/>
      <w:pPr>
        <w:ind w:left="720" w:hanging="360"/>
      </w:pPr>
    </w:lvl>
    <w:lvl w:ilvl="2" w:tplc="9ECEF136">
      <w:start w:val="1"/>
      <w:numFmt w:val="decimal"/>
      <w:lvlText w:val="%3."/>
      <w:lvlJc w:val="left"/>
      <w:pPr>
        <w:ind w:left="720" w:hanging="360"/>
      </w:pPr>
    </w:lvl>
    <w:lvl w:ilvl="3" w:tplc="6102E618">
      <w:start w:val="1"/>
      <w:numFmt w:val="decimal"/>
      <w:lvlText w:val="%4."/>
      <w:lvlJc w:val="left"/>
      <w:pPr>
        <w:ind w:left="720" w:hanging="360"/>
      </w:pPr>
    </w:lvl>
    <w:lvl w:ilvl="4" w:tplc="A9083F08">
      <w:start w:val="1"/>
      <w:numFmt w:val="decimal"/>
      <w:lvlText w:val="%5."/>
      <w:lvlJc w:val="left"/>
      <w:pPr>
        <w:ind w:left="720" w:hanging="360"/>
      </w:pPr>
    </w:lvl>
    <w:lvl w:ilvl="5" w:tplc="A148B484">
      <w:start w:val="1"/>
      <w:numFmt w:val="decimal"/>
      <w:lvlText w:val="%6."/>
      <w:lvlJc w:val="left"/>
      <w:pPr>
        <w:ind w:left="720" w:hanging="360"/>
      </w:pPr>
    </w:lvl>
    <w:lvl w:ilvl="6" w:tplc="9C0AB5A0">
      <w:start w:val="1"/>
      <w:numFmt w:val="decimal"/>
      <w:lvlText w:val="%7."/>
      <w:lvlJc w:val="left"/>
      <w:pPr>
        <w:ind w:left="720" w:hanging="360"/>
      </w:pPr>
    </w:lvl>
    <w:lvl w:ilvl="7" w:tplc="2BCA6BA0">
      <w:start w:val="1"/>
      <w:numFmt w:val="decimal"/>
      <w:lvlText w:val="%8."/>
      <w:lvlJc w:val="left"/>
      <w:pPr>
        <w:ind w:left="720" w:hanging="360"/>
      </w:pPr>
    </w:lvl>
    <w:lvl w:ilvl="8" w:tplc="508EEA30">
      <w:start w:val="1"/>
      <w:numFmt w:val="decimal"/>
      <w:lvlText w:val="%9."/>
      <w:lvlJc w:val="left"/>
      <w:pPr>
        <w:ind w:left="720" w:hanging="360"/>
      </w:p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573442C"/>
    <w:multiLevelType w:val="hybridMultilevel"/>
    <w:tmpl w:val="F6F2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C2CE5"/>
    <w:multiLevelType w:val="hybridMultilevel"/>
    <w:tmpl w:val="EE12B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811F49"/>
    <w:multiLevelType w:val="hybridMultilevel"/>
    <w:tmpl w:val="C7082680"/>
    <w:lvl w:ilvl="0" w:tplc="75C0E78C">
      <w:start w:val="1"/>
      <w:numFmt w:val="decimal"/>
      <w:lvlText w:val="%1."/>
      <w:lvlJc w:val="left"/>
      <w:pPr>
        <w:ind w:left="720" w:hanging="360"/>
      </w:pPr>
    </w:lvl>
    <w:lvl w:ilvl="1" w:tplc="9B245080">
      <w:start w:val="1"/>
      <w:numFmt w:val="decimal"/>
      <w:lvlText w:val="%2."/>
      <w:lvlJc w:val="left"/>
      <w:pPr>
        <w:ind w:left="720" w:hanging="360"/>
      </w:pPr>
    </w:lvl>
    <w:lvl w:ilvl="2" w:tplc="BE28B52E">
      <w:start w:val="1"/>
      <w:numFmt w:val="decimal"/>
      <w:lvlText w:val="%3."/>
      <w:lvlJc w:val="left"/>
      <w:pPr>
        <w:ind w:left="720" w:hanging="360"/>
      </w:pPr>
    </w:lvl>
    <w:lvl w:ilvl="3" w:tplc="3A923DC0">
      <w:start w:val="1"/>
      <w:numFmt w:val="decimal"/>
      <w:lvlText w:val="%4."/>
      <w:lvlJc w:val="left"/>
      <w:pPr>
        <w:ind w:left="720" w:hanging="360"/>
      </w:pPr>
    </w:lvl>
    <w:lvl w:ilvl="4" w:tplc="6BF65914">
      <w:start w:val="1"/>
      <w:numFmt w:val="decimal"/>
      <w:lvlText w:val="%5."/>
      <w:lvlJc w:val="left"/>
      <w:pPr>
        <w:ind w:left="720" w:hanging="360"/>
      </w:pPr>
    </w:lvl>
    <w:lvl w:ilvl="5" w:tplc="AA9A5242">
      <w:start w:val="1"/>
      <w:numFmt w:val="decimal"/>
      <w:lvlText w:val="%6."/>
      <w:lvlJc w:val="left"/>
      <w:pPr>
        <w:ind w:left="720" w:hanging="360"/>
      </w:pPr>
    </w:lvl>
    <w:lvl w:ilvl="6" w:tplc="06BCA86E">
      <w:start w:val="1"/>
      <w:numFmt w:val="decimal"/>
      <w:lvlText w:val="%7."/>
      <w:lvlJc w:val="left"/>
      <w:pPr>
        <w:ind w:left="720" w:hanging="360"/>
      </w:pPr>
    </w:lvl>
    <w:lvl w:ilvl="7" w:tplc="14BEFF80">
      <w:start w:val="1"/>
      <w:numFmt w:val="decimal"/>
      <w:lvlText w:val="%8."/>
      <w:lvlJc w:val="left"/>
      <w:pPr>
        <w:ind w:left="720" w:hanging="360"/>
      </w:pPr>
    </w:lvl>
    <w:lvl w:ilvl="8" w:tplc="5A96C3FA">
      <w:start w:val="1"/>
      <w:numFmt w:val="decimal"/>
      <w:lvlText w:val="%9."/>
      <w:lvlJc w:val="left"/>
      <w:pPr>
        <w:ind w:left="720" w:hanging="360"/>
      </w:pPr>
    </w:lvl>
  </w:abstractNum>
  <w:abstractNum w:abstractNumId="3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614AD"/>
    <w:multiLevelType w:val="multilevel"/>
    <w:tmpl w:val="BA3AFDAE"/>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DD45C2"/>
    <w:multiLevelType w:val="hybridMultilevel"/>
    <w:tmpl w:val="D320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077669"/>
    <w:multiLevelType w:val="hybridMultilevel"/>
    <w:tmpl w:val="B3DED44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751E516F"/>
    <w:multiLevelType w:val="hybridMultilevel"/>
    <w:tmpl w:val="D0B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C272B"/>
    <w:multiLevelType w:val="hybridMultilevel"/>
    <w:tmpl w:val="9CFE3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8980418">
    <w:abstractNumId w:val="37"/>
  </w:num>
  <w:num w:numId="2" w16cid:durableId="3948033">
    <w:abstractNumId w:val="18"/>
  </w:num>
  <w:num w:numId="3" w16cid:durableId="1706633718">
    <w:abstractNumId w:val="19"/>
  </w:num>
  <w:num w:numId="4" w16cid:durableId="384062448">
    <w:abstractNumId w:val="0"/>
  </w:num>
  <w:num w:numId="5" w16cid:durableId="78067493">
    <w:abstractNumId w:val="37"/>
  </w:num>
  <w:num w:numId="6" w16cid:durableId="1160730764">
    <w:abstractNumId w:val="9"/>
  </w:num>
  <w:num w:numId="7" w16cid:durableId="1057358629">
    <w:abstractNumId w:val="38"/>
  </w:num>
  <w:num w:numId="8" w16cid:durableId="1362588337">
    <w:abstractNumId w:val="17"/>
  </w:num>
  <w:num w:numId="9" w16cid:durableId="1122774068">
    <w:abstractNumId w:val="27"/>
  </w:num>
  <w:num w:numId="10" w16cid:durableId="912544023">
    <w:abstractNumId w:val="20"/>
  </w:num>
  <w:num w:numId="11" w16cid:durableId="2086679396">
    <w:abstractNumId w:val="23"/>
  </w:num>
  <w:num w:numId="12" w16cid:durableId="1941254491">
    <w:abstractNumId w:val="34"/>
  </w:num>
  <w:num w:numId="13" w16cid:durableId="1197894219">
    <w:abstractNumId w:val="36"/>
  </w:num>
  <w:num w:numId="14" w16cid:durableId="623971221">
    <w:abstractNumId w:val="31"/>
  </w:num>
  <w:num w:numId="15" w16cid:durableId="14698801">
    <w:abstractNumId w:val="22"/>
  </w:num>
  <w:num w:numId="16" w16cid:durableId="1351447036">
    <w:abstractNumId w:val="7"/>
  </w:num>
  <w:num w:numId="17" w16cid:durableId="871191842">
    <w:abstractNumId w:val="35"/>
  </w:num>
  <w:num w:numId="18" w16cid:durableId="805591101">
    <w:abstractNumId w:val="28"/>
  </w:num>
  <w:num w:numId="19" w16cid:durableId="1633712536">
    <w:abstractNumId w:val="8"/>
  </w:num>
  <w:num w:numId="20" w16cid:durableId="1091318831">
    <w:abstractNumId w:val="13"/>
  </w:num>
  <w:num w:numId="21" w16cid:durableId="194657154">
    <w:abstractNumId w:val="12"/>
  </w:num>
  <w:num w:numId="22" w16cid:durableId="764764688">
    <w:abstractNumId w:val="4"/>
  </w:num>
  <w:num w:numId="23" w16cid:durableId="2010018336">
    <w:abstractNumId w:val="21"/>
  </w:num>
  <w:num w:numId="24" w16cid:durableId="68845033">
    <w:abstractNumId w:val="5"/>
  </w:num>
  <w:num w:numId="25" w16cid:durableId="971785220">
    <w:abstractNumId w:val="1"/>
  </w:num>
  <w:num w:numId="26" w16cid:durableId="262497106">
    <w:abstractNumId w:val="11"/>
  </w:num>
  <w:num w:numId="27" w16cid:durableId="59528133">
    <w:abstractNumId w:val="14"/>
  </w:num>
  <w:num w:numId="28" w16cid:durableId="1843162323">
    <w:abstractNumId w:val="10"/>
  </w:num>
  <w:num w:numId="29" w16cid:durableId="12974431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2705">
    <w:abstractNumId w:val="33"/>
  </w:num>
  <w:num w:numId="31" w16cid:durableId="1201437594">
    <w:abstractNumId w:val="15"/>
  </w:num>
  <w:num w:numId="32" w16cid:durableId="1936934016">
    <w:abstractNumId w:val="26"/>
  </w:num>
  <w:num w:numId="33" w16cid:durableId="1097481202">
    <w:abstractNumId w:val="2"/>
  </w:num>
  <w:num w:numId="34" w16cid:durableId="2008092470">
    <w:abstractNumId w:val="3"/>
  </w:num>
  <w:num w:numId="35" w16cid:durableId="1766535067">
    <w:abstractNumId w:val="30"/>
  </w:num>
  <w:num w:numId="36" w16cid:durableId="2066635947">
    <w:abstractNumId w:val="24"/>
  </w:num>
  <w:num w:numId="37" w16cid:durableId="1681739486">
    <w:abstractNumId w:val="29"/>
  </w:num>
  <w:num w:numId="38" w16cid:durableId="232859972">
    <w:abstractNumId w:val="16"/>
  </w:num>
  <w:num w:numId="39" w16cid:durableId="341587399">
    <w:abstractNumId w:val="6"/>
  </w:num>
  <w:num w:numId="40" w16cid:durableId="1175412720">
    <w:abstractNumId w:val="32"/>
  </w:num>
  <w:num w:numId="41" w16cid:durableId="18048095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MTIxMDW2MAIBJR2l4NTi4sz8PJACw1oAlg6LgywAAAA="/>
  </w:docVars>
  <w:rsids>
    <w:rsidRoot w:val="00E65E79"/>
    <w:rsid w:val="000000C5"/>
    <w:rsid w:val="00000790"/>
    <w:rsid w:val="0000110B"/>
    <w:rsid w:val="00003499"/>
    <w:rsid w:val="000039B7"/>
    <w:rsid w:val="00004347"/>
    <w:rsid w:val="000056B9"/>
    <w:rsid w:val="00005A60"/>
    <w:rsid w:val="0000639A"/>
    <w:rsid w:val="00007F15"/>
    <w:rsid w:val="000118CD"/>
    <w:rsid w:val="000119BE"/>
    <w:rsid w:val="00012DA7"/>
    <w:rsid w:val="00013247"/>
    <w:rsid w:val="00014EBC"/>
    <w:rsid w:val="00015886"/>
    <w:rsid w:val="00015A20"/>
    <w:rsid w:val="000162EF"/>
    <w:rsid w:val="0001675B"/>
    <w:rsid w:val="0001795E"/>
    <w:rsid w:val="000207C9"/>
    <w:rsid w:val="0002225F"/>
    <w:rsid w:val="000225B6"/>
    <w:rsid w:val="00023763"/>
    <w:rsid w:val="0002403B"/>
    <w:rsid w:val="00024EB5"/>
    <w:rsid w:val="000251B4"/>
    <w:rsid w:val="000274B8"/>
    <w:rsid w:val="00033863"/>
    <w:rsid w:val="000343F1"/>
    <w:rsid w:val="00035DC0"/>
    <w:rsid w:val="00036829"/>
    <w:rsid w:val="00036DC5"/>
    <w:rsid w:val="00040895"/>
    <w:rsid w:val="000410A0"/>
    <w:rsid w:val="000435EE"/>
    <w:rsid w:val="00043C37"/>
    <w:rsid w:val="00045017"/>
    <w:rsid w:val="00045921"/>
    <w:rsid w:val="00045A2B"/>
    <w:rsid w:val="0004698F"/>
    <w:rsid w:val="00046D64"/>
    <w:rsid w:val="00050845"/>
    <w:rsid w:val="000508C2"/>
    <w:rsid w:val="00051401"/>
    <w:rsid w:val="00052ACE"/>
    <w:rsid w:val="000539D0"/>
    <w:rsid w:val="000540F9"/>
    <w:rsid w:val="00054621"/>
    <w:rsid w:val="000546D7"/>
    <w:rsid w:val="00054A8D"/>
    <w:rsid w:val="0005610C"/>
    <w:rsid w:val="00056ECF"/>
    <w:rsid w:val="00057CC5"/>
    <w:rsid w:val="000604DF"/>
    <w:rsid w:val="00060DDC"/>
    <w:rsid w:val="00062324"/>
    <w:rsid w:val="00063718"/>
    <w:rsid w:val="000653B5"/>
    <w:rsid w:val="00066360"/>
    <w:rsid w:val="00066AF8"/>
    <w:rsid w:val="0006794F"/>
    <w:rsid w:val="0007066C"/>
    <w:rsid w:val="00071248"/>
    <w:rsid w:val="000720B9"/>
    <w:rsid w:val="000737F7"/>
    <w:rsid w:val="000740C5"/>
    <w:rsid w:val="00074A1E"/>
    <w:rsid w:val="00074B9B"/>
    <w:rsid w:val="00076661"/>
    <w:rsid w:val="0007672F"/>
    <w:rsid w:val="00076B54"/>
    <w:rsid w:val="000774F0"/>
    <w:rsid w:val="00080909"/>
    <w:rsid w:val="000812CA"/>
    <w:rsid w:val="000814CF"/>
    <w:rsid w:val="00081E63"/>
    <w:rsid w:val="0008258D"/>
    <w:rsid w:val="00083AA9"/>
    <w:rsid w:val="00083E99"/>
    <w:rsid w:val="00084405"/>
    <w:rsid w:val="00084DC5"/>
    <w:rsid w:val="00084FA8"/>
    <w:rsid w:val="00085607"/>
    <w:rsid w:val="000856C5"/>
    <w:rsid w:val="00085C31"/>
    <w:rsid w:val="00086245"/>
    <w:rsid w:val="0008745F"/>
    <w:rsid w:val="000902D9"/>
    <w:rsid w:val="00090C7E"/>
    <w:rsid w:val="000911AC"/>
    <w:rsid w:val="00092600"/>
    <w:rsid w:val="0009262B"/>
    <w:rsid w:val="00093310"/>
    <w:rsid w:val="00094104"/>
    <w:rsid w:val="000942FF"/>
    <w:rsid w:val="0009445C"/>
    <w:rsid w:val="00095200"/>
    <w:rsid w:val="00095FE5"/>
    <w:rsid w:val="00096284"/>
    <w:rsid w:val="00097589"/>
    <w:rsid w:val="00097BA6"/>
    <w:rsid w:val="000A1BC0"/>
    <w:rsid w:val="000A2660"/>
    <w:rsid w:val="000A2C73"/>
    <w:rsid w:val="000A2F9E"/>
    <w:rsid w:val="000A3E47"/>
    <w:rsid w:val="000A522B"/>
    <w:rsid w:val="000A6039"/>
    <w:rsid w:val="000A6638"/>
    <w:rsid w:val="000A7453"/>
    <w:rsid w:val="000A7D08"/>
    <w:rsid w:val="000B0121"/>
    <w:rsid w:val="000B0670"/>
    <w:rsid w:val="000B0E75"/>
    <w:rsid w:val="000B2DCB"/>
    <w:rsid w:val="000B38BC"/>
    <w:rsid w:val="000B3DC7"/>
    <w:rsid w:val="000B4ABF"/>
    <w:rsid w:val="000B4F3F"/>
    <w:rsid w:val="000B5CE0"/>
    <w:rsid w:val="000B6CAC"/>
    <w:rsid w:val="000B6E1F"/>
    <w:rsid w:val="000B7612"/>
    <w:rsid w:val="000B76EF"/>
    <w:rsid w:val="000B78AE"/>
    <w:rsid w:val="000B7C9C"/>
    <w:rsid w:val="000C04C5"/>
    <w:rsid w:val="000C0B60"/>
    <w:rsid w:val="000C286B"/>
    <w:rsid w:val="000C2AE7"/>
    <w:rsid w:val="000C2D9F"/>
    <w:rsid w:val="000C36AA"/>
    <w:rsid w:val="000C3776"/>
    <w:rsid w:val="000C3DF9"/>
    <w:rsid w:val="000C4CF2"/>
    <w:rsid w:val="000C5DDD"/>
    <w:rsid w:val="000C64F0"/>
    <w:rsid w:val="000C6713"/>
    <w:rsid w:val="000C7826"/>
    <w:rsid w:val="000D0390"/>
    <w:rsid w:val="000D1BFC"/>
    <w:rsid w:val="000D1CED"/>
    <w:rsid w:val="000D1D5D"/>
    <w:rsid w:val="000D281A"/>
    <w:rsid w:val="000D2848"/>
    <w:rsid w:val="000D326A"/>
    <w:rsid w:val="000D51FB"/>
    <w:rsid w:val="000D6D91"/>
    <w:rsid w:val="000D74C2"/>
    <w:rsid w:val="000D7AB9"/>
    <w:rsid w:val="000E0640"/>
    <w:rsid w:val="000E135D"/>
    <w:rsid w:val="000E2ED5"/>
    <w:rsid w:val="000E3B73"/>
    <w:rsid w:val="000E3D71"/>
    <w:rsid w:val="000E6093"/>
    <w:rsid w:val="000E799F"/>
    <w:rsid w:val="000F00BA"/>
    <w:rsid w:val="000F1323"/>
    <w:rsid w:val="000F27CD"/>
    <w:rsid w:val="000F316A"/>
    <w:rsid w:val="000F3874"/>
    <w:rsid w:val="000F3C74"/>
    <w:rsid w:val="000F4BB8"/>
    <w:rsid w:val="000F4FA9"/>
    <w:rsid w:val="000F52F6"/>
    <w:rsid w:val="000F53FB"/>
    <w:rsid w:val="000F5932"/>
    <w:rsid w:val="000F7127"/>
    <w:rsid w:val="000F7B54"/>
    <w:rsid w:val="001000B3"/>
    <w:rsid w:val="00100CDA"/>
    <w:rsid w:val="00100F8A"/>
    <w:rsid w:val="0010101B"/>
    <w:rsid w:val="0010452E"/>
    <w:rsid w:val="00105320"/>
    <w:rsid w:val="00105AE2"/>
    <w:rsid w:val="00105E4C"/>
    <w:rsid w:val="001060C6"/>
    <w:rsid w:val="001069A0"/>
    <w:rsid w:val="00106B80"/>
    <w:rsid w:val="0011032E"/>
    <w:rsid w:val="0011348B"/>
    <w:rsid w:val="00113AC0"/>
    <w:rsid w:val="00115197"/>
    <w:rsid w:val="00115982"/>
    <w:rsid w:val="00116C53"/>
    <w:rsid w:val="00121799"/>
    <w:rsid w:val="001220D1"/>
    <w:rsid w:val="001222FC"/>
    <w:rsid w:val="0012321A"/>
    <w:rsid w:val="00123902"/>
    <w:rsid w:val="00124A51"/>
    <w:rsid w:val="001256BC"/>
    <w:rsid w:val="00126621"/>
    <w:rsid w:val="00126B1D"/>
    <w:rsid w:val="00126FB1"/>
    <w:rsid w:val="001301E9"/>
    <w:rsid w:val="001312EF"/>
    <w:rsid w:val="00131D82"/>
    <w:rsid w:val="00132B22"/>
    <w:rsid w:val="00133D36"/>
    <w:rsid w:val="001357A0"/>
    <w:rsid w:val="00135D40"/>
    <w:rsid w:val="00137645"/>
    <w:rsid w:val="00137FD1"/>
    <w:rsid w:val="0014015A"/>
    <w:rsid w:val="0014068D"/>
    <w:rsid w:val="00140E99"/>
    <w:rsid w:val="00141964"/>
    <w:rsid w:val="00143F67"/>
    <w:rsid w:val="00144CFE"/>
    <w:rsid w:val="00145234"/>
    <w:rsid w:val="00145540"/>
    <w:rsid w:val="001456B0"/>
    <w:rsid w:val="00146B81"/>
    <w:rsid w:val="001524F9"/>
    <w:rsid w:val="001524FF"/>
    <w:rsid w:val="0015358E"/>
    <w:rsid w:val="001547AB"/>
    <w:rsid w:val="00155126"/>
    <w:rsid w:val="00155153"/>
    <w:rsid w:val="001567CB"/>
    <w:rsid w:val="00156F8F"/>
    <w:rsid w:val="00157130"/>
    <w:rsid w:val="001576B1"/>
    <w:rsid w:val="00157C79"/>
    <w:rsid w:val="0016047B"/>
    <w:rsid w:val="00160905"/>
    <w:rsid w:val="00160A4C"/>
    <w:rsid w:val="00160CB0"/>
    <w:rsid w:val="00161378"/>
    <w:rsid w:val="00162913"/>
    <w:rsid w:val="001635C0"/>
    <w:rsid w:val="00163EFF"/>
    <w:rsid w:val="00163F66"/>
    <w:rsid w:val="001642BD"/>
    <w:rsid w:val="0016478E"/>
    <w:rsid w:val="0016520F"/>
    <w:rsid w:val="00165A38"/>
    <w:rsid w:val="00165EC4"/>
    <w:rsid w:val="001661FB"/>
    <w:rsid w:val="00166BB1"/>
    <w:rsid w:val="001671A0"/>
    <w:rsid w:val="0016767F"/>
    <w:rsid w:val="001677B1"/>
    <w:rsid w:val="001721A4"/>
    <w:rsid w:val="00172F23"/>
    <w:rsid w:val="00173565"/>
    <w:rsid w:val="00173B07"/>
    <w:rsid w:val="001751FA"/>
    <w:rsid w:val="0017718F"/>
    <w:rsid w:val="00181C10"/>
    <w:rsid w:val="00181D9C"/>
    <w:rsid w:val="00182FF2"/>
    <w:rsid w:val="00183287"/>
    <w:rsid w:val="001837FF"/>
    <w:rsid w:val="00184B0E"/>
    <w:rsid w:val="001868F4"/>
    <w:rsid w:val="001869F1"/>
    <w:rsid w:val="0018752F"/>
    <w:rsid w:val="00192A0B"/>
    <w:rsid w:val="001936BF"/>
    <w:rsid w:val="00193838"/>
    <w:rsid w:val="00194AD8"/>
    <w:rsid w:val="00195222"/>
    <w:rsid w:val="00195452"/>
    <w:rsid w:val="001957F8"/>
    <w:rsid w:val="001975D8"/>
    <w:rsid w:val="00197762"/>
    <w:rsid w:val="00197B66"/>
    <w:rsid w:val="00197DBD"/>
    <w:rsid w:val="001A1119"/>
    <w:rsid w:val="001A178E"/>
    <w:rsid w:val="001A382B"/>
    <w:rsid w:val="001A43FA"/>
    <w:rsid w:val="001A47C5"/>
    <w:rsid w:val="001A4AE7"/>
    <w:rsid w:val="001A59FB"/>
    <w:rsid w:val="001A5E9E"/>
    <w:rsid w:val="001A6354"/>
    <w:rsid w:val="001A6366"/>
    <w:rsid w:val="001A7AE8"/>
    <w:rsid w:val="001B204E"/>
    <w:rsid w:val="001B2372"/>
    <w:rsid w:val="001B29F8"/>
    <w:rsid w:val="001B3443"/>
    <w:rsid w:val="001B4D20"/>
    <w:rsid w:val="001B6B56"/>
    <w:rsid w:val="001B6DA4"/>
    <w:rsid w:val="001B7AFB"/>
    <w:rsid w:val="001B7F84"/>
    <w:rsid w:val="001C0B58"/>
    <w:rsid w:val="001C25B0"/>
    <w:rsid w:val="001C2A9B"/>
    <w:rsid w:val="001C2C3A"/>
    <w:rsid w:val="001C3DD6"/>
    <w:rsid w:val="001C40BF"/>
    <w:rsid w:val="001C4299"/>
    <w:rsid w:val="001C4874"/>
    <w:rsid w:val="001C5F94"/>
    <w:rsid w:val="001C6473"/>
    <w:rsid w:val="001C6E66"/>
    <w:rsid w:val="001D0019"/>
    <w:rsid w:val="001D1100"/>
    <w:rsid w:val="001D11AC"/>
    <w:rsid w:val="001D1391"/>
    <w:rsid w:val="001D25D7"/>
    <w:rsid w:val="001D27D0"/>
    <w:rsid w:val="001D3A5C"/>
    <w:rsid w:val="001D50B2"/>
    <w:rsid w:val="001D6857"/>
    <w:rsid w:val="001D71F4"/>
    <w:rsid w:val="001D7645"/>
    <w:rsid w:val="001E1D7B"/>
    <w:rsid w:val="001E1E86"/>
    <w:rsid w:val="001E238E"/>
    <w:rsid w:val="001E2483"/>
    <w:rsid w:val="001E269E"/>
    <w:rsid w:val="001E2B1E"/>
    <w:rsid w:val="001E2CFF"/>
    <w:rsid w:val="001E2DE6"/>
    <w:rsid w:val="001E2F24"/>
    <w:rsid w:val="001E30D4"/>
    <w:rsid w:val="001E32B7"/>
    <w:rsid w:val="001E34DF"/>
    <w:rsid w:val="001E52EB"/>
    <w:rsid w:val="001E61A4"/>
    <w:rsid w:val="001E61D2"/>
    <w:rsid w:val="001E740C"/>
    <w:rsid w:val="001F024A"/>
    <w:rsid w:val="001F040B"/>
    <w:rsid w:val="001F046F"/>
    <w:rsid w:val="001F1235"/>
    <w:rsid w:val="001F1CB3"/>
    <w:rsid w:val="001F2374"/>
    <w:rsid w:val="001F38B5"/>
    <w:rsid w:val="001F4081"/>
    <w:rsid w:val="001F4EE4"/>
    <w:rsid w:val="001F5EF4"/>
    <w:rsid w:val="001F7361"/>
    <w:rsid w:val="002011B0"/>
    <w:rsid w:val="0020203D"/>
    <w:rsid w:val="00202C0C"/>
    <w:rsid w:val="00203181"/>
    <w:rsid w:val="00203783"/>
    <w:rsid w:val="0020385F"/>
    <w:rsid w:val="00203BB9"/>
    <w:rsid w:val="00205DA0"/>
    <w:rsid w:val="002068A0"/>
    <w:rsid w:val="00207021"/>
    <w:rsid w:val="0020732F"/>
    <w:rsid w:val="00207D00"/>
    <w:rsid w:val="002105C1"/>
    <w:rsid w:val="002116FD"/>
    <w:rsid w:val="0021395F"/>
    <w:rsid w:val="00213EF5"/>
    <w:rsid w:val="0021546C"/>
    <w:rsid w:val="00215C60"/>
    <w:rsid w:val="00216BF5"/>
    <w:rsid w:val="0022204A"/>
    <w:rsid w:val="0022393F"/>
    <w:rsid w:val="00223B49"/>
    <w:rsid w:val="00223D5A"/>
    <w:rsid w:val="00224DD4"/>
    <w:rsid w:val="00225CD1"/>
    <w:rsid w:val="00225EBB"/>
    <w:rsid w:val="00227864"/>
    <w:rsid w:val="002278A0"/>
    <w:rsid w:val="00227B27"/>
    <w:rsid w:val="002309CC"/>
    <w:rsid w:val="00231BA9"/>
    <w:rsid w:val="0023209F"/>
    <w:rsid w:val="00232212"/>
    <w:rsid w:val="00233C01"/>
    <w:rsid w:val="0023413C"/>
    <w:rsid w:val="00234508"/>
    <w:rsid w:val="002346F0"/>
    <w:rsid w:val="00234E93"/>
    <w:rsid w:val="0023629D"/>
    <w:rsid w:val="0023706D"/>
    <w:rsid w:val="00237255"/>
    <w:rsid w:val="00240B4F"/>
    <w:rsid w:val="002424AF"/>
    <w:rsid w:val="00242E30"/>
    <w:rsid w:val="002439DC"/>
    <w:rsid w:val="002441D2"/>
    <w:rsid w:val="00244DC8"/>
    <w:rsid w:val="002458BA"/>
    <w:rsid w:val="00245CE9"/>
    <w:rsid w:val="0024636C"/>
    <w:rsid w:val="00247292"/>
    <w:rsid w:val="00247925"/>
    <w:rsid w:val="00251006"/>
    <w:rsid w:val="002524D5"/>
    <w:rsid w:val="00253B1D"/>
    <w:rsid w:val="00254DCF"/>
    <w:rsid w:val="0025534B"/>
    <w:rsid w:val="002558C0"/>
    <w:rsid w:val="00255BB7"/>
    <w:rsid w:val="00256F27"/>
    <w:rsid w:val="00257541"/>
    <w:rsid w:val="002575EC"/>
    <w:rsid w:val="00257A39"/>
    <w:rsid w:val="00257AC4"/>
    <w:rsid w:val="00257BBE"/>
    <w:rsid w:val="00261A69"/>
    <w:rsid w:val="00261EEF"/>
    <w:rsid w:val="00262A1A"/>
    <w:rsid w:val="00262A87"/>
    <w:rsid w:val="00264D26"/>
    <w:rsid w:val="00266648"/>
    <w:rsid w:val="00266F2C"/>
    <w:rsid w:val="00267642"/>
    <w:rsid w:val="002677E1"/>
    <w:rsid w:val="00267A92"/>
    <w:rsid w:val="00267AEA"/>
    <w:rsid w:val="002700E6"/>
    <w:rsid w:val="0027073A"/>
    <w:rsid w:val="00271F7D"/>
    <w:rsid w:val="0027294B"/>
    <w:rsid w:val="00272BD3"/>
    <w:rsid w:val="00273EB4"/>
    <w:rsid w:val="00274682"/>
    <w:rsid w:val="002747C2"/>
    <w:rsid w:val="00275158"/>
    <w:rsid w:val="002758EF"/>
    <w:rsid w:val="00275C5A"/>
    <w:rsid w:val="002771E3"/>
    <w:rsid w:val="0028051C"/>
    <w:rsid w:val="00281014"/>
    <w:rsid w:val="002845DF"/>
    <w:rsid w:val="00285BCE"/>
    <w:rsid w:val="00286559"/>
    <w:rsid w:val="0028665D"/>
    <w:rsid w:val="00286AA1"/>
    <w:rsid w:val="00291FAA"/>
    <w:rsid w:val="00293091"/>
    <w:rsid w:val="00293ADC"/>
    <w:rsid w:val="002A009F"/>
    <w:rsid w:val="002A0DF7"/>
    <w:rsid w:val="002A14AB"/>
    <w:rsid w:val="002A1D2E"/>
    <w:rsid w:val="002A25CD"/>
    <w:rsid w:val="002A2ADE"/>
    <w:rsid w:val="002A2F50"/>
    <w:rsid w:val="002A5D1E"/>
    <w:rsid w:val="002A6CBE"/>
    <w:rsid w:val="002A7943"/>
    <w:rsid w:val="002B05A1"/>
    <w:rsid w:val="002B09A4"/>
    <w:rsid w:val="002B1C1F"/>
    <w:rsid w:val="002B432F"/>
    <w:rsid w:val="002B4B26"/>
    <w:rsid w:val="002B62B3"/>
    <w:rsid w:val="002B6754"/>
    <w:rsid w:val="002B6CCE"/>
    <w:rsid w:val="002B7837"/>
    <w:rsid w:val="002C2510"/>
    <w:rsid w:val="002C2775"/>
    <w:rsid w:val="002C27C1"/>
    <w:rsid w:val="002C36E3"/>
    <w:rsid w:val="002C48E8"/>
    <w:rsid w:val="002C5099"/>
    <w:rsid w:val="002C5889"/>
    <w:rsid w:val="002C71CE"/>
    <w:rsid w:val="002D08F8"/>
    <w:rsid w:val="002D411B"/>
    <w:rsid w:val="002D44A0"/>
    <w:rsid w:val="002D4FA2"/>
    <w:rsid w:val="002D577C"/>
    <w:rsid w:val="002D594C"/>
    <w:rsid w:val="002D6B6F"/>
    <w:rsid w:val="002D7832"/>
    <w:rsid w:val="002E1071"/>
    <w:rsid w:val="002E15B9"/>
    <w:rsid w:val="002E2158"/>
    <w:rsid w:val="002E47FF"/>
    <w:rsid w:val="002E4AA6"/>
    <w:rsid w:val="002E4F02"/>
    <w:rsid w:val="002E52F0"/>
    <w:rsid w:val="002E613C"/>
    <w:rsid w:val="002E7722"/>
    <w:rsid w:val="002F0290"/>
    <w:rsid w:val="002F07BA"/>
    <w:rsid w:val="002F0DA9"/>
    <w:rsid w:val="002F1014"/>
    <w:rsid w:val="002F1A74"/>
    <w:rsid w:val="002F1E3B"/>
    <w:rsid w:val="002F1FE4"/>
    <w:rsid w:val="002F5599"/>
    <w:rsid w:val="002F643C"/>
    <w:rsid w:val="002F71C0"/>
    <w:rsid w:val="002F74F1"/>
    <w:rsid w:val="00301017"/>
    <w:rsid w:val="0030155F"/>
    <w:rsid w:val="0030587B"/>
    <w:rsid w:val="00306D98"/>
    <w:rsid w:val="0030786C"/>
    <w:rsid w:val="0031031A"/>
    <w:rsid w:val="00310981"/>
    <w:rsid w:val="0031168C"/>
    <w:rsid w:val="00311D9B"/>
    <w:rsid w:val="003124D9"/>
    <w:rsid w:val="00312594"/>
    <w:rsid w:val="003128E2"/>
    <w:rsid w:val="00312CD5"/>
    <w:rsid w:val="00314177"/>
    <w:rsid w:val="00315498"/>
    <w:rsid w:val="00315B45"/>
    <w:rsid w:val="00316474"/>
    <w:rsid w:val="00316E3E"/>
    <w:rsid w:val="00322107"/>
    <w:rsid w:val="00322355"/>
    <w:rsid w:val="00322846"/>
    <w:rsid w:val="00322BE1"/>
    <w:rsid w:val="00323E6B"/>
    <w:rsid w:val="003259B8"/>
    <w:rsid w:val="00326DA7"/>
    <w:rsid w:val="003270E4"/>
    <w:rsid w:val="00330DAA"/>
    <w:rsid w:val="00330F5C"/>
    <w:rsid w:val="003313EC"/>
    <w:rsid w:val="00331F68"/>
    <w:rsid w:val="003326F9"/>
    <w:rsid w:val="00334514"/>
    <w:rsid w:val="00335F2C"/>
    <w:rsid w:val="003366C9"/>
    <w:rsid w:val="00336E09"/>
    <w:rsid w:val="003371B0"/>
    <w:rsid w:val="00337328"/>
    <w:rsid w:val="00340CD4"/>
    <w:rsid w:val="00340DF1"/>
    <w:rsid w:val="00341C98"/>
    <w:rsid w:val="00343356"/>
    <w:rsid w:val="0034609D"/>
    <w:rsid w:val="00346A1C"/>
    <w:rsid w:val="0035142B"/>
    <w:rsid w:val="003517F9"/>
    <w:rsid w:val="00351BA9"/>
    <w:rsid w:val="00352420"/>
    <w:rsid w:val="00354F64"/>
    <w:rsid w:val="003558FC"/>
    <w:rsid w:val="00355C43"/>
    <w:rsid w:val="0035620E"/>
    <w:rsid w:val="003575BE"/>
    <w:rsid w:val="00360345"/>
    <w:rsid w:val="003616D6"/>
    <w:rsid w:val="00361A05"/>
    <w:rsid w:val="003624C4"/>
    <w:rsid w:val="00363B00"/>
    <w:rsid w:val="003654AC"/>
    <w:rsid w:val="00366CE4"/>
    <w:rsid w:val="003710CF"/>
    <w:rsid w:val="00371261"/>
    <w:rsid w:val="0037358A"/>
    <w:rsid w:val="0037384E"/>
    <w:rsid w:val="003750F6"/>
    <w:rsid w:val="00376046"/>
    <w:rsid w:val="003760FC"/>
    <w:rsid w:val="00376FC9"/>
    <w:rsid w:val="003806A2"/>
    <w:rsid w:val="0038365C"/>
    <w:rsid w:val="0038369B"/>
    <w:rsid w:val="00383B78"/>
    <w:rsid w:val="00384E83"/>
    <w:rsid w:val="00385A9D"/>
    <w:rsid w:val="00387121"/>
    <w:rsid w:val="003902B1"/>
    <w:rsid w:val="00390FE9"/>
    <w:rsid w:val="00391354"/>
    <w:rsid w:val="0039179C"/>
    <w:rsid w:val="0039291A"/>
    <w:rsid w:val="00392986"/>
    <w:rsid w:val="00394C4B"/>
    <w:rsid w:val="00396896"/>
    <w:rsid w:val="00396FD0"/>
    <w:rsid w:val="003A0086"/>
    <w:rsid w:val="003A1A7A"/>
    <w:rsid w:val="003A2392"/>
    <w:rsid w:val="003A2831"/>
    <w:rsid w:val="003A2C78"/>
    <w:rsid w:val="003A3246"/>
    <w:rsid w:val="003A3CB6"/>
    <w:rsid w:val="003A3EBB"/>
    <w:rsid w:val="003A3ED1"/>
    <w:rsid w:val="003A44DB"/>
    <w:rsid w:val="003A4C14"/>
    <w:rsid w:val="003A507F"/>
    <w:rsid w:val="003A5FFB"/>
    <w:rsid w:val="003A76A6"/>
    <w:rsid w:val="003B1B9F"/>
    <w:rsid w:val="003B3971"/>
    <w:rsid w:val="003B55D1"/>
    <w:rsid w:val="003B5B61"/>
    <w:rsid w:val="003C0C63"/>
    <w:rsid w:val="003C1654"/>
    <w:rsid w:val="003C1F76"/>
    <w:rsid w:val="003C2781"/>
    <w:rsid w:val="003C35F7"/>
    <w:rsid w:val="003C3CB6"/>
    <w:rsid w:val="003C5542"/>
    <w:rsid w:val="003C7C15"/>
    <w:rsid w:val="003C7D19"/>
    <w:rsid w:val="003C7D2F"/>
    <w:rsid w:val="003D0C5A"/>
    <w:rsid w:val="003D1828"/>
    <w:rsid w:val="003D1DE4"/>
    <w:rsid w:val="003D1E9A"/>
    <w:rsid w:val="003D2422"/>
    <w:rsid w:val="003D2948"/>
    <w:rsid w:val="003D3061"/>
    <w:rsid w:val="003D3580"/>
    <w:rsid w:val="003D39A1"/>
    <w:rsid w:val="003D3FBF"/>
    <w:rsid w:val="003D4A30"/>
    <w:rsid w:val="003D5D3A"/>
    <w:rsid w:val="003D7422"/>
    <w:rsid w:val="003D7452"/>
    <w:rsid w:val="003D772F"/>
    <w:rsid w:val="003D79BB"/>
    <w:rsid w:val="003D7C98"/>
    <w:rsid w:val="003D7D9D"/>
    <w:rsid w:val="003E0543"/>
    <w:rsid w:val="003E1F00"/>
    <w:rsid w:val="003E26E1"/>
    <w:rsid w:val="003E51DF"/>
    <w:rsid w:val="003E5603"/>
    <w:rsid w:val="003E749E"/>
    <w:rsid w:val="003E7B3E"/>
    <w:rsid w:val="003E7E03"/>
    <w:rsid w:val="003F233A"/>
    <w:rsid w:val="003F4156"/>
    <w:rsid w:val="003F588D"/>
    <w:rsid w:val="003F5ADF"/>
    <w:rsid w:val="00400B29"/>
    <w:rsid w:val="00400F49"/>
    <w:rsid w:val="00402812"/>
    <w:rsid w:val="0040504B"/>
    <w:rsid w:val="004059F4"/>
    <w:rsid w:val="004060D1"/>
    <w:rsid w:val="00406574"/>
    <w:rsid w:val="00407FE5"/>
    <w:rsid w:val="00410129"/>
    <w:rsid w:val="004101B0"/>
    <w:rsid w:val="00410326"/>
    <w:rsid w:val="00410708"/>
    <w:rsid w:val="00410EC7"/>
    <w:rsid w:val="00411652"/>
    <w:rsid w:val="00411B39"/>
    <w:rsid w:val="00411CB1"/>
    <w:rsid w:val="004127A7"/>
    <w:rsid w:val="004131F7"/>
    <w:rsid w:val="0041371E"/>
    <w:rsid w:val="00413A1E"/>
    <w:rsid w:val="00413EBC"/>
    <w:rsid w:val="00414476"/>
    <w:rsid w:val="00414582"/>
    <w:rsid w:val="00414C2E"/>
    <w:rsid w:val="00414FBA"/>
    <w:rsid w:val="004151CF"/>
    <w:rsid w:val="00415FE6"/>
    <w:rsid w:val="00416364"/>
    <w:rsid w:val="00416D18"/>
    <w:rsid w:val="004179D3"/>
    <w:rsid w:val="00420103"/>
    <w:rsid w:val="0042047F"/>
    <w:rsid w:val="00420AA6"/>
    <w:rsid w:val="00420B9F"/>
    <w:rsid w:val="0042192C"/>
    <w:rsid w:val="00422260"/>
    <w:rsid w:val="0042413F"/>
    <w:rsid w:val="00425631"/>
    <w:rsid w:val="00425771"/>
    <w:rsid w:val="00427EEC"/>
    <w:rsid w:val="004319F8"/>
    <w:rsid w:val="00431E55"/>
    <w:rsid w:val="004321F6"/>
    <w:rsid w:val="00433044"/>
    <w:rsid w:val="00434088"/>
    <w:rsid w:val="004375B9"/>
    <w:rsid w:val="004377AA"/>
    <w:rsid w:val="004428D0"/>
    <w:rsid w:val="00443FEB"/>
    <w:rsid w:val="00444185"/>
    <w:rsid w:val="004443A7"/>
    <w:rsid w:val="0044442C"/>
    <w:rsid w:val="00445941"/>
    <w:rsid w:val="004464EB"/>
    <w:rsid w:val="00447D26"/>
    <w:rsid w:val="00447DFC"/>
    <w:rsid w:val="004535AE"/>
    <w:rsid w:val="00455D45"/>
    <w:rsid w:val="004570C3"/>
    <w:rsid w:val="00457B8A"/>
    <w:rsid w:val="00461E36"/>
    <w:rsid w:val="00464595"/>
    <w:rsid w:val="004650DA"/>
    <w:rsid w:val="004658B5"/>
    <w:rsid w:val="00465CC3"/>
    <w:rsid w:val="004674AE"/>
    <w:rsid w:val="00471EA5"/>
    <w:rsid w:val="00472A79"/>
    <w:rsid w:val="00472D8A"/>
    <w:rsid w:val="00473F19"/>
    <w:rsid w:val="004754D4"/>
    <w:rsid w:val="00475E22"/>
    <w:rsid w:val="004774D0"/>
    <w:rsid w:val="004804AC"/>
    <w:rsid w:val="0048088E"/>
    <w:rsid w:val="00480B84"/>
    <w:rsid w:val="00480F2B"/>
    <w:rsid w:val="004825A2"/>
    <w:rsid w:val="00482720"/>
    <w:rsid w:val="004835E7"/>
    <w:rsid w:val="00484D5E"/>
    <w:rsid w:val="00485702"/>
    <w:rsid w:val="004859E1"/>
    <w:rsid w:val="00485EF8"/>
    <w:rsid w:val="004867E2"/>
    <w:rsid w:val="00490B17"/>
    <w:rsid w:val="00491767"/>
    <w:rsid w:val="00491B3A"/>
    <w:rsid w:val="00492CFD"/>
    <w:rsid w:val="00493129"/>
    <w:rsid w:val="00494128"/>
    <w:rsid w:val="00494207"/>
    <w:rsid w:val="0049423D"/>
    <w:rsid w:val="00494DD5"/>
    <w:rsid w:val="004955FA"/>
    <w:rsid w:val="004962D2"/>
    <w:rsid w:val="004A0DA1"/>
    <w:rsid w:val="004A13D6"/>
    <w:rsid w:val="004A52E9"/>
    <w:rsid w:val="004A6040"/>
    <w:rsid w:val="004A6597"/>
    <w:rsid w:val="004A7848"/>
    <w:rsid w:val="004A793B"/>
    <w:rsid w:val="004B08EC"/>
    <w:rsid w:val="004B181E"/>
    <w:rsid w:val="004B1CB4"/>
    <w:rsid w:val="004B2F18"/>
    <w:rsid w:val="004B36F8"/>
    <w:rsid w:val="004B3A52"/>
    <w:rsid w:val="004B3DDB"/>
    <w:rsid w:val="004B44FD"/>
    <w:rsid w:val="004B5CFC"/>
    <w:rsid w:val="004B6F79"/>
    <w:rsid w:val="004B774D"/>
    <w:rsid w:val="004B7C54"/>
    <w:rsid w:val="004C0AF3"/>
    <w:rsid w:val="004C1707"/>
    <w:rsid w:val="004C2426"/>
    <w:rsid w:val="004C28FF"/>
    <w:rsid w:val="004C2AC2"/>
    <w:rsid w:val="004C2D08"/>
    <w:rsid w:val="004C2DDC"/>
    <w:rsid w:val="004C377E"/>
    <w:rsid w:val="004C3BBF"/>
    <w:rsid w:val="004C4AED"/>
    <w:rsid w:val="004C5396"/>
    <w:rsid w:val="004C692A"/>
    <w:rsid w:val="004C75D1"/>
    <w:rsid w:val="004C7CD5"/>
    <w:rsid w:val="004D06EA"/>
    <w:rsid w:val="004D14F3"/>
    <w:rsid w:val="004D2C2D"/>
    <w:rsid w:val="004D69B5"/>
    <w:rsid w:val="004D7227"/>
    <w:rsid w:val="004D7B5E"/>
    <w:rsid w:val="004E0053"/>
    <w:rsid w:val="004E0E7F"/>
    <w:rsid w:val="004E0EB8"/>
    <w:rsid w:val="004E18E9"/>
    <w:rsid w:val="004E2ADC"/>
    <w:rsid w:val="004E3079"/>
    <w:rsid w:val="004E43B2"/>
    <w:rsid w:val="004E5E75"/>
    <w:rsid w:val="004E5F53"/>
    <w:rsid w:val="004E70AA"/>
    <w:rsid w:val="004E7F2E"/>
    <w:rsid w:val="004F1D02"/>
    <w:rsid w:val="004F2679"/>
    <w:rsid w:val="004F2F21"/>
    <w:rsid w:val="004F3865"/>
    <w:rsid w:val="004F3DE5"/>
    <w:rsid w:val="004F6913"/>
    <w:rsid w:val="004F7779"/>
    <w:rsid w:val="004F7865"/>
    <w:rsid w:val="0050174E"/>
    <w:rsid w:val="00501854"/>
    <w:rsid w:val="00501B32"/>
    <w:rsid w:val="00501EAE"/>
    <w:rsid w:val="0050219B"/>
    <w:rsid w:val="00502B65"/>
    <w:rsid w:val="00503F17"/>
    <w:rsid w:val="00503F3A"/>
    <w:rsid w:val="005048BC"/>
    <w:rsid w:val="00506928"/>
    <w:rsid w:val="0050730D"/>
    <w:rsid w:val="005077EF"/>
    <w:rsid w:val="00507CD7"/>
    <w:rsid w:val="00511AD5"/>
    <w:rsid w:val="00511DC7"/>
    <w:rsid w:val="00512EE2"/>
    <w:rsid w:val="00513381"/>
    <w:rsid w:val="005142C5"/>
    <w:rsid w:val="00514A6F"/>
    <w:rsid w:val="0051501B"/>
    <w:rsid w:val="005152B5"/>
    <w:rsid w:val="00515886"/>
    <w:rsid w:val="0052123C"/>
    <w:rsid w:val="00521319"/>
    <w:rsid w:val="0052228E"/>
    <w:rsid w:val="00522BC8"/>
    <w:rsid w:val="00523C28"/>
    <w:rsid w:val="00524714"/>
    <w:rsid w:val="005267E9"/>
    <w:rsid w:val="00526AE2"/>
    <w:rsid w:val="0053176B"/>
    <w:rsid w:val="005341B3"/>
    <w:rsid w:val="00534A96"/>
    <w:rsid w:val="00536F42"/>
    <w:rsid w:val="00537182"/>
    <w:rsid w:val="00540DCE"/>
    <w:rsid w:val="00541373"/>
    <w:rsid w:val="00541EDD"/>
    <w:rsid w:val="00542743"/>
    <w:rsid w:val="00542746"/>
    <w:rsid w:val="00542C2D"/>
    <w:rsid w:val="00543962"/>
    <w:rsid w:val="0054450A"/>
    <w:rsid w:val="00546AB7"/>
    <w:rsid w:val="005478BD"/>
    <w:rsid w:val="005479E3"/>
    <w:rsid w:val="00551985"/>
    <w:rsid w:val="00552BD3"/>
    <w:rsid w:val="005532A0"/>
    <w:rsid w:val="00554383"/>
    <w:rsid w:val="00554F7C"/>
    <w:rsid w:val="00555109"/>
    <w:rsid w:val="00556B35"/>
    <w:rsid w:val="0055741A"/>
    <w:rsid w:val="00557780"/>
    <w:rsid w:val="0056060A"/>
    <w:rsid w:val="005611B7"/>
    <w:rsid w:val="005618D4"/>
    <w:rsid w:val="00562720"/>
    <w:rsid w:val="00564867"/>
    <w:rsid w:val="005649B5"/>
    <w:rsid w:val="00564AA3"/>
    <w:rsid w:val="00565C79"/>
    <w:rsid w:val="00565DF0"/>
    <w:rsid w:val="0056696F"/>
    <w:rsid w:val="00572269"/>
    <w:rsid w:val="0057244A"/>
    <w:rsid w:val="00572F26"/>
    <w:rsid w:val="005750C5"/>
    <w:rsid w:val="005752DE"/>
    <w:rsid w:val="00575D60"/>
    <w:rsid w:val="00575D8D"/>
    <w:rsid w:val="0057620B"/>
    <w:rsid w:val="00576972"/>
    <w:rsid w:val="00576E66"/>
    <w:rsid w:val="00577248"/>
    <w:rsid w:val="00577EB7"/>
    <w:rsid w:val="00580480"/>
    <w:rsid w:val="005809FC"/>
    <w:rsid w:val="00583699"/>
    <w:rsid w:val="00584D27"/>
    <w:rsid w:val="0058560B"/>
    <w:rsid w:val="005856F0"/>
    <w:rsid w:val="00585CDD"/>
    <w:rsid w:val="00587058"/>
    <w:rsid w:val="00590296"/>
    <w:rsid w:val="00591957"/>
    <w:rsid w:val="005927C4"/>
    <w:rsid w:val="00595223"/>
    <w:rsid w:val="0059554B"/>
    <w:rsid w:val="00595778"/>
    <w:rsid w:val="005971F9"/>
    <w:rsid w:val="00597289"/>
    <w:rsid w:val="00597BF9"/>
    <w:rsid w:val="005A0C11"/>
    <w:rsid w:val="005A25B5"/>
    <w:rsid w:val="005A309A"/>
    <w:rsid w:val="005A30D0"/>
    <w:rsid w:val="005A373D"/>
    <w:rsid w:val="005A60FE"/>
    <w:rsid w:val="005A6B14"/>
    <w:rsid w:val="005B0471"/>
    <w:rsid w:val="005B0B58"/>
    <w:rsid w:val="005B2194"/>
    <w:rsid w:val="005B3E48"/>
    <w:rsid w:val="005B403A"/>
    <w:rsid w:val="005B4E53"/>
    <w:rsid w:val="005B5857"/>
    <w:rsid w:val="005B7304"/>
    <w:rsid w:val="005C19C4"/>
    <w:rsid w:val="005C1B83"/>
    <w:rsid w:val="005C25FF"/>
    <w:rsid w:val="005C2D55"/>
    <w:rsid w:val="005C346B"/>
    <w:rsid w:val="005C367E"/>
    <w:rsid w:val="005C428D"/>
    <w:rsid w:val="005C5ABC"/>
    <w:rsid w:val="005C5C72"/>
    <w:rsid w:val="005C7075"/>
    <w:rsid w:val="005C758F"/>
    <w:rsid w:val="005D044D"/>
    <w:rsid w:val="005D0ABD"/>
    <w:rsid w:val="005D18AD"/>
    <w:rsid w:val="005D18BA"/>
    <w:rsid w:val="005D26B4"/>
    <w:rsid w:val="005D3685"/>
    <w:rsid w:val="005D43A0"/>
    <w:rsid w:val="005D4D92"/>
    <w:rsid w:val="005D5E52"/>
    <w:rsid w:val="005D70B7"/>
    <w:rsid w:val="005E093B"/>
    <w:rsid w:val="005E1995"/>
    <w:rsid w:val="005E3664"/>
    <w:rsid w:val="005E39F2"/>
    <w:rsid w:val="005E4ED8"/>
    <w:rsid w:val="005E5C86"/>
    <w:rsid w:val="005E6CBC"/>
    <w:rsid w:val="005E72FF"/>
    <w:rsid w:val="005E73C0"/>
    <w:rsid w:val="005E7C90"/>
    <w:rsid w:val="005F07ED"/>
    <w:rsid w:val="005F175E"/>
    <w:rsid w:val="005F2706"/>
    <w:rsid w:val="005F3253"/>
    <w:rsid w:val="005F388B"/>
    <w:rsid w:val="005F4240"/>
    <w:rsid w:val="005F64D6"/>
    <w:rsid w:val="005F6786"/>
    <w:rsid w:val="005F6A8F"/>
    <w:rsid w:val="005F6BB7"/>
    <w:rsid w:val="005F7588"/>
    <w:rsid w:val="0060047D"/>
    <w:rsid w:val="00602F6C"/>
    <w:rsid w:val="00603DB9"/>
    <w:rsid w:val="00604109"/>
    <w:rsid w:val="00605C46"/>
    <w:rsid w:val="00606FBA"/>
    <w:rsid w:val="00607669"/>
    <w:rsid w:val="006076F4"/>
    <w:rsid w:val="006078AA"/>
    <w:rsid w:val="00607AFD"/>
    <w:rsid w:val="00610083"/>
    <w:rsid w:val="00611B12"/>
    <w:rsid w:val="00612E49"/>
    <w:rsid w:val="00612F97"/>
    <w:rsid w:val="00612FEF"/>
    <w:rsid w:val="0061345D"/>
    <w:rsid w:val="0061542A"/>
    <w:rsid w:val="0061549B"/>
    <w:rsid w:val="00616802"/>
    <w:rsid w:val="006169A1"/>
    <w:rsid w:val="00617E12"/>
    <w:rsid w:val="00617EAD"/>
    <w:rsid w:val="00620C25"/>
    <w:rsid w:val="00621477"/>
    <w:rsid w:val="00621ADA"/>
    <w:rsid w:val="00623F7B"/>
    <w:rsid w:val="006247EB"/>
    <w:rsid w:val="00624BD4"/>
    <w:rsid w:val="006261EB"/>
    <w:rsid w:val="00626928"/>
    <w:rsid w:val="00626E66"/>
    <w:rsid w:val="0062707C"/>
    <w:rsid w:val="006275C3"/>
    <w:rsid w:val="00630255"/>
    <w:rsid w:val="00630D62"/>
    <w:rsid w:val="00631365"/>
    <w:rsid w:val="0063158F"/>
    <w:rsid w:val="006315B5"/>
    <w:rsid w:val="00631AB8"/>
    <w:rsid w:val="00631D6B"/>
    <w:rsid w:val="00632183"/>
    <w:rsid w:val="00632F07"/>
    <w:rsid w:val="006330A1"/>
    <w:rsid w:val="0063479F"/>
    <w:rsid w:val="006353F0"/>
    <w:rsid w:val="006357B5"/>
    <w:rsid w:val="006364A1"/>
    <w:rsid w:val="0063678E"/>
    <w:rsid w:val="0063773B"/>
    <w:rsid w:val="00637BFD"/>
    <w:rsid w:val="00637C5C"/>
    <w:rsid w:val="00641C4E"/>
    <w:rsid w:val="00641FB3"/>
    <w:rsid w:val="006425D3"/>
    <w:rsid w:val="0064434C"/>
    <w:rsid w:val="006471CC"/>
    <w:rsid w:val="006472FE"/>
    <w:rsid w:val="00647A29"/>
    <w:rsid w:val="0065079F"/>
    <w:rsid w:val="00650BB8"/>
    <w:rsid w:val="00651F42"/>
    <w:rsid w:val="00652A28"/>
    <w:rsid w:val="0065379F"/>
    <w:rsid w:val="00653C78"/>
    <w:rsid w:val="00653F40"/>
    <w:rsid w:val="00655AFE"/>
    <w:rsid w:val="00655BAE"/>
    <w:rsid w:val="00656188"/>
    <w:rsid w:val="006562D1"/>
    <w:rsid w:val="00656675"/>
    <w:rsid w:val="0065715A"/>
    <w:rsid w:val="006610F1"/>
    <w:rsid w:val="00661C6B"/>
    <w:rsid w:val="00662D3E"/>
    <w:rsid w:val="00663A3E"/>
    <w:rsid w:val="00667BE3"/>
    <w:rsid w:val="00671004"/>
    <w:rsid w:val="00672646"/>
    <w:rsid w:val="00672784"/>
    <w:rsid w:val="00673683"/>
    <w:rsid w:val="006749BF"/>
    <w:rsid w:val="00674E42"/>
    <w:rsid w:val="00675A98"/>
    <w:rsid w:val="00676563"/>
    <w:rsid w:val="006813F8"/>
    <w:rsid w:val="00682112"/>
    <w:rsid w:val="00682BA6"/>
    <w:rsid w:val="00682ECE"/>
    <w:rsid w:val="006845A3"/>
    <w:rsid w:val="00684902"/>
    <w:rsid w:val="00686957"/>
    <w:rsid w:val="006872BA"/>
    <w:rsid w:val="00690795"/>
    <w:rsid w:val="00691648"/>
    <w:rsid w:val="006917D7"/>
    <w:rsid w:val="0069434C"/>
    <w:rsid w:val="00694F44"/>
    <w:rsid w:val="00696EF9"/>
    <w:rsid w:val="00696F51"/>
    <w:rsid w:val="00697388"/>
    <w:rsid w:val="006979A5"/>
    <w:rsid w:val="00697D00"/>
    <w:rsid w:val="006A016F"/>
    <w:rsid w:val="006A0DF7"/>
    <w:rsid w:val="006A15DB"/>
    <w:rsid w:val="006A36C8"/>
    <w:rsid w:val="006A4321"/>
    <w:rsid w:val="006A43D9"/>
    <w:rsid w:val="006A54B9"/>
    <w:rsid w:val="006A5AAC"/>
    <w:rsid w:val="006A6A5C"/>
    <w:rsid w:val="006A6B99"/>
    <w:rsid w:val="006A7E5F"/>
    <w:rsid w:val="006B0B2B"/>
    <w:rsid w:val="006B261B"/>
    <w:rsid w:val="006B2C90"/>
    <w:rsid w:val="006B34C4"/>
    <w:rsid w:val="006B35E6"/>
    <w:rsid w:val="006B465A"/>
    <w:rsid w:val="006B46D3"/>
    <w:rsid w:val="006B6897"/>
    <w:rsid w:val="006B6DD0"/>
    <w:rsid w:val="006B6FC0"/>
    <w:rsid w:val="006C0399"/>
    <w:rsid w:val="006C1267"/>
    <w:rsid w:val="006C2A8E"/>
    <w:rsid w:val="006C3255"/>
    <w:rsid w:val="006C3F26"/>
    <w:rsid w:val="006C40EF"/>
    <w:rsid w:val="006C5464"/>
    <w:rsid w:val="006C73A6"/>
    <w:rsid w:val="006D0144"/>
    <w:rsid w:val="006D0D17"/>
    <w:rsid w:val="006D0EA6"/>
    <w:rsid w:val="006D15A7"/>
    <w:rsid w:val="006D3022"/>
    <w:rsid w:val="006D3C7D"/>
    <w:rsid w:val="006D4659"/>
    <w:rsid w:val="006D5D5F"/>
    <w:rsid w:val="006D66B3"/>
    <w:rsid w:val="006D68FB"/>
    <w:rsid w:val="006E0938"/>
    <w:rsid w:val="006E15F3"/>
    <w:rsid w:val="006E1657"/>
    <w:rsid w:val="006E19BE"/>
    <w:rsid w:val="006E2868"/>
    <w:rsid w:val="006E51BB"/>
    <w:rsid w:val="006E761D"/>
    <w:rsid w:val="006F2E11"/>
    <w:rsid w:val="006F306C"/>
    <w:rsid w:val="006F3CC2"/>
    <w:rsid w:val="006F471F"/>
    <w:rsid w:val="006F63A5"/>
    <w:rsid w:val="00700231"/>
    <w:rsid w:val="0070085B"/>
    <w:rsid w:val="0070142B"/>
    <w:rsid w:val="0070276E"/>
    <w:rsid w:val="00702F8F"/>
    <w:rsid w:val="00704CCA"/>
    <w:rsid w:val="007079FC"/>
    <w:rsid w:val="00707E9A"/>
    <w:rsid w:val="00710770"/>
    <w:rsid w:val="00711160"/>
    <w:rsid w:val="00711A36"/>
    <w:rsid w:val="007125D3"/>
    <w:rsid w:val="00712E8A"/>
    <w:rsid w:val="0071411B"/>
    <w:rsid w:val="00714C26"/>
    <w:rsid w:val="0071529C"/>
    <w:rsid w:val="007159CA"/>
    <w:rsid w:val="007170DA"/>
    <w:rsid w:val="007172AD"/>
    <w:rsid w:val="007172B1"/>
    <w:rsid w:val="00717546"/>
    <w:rsid w:val="007178CB"/>
    <w:rsid w:val="00720801"/>
    <w:rsid w:val="00722644"/>
    <w:rsid w:val="00722B1B"/>
    <w:rsid w:val="0072416F"/>
    <w:rsid w:val="00725DB9"/>
    <w:rsid w:val="00725EEA"/>
    <w:rsid w:val="0072655E"/>
    <w:rsid w:val="00727C94"/>
    <w:rsid w:val="00727D3D"/>
    <w:rsid w:val="00731B0A"/>
    <w:rsid w:val="00731EAE"/>
    <w:rsid w:val="00733073"/>
    <w:rsid w:val="00735033"/>
    <w:rsid w:val="00735328"/>
    <w:rsid w:val="0073685B"/>
    <w:rsid w:val="00736F9A"/>
    <w:rsid w:val="007370E7"/>
    <w:rsid w:val="007425A1"/>
    <w:rsid w:val="007449BF"/>
    <w:rsid w:val="007463FE"/>
    <w:rsid w:val="0074688F"/>
    <w:rsid w:val="00746BC0"/>
    <w:rsid w:val="007510B4"/>
    <w:rsid w:val="00751A97"/>
    <w:rsid w:val="00751AF9"/>
    <w:rsid w:val="00752142"/>
    <w:rsid w:val="007523F9"/>
    <w:rsid w:val="0075357E"/>
    <w:rsid w:val="00753B29"/>
    <w:rsid w:val="00753B37"/>
    <w:rsid w:val="00754F39"/>
    <w:rsid w:val="00756B30"/>
    <w:rsid w:val="007573E8"/>
    <w:rsid w:val="00760386"/>
    <w:rsid w:val="00760C4E"/>
    <w:rsid w:val="00760E31"/>
    <w:rsid w:val="00760F9E"/>
    <w:rsid w:val="007616E6"/>
    <w:rsid w:val="007627BE"/>
    <w:rsid w:val="00763E48"/>
    <w:rsid w:val="0076414A"/>
    <w:rsid w:val="00764E56"/>
    <w:rsid w:val="00764F03"/>
    <w:rsid w:val="00765B1A"/>
    <w:rsid w:val="00765DC1"/>
    <w:rsid w:val="00766EBB"/>
    <w:rsid w:val="00767AB4"/>
    <w:rsid w:val="00771027"/>
    <w:rsid w:val="007718FA"/>
    <w:rsid w:val="0077447B"/>
    <w:rsid w:val="00774E20"/>
    <w:rsid w:val="00777000"/>
    <w:rsid w:val="00777335"/>
    <w:rsid w:val="00777452"/>
    <w:rsid w:val="0077794A"/>
    <w:rsid w:val="00781916"/>
    <w:rsid w:val="007843F2"/>
    <w:rsid w:val="007846FA"/>
    <w:rsid w:val="00785A9F"/>
    <w:rsid w:val="00785C6F"/>
    <w:rsid w:val="00790B9D"/>
    <w:rsid w:val="007925DF"/>
    <w:rsid w:val="00797D98"/>
    <w:rsid w:val="007A08AA"/>
    <w:rsid w:val="007A0A12"/>
    <w:rsid w:val="007A132D"/>
    <w:rsid w:val="007A1345"/>
    <w:rsid w:val="007A1760"/>
    <w:rsid w:val="007A2DDB"/>
    <w:rsid w:val="007A3BD4"/>
    <w:rsid w:val="007A5D26"/>
    <w:rsid w:val="007A70BA"/>
    <w:rsid w:val="007A7A0C"/>
    <w:rsid w:val="007A7FB0"/>
    <w:rsid w:val="007B0D68"/>
    <w:rsid w:val="007B2206"/>
    <w:rsid w:val="007B251D"/>
    <w:rsid w:val="007B3533"/>
    <w:rsid w:val="007B4BB7"/>
    <w:rsid w:val="007B4E98"/>
    <w:rsid w:val="007B4F58"/>
    <w:rsid w:val="007B528D"/>
    <w:rsid w:val="007B63CA"/>
    <w:rsid w:val="007B77D1"/>
    <w:rsid w:val="007C07C7"/>
    <w:rsid w:val="007C1CD9"/>
    <w:rsid w:val="007C32EF"/>
    <w:rsid w:val="007C361D"/>
    <w:rsid w:val="007C4B84"/>
    <w:rsid w:val="007C4E85"/>
    <w:rsid w:val="007C5035"/>
    <w:rsid w:val="007C70FF"/>
    <w:rsid w:val="007C7C25"/>
    <w:rsid w:val="007D004F"/>
    <w:rsid w:val="007D0135"/>
    <w:rsid w:val="007D035F"/>
    <w:rsid w:val="007D06B2"/>
    <w:rsid w:val="007D0B38"/>
    <w:rsid w:val="007D0F29"/>
    <w:rsid w:val="007D235D"/>
    <w:rsid w:val="007D5041"/>
    <w:rsid w:val="007D5440"/>
    <w:rsid w:val="007D69EB"/>
    <w:rsid w:val="007D6DED"/>
    <w:rsid w:val="007E128F"/>
    <w:rsid w:val="007E3342"/>
    <w:rsid w:val="007E3DEE"/>
    <w:rsid w:val="007E4CCD"/>
    <w:rsid w:val="007E5007"/>
    <w:rsid w:val="007F1017"/>
    <w:rsid w:val="007F18E8"/>
    <w:rsid w:val="007F3C1E"/>
    <w:rsid w:val="007F4A3F"/>
    <w:rsid w:val="007F4A61"/>
    <w:rsid w:val="007F5255"/>
    <w:rsid w:val="007F56CC"/>
    <w:rsid w:val="007F61C2"/>
    <w:rsid w:val="007F7187"/>
    <w:rsid w:val="00801095"/>
    <w:rsid w:val="00805142"/>
    <w:rsid w:val="008057A2"/>
    <w:rsid w:val="00805F0B"/>
    <w:rsid w:val="00805FCE"/>
    <w:rsid w:val="008064FB"/>
    <w:rsid w:val="00806ACD"/>
    <w:rsid w:val="00806EC8"/>
    <w:rsid w:val="00807171"/>
    <w:rsid w:val="00807852"/>
    <w:rsid w:val="00807A8B"/>
    <w:rsid w:val="00807C84"/>
    <w:rsid w:val="00811383"/>
    <w:rsid w:val="00812149"/>
    <w:rsid w:val="008121CE"/>
    <w:rsid w:val="008129CA"/>
    <w:rsid w:val="00812CAC"/>
    <w:rsid w:val="00813377"/>
    <w:rsid w:val="00814A71"/>
    <w:rsid w:val="00816361"/>
    <w:rsid w:val="0081643E"/>
    <w:rsid w:val="008166EF"/>
    <w:rsid w:val="00816FEF"/>
    <w:rsid w:val="00820A8C"/>
    <w:rsid w:val="008215FB"/>
    <w:rsid w:val="008220CC"/>
    <w:rsid w:val="00822BF3"/>
    <w:rsid w:val="00823174"/>
    <w:rsid w:val="00825336"/>
    <w:rsid w:val="00825751"/>
    <w:rsid w:val="00825B72"/>
    <w:rsid w:val="008264EB"/>
    <w:rsid w:val="008267A0"/>
    <w:rsid w:val="008268CE"/>
    <w:rsid w:val="00827C23"/>
    <w:rsid w:val="00830FC5"/>
    <w:rsid w:val="00831B0A"/>
    <w:rsid w:val="00833B05"/>
    <w:rsid w:val="00834955"/>
    <w:rsid w:val="00835EB9"/>
    <w:rsid w:val="008362B4"/>
    <w:rsid w:val="00840CA2"/>
    <w:rsid w:val="00842B21"/>
    <w:rsid w:val="0084374F"/>
    <w:rsid w:val="00844A22"/>
    <w:rsid w:val="00846E0B"/>
    <w:rsid w:val="00847703"/>
    <w:rsid w:val="00847DF5"/>
    <w:rsid w:val="00847E85"/>
    <w:rsid w:val="008509C8"/>
    <w:rsid w:val="0085309D"/>
    <w:rsid w:val="008532FC"/>
    <w:rsid w:val="00853B93"/>
    <w:rsid w:val="00853D0E"/>
    <w:rsid w:val="00853FD9"/>
    <w:rsid w:val="008556CC"/>
    <w:rsid w:val="00856584"/>
    <w:rsid w:val="00856897"/>
    <w:rsid w:val="00856AB9"/>
    <w:rsid w:val="00856E9A"/>
    <w:rsid w:val="00860647"/>
    <w:rsid w:val="0086075D"/>
    <w:rsid w:val="00860CDE"/>
    <w:rsid w:val="00861E0C"/>
    <w:rsid w:val="00861F1D"/>
    <w:rsid w:val="00862502"/>
    <w:rsid w:val="00862CC1"/>
    <w:rsid w:val="008642A7"/>
    <w:rsid w:val="00864B1A"/>
    <w:rsid w:val="008660D4"/>
    <w:rsid w:val="00870809"/>
    <w:rsid w:val="008715E1"/>
    <w:rsid w:val="00871FA9"/>
    <w:rsid w:val="008721DC"/>
    <w:rsid w:val="008728E9"/>
    <w:rsid w:val="00876A52"/>
    <w:rsid w:val="00876B58"/>
    <w:rsid w:val="00876C3C"/>
    <w:rsid w:val="008806B0"/>
    <w:rsid w:val="00882874"/>
    <w:rsid w:val="00882E3C"/>
    <w:rsid w:val="0088308A"/>
    <w:rsid w:val="0088361D"/>
    <w:rsid w:val="00883787"/>
    <w:rsid w:val="0088404D"/>
    <w:rsid w:val="008855E4"/>
    <w:rsid w:val="00885BAE"/>
    <w:rsid w:val="00886CD2"/>
    <w:rsid w:val="00886CE6"/>
    <w:rsid w:val="00887264"/>
    <w:rsid w:val="00887C80"/>
    <w:rsid w:val="00890F7F"/>
    <w:rsid w:val="00891965"/>
    <w:rsid w:val="00891E6F"/>
    <w:rsid w:val="00892686"/>
    <w:rsid w:val="0089275D"/>
    <w:rsid w:val="008927EF"/>
    <w:rsid w:val="00892A36"/>
    <w:rsid w:val="00893239"/>
    <w:rsid w:val="00893337"/>
    <w:rsid w:val="00894489"/>
    <w:rsid w:val="00894CD6"/>
    <w:rsid w:val="008963A5"/>
    <w:rsid w:val="00896D5D"/>
    <w:rsid w:val="008A017A"/>
    <w:rsid w:val="008A0193"/>
    <w:rsid w:val="008A108E"/>
    <w:rsid w:val="008A3158"/>
    <w:rsid w:val="008A3363"/>
    <w:rsid w:val="008A3371"/>
    <w:rsid w:val="008A344F"/>
    <w:rsid w:val="008A3C3E"/>
    <w:rsid w:val="008A5195"/>
    <w:rsid w:val="008A5C1F"/>
    <w:rsid w:val="008A70E4"/>
    <w:rsid w:val="008A79DE"/>
    <w:rsid w:val="008B1526"/>
    <w:rsid w:val="008B1757"/>
    <w:rsid w:val="008B1C33"/>
    <w:rsid w:val="008B4818"/>
    <w:rsid w:val="008B4B6F"/>
    <w:rsid w:val="008B7992"/>
    <w:rsid w:val="008B7D7E"/>
    <w:rsid w:val="008C4B36"/>
    <w:rsid w:val="008C5610"/>
    <w:rsid w:val="008C5739"/>
    <w:rsid w:val="008C7282"/>
    <w:rsid w:val="008C75EB"/>
    <w:rsid w:val="008C7ECB"/>
    <w:rsid w:val="008D0775"/>
    <w:rsid w:val="008D078E"/>
    <w:rsid w:val="008D0CEB"/>
    <w:rsid w:val="008D1910"/>
    <w:rsid w:val="008D254F"/>
    <w:rsid w:val="008D2AF7"/>
    <w:rsid w:val="008D3B86"/>
    <w:rsid w:val="008D3E71"/>
    <w:rsid w:val="008D43FD"/>
    <w:rsid w:val="008D4755"/>
    <w:rsid w:val="008D47C5"/>
    <w:rsid w:val="008D4C3D"/>
    <w:rsid w:val="008D690D"/>
    <w:rsid w:val="008D6CE2"/>
    <w:rsid w:val="008D743C"/>
    <w:rsid w:val="008D7B9C"/>
    <w:rsid w:val="008E0D3C"/>
    <w:rsid w:val="008E15B1"/>
    <w:rsid w:val="008E1B9E"/>
    <w:rsid w:val="008E238A"/>
    <w:rsid w:val="008E3EAB"/>
    <w:rsid w:val="008E55AB"/>
    <w:rsid w:val="008E5DFC"/>
    <w:rsid w:val="008E630D"/>
    <w:rsid w:val="008E637E"/>
    <w:rsid w:val="008F0B3D"/>
    <w:rsid w:val="008F1205"/>
    <w:rsid w:val="008F120A"/>
    <w:rsid w:val="008F27E0"/>
    <w:rsid w:val="008F48EB"/>
    <w:rsid w:val="008F4F0B"/>
    <w:rsid w:val="0090249F"/>
    <w:rsid w:val="009046C4"/>
    <w:rsid w:val="009062A5"/>
    <w:rsid w:val="009074CA"/>
    <w:rsid w:val="00907699"/>
    <w:rsid w:val="00910FA7"/>
    <w:rsid w:val="00911028"/>
    <w:rsid w:val="00911272"/>
    <w:rsid w:val="00911339"/>
    <w:rsid w:val="00911A8E"/>
    <w:rsid w:val="00911A9E"/>
    <w:rsid w:val="009135D6"/>
    <w:rsid w:val="00914C77"/>
    <w:rsid w:val="00916F54"/>
    <w:rsid w:val="009201DA"/>
    <w:rsid w:val="0092093B"/>
    <w:rsid w:val="00920952"/>
    <w:rsid w:val="009217A3"/>
    <w:rsid w:val="00921ACB"/>
    <w:rsid w:val="00921D37"/>
    <w:rsid w:val="0092369B"/>
    <w:rsid w:val="0093041B"/>
    <w:rsid w:val="00932665"/>
    <w:rsid w:val="00933395"/>
    <w:rsid w:val="009340E6"/>
    <w:rsid w:val="009343C2"/>
    <w:rsid w:val="00934988"/>
    <w:rsid w:val="00935734"/>
    <w:rsid w:val="0093582B"/>
    <w:rsid w:val="00935C1F"/>
    <w:rsid w:val="00937089"/>
    <w:rsid w:val="009372A5"/>
    <w:rsid w:val="00937637"/>
    <w:rsid w:val="00942F98"/>
    <w:rsid w:val="00944804"/>
    <w:rsid w:val="00944F8A"/>
    <w:rsid w:val="0094503A"/>
    <w:rsid w:val="00947258"/>
    <w:rsid w:val="00947E28"/>
    <w:rsid w:val="00950E3F"/>
    <w:rsid w:val="00950E8E"/>
    <w:rsid w:val="009510A2"/>
    <w:rsid w:val="00952D78"/>
    <w:rsid w:val="00953257"/>
    <w:rsid w:val="0095329F"/>
    <w:rsid w:val="0095474C"/>
    <w:rsid w:val="0095609C"/>
    <w:rsid w:val="0095667B"/>
    <w:rsid w:val="00957D92"/>
    <w:rsid w:val="00962172"/>
    <w:rsid w:val="00962523"/>
    <w:rsid w:val="00962CB9"/>
    <w:rsid w:val="00963E40"/>
    <w:rsid w:val="00964312"/>
    <w:rsid w:val="00965B8A"/>
    <w:rsid w:val="0096630A"/>
    <w:rsid w:val="00967DF6"/>
    <w:rsid w:val="0097071F"/>
    <w:rsid w:val="009717AC"/>
    <w:rsid w:val="009751C1"/>
    <w:rsid w:val="009777C9"/>
    <w:rsid w:val="009811F1"/>
    <w:rsid w:val="00981689"/>
    <w:rsid w:val="00982883"/>
    <w:rsid w:val="0098365F"/>
    <w:rsid w:val="0098386B"/>
    <w:rsid w:val="00983E57"/>
    <w:rsid w:val="009851DF"/>
    <w:rsid w:val="0098557D"/>
    <w:rsid w:val="00985DE2"/>
    <w:rsid w:val="009865DD"/>
    <w:rsid w:val="0098675D"/>
    <w:rsid w:val="00987239"/>
    <w:rsid w:val="00987BA4"/>
    <w:rsid w:val="00990136"/>
    <w:rsid w:val="009926E0"/>
    <w:rsid w:val="00992E01"/>
    <w:rsid w:val="0099451E"/>
    <w:rsid w:val="00996B1A"/>
    <w:rsid w:val="00996FD4"/>
    <w:rsid w:val="00997C99"/>
    <w:rsid w:val="009A1632"/>
    <w:rsid w:val="009A18F6"/>
    <w:rsid w:val="009A2414"/>
    <w:rsid w:val="009A2DCC"/>
    <w:rsid w:val="009A2EAA"/>
    <w:rsid w:val="009A3A50"/>
    <w:rsid w:val="009A5ABC"/>
    <w:rsid w:val="009A6237"/>
    <w:rsid w:val="009A67A5"/>
    <w:rsid w:val="009A7F10"/>
    <w:rsid w:val="009A7FD6"/>
    <w:rsid w:val="009B25CB"/>
    <w:rsid w:val="009B272D"/>
    <w:rsid w:val="009B3E26"/>
    <w:rsid w:val="009B653F"/>
    <w:rsid w:val="009C1271"/>
    <w:rsid w:val="009C12CD"/>
    <w:rsid w:val="009C1968"/>
    <w:rsid w:val="009C3706"/>
    <w:rsid w:val="009C3A3A"/>
    <w:rsid w:val="009C46F2"/>
    <w:rsid w:val="009C47DF"/>
    <w:rsid w:val="009C6CEA"/>
    <w:rsid w:val="009C79EE"/>
    <w:rsid w:val="009C7B85"/>
    <w:rsid w:val="009D0254"/>
    <w:rsid w:val="009D0DF4"/>
    <w:rsid w:val="009D107C"/>
    <w:rsid w:val="009D1A64"/>
    <w:rsid w:val="009D2B2E"/>
    <w:rsid w:val="009D3137"/>
    <w:rsid w:val="009D5B91"/>
    <w:rsid w:val="009D603D"/>
    <w:rsid w:val="009D611C"/>
    <w:rsid w:val="009D792E"/>
    <w:rsid w:val="009E0D80"/>
    <w:rsid w:val="009E0DFE"/>
    <w:rsid w:val="009E31F6"/>
    <w:rsid w:val="009E33C3"/>
    <w:rsid w:val="009E4C07"/>
    <w:rsid w:val="009E5938"/>
    <w:rsid w:val="009E777F"/>
    <w:rsid w:val="009F2890"/>
    <w:rsid w:val="009F3AB1"/>
    <w:rsid w:val="009F6120"/>
    <w:rsid w:val="009F7B44"/>
    <w:rsid w:val="00A008C4"/>
    <w:rsid w:val="00A00D76"/>
    <w:rsid w:val="00A01184"/>
    <w:rsid w:val="00A01449"/>
    <w:rsid w:val="00A01DF2"/>
    <w:rsid w:val="00A02F40"/>
    <w:rsid w:val="00A0300F"/>
    <w:rsid w:val="00A037C2"/>
    <w:rsid w:val="00A03D43"/>
    <w:rsid w:val="00A04380"/>
    <w:rsid w:val="00A04786"/>
    <w:rsid w:val="00A05472"/>
    <w:rsid w:val="00A05C32"/>
    <w:rsid w:val="00A05DE1"/>
    <w:rsid w:val="00A0653F"/>
    <w:rsid w:val="00A06A12"/>
    <w:rsid w:val="00A06F89"/>
    <w:rsid w:val="00A077C5"/>
    <w:rsid w:val="00A11813"/>
    <w:rsid w:val="00A11CD0"/>
    <w:rsid w:val="00A13948"/>
    <w:rsid w:val="00A1555B"/>
    <w:rsid w:val="00A155C5"/>
    <w:rsid w:val="00A16484"/>
    <w:rsid w:val="00A16AD8"/>
    <w:rsid w:val="00A16E84"/>
    <w:rsid w:val="00A16FCA"/>
    <w:rsid w:val="00A2021E"/>
    <w:rsid w:val="00A2070A"/>
    <w:rsid w:val="00A2077E"/>
    <w:rsid w:val="00A21C95"/>
    <w:rsid w:val="00A21CF3"/>
    <w:rsid w:val="00A24813"/>
    <w:rsid w:val="00A24BB5"/>
    <w:rsid w:val="00A258C1"/>
    <w:rsid w:val="00A27ADD"/>
    <w:rsid w:val="00A27AEC"/>
    <w:rsid w:val="00A30429"/>
    <w:rsid w:val="00A320DB"/>
    <w:rsid w:val="00A3390E"/>
    <w:rsid w:val="00A35D16"/>
    <w:rsid w:val="00A36D94"/>
    <w:rsid w:val="00A371B7"/>
    <w:rsid w:val="00A37BCD"/>
    <w:rsid w:val="00A41689"/>
    <w:rsid w:val="00A4198B"/>
    <w:rsid w:val="00A42592"/>
    <w:rsid w:val="00A42CA4"/>
    <w:rsid w:val="00A43C59"/>
    <w:rsid w:val="00A454CB"/>
    <w:rsid w:val="00A47EF6"/>
    <w:rsid w:val="00A50ECD"/>
    <w:rsid w:val="00A518E1"/>
    <w:rsid w:val="00A518F3"/>
    <w:rsid w:val="00A52729"/>
    <w:rsid w:val="00A52FD9"/>
    <w:rsid w:val="00A53675"/>
    <w:rsid w:val="00A549B1"/>
    <w:rsid w:val="00A5512F"/>
    <w:rsid w:val="00A564D7"/>
    <w:rsid w:val="00A56B6A"/>
    <w:rsid w:val="00A578DC"/>
    <w:rsid w:val="00A57980"/>
    <w:rsid w:val="00A612D9"/>
    <w:rsid w:val="00A62C28"/>
    <w:rsid w:val="00A63468"/>
    <w:rsid w:val="00A63D88"/>
    <w:rsid w:val="00A640E2"/>
    <w:rsid w:val="00A64D65"/>
    <w:rsid w:val="00A65D14"/>
    <w:rsid w:val="00A6715A"/>
    <w:rsid w:val="00A6725B"/>
    <w:rsid w:val="00A6738D"/>
    <w:rsid w:val="00A70605"/>
    <w:rsid w:val="00A73134"/>
    <w:rsid w:val="00A7365A"/>
    <w:rsid w:val="00A75BF0"/>
    <w:rsid w:val="00A76001"/>
    <w:rsid w:val="00A777B2"/>
    <w:rsid w:val="00A825D4"/>
    <w:rsid w:val="00A828F6"/>
    <w:rsid w:val="00A82B73"/>
    <w:rsid w:val="00A8333C"/>
    <w:rsid w:val="00A8477C"/>
    <w:rsid w:val="00A86E8B"/>
    <w:rsid w:val="00A87164"/>
    <w:rsid w:val="00A871A9"/>
    <w:rsid w:val="00A87895"/>
    <w:rsid w:val="00A87EF3"/>
    <w:rsid w:val="00A907DD"/>
    <w:rsid w:val="00A90E64"/>
    <w:rsid w:val="00A910AD"/>
    <w:rsid w:val="00A93072"/>
    <w:rsid w:val="00A9311D"/>
    <w:rsid w:val="00A93138"/>
    <w:rsid w:val="00A93554"/>
    <w:rsid w:val="00A938BD"/>
    <w:rsid w:val="00A93953"/>
    <w:rsid w:val="00A959D8"/>
    <w:rsid w:val="00A964BA"/>
    <w:rsid w:val="00A969BB"/>
    <w:rsid w:val="00A972FC"/>
    <w:rsid w:val="00AA01A8"/>
    <w:rsid w:val="00AA113D"/>
    <w:rsid w:val="00AA1AD7"/>
    <w:rsid w:val="00AA1CDD"/>
    <w:rsid w:val="00AA6095"/>
    <w:rsid w:val="00AA6BD5"/>
    <w:rsid w:val="00AA6BD8"/>
    <w:rsid w:val="00AA6C7D"/>
    <w:rsid w:val="00AA6FB7"/>
    <w:rsid w:val="00AA75FC"/>
    <w:rsid w:val="00AA7FD6"/>
    <w:rsid w:val="00AB028A"/>
    <w:rsid w:val="00AB042A"/>
    <w:rsid w:val="00AB11AD"/>
    <w:rsid w:val="00AB172E"/>
    <w:rsid w:val="00AB19EF"/>
    <w:rsid w:val="00AB2495"/>
    <w:rsid w:val="00AB2545"/>
    <w:rsid w:val="00AB2D34"/>
    <w:rsid w:val="00AB3430"/>
    <w:rsid w:val="00AB37B9"/>
    <w:rsid w:val="00AB4251"/>
    <w:rsid w:val="00AB4AD1"/>
    <w:rsid w:val="00AB5E07"/>
    <w:rsid w:val="00AB6327"/>
    <w:rsid w:val="00AB664D"/>
    <w:rsid w:val="00AB6D70"/>
    <w:rsid w:val="00AB7CFA"/>
    <w:rsid w:val="00AC0220"/>
    <w:rsid w:val="00AC2031"/>
    <w:rsid w:val="00AC4A6A"/>
    <w:rsid w:val="00AC5816"/>
    <w:rsid w:val="00AC5B42"/>
    <w:rsid w:val="00AC5B48"/>
    <w:rsid w:val="00AC63FE"/>
    <w:rsid w:val="00AC6B3A"/>
    <w:rsid w:val="00AC7F66"/>
    <w:rsid w:val="00AD00B1"/>
    <w:rsid w:val="00AD1450"/>
    <w:rsid w:val="00AD15E8"/>
    <w:rsid w:val="00AD1FED"/>
    <w:rsid w:val="00AD2586"/>
    <w:rsid w:val="00AD356D"/>
    <w:rsid w:val="00AD41B9"/>
    <w:rsid w:val="00AD51E4"/>
    <w:rsid w:val="00AD6116"/>
    <w:rsid w:val="00AD6502"/>
    <w:rsid w:val="00AD7E29"/>
    <w:rsid w:val="00AE026B"/>
    <w:rsid w:val="00AE0695"/>
    <w:rsid w:val="00AE35EF"/>
    <w:rsid w:val="00AE3E7E"/>
    <w:rsid w:val="00AE4198"/>
    <w:rsid w:val="00AE42B5"/>
    <w:rsid w:val="00AE7E53"/>
    <w:rsid w:val="00AF1315"/>
    <w:rsid w:val="00AF19BF"/>
    <w:rsid w:val="00AF2DC3"/>
    <w:rsid w:val="00AF344F"/>
    <w:rsid w:val="00AF43D4"/>
    <w:rsid w:val="00AF4A8C"/>
    <w:rsid w:val="00AF519F"/>
    <w:rsid w:val="00AF6BCD"/>
    <w:rsid w:val="00B00CC9"/>
    <w:rsid w:val="00B01AB4"/>
    <w:rsid w:val="00B033E5"/>
    <w:rsid w:val="00B036F7"/>
    <w:rsid w:val="00B03A63"/>
    <w:rsid w:val="00B03A7F"/>
    <w:rsid w:val="00B041F3"/>
    <w:rsid w:val="00B04CE8"/>
    <w:rsid w:val="00B06126"/>
    <w:rsid w:val="00B07F6D"/>
    <w:rsid w:val="00B129A4"/>
    <w:rsid w:val="00B12EEE"/>
    <w:rsid w:val="00B17B1E"/>
    <w:rsid w:val="00B201A4"/>
    <w:rsid w:val="00B201D1"/>
    <w:rsid w:val="00B213A6"/>
    <w:rsid w:val="00B235B0"/>
    <w:rsid w:val="00B24DF6"/>
    <w:rsid w:val="00B27A61"/>
    <w:rsid w:val="00B316A6"/>
    <w:rsid w:val="00B33197"/>
    <w:rsid w:val="00B337E2"/>
    <w:rsid w:val="00B34FE2"/>
    <w:rsid w:val="00B35166"/>
    <w:rsid w:val="00B357D8"/>
    <w:rsid w:val="00B360F4"/>
    <w:rsid w:val="00B36A00"/>
    <w:rsid w:val="00B3728C"/>
    <w:rsid w:val="00B376A3"/>
    <w:rsid w:val="00B3792B"/>
    <w:rsid w:val="00B37BFC"/>
    <w:rsid w:val="00B40358"/>
    <w:rsid w:val="00B41614"/>
    <w:rsid w:val="00B42851"/>
    <w:rsid w:val="00B42F80"/>
    <w:rsid w:val="00B435CB"/>
    <w:rsid w:val="00B44E29"/>
    <w:rsid w:val="00B465EC"/>
    <w:rsid w:val="00B47A4C"/>
    <w:rsid w:val="00B505C8"/>
    <w:rsid w:val="00B50DB8"/>
    <w:rsid w:val="00B52C38"/>
    <w:rsid w:val="00B53654"/>
    <w:rsid w:val="00B53905"/>
    <w:rsid w:val="00B546DB"/>
    <w:rsid w:val="00B54B5B"/>
    <w:rsid w:val="00B554FC"/>
    <w:rsid w:val="00B5562E"/>
    <w:rsid w:val="00B55862"/>
    <w:rsid w:val="00B55D65"/>
    <w:rsid w:val="00B55EEB"/>
    <w:rsid w:val="00B56054"/>
    <w:rsid w:val="00B56305"/>
    <w:rsid w:val="00B56779"/>
    <w:rsid w:val="00B57000"/>
    <w:rsid w:val="00B604CB"/>
    <w:rsid w:val="00B60939"/>
    <w:rsid w:val="00B60AFD"/>
    <w:rsid w:val="00B62715"/>
    <w:rsid w:val="00B65611"/>
    <w:rsid w:val="00B65784"/>
    <w:rsid w:val="00B66165"/>
    <w:rsid w:val="00B706AE"/>
    <w:rsid w:val="00B709FD"/>
    <w:rsid w:val="00B70E8E"/>
    <w:rsid w:val="00B71CD8"/>
    <w:rsid w:val="00B7517A"/>
    <w:rsid w:val="00B76C92"/>
    <w:rsid w:val="00B77209"/>
    <w:rsid w:val="00B807EE"/>
    <w:rsid w:val="00B80EFD"/>
    <w:rsid w:val="00B818A4"/>
    <w:rsid w:val="00B82B1C"/>
    <w:rsid w:val="00B83739"/>
    <w:rsid w:val="00B84117"/>
    <w:rsid w:val="00B858F0"/>
    <w:rsid w:val="00B85AA2"/>
    <w:rsid w:val="00B85EF0"/>
    <w:rsid w:val="00B8649C"/>
    <w:rsid w:val="00B8663F"/>
    <w:rsid w:val="00B8695D"/>
    <w:rsid w:val="00B86B48"/>
    <w:rsid w:val="00B8754A"/>
    <w:rsid w:val="00B87F0A"/>
    <w:rsid w:val="00B922FE"/>
    <w:rsid w:val="00B92D0B"/>
    <w:rsid w:val="00B94945"/>
    <w:rsid w:val="00B94DD6"/>
    <w:rsid w:val="00B97FB2"/>
    <w:rsid w:val="00BA322D"/>
    <w:rsid w:val="00BA6322"/>
    <w:rsid w:val="00BA63FA"/>
    <w:rsid w:val="00BB00B3"/>
    <w:rsid w:val="00BB0BDD"/>
    <w:rsid w:val="00BB14F7"/>
    <w:rsid w:val="00BB176C"/>
    <w:rsid w:val="00BB19C7"/>
    <w:rsid w:val="00BB2A73"/>
    <w:rsid w:val="00BB3A45"/>
    <w:rsid w:val="00BB4ACC"/>
    <w:rsid w:val="00BB703E"/>
    <w:rsid w:val="00BB732D"/>
    <w:rsid w:val="00BB7405"/>
    <w:rsid w:val="00BB7FF3"/>
    <w:rsid w:val="00BC180A"/>
    <w:rsid w:val="00BC28E7"/>
    <w:rsid w:val="00BC2906"/>
    <w:rsid w:val="00BC3631"/>
    <w:rsid w:val="00BC4BE4"/>
    <w:rsid w:val="00BC5352"/>
    <w:rsid w:val="00BC591F"/>
    <w:rsid w:val="00BC5B46"/>
    <w:rsid w:val="00BC7843"/>
    <w:rsid w:val="00BC7C69"/>
    <w:rsid w:val="00BC7D6D"/>
    <w:rsid w:val="00BC7DAB"/>
    <w:rsid w:val="00BD0381"/>
    <w:rsid w:val="00BD20E7"/>
    <w:rsid w:val="00BD2108"/>
    <w:rsid w:val="00BD3622"/>
    <w:rsid w:val="00BD4F3F"/>
    <w:rsid w:val="00BD68A3"/>
    <w:rsid w:val="00BD6938"/>
    <w:rsid w:val="00BD6CF3"/>
    <w:rsid w:val="00BD6CF9"/>
    <w:rsid w:val="00BD7F72"/>
    <w:rsid w:val="00BE0A96"/>
    <w:rsid w:val="00BE0ECA"/>
    <w:rsid w:val="00BE1378"/>
    <w:rsid w:val="00BE2180"/>
    <w:rsid w:val="00BE21F2"/>
    <w:rsid w:val="00BE2F04"/>
    <w:rsid w:val="00BE336A"/>
    <w:rsid w:val="00BE36D7"/>
    <w:rsid w:val="00BE4275"/>
    <w:rsid w:val="00BE4C6C"/>
    <w:rsid w:val="00BE5ED5"/>
    <w:rsid w:val="00BE7200"/>
    <w:rsid w:val="00BF06AE"/>
    <w:rsid w:val="00BF0F95"/>
    <w:rsid w:val="00BF2433"/>
    <w:rsid w:val="00BF29EB"/>
    <w:rsid w:val="00BF2E6E"/>
    <w:rsid w:val="00BF4416"/>
    <w:rsid w:val="00BF5657"/>
    <w:rsid w:val="00BF61C9"/>
    <w:rsid w:val="00BF67CF"/>
    <w:rsid w:val="00BF6C94"/>
    <w:rsid w:val="00BF6DE1"/>
    <w:rsid w:val="00C00424"/>
    <w:rsid w:val="00C00BB0"/>
    <w:rsid w:val="00C01E3A"/>
    <w:rsid w:val="00C027D1"/>
    <w:rsid w:val="00C03AD2"/>
    <w:rsid w:val="00C0474E"/>
    <w:rsid w:val="00C062EF"/>
    <w:rsid w:val="00C06FC3"/>
    <w:rsid w:val="00C113F6"/>
    <w:rsid w:val="00C1179F"/>
    <w:rsid w:val="00C127B9"/>
    <w:rsid w:val="00C12868"/>
    <w:rsid w:val="00C128FA"/>
    <w:rsid w:val="00C12C14"/>
    <w:rsid w:val="00C15F04"/>
    <w:rsid w:val="00C179B3"/>
    <w:rsid w:val="00C17E3F"/>
    <w:rsid w:val="00C200AA"/>
    <w:rsid w:val="00C202FB"/>
    <w:rsid w:val="00C219E8"/>
    <w:rsid w:val="00C224E5"/>
    <w:rsid w:val="00C2268E"/>
    <w:rsid w:val="00C230A4"/>
    <w:rsid w:val="00C237ED"/>
    <w:rsid w:val="00C241F5"/>
    <w:rsid w:val="00C24632"/>
    <w:rsid w:val="00C25340"/>
    <w:rsid w:val="00C25418"/>
    <w:rsid w:val="00C25D9C"/>
    <w:rsid w:val="00C2778B"/>
    <w:rsid w:val="00C27D89"/>
    <w:rsid w:val="00C3047F"/>
    <w:rsid w:val="00C31649"/>
    <w:rsid w:val="00C3434C"/>
    <w:rsid w:val="00C35CDA"/>
    <w:rsid w:val="00C36182"/>
    <w:rsid w:val="00C37F96"/>
    <w:rsid w:val="00C40385"/>
    <w:rsid w:val="00C41768"/>
    <w:rsid w:val="00C41C42"/>
    <w:rsid w:val="00C41E01"/>
    <w:rsid w:val="00C43E74"/>
    <w:rsid w:val="00C475AA"/>
    <w:rsid w:val="00C50A87"/>
    <w:rsid w:val="00C51DC1"/>
    <w:rsid w:val="00C527C7"/>
    <w:rsid w:val="00C53C98"/>
    <w:rsid w:val="00C53F1E"/>
    <w:rsid w:val="00C56FCF"/>
    <w:rsid w:val="00C57B6C"/>
    <w:rsid w:val="00C61A59"/>
    <w:rsid w:val="00C628A6"/>
    <w:rsid w:val="00C64344"/>
    <w:rsid w:val="00C65108"/>
    <w:rsid w:val="00C65576"/>
    <w:rsid w:val="00C65FEE"/>
    <w:rsid w:val="00C66165"/>
    <w:rsid w:val="00C7060A"/>
    <w:rsid w:val="00C7151A"/>
    <w:rsid w:val="00C717E3"/>
    <w:rsid w:val="00C71F60"/>
    <w:rsid w:val="00C72241"/>
    <w:rsid w:val="00C727FA"/>
    <w:rsid w:val="00C750C8"/>
    <w:rsid w:val="00C7519E"/>
    <w:rsid w:val="00C7560F"/>
    <w:rsid w:val="00C76B8B"/>
    <w:rsid w:val="00C80A0E"/>
    <w:rsid w:val="00C8213F"/>
    <w:rsid w:val="00C8303F"/>
    <w:rsid w:val="00C85154"/>
    <w:rsid w:val="00C85A70"/>
    <w:rsid w:val="00C85B53"/>
    <w:rsid w:val="00C864A2"/>
    <w:rsid w:val="00C86FAE"/>
    <w:rsid w:val="00C8797A"/>
    <w:rsid w:val="00C900B8"/>
    <w:rsid w:val="00C90197"/>
    <w:rsid w:val="00C90C71"/>
    <w:rsid w:val="00C91FD1"/>
    <w:rsid w:val="00C931CF"/>
    <w:rsid w:val="00C938CF"/>
    <w:rsid w:val="00C94053"/>
    <w:rsid w:val="00C9447B"/>
    <w:rsid w:val="00C9624D"/>
    <w:rsid w:val="00C969DA"/>
    <w:rsid w:val="00CA1549"/>
    <w:rsid w:val="00CA2C77"/>
    <w:rsid w:val="00CA444F"/>
    <w:rsid w:val="00CA4C05"/>
    <w:rsid w:val="00CA5245"/>
    <w:rsid w:val="00CA5BA6"/>
    <w:rsid w:val="00CA5D2E"/>
    <w:rsid w:val="00CA612D"/>
    <w:rsid w:val="00CA71F4"/>
    <w:rsid w:val="00CA7544"/>
    <w:rsid w:val="00CA7B09"/>
    <w:rsid w:val="00CB12A5"/>
    <w:rsid w:val="00CB1CAC"/>
    <w:rsid w:val="00CB22B5"/>
    <w:rsid w:val="00CB2F0E"/>
    <w:rsid w:val="00CB2F2A"/>
    <w:rsid w:val="00CB5169"/>
    <w:rsid w:val="00CB5B1A"/>
    <w:rsid w:val="00CB6B22"/>
    <w:rsid w:val="00CB7F5F"/>
    <w:rsid w:val="00CC1B39"/>
    <w:rsid w:val="00CC1BFA"/>
    <w:rsid w:val="00CC2E9F"/>
    <w:rsid w:val="00CC35EA"/>
    <w:rsid w:val="00CC3848"/>
    <w:rsid w:val="00CC3E4C"/>
    <w:rsid w:val="00CC652C"/>
    <w:rsid w:val="00CC68F0"/>
    <w:rsid w:val="00CC6D5E"/>
    <w:rsid w:val="00CC71F2"/>
    <w:rsid w:val="00CD0200"/>
    <w:rsid w:val="00CD1B0E"/>
    <w:rsid w:val="00CD3A07"/>
    <w:rsid w:val="00CD3AD2"/>
    <w:rsid w:val="00CD3F77"/>
    <w:rsid w:val="00CD4AE9"/>
    <w:rsid w:val="00CD4F1D"/>
    <w:rsid w:val="00CD59AF"/>
    <w:rsid w:val="00CD670D"/>
    <w:rsid w:val="00CD6ACB"/>
    <w:rsid w:val="00CD6ADC"/>
    <w:rsid w:val="00CD6DB0"/>
    <w:rsid w:val="00CD7193"/>
    <w:rsid w:val="00CE1AB0"/>
    <w:rsid w:val="00CE1B87"/>
    <w:rsid w:val="00CE24A4"/>
    <w:rsid w:val="00CE27FE"/>
    <w:rsid w:val="00CE38C8"/>
    <w:rsid w:val="00CE444E"/>
    <w:rsid w:val="00CE491A"/>
    <w:rsid w:val="00CE524F"/>
    <w:rsid w:val="00CE58CC"/>
    <w:rsid w:val="00CE6274"/>
    <w:rsid w:val="00CE77B6"/>
    <w:rsid w:val="00CF0051"/>
    <w:rsid w:val="00CF2B8D"/>
    <w:rsid w:val="00CF3A1B"/>
    <w:rsid w:val="00CF3D89"/>
    <w:rsid w:val="00CF4487"/>
    <w:rsid w:val="00CF456B"/>
    <w:rsid w:val="00CF529A"/>
    <w:rsid w:val="00CF5513"/>
    <w:rsid w:val="00CF5A22"/>
    <w:rsid w:val="00CF5E4F"/>
    <w:rsid w:val="00CF6975"/>
    <w:rsid w:val="00CF7ABD"/>
    <w:rsid w:val="00D0262E"/>
    <w:rsid w:val="00D02BF7"/>
    <w:rsid w:val="00D03679"/>
    <w:rsid w:val="00D058C2"/>
    <w:rsid w:val="00D05E3D"/>
    <w:rsid w:val="00D06139"/>
    <w:rsid w:val="00D0689E"/>
    <w:rsid w:val="00D100B2"/>
    <w:rsid w:val="00D110BD"/>
    <w:rsid w:val="00D13205"/>
    <w:rsid w:val="00D13675"/>
    <w:rsid w:val="00D141E1"/>
    <w:rsid w:val="00D15314"/>
    <w:rsid w:val="00D15B48"/>
    <w:rsid w:val="00D17D6C"/>
    <w:rsid w:val="00D2155B"/>
    <w:rsid w:val="00D22DC5"/>
    <w:rsid w:val="00D23366"/>
    <w:rsid w:val="00D2378A"/>
    <w:rsid w:val="00D23D11"/>
    <w:rsid w:val="00D242AC"/>
    <w:rsid w:val="00D244B6"/>
    <w:rsid w:val="00D24723"/>
    <w:rsid w:val="00D24EAD"/>
    <w:rsid w:val="00D2754D"/>
    <w:rsid w:val="00D27B27"/>
    <w:rsid w:val="00D30375"/>
    <w:rsid w:val="00D30D5B"/>
    <w:rsid w:val="00D30DB8"/>
    <w:rsid w:val="00D31966"/>
    <w:rsid w:val="00D325B4"/>
    <w:rsid w:val="00D33BE9"/>
    <w:rsid w:val="00D33F93"/>
    <w:rsid w:val="00D34F8D"/>
    <w:rsid w:val="00D357FF"/>
    <w:rsid w:val="00D36D15"/>
    <w:rsid w:val="00D41587"/>
    <w:rsid w:val="00D424C7"/>
    <w:rsid w:val="00D42BF7"/>
    <w:rsid w:val="00D43B2A"/>
    <w:rsid w:val="00D43CF1"/>
    <w:rsid w:val="00D43D83"/>
    <w:rsid w:val="00D46F94"/>
    <w:rsid w:val="00D47575"/>
    <w:rsid w:val="00D5086F"/>
    <w:rsid w:val="00D51822"/>
    <w:rsid w:val="00D5243B"/>
    <w:rsid w:val="00D533EC"/>
    <w:rsid w:val="00D551C5"/>
    <w:rsid w:val="00D557DE"/>
    <w:rsid w:val="00D56A95"/>
    <w:rsid w:val="00D57F89"/>
    <w:rsid w:val="00D6076E"/>
    <w:rsid w:val="00D642B7"/>
    <w:rsid w:val="00D70F16"/>
    <w:rsid w:val="00D71508"/>
    <w:rsid w:val="00D72617"/>
    <w:rsid w:val="00D72F57"/>
    <w:rsid w:val="00D73A4F"/>
    <w:rsid w:val="00D76A44"/>
    <w:rsid w:val="00D80F1E"/>
    <w:rsid w:val="00D815EF"/>
    <w:rsid w:val="00D81949"/>
    <w:rsid w:val="00D81C24"/>
    <w:rsid w:val="00D81F26"/>
    <w:rsid w:val="00D822E2"/>
    <w:rsid w:val="00D843F2"/>
    <w:rsid w:val="00D8472E"/>
    <w:rsid w:val="00D86231"/>
    <w:rsid w:val="00D912AB"/>
    <w:rsid w:val="00D915D7"/>
    <w:rsid w:val="00D91923"/>
    <w:rsid w:val="00D91958"/>
    <w:rsid w:val="00D92A03"/>
    <w:rsid w:val="00D9322D"/>
    <w:rsid w:val="00D93753"/>
    <w:rsid w:val="00DA3167"/>
    <w:rsid w:val="00DA3B19"/>
    <w:rsid w:val="00DA3EAF"/>
    <w:rsid w:val="00DA4DC3"/>
    <w:rsid w:val="00DA6151"/>
    <w:rsid w:val="00DA71C1"/>
    <w:rsid w:val="00DA77A5"/>
    <w:rsid w:val="00DA7EA4"/>
    <w:rsid w:val="00DB0057"/>
    <w:rsid w:val="00DB0E36"/>
    <w:rsid w:val="00DB1BAA"/>
    <w:rsid w:val="00DB30FE"/>
    <w:rsid w:val="00DB3DBF"/>
    <w:rsid w:val="00DB484F"/>
    <w:rsid w:val="00DC04F6"/>
    <w:rsid w:val="00DC0690"/>
    <w:rsid w:val="00DC10A4"/>
    <w:rsid w:val="00DC1D65"/>
    <w:rsid w:val="00DC2CA8"/>
    <w:rsid w:val="00DC32C8"/>
    <w:rsid w:val="00DC3C57"/>
    <w:rsid w:val="00DC50F2"/>
    <w:rsid w:val="00DC5501"/>
    <w:rsid w:val="00DC5DE4"/>
    <w:rsid w:val="00DC7154"/>
    <w:rsid w:val="00DC7E8A"/>
    <w:rsid w:val="00DD05D1"/>
    <w:rsid w:val="00DD0F78"/>
    <w:rsid w:val="00DD154A"/>
    <w:rsid w:val="00DD273C"/>
    <w:rsid w:val="00DD3F28"/>
    <w:rsid w:val="00DD4446"/>
    <w:rsid w:val="00DD4537"/>
    <w:rsid w:val="00DD4E15"/>
    <w:rsid w:val="00DD5C00"/>
    <w:rsid w:val="00DD674B"/>
    <w:rsid w:val="00DD7BFE"/>
    <w:rsid w:val="00DE1C1B"/>
    <w:rsid w:val="00DE218F"/>
    <w:rsid w:val="00DE2304"/>
    <w:rsid w:val="00DE2822"/>
    <w:rsid w:val="00DE2F0C"/>
    <w:rsid w:val="00DE3138"/>
    <w:rsid w:val="00DE37F8"/>
    <w:rsid w:val="00DE4273"/>
    <w:rsid w:val="00DE4FCB"/>
    <w:rsid w:val="00DE52E8"/>
    <w:rsid w:val="00DE5D07"/>
    <w:rsid w:val="00DE72A7"/>
    <w:rsid w:val="00DE7832"/>
    <w:rsid w:val="00DE7B7E"/>
    <w:rsid w:val="00DF18FC"/>
    <w:rsid w:val="00DF5D2B"/>
    <w:rsid w:val="00DF6341"/>
    <w:rsid w:val="00E003EA"/>
    <w:rsid w:val="00E00E8E"/>
    <w:rsid w:val="00E01653"/>
    <w:rsid w:val="00E029FB"/>
    <w:rsid w:val="00E05630"/>
    <w:rsid w:val="00E057A1"/>
    <w:rsid w:val="00E066F3"/>
    <w:rsid w:val="00E06DBB"/>
    <w:rsid w:val="00E10149"/>
    <w:rsid w:val="00E11340"/>
    <w:rsid w:val="00E122A1"/>
    <w:rsid w:val="00E13B54"/>
    <w:rsid w:val="00E144AE"/>
    <w:rsid w:val="00E158B3"/>
    <w:rsid w:val="00E16372"/>
    <w:rsid w:val="00E16681"/>
    <w:rsid w:val="00E16AD8"/>
    <w:rsid w:val="00E17FFA"/>
    <w:rsid w:val="00E20E4D"/>
    <w:rsid w:val="00E20ED6"/>
    <w:rsid w:val="00E21358"/>
    <w:rsid w:val="00E2249B"/>
    <w:rsid w:val="00E22A0D"/>
    <w:rsid w:val="00E244F6"/>
    <w:rsid w:val="00E258DB"/>
    <w:rsid w:val="00E2771E"/>
    <w:rsid w:val="00E311EF"/>
    <w:rsid w:val="00E313BA"/>
    <w:rsid w:val="00E31B7E"/>
    <w:rsid w:val="00E32180"/>
    <w:rsid w:val="00E33D32"/>
    <w:rsid w:val="00E33EA4"/>
    <w:rsid w:val="00E34948"/>
    <w:rsid w:val="00E34A62"/>
    <w:rsid w:val="00E36AED"/>
    <w:rsid w:val="00E37569"/>
    <w:rsid w:val="00E401B2"/>
    <w:rsid w:val="00E41E30"/>
    <w:rsid w:val="00E42F73"/>
    <w:rsid w:val="00E43D70"/>
    <w:rsid w:val="00E45865"/>
    <w:rsid w:val="00E4648F"/>
    <w:rsid w:val="00E466F3"/>
    <w:rsid w:val="00E47B2C"/>
    <w:rsid w:val="00E51560"/>
    <w:rsid w:val="00E51821"/>
    <w:rsid w:val="00E52DFB"/>
    <w:rsid w:val="00E53FC8"/>
    <w:rsid w:val="00E54347"/>
    <w:rsid w:val="00E54801"/>
    <w:rsid w:val="00E55424"/>
    <w:rsid w:val="00E55915"/>
    <w:rsid w:val="00E55BB5"/>
    <w:rsid w:val="00E611DF"/>
    <w:rsid w:val="00E62E1F"/>
    <w:rsid w:val="00E62EE3"/>
    <w:rsid w:val="00E6447F"/>
    <w:rsid w:val="00E64602"/>
    <w:rsid w:val="00E65E79"/>
    <w:rsid w:val="00E663D6"/>
    <w:rsid w:val="00E66BA2"/>
    <w:rsid w:val="00E66F33"/>
    <w:rsid w:val="00E672AA"/>
    <w:rsid w:val="00E67416"/>
    <w:rsid w:val="00E712CA"/>
    <w:rsid w:val="00E718B6"/>
    <w:rsid w:val="00E71E8C"/>
    <w:rsid w:val="00E723BA"/>
    <w:rsid w:val="00E72541"/>
    <w:rsid w:val="00E72E42"/>
    <w:rsid w:val="00E73581"/>
    <w:rsid w:val="00E74117"/>
    <w:rsid w:val="00E751A2"/>
    <w:rsid w:val="00E8215A"/>
    <w:rsid w:val="00E82A2C"/>
    <w:rsid w:val="00E833F7"/>
    <w:rsid w:val="00E83BDF"/>
    <w:rsid w:val="00E867AF"/>
    <w:rsid w:val="00E86FCC"/>
    <w:rsid w:val="00E87A1D"/>
    <w:rsid w:val="00E901F1"/>
    <w:rsid w:val="00E9094A"/>
    <w:rsid w:val="00E91D35"/>
    <w:rsid w:val="00E926A5"/>
    <w:rsid w:val="00E9282D"/>
    <w:rsid w:val="00E962CC"/>
    <w:rsid w:val="00EA0E77"/>
    <w:rsid w:val="00EA17C3"/>
    <w:rsid w:val="00EA2CAA"/>
    <w:rsid w:val="00EA3864"/>
    <w:rsid w:val="00EA3B97"/>
    <w:rsid w:val="00EA5B65"/>
    <w:rsid w:val="00EA7F1C"/>
    <w:rsid w:val="00EB03F5"/>
    <w:rsid w:val="00EB15B6"/>
    <w:rsid w:val="00EB264B"/>
    <w:rsid w:val="00EB269B"/>
    <w:rsid w:val="00EB377A"/>
    <w:rsid w:val="00EB3D06"/>
    <w:rsid w:val="00EB4916"/>
    <w:rsid w:val="00EB4E15"/>
    <w:rsid w:val="00EB564B"/>
    <w:rsid w:val="00EB56D0"/>
    <w:rsid w:val="00EB5D75"/>
    <w:rsid w:val="00EB72EE"/>
    <w:rsid w:val="00EB73CE"/>
    <w:rsid w:val="00EC00C9"/>
    <w:rsid w:val="00EC07F5"/>
    <w:rsid w:val="00EC089E"/>
    <w:rsid w:val="00EC0BC7"/>
    <w:rsid w:val="00EC0DD9"/>
    <w:rsid w:val="00EC2121"/>
    <w:rsid w:val="00EC2649"/>
    <w:rsid w:val="00EC31ED"/>
    <w:rsid w:val="00EC421F"/>
    <w:rsid w:val="00EC5836"/>
    <w:rsid w:val="00EC688C"/>
    <w:rsid w:val="00ED0298"/>
    <w:rsid w:val="00ED12E3"/>
    <w:rsid w:val="00ED19F2"/>
    <w:rsid w:val="00ED4B04"/>
    <w:rsid w:val="00ED57EA"/>
    <w:rsid w:val="00ED59D6"/>
    <w:rsid w:val="00ED5BD4"/>
    <w:rsid w:val="00ED5F5F"/>
    <w:rsid w:val="00EE07D3"/>
    <w:rsid w:val="00EE17BB"/>
    <w:rsid w:val="00EE1996"/>
    <w:rsid w:val="00EE1C01"/>
    <w:rsid w:val="00EE22AF"/>
    <w:rsid w:val="00EE2A77"/>
    <w:rsid w:val="00EE2ED1"/>
    <w:rsid w:val="00EE574B"/>
    <w:rsid w:val="00EF0171"/>
    <w:rsid w:val="00EF051A"/>
    <w:rsid w:val="00EF1B25"/>
    <w:rsid w:val="00EF1DA0"/>
    <w:rsid w:val="00EF4747"/>
    <w:rsid w:val="00EF4BF8"/>
    <w:rsid w:val="00EF5125"/>
    <w:rsid w:val="00EF6CD4"/>
    <w:rsid w:val="00F01022"/>
    <w:rsid w:val="00F02253"/>
    <w:rsid w:val="00F0277E"/>
    <w:rsid w:val="00F02FAA"/>
    <w:rsid w:val="00F030FE"/>
    <w:rsid w:val="00F0361E"/>
    <w:rsid w:val="00F03729"/>
    <w:rsid w:val="00F03C2E"/>
    <w:rsid w:val="00F03C7F"/>
    <w:rsid w:val="00F04A66"/>
    <w:rsid w:val="00F04B4B"/>
    <w:rsid w:val="00F0516C"/>
    <w:rsid w:val="00F067A2"/>
    <w:rsid w:val="00F07B9E"/>
    <w:rsid w:val="00F104CE"/>
    <w:rsid w:val="00F110B4"/>
    <w:rsid w:val="00F1116F"/>
    <w:rsid w:val="00F11436"/>
    <w:rsid w:val="00F11539"/>
    <w:rsid w:val="00F1263A"/>
    <w:rsid w:val="00F139C5"/>
    <w:rsid w:val="00F15B77"/>
    <w:rsid w:val="00F21236"/>
    <w:rsid w:val="00F21DE9"/>
    <w:rsid w:val="00F22D54"/>
    <w:rsid w:val="00F239DF"/>
    <w:rsid w:val="00F24837"/>
    <w:rsid w:val="00F24B79"/>
    <w:rsid w:val="00F2575F"/>
    <w:rsid w:val="00F27565"/>
    <w:rsid w:val="00F310D4"/>
    <w:rsid w:val="00F31D5A"/>
    <w:rsid w:val="00F3388C"/>
    <w:rsid w:val="00F33975"/>
    <w:rsid w:val="00F33D11"/>
    <w:rsid w:val="00F33DE9"/>
    <w:rsid w:val="00F3480E"/>
    <w:rsid w:val="00F35E6D"/>
    <w:rsid w:val="00F3619A"/>
    <w:rsid w:val="00F40AAA"/>
    <w:rsid w:val="00F40BA7"/>
    <w:rsid w:val="00F40F9D"/>
    <w:rsid w:val="00F41ACD"/>
    <w:rsid w:val="00F42B17"/>
    <w:rsid w:val="00F46CB6"/>
    <w:rsid w:val="00F46FBB"/>
    <w:rsid w:val="00F4756D"/>
    <w:rsid w:val="00F47DE8"/>
    <w:rsid w:val="00F518EF"/>
    <w:rsid w:val="00F52F06"/>
    <w:rsid w:val="00F53FEB"/>
    <w:rsid w:val="00F542C1"/>
    <w:rsid w:val="00F550E3"/>
    <w:rsid w:val="00F55E72"/>
    <w:rsid w:val="00F55E73"/>
    <w:rsid w:val="00F55EDA"/>
    <w:rsid w:val="00F56C80"/>
    <w:rsid w:val="00F57B03"/>
    <w:rsid w:val="00F57C1E"/>
    <w:rsid w:val="00F60092"/>
    <w:rsid w:val="00F61C18"/>
    <w:rsid w:val="00F65F4B"/>
    <w:rsid w:val="00F67A69"/>
    <w:rsid w:val="00F70BFF"/>
    <w:rsid w:val="00F70C9D"/>
    <w:rsid w:val="00F70CA3"/>
    <w:rsid w:val="00F70EBB"/>
    <w:rsid w:val="00F71C3A"/>
    <w:rsid w:val="00F71D5B"/>
    <w:rsid w:val="00F72D5B"/>
    <w:rsid w:val="00F73979"/>
    <w:rsid w:val="00F73E08"/>
    <w:rsid w:val="00F745B3"/>
    <w:rsid w:val="00F74CD9"/>
    <w:rsid w:val="00F80A7B"/>
    <w:rsid w:val="00F80E5D"/>
    <w:rsid w:val="00F81D17"/>
    <w:rsid w:val="00F81E78"/>
    <w:rsid w:val="00F82B2B"/>
    <w:rsid w:val="00F83916"/>
    <w:rsid w:val="00F84B23"/>
    <w:rsid w:val="00F851CE"/>
    <w:rsid w:val="00F865E5"/>
    <w:rsid w:val="00F86CE8"/>
    <w:rsid w:val="00F86F45"/>
    <w:rsid w:val="00F87D29"/>
    <w:rsid w:val="00F90165"/>
    <w:rsid w:val="00F91219"/>
    <w:rsid w:val="00F92444"/>
    <w:rsid w:val="00F927E4"/>
    <w:rsid w:val="00F9393E"/>
    <w:rsid w:val="00F9674F"/>
    <w:rsid w:val="00F96FD0"/>
    <w:rsid w:val="00F97A78"/>
    <w:rsid w:val="00FA0B20"/>
    <w:rsid w:val="00FA0EB9"/>
    <w:rsid w:val="00FA24E7"/>
    <w:rsid w:val="00FA5EE6"/>
    <w:rsid w:val="00FA6DF8"/>
    <w:rsid w:val="00FA70C8"/>
    <w:rsid w:val="00FA7956"/>
    <w:rsid w:val="00FB0824"/>
    <w:rsid w:val="00FB0DBF"/>
    <w:rsid w:val="00FB2153"/>
    <w:rsid w:val="00FB294C"/>
    <w:rsid w:val="00FB2B30"/>
    <w:rsid w:val="00FB2EAA"/>
    <w:rsid w:val="00FB2FCB"/>
    <w:rsid w:val="00FB34D4"/>
    <w:rsid w:val="00FB4848"/>
    <w:rsid w:val="00FB4C9C"/>
    <w:rsid w:val="00FB693A"/>
    <w:rsid w:val="00FB7A76"/>
    <w:rsid w:val="00FB7C55"/>
    <w:rsid w:val="00FC0B3B"/>
    <w:rsid w:val="00FC1074"/>
    <w:rsid w:val="00FC1884"/>
    <w:rsid w:val="00FC371D"/>
    <w:rsid w:val="00FC5F0B"/>
    <w:rsid w:val="00FC62D1"/>
    <w:rsid w:val="00FC70CD"/>
    <w:rsid w:val="00FD2100"/>
    <w:rsid w:val="00FD3A61"/>
    <w:rsid w:val="00FD40F0"/>
    <w:rsid w:val="00FD436C"/>
    <w:rsid w:val="00FD446D"/>
    <w:rsid w:val="00FD4B23"/>
    <w:rsid w:val="00FD4F2C"/>
    <w:rsid w:val="00FD6394"/>
    <w:rsid w:val="00FE0E6C"/>
    <w:rsid w:val="00FE1CDC"/>
    <w:rsid w:val="00FE35F7"/>
    <w:rsid w:val="00FE5292"/>
    <w:rsid w:val="00FE70C3"/>
    <w:rsid w:val="00FF1A8B"/>
    <w:rsid w:val="00FF2AD9"/>
    <w:rsid w:val="00FF359F"/>
    <w:rsid w:val="00FF3DCF"/>
    <w:rsid w:val="00FF492C"/>
    <w:rsid w:val="00FF4A21"/>
    <w:rsid w:val="00FF5AA3"/>
    <w:rsid w:val="00FF5AD8"/>
    <w:rsid w:val="00FF65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DE"/>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Caption 1,Figure caption,Figure caption1 Char Char,Figure Source,Caption Char1 Char,Caption Char Char Char,Caption Char1,Caption Table...,Caption Char1 + 8 pt,Not B....,Caption Table,...,Caption 3,figure,Caption-FUSA,12,12+,caption,c,Cha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Caption 1 Char,Figure caption Char,Figure caption1 Char Char Char,Figure Source Char,Caption Char1 Char Char,Caption Char Char Char Char,Caption Char1 Char1,Caption Table... Char,Caption Char1 + 8 pt Char,Not B.... 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RTI AMCP Table,MSD Table Grid,PBAC table,Legemiddelverket 3,Dossier table,Summary Table,Tabellengitternetz 9pt,HTAtableplain,Lash Style Table,Header Table,NICE instruction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806B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9"/>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891965"/>
    <w:rPr>
      <w:rFonts w:ascii="Calibri" w:hAnsi="Calibri" w:cs="Arial"/>
      <w:b/>
      <w:caps/>
      <w:sz w:val="32"/>
      <w:szCs w:val="24"/>
    </w:rPr>
  </w:style>
  <w:style w:type="character" w:customStyle="1" w:styleId="Heading3Char">
    <w:name w:val="Heading 3 Char"/>
    <w:basedOn w:val="DefaultParagraphFont"/>
    <w:link w:val="Heading3"/>
    <w:rsid w:val="00891965"/>
    <w:rPr>
      <w:rFonts w:ascii="Calibri" w:hAnsi="Calibri" w:cs="Arial"/>
      <w:sz w:val="24"/>
      <w:szCs w:val="24"/>
      <w:u w:val="single"/>
    </w:rPr>
  </w:style>
  <w:style w:type="character" w:customStyle="1" w:styleId="Heading4Char">
    <w:name w:val="Heading 4 Char"/>
    <w:basedOn w:val="DefaultParagraphFont"/>
    <w:link w:val="Heading4"/>
    <w:rsid w:val="00891965"/>
    <w:rPr>
      <w:rFonts w:ascii="Calibri" w:hAnsi="Calibri" w:cs="Arial"/>
      <w:b/>
      <w:bCs/>
      <w:i/>
      <w:sz w:val="26"/>
      <w:szCs w:val="28"/>
    </w:rPr>
  </w:style>
  <w:style w:type="character" w:customStyle="1" w:styleId="Heading5Char">
    <w:name w:val="Heading 5 Char"/>
    <w:basedOn w:val="DefaultParagraphFont"/>
    <w:link w:val="Heading5"/>
    <w:rsid w:val="00891965"/>
    <w:rPr>
      <w:rFonts w:ascii="Calibri" w:hAnsi="Calibri" w:cs="Arial"/>
      <w:b/>
      <w:bCs/>
      <w:iCs/>
      <w:sz w:val="26"/>
      <w:szCs w:val="26"/>
    </w:rPr>
  </w:style>
  <w:style w:type="character" w:customStyle="1" w:styleId="Heading6Char">
    <w:name w:val="Heading 6 Char"/>
    <w:basedOn w:val="DefaultParagraphFont"/>
    <w:link w:val="Heading6"/>
    <w:rsid w:val="00891965"/>
    <w:rPr>
      <w:rFonts w:ascii="Calibri" w:hAnsi="Calibri" w:cs="Arial"/>
      <w:b/>
      <w:bCs/>
      <w:i/>
      <w:sz w:val="24"/>
      <w:szCs w:val="24"/>
    </w:rPr>
  </w:style>
  <w:style w:type="character" w:styleId="FootnoteReference">
    <w:name w:val="footnote reference"/>
    <w:basedOn w:val="DefaultParagraphFont"/>
    <w:unhideWhenUsed/>
    <w:rsid w:val="00891965"/>
    <w:rPr>
      <w:vertAlign w:val="superscript"/>
    </w:rPr>
  </w:style>
  <w:style w:type="paragraph" w:styleId="FootnoteText">
    <w:name w:val="footnote text"/>
    <w:basedOn w:val="Normal"/>
    <w:link w:val="FootnoteTextChar"/>
    <w:semiHidden/>
    <w:unhideWhenUsed/>
    <w:rsid w:val="00891965"/>
    <w:rPr>
      <w:sz w:val="20"/>
      <w:szCs w:val="20"/>
    </w:rPr>
  </w:style>
  <w:style w:type="character" w:customStyle="1" w:styleId="FootnoteTextChar">
    <w:name w:val="Footnote Text Char"/>
    <w:basedOn w:val="DefaultParagraphFont"/>
    <w:link w:val="FootnoteText"/>
    <w:semiHidden/>
    <w:rsid w:val="00891965"/>
    <w:rPr>
      <w:rFonts w:ascii="Calibri" w:hAnsi="Calibri" w:cs="Arial"/>
    </w:rPr>
  </w:style>
  <w:style w:type="character" w:styleId="UnresolvedMention">
    <w:name w:val="Unresolved Mention"/>
    <w:basedOn w:val="DefaultParagraphFont"/>
    <w:uiPriority w:val="99"/>
    <w:semiHidden/>
    <w:unhideWhenUsed/>
    <w:rsid w:val="00891965"/>
    <w:rPr>
      <w:color w:val="605E5C"/>
      <w:shd w:val="clear" w:color="auto" w:fill="E1DFDD"/>
    </w:rPr>
  </w:style>
  <w:style w:type="paragraph" w:customStyle="1" w:styleId="TableFigureFooter">
    <w:name w:val="Table/Figure Footer"/>
    <w:basedOn w:val="Normal"/>
    <w:link w:val="TableFigureFooterChar"/>
    <w:qFormat/>
    <w:rsid w:val="00891965"/>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891965"/>
    <w:rPr>
      <w:rFonts w:ascii="Arial Narrow" w:hAnsi="Arial Narrow" w:cs="Arial"/>
      <w:snapToGrid w:val="0"/>
      <w:sz w:val="18"/>
      <w:szCs w:val="22"/>
    </w:rPr>
  </w:style>
  <w:style w:type="paragraph" w:customStyle="1" w:styleId="COMexecsumnumberedpara">
    <w:name w:val="COM exec sum numbered para"/>
    <w:basedOn w:val="ListParagraph"/>
    <w:link w:val="COMexecsumnumberedparaChar"/>
    <w:rsid w:val="00891965"/>
    <w:pPr>
      <w:numPr>
        <w:numId w:val="0"/>
      </w:numPr>
      <w:ind w:left="720" w:hanging="720"/>
    </w:pPr>
  </w:style>
  <w:style w:type="character" w:customStyle="1" w:styleId="COMexecsumnumberedparaChar">
    <w:name w:val="COM exec sum numbered para Char"/>
    <w:basedOn w:val="DefaultParagraphFont"/>
    <w:link w:val="COMexecsumnumberedpara"/>
    <w:rsid w:val="00891965"/>
    <w:rPr>
      <w:rFonts w:asciiTheme="minorHAnsi" w:hAnsiTheme="minorHAnsi" w:cs="Arial"/>
      <w:snapToGrid w:val="0"/>
      <w:sz w:val="24"/>
      <w:szCs w:val="24"/>
    </w:rPr>
  </w:style>
  <w:style w:type="table" w:customStyle="1" w:styleId="TableGrid3">
    <w:name w:val="Table Grid3"/>
    <w:basedOn w:val="TableNormal"/>
    <w:next w:val="TableGrid"/>
    <w:uiPriority w:val="39"/>
    <w:rsid w:val="0010101B"/>
    <w:rPr>
      <w:rFonts w:ascii="Cambria" w:eastAsia="Calibri" w:hAnsi="Cambria"/>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rsid w:val="0010101B"/>
    <w:pPr>
      <w:widowControl w:val="0"/>
      <w:spacing w:after="20"/>
      <w:textboxTightWrap w:val="allLines"/>
    </w:pPr>
    <w:rPr>
      <w:rFonts w:ascii="Arial Narrow" w:hAnsi="Arial Narrow" w:cs="Arial"/>
      <w:szCs w:val="24"/>
      <w:lang w:eastAsia="en-GB"/>
    </w:rPr>
  </w:style>
  <w:style w:type="paragraph" w:customStyle="1" w:styleId="3-SubsectionHeading">
    <w:name w:val="3-Subsection Heading"/>
    <w:basedOn w:val="Heading2"/>
    <w:next w:val="Normal"/>
    <w:link w:val="3-SubsectionHeadingChar"/>
    <w:qFormat/>
    <w:rsid w:val="00FB294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B294C"/>
    <w:rPr>
      <w:rFonts w:asciiTheme="minorHAnsi" w:eastAsiaTheme="majorEastAsia" w:hAnsiTheme="minorHAnsi" w:cstheme="majorBidi"/>
      <w:b/>
      <w:i/>
      <w:snapToGrid/>
      <w:spacing w:val="5"/>
      <w:kern w:val="28"/>
      <w:sz w:val="28"/>
      <w:szCs w:val="36"/>
      <w:lang w:eastAsia="en-US"/>
    </w:rPr>
  </w:style>
  <w:style w:type="character" w:customStyle="1" w:styleId="cf01">
    <w:name w:val="cf01"/>
    <w:basedOn w:val="DefaultParagraphFont"/>
    <w:rsid w:val="00F42B17"/>
    <w:rPr>
      <w:rFonts w:ascii="Segoe UI" w:hAnsi="Segoe UI" w:cs="Segoe UI" w:hint="default"/>
    </w:rPr>
  </w:style>
  <w:style w:type="character" w:styleId="Emphasis">
    <w:name w:val="Emphasis"/>
    <w:basedOn w:val="DefaultParagraphFont"/>
    <w:uiPriority w:val="20"/>
    <w:qFormat/>
    <w:rsid w:val="00F42B17"/>
    <w:rPr>
      <w:i/>
      <w:iCs/>
    </w:rPr>
  </w:style>
  <w:style w:type="paragraph" w:customStyle="1" w:styleId="Numberbullet2">
    <w:name w:val="Number bullet 2"/>
    <w:basedOn w:val="ListBullet2"/>
    <w:qFormat/>
    <w:rsid w:val="001C6473"/>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1C6473"/>
    <w:pPr>
      <w:numPr>
        <w:ilvl w:val="2"/>
        <w:numId w:val="39"/>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1C6473"/>
    <w:pPr>
      <w:numPr>
        <w:numId w:val="39"/>
      </w:numPr>
    </w:pPr>
  </w:style>
  <w:style w:type="paragraph" w:customStyle="1" w:styleId="COMH1numbered">
    <w:name w:val="COM H1 numbered"/>
    <w:next w:val="Normal"/>
    <w:link w:val="COMH1numberedChar"/>
    <w:qFormat/>
    <w:rsid w:val="001C6473"/>
    <w:pPr>
      <w:keepNext/>
      <w:numPr>
        <w:numId w:val="39"/>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1C6473"/>
    <w:rPr>
      <w:rFonts w:asciiTheme="minorHAnsi" w:hAnsiTheme="minorHAnsi" w:cs="Arial"/>
      <w:b/>
      <w:snapToGrid w:val="0"/>
      <w:sz w:val="32"/>
      <w:szCs w:val="32"/>
    </w:rPr>
  </w:style>
  <w:style w:type="paragraph" w:styleId="ListBullet2">
    <w:name w:val="List Bullet 2"/>
    <w:basedOn w:val="Normal"/>
    <w:semiHidden/>
    <w:unhideWhenUsed/>
    <w:rsid w:val="001C6473"/>
    <w:pPr>
      <w:ind w:left="425" w:hanging="425"/>
      <w:contextualSpacing/>
    </w:pPr>
  </w:style>
  <w:style w:type="paragraph" w:styleId="ListBullet3">
    <w:name w:val="List Bullet 3"/>
    <w:basedOn w:val="Normal"/>
    <w:semiHidden/>
    <w:unhideWhenUsed/>
    <w:rsid w:val="001C6473"/>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0706043">
      <w:bodyDiv w:val="1"/>
      <w:marLeft w:val="0"/>
      <w:marRight w:val="0"/>
      <w:marTop w:val="0"/>
      <w:marBottom w:val="0"/>
      <w:divBdr>
        <w:top w:val="none" w:sz="0" w:space="0" w:color="auto"/>
        <w:left w:val="none" w:sz="0" w:space="0" w:color="auto"/>
        <w:bottom w:val="none" w:sz="0" w:space="0" w:color="auto"/>
        <w:right w:val="none" w:sz="0" w:space="0" w:color="auto"/>
      </w:divBdr>
      <w:divsChild>
        <w:div w:id="227615163">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84914293">
      <w:bodyDiv w:val="1"/>
      <w:marLeft w:val="0"/>
      <w:marRight w:val="0"/>
      <w:marTop w:val="0"/>
      <w:marBottom w:val="0"/>
      <w:divBdr>
        <w:top w:val="none" w:sz="0" w:space="0" w:color="auto"/>
        <w:left w:val="none" w:sz="0" w:space="0" w:color="auto"/>
        <w:bottom w:val="none" w:sz="0" w:space="0" w:color="auto"/>
        <w:right w:val="none" w:sz="0" w:space="0" w:color="auto"/>
      </w:divBdr>
    </w:div>
    <w:div w:id="449396316">
      <w:bodyDiv w:val="1"/>
      <w:marLeft w:val="0"/>
      <w:marRight w:val="0"/>
      <w:marTop w:val="0"/>
      <w:marBottom w:val="0"/>
      <w:divBdr>
        <w:top w:val="none" w:sz="0" w:space="0" w:color="auto"/>
        <w:left w:val="none" w:sz="0" w:space="0" w:color="auto"/>
        <w:bottom w:val="none" w:sz="0" w:space="0" w:color="auto"/>
        <w:right w:val="none" w:sz="0" w:space="0" w:color="auto"/>
      </w:divBdr>
    </w:div>
    <w:div w:id="523448736">
      <w:bodyDiv w:val="1"/>
      <w:marLeft w:val="0"/>
      <w:marRight w:val="0"/>
      <w:marTop w:val="0"/>
      <w:marBottom w:val="0"/>
      <w:divBdr>
        <w:top w:val="none" w:sz="0" w:space="0" w:color="auto"/>
        <w:left w:val="none" w:sz="0" w:space="0" w:color="auto"/>
        <w:bottom w:val="none" w:sz="0" w:space="0" w:color="auto"/>
        <w:right w:val="none" w:sz="0" w:space="0" w:color="auto"/>
      </w:divBdr>
      <w:divsChild>
        <w:div w:id="941769154">
          <w:marLeft w:val="360"/>
          <w:marRight w:val="0"/>
          <w:marTop w:val="200"/>
          <w:marBottom w:val="0"/>
          <w:divBdr>
            <w:top w:val="none" w:sz="0" w:space="0" w:color="auto"/>
            <w:left w:val="none" w:sz="0" w:space="0" w:color="auto"/>
            <w:bottom w:val="none" w:sz="0" w:space="0" w:color="auto"/>
            <w:right w:val="none" w:sz="0" w:space="0" w:color="auto"/>
          </w:divBdr>
        </w:div>
        <w:div w:id="1313407533">
          <w:marLeft w:val="360"/>
          <w:marRight w:val="0"/>
          <w:marTop w:val="200"/>
          <w:marBottom w:val="0"/>
          <w:divBdr>
            <w:top w:val="none" w:sz="0" w:space="0" w:color="auto"/>
            <w:left w:val="none" w:sz="0" w:space="0" w:color="auto"/>
            <w:bottom w:val="none" w:sz="0" w:space="0" w:color="auto"/>
            <w:right w:val="none" w:sz="0" w:space="0" w:color="auto"/>
          </w:divBdr>
        </w:div>
        <w:div w:id="1789162928">
          <w:marLeft w:val="360"/>
          <w:marRight w:val="0"/>
          <w:marTop w:val="200"/>
          <w:marBottom w:val="0"/>
          <w:divBdr>
            <w:top w:val="none" w:sz="0" w:space="0" w:color="auto"/>
            <w:left w:val="none" w:sz="0" w:space="0" w:color="auto"/>
            <w:bottom w:val="none" w:sz="0" w:space="0" w:color="auto"/>
            <w:right w:val="none" w:sz="0" w:space="0" w:color="auto"/>
          </w:divBdr>
        </w:div>
        <w:div w:id="129910510">
          <w:marLeft w:val="360"/>
          <w:marRight w:val="0"/>
          <w:marTop w:val="200"/>
          <w:marBottom w:val="0"/>
          <w:divBdr>
            <w:top w:val="none" w:sz="0" w:space="0" w:color="auto"/>
            <w:left w:val="none" w:sz="0" w:space="0" w:color="auto"/>
            <w:bottom w:val="none" w:sz="0" w:space="0" w:color="auto"/>
            <w:right w:val="none" w:sz="0" w:space="0" w:color="auto"/>
          </w:divBdr>
        </w:div>
        <w:div w:id="1040085438">
          <w:marLeft w:val="1080"/>
          <w:marRight w:val="0"/>
          <w:marTop w:val="100"/>
          <w:marBottom w:val="0"/>
          <w:divBdr>
            <w:top w:val="none" w:sz="0" w:space="0" w:color="auto"/>
            <w:left w:val="none" w:sz="0" w:space="0" w:color="auto"/>
            <w:bottom w:val="none" w:sz="0" w:space="0" w:color="auto"/>
            <w:right w:val="none" w:sz="0" w:space="0" w:color="auto"/>
          </w:divBdr>
        </w:div>
      </w:divsChild>
    </w:div>
    <w:div w:id="584267732">
      <w:bodyDiv w:val="1"/>
      <w:marLeft w:val="0"/>
      <w:marRight w:val="0"/>
      <w:marTop w:val="0"/>
      <w:marBottom w:val="0"/>
      <w:divBdr>
        <w:top w:val="none" w:sz="0" w:space="0" w:color="auto"/>
        <w:left w:val="none" w:sz="0" w:space="0" w:color="auto"/>
        <w:bottom w:val="none" w:sz="0" w:space="0" w:color="auto"/>
        <w:right w:val="none" w:sz="0" w:space="0" w:color="auto"/>
      </w:divBdr>
    </w:div>
    <w:div w:id="589388363">
      <w:bodyDiv w:val="1"/>
      <w:marLeft w:val="0"/>
      <w:marRight w:val="0"/>
      <w:marTop w:val="0"/>
      <w:marBottom w:val="0"/>
      <w:divBdr>
        <w:top w:val="none" w:sz="0" w:space="0" w:color="auto"/>
        <w:left w:val="none" w:sz="0" w:space="0" w:color="auto"/>
        <w:bottom w:val="none" w:sz="0" w:space="0" w:color="auto"/>
        <w:right w:val="none" w:sz="0" w:space="0" w:color="auto"/>
      </w:divBdr>
    </w:div>
    <w:div w:id="80812786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95375408">
      <w:bodyDiv w:val="1"/>
      <w:marLeft w:val="0"/>
      <w:marRight w:val="0"/>
      <w:marTop w:val="0"/>
      <w:marBottom w:val="0"/>
      <w:divBdr>
        <w:top w:val="none" w:sz="0" w:space="0" w:color="auto"/>
        <w:left w:val="none" w:sz="0" w:space="0" w:color="auto"/>
        <w:bottom w:val="none" w:sz="0" w:space="0" w:color="auto"/>
        <w:right w:val="none" w:sz="0" w:space="0" w:color="auto"/>
      </w:divBdr>
    </w:div>
    <w:div w:id="1106654449">
      <w:bodyDiv w:val="1"/>
      <w:marLeft w:val="0"/>
      <w:marRight w:val="0"/>
      <w:marTop w:val="0"/>
      <w:marBottom w:val="0"/>
      <w:divBdr>
        <w:top w:val="none" w:sz="0" w:space="0" w:color="auto"/>
        <w:left w:val="none" w:sz="0" w:space="0" w:color="auto"/>
        <w:bottom w:val="none" w:sz="0" w:space="0" w:color="auto"/>
        <w:right w:val="none" w:sz="0" w:space="0" w:color="auto"/>
      </w:divBdr>
    </w:div>
    <w:div w:id="11233100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7346809">
      <w:bodyDiv w:val="1"/>
      <w:marLeft w:val="0"/>
      <w:marRight w:val="0"/>
      <w:marTop w:val="0"/>
      <w:marBottom w:val="0"/>
      <w:divBdr>
        <w:top w:val="none" w:sz="0" w:space="0" w:color="auto"/>
        <w:left w:val="none" w:sz="0" w:space="0" w:color="auto"/>
        <w:bottom w:val="none" w:sz="0" w:space="0" w:color="auto"/>
        <w:right w:val="none" w:sz="0" w:space="0" w:color="auto"/>
      </w:divBdr>
      <w:divsChild>
        <w:div w:id="706872820">
          <w:marLeft w:val="360"/>
          <w:marRight w:val="0"/>
          <w:marTop w:val="200"/>
          <w:marBottom w:val="0"/>
          <w:divBdr>
            <w:top w:val="none" w:sz="0" w:space="0" w:color="auto"/>
            <w:left w:val="none" w:sz="0" w:space="0" w:color="auto"/>
            <w:bottom w:val="none" w:sz="0" w:space="0" w:color="auto"/>
            <w:right w:val="none" w:sz="0" w:space="0" w:color="auto"/>
          </w:divBdr>
        </w:div>
        <w:div w:id="1867791268">
          <w:marLeft w:val="360"/>
          <w:marRight w:val="0"/>
          <w:marTop w:val="200"/>
          <w:marBottom w:val="0"/>
          <w:divBdr>
            <w:top w:val="none" w:sz="0" w:space="0" w:color="auto"/>
            <w:left w:val="none" w:sz="0" w:space="0" w:color="auto"/>
            <w:bottom w:val="none" w:sz="0" w:space="0" w:color="auto"/>
            <w:right w:val="none" w:sz="0" w:space="0" w:color="auto"/>
          </w:divBdr>
        </w:div>
        <w:div w:id="592321637">
          <w:marLeft w:val="360"/>
          <w:marRight w:val="0"/>
          <w:marTop w:val="200"/>
          <w:marBottom w:val="0"/>
          <w:divBdr>
            <w:top w:val="none" w:sz="0" w:space="0" w:color="auto"/>
            <w:left w:val="none" w:sz="0" w:space="0" w:color="auto"/>
            <w:bottom w:val="none" w:sz="0" w:space="0" w:color="auto"/>
            <w:right w:val="none" w:sz="0" w:space="0" w:color="auto"/>
          </w:divBdr>
        </w:div>
        <w:div w:id="176620726">
          <w:marLeft w:val="360"/>
          <w:marRight w:val="0"/>
          <w:marTop w:val="200"/>
          <w:marBottom w:val="0"/>
          <w:divBdr>
            <w:top w:val="none" w:sz="0" w:space="0" w:color="auto"/>
            <w:left w:val="none" w:sz="0" w:space="0" w:color="auto"/>
            <w:bottom w:val="none" w:sz="0" w:space="0" w:color="auto"/>
            <w:right w:val="none" w:sz="0" w:space="0" w:color="auto"/>
          </w:divBdr>
        </w:div>
        <w:div w:id="1831019054">
          <w:marLeft w:val="1080"/>
          <w:marRight w:val="0"/>
          <w:marTop w:val="100"/>
          <w:marBottom w:val="0"/>
          <w:divBdr>
            <w:top w:val="none" w:sz="0" w:space="0" w:color="auto"/>
            <w:left w:val="none" w:sz="0" w:space="0" w:color="auto"/>
            <w:bottom w:val="none" w:sz="0" w:space="0" w:color="auto"/>
            <w:right w:val="none" w:sz="0" w:space="0" w:color="auto"/>
          </w:divBdr>
        </w:div>
      </w:divsChild>
    </w:div>
    <w:div w:id="1310089757">
      <w:bodyDiv w:val="1"/>
      <w:marLeft w:val="0"/>
      <w:marRight w:val="0"/>
      <w:marTop w:val="0"/>
      <w:marBottom w:val="0"/>
      <w:divBdr>
        <w:top w:val="none" w:sz="0" w:space="0" w:color="auto"/>
        <w:left w:val="none" w:sz="0" w:space="0" w:color="auto"/>
        <w:bottom w:val="none" w:sz="0" w:space="0" w:color="auto"/>
        <w:right w:val="none" w:sz="0" w:space="0" w:color="auto"/>
      </w:divBdr>
      <w:divsChild>
        <w:div w:id="808740840">
          <w:marLeft w:val="1080"/>
          <w:marRight w:val="0"/>
          <w:marTop w:val="100"/>
          <w:marBottom w:val="0"/>
          <w:divBdr>
            <w:top w:val="none" w:sz="0" w:space="0" w:color="auto"/>
            <w:left w:val="none" w:sz="0" w:space="0" w:color="auto"/>
            <w:bottom w:val="none" w:sz="0" w:space="0" w:color="auto"/>
            <w:right w:val="none" w:sz="0" w:space="0" w:color="auto"/>
          </w:divBdr>
        </w:div>
      </w:divsChild>
    </w:div>
    <w:div w:id="1356496625">
      <w:bodyDiv w:val="1"/>
      <w:marLeft w:val="0"/>
      <w:marRight w:val="0"/>
      <w:marTop w:val="0"/>
      <w:marBottom w:val="0"/>
      <w:divBdr>
        <w:top w:val="none" w:sz="0" w:space="0" w:color="auto"/>
        <w:left w:val="none" w:sz="0" w:space="0" w:color="auto"/>
        <w:bottom w:val="none" w:sz="0" w:space="0" w:color="auto"/>
        <w:right w:val="none" w:sz="0" w:space="0" w:color="auto"/>
      </w:divBdr>
    </w:div>
    <w:div w:id="1500464669">
      <w:bodyDiv w:val="1"/>
      <w:marLeft w:val="0"/>
      <w:marRight w:val="0"/>
      <w:marTop w:val="0"/>
      <w:marBottom w:val="0"/>
      <w:divBdr>
        <w:top w:val="none" w:sz="0" w:space="0" w:color="auto"/>
        <w:left w:val="none" w:sz="0" w:space="0" w:color="auto"/>
        <w:bottom w:val="none" w:sz="0" w:space="0" w:color="auto"/>
        <w:right w:val="none" w:sz="0" w:space="0" w:color="auto"/>
      </w:divBdr>
      <w:divsChild>
        <w:div w:id="283119811">
          <w:marLeft w:val="360"/>
          <w:marRight w:val="0"/>
          <w:marTop w:val="200"/>
          <w:marBottom w:val="0"/>
          <w:divBdr>
            <w:top w:val="none" w:sz="0" w:space="0" w:color="auto"/>
            <w:left w:val="none" w:sz="0" w:space="0" w:color="auto"/>
            <w:bottom w:val="none" w:sz="0" w:space="0" w:color="auto"/>
            <w:right w:val="none" w:sz="0" w:space="0" w:color="auto"/>
          </w:divBdr>
        </w:div>
        <w:div w:id="319578235">
          <w:marLeft w:val="1080"/>
          <w:marRight w:val="0"/>
          <w:marTop w:val="100"/>
          <w:marBottom w:val="0"/>
          <w:divBdr>
            <w:top w:val="none" w:sz="0" w:space="0" w:color="auto"/>
            <w:left w:val="none" w:sz="0" w:space="0" w:color="auto"/>
            <w:bottom w:val="none" w:sz="0" w:space="0" w:color="auto"/>
            <w:right w:val="none" w:sz="0" w:space="0" w:color="auto"/>
          </w:divBdr>
        </w:div>
        <w:div w:id="483933571">
          <w:marLeft w:val="1080"/>
          <w:marRight w:val="0"/>
          <w:marTop w:val="100"/>
          <w:marBottom w:val="0"/>
          <w:divBdr>
            <w:top w:val="none" w:sz="0" w:space="0" w:color="auto"/>
            <w:left w:val="none" w:sz="0" w:space="0" w:color="auto"/>
            <w:bottom w:val="none" w:sz="0" w:space="0" w:color="auto"/>
            <w:right w:val="none" w:sz="0" w:space="0" w:color="auto"/>
          </w:divBdr>
        </w:div>
      </w:divsChild>
    </w:div>
    <w:div w:id="1633829763">
      <w:bodyDiv w:val="1"/>
      <w:marLeft w:val="0"/>
      <w:marRight w:val="0"/>
      <w:marTop w:val="0"/>
      <w:marBottom w:val="0"/>
      <w:divBdr>
        <w:top w:val="none" w:sz="0" w:space="0" w:color="auto"/>
        <w:left w:val="none" w:sz="0" w:space="0" w:color="auto"/>
        <w:bottom w:val="none" w:sz="0" w:space="0" w:color="auto"/>
        <w:right w:val="none" w:sz="0" w:space="0" w:color="auto"/>
      </w:divBdr>
    </w:div>
    <w:div w:id="1712920151">
      <w:bodyDiv w:val="1"/>
      <w:marLeft w:val="0"/>
      <w:marRight w:val="0"/>
      <w:marTop w:val="0"/>
      <w:marBottom w:val="0"/>
      <w:divBdr>
        <w:top w:val="none" w:sz="0" w:space="0" w:color="auto"/>
        <w:left w:val="none" w:sz="0" w:space="0" w:color="auto"/>
        <w:bottom w:val="none" w:sz="0" w:space="0" w:color="auto"/>
        <w:right w:val="none" w:sz="0" w:space="0" w:color="auto"/>
      </w:divBdr>
      <w:divsChild>
        <w:div w:id="226653076">
          <w:marLeft w:val="360"/>
          <w:marRight w:val="0"/>
          <w:marTop w:val="200"/>
          <w:marBottom w:val="0"/>
          <w:divBdr>
            <w:top w:val="none" w:sz="0" w:space="0" w:color="auto"/>
            <w:left w:val="none" w:sz="0" w:space="0" w:color="auto"/>
            <w:bottom w:val="none" w:sz="0" w:space="0" w:color="auto"/>
            <w:right w:val="none" w:sz="0" w:space="0" w:color="auto"/>
          </w:divBdr>
        </w:div>
        <w:div w:id="58866185">
          <w:marLeft w:val="1080"/>
          <w:marRight w:val="0"/>
          <w:marTop w:val="100"/>
          <w:marBottom w:val="0"/>
          <w:divBdr>
            <w:top w:val="none" w:sz="0" w:space="0" w:color="auto"/>
            <w:left w:val="none" w:sz="0" w:space="0" w:color="auto"/>
            <w:bottom w:val="none" w:sz="0" w:space="0" w:color="auto"/>
            <w:right w:val="none" w:sz="0" w:space="0" w:color="auto"/>
          </w:divBdr>
        </w:div>
        <w:div w:id="1830708030">
          <w:marLeft w:val="1080"/>
          <w:marRight w:val="0"/>
          <w:marTop w:val="100"/>
          <w:marBottom w:val="0"/>
          <w:divBdr>
            <w:top w:val="none" w:sz="0" w:space="0" w:color="auto"/>
            <w:left w:val="none" w:sz="0" w:space="0" w:color="auto"/>
            <w:bottom w:val="none" w:sz="0" w:space="0" w:color="auto"/>
            <w:right w:val="none" w:sz="0" w:space="0" w:color="auto"/>
          </w:divBdr>
        </w:div>
      </w:divsChild>
    </w:div>
    <w:div w:id="1721204162">
      <w:bodyDiv w:val="1"/>
      <w:marLeft w:val="0"/>
      <w:marRight w:val="0"/>
      <w:marTop w:val="0"/>
      <w:marBottom w:val="0"/>
      <w:divBdr>
        <w:top w:val="none" w:sz="0" w:space="0" w:color="auto"/>
        <w:left w:val="none" w:sz="0" w:space="0" w:color="auto"/>
        <w:bottom w:val="none" w:sz="0" w:space="0" w:color="auto"/>
        <w:right w:val="none" w:sz="0" w:space="0" w:color="auto"/>
      </w:divBdr>
    </w:div>
    <w:div w:id="1859274680">
      <w:bodyDiv w:val="1"/>
      <w:marLeft w:val="0"/>
      <w:marRight w:val="0"/>
      <w:marTop w:val="0"/>
      <w:marBottom w:val="0"/>
      <w:divBdr>
        <w:top w:val="none" w:sz="0" w:space="0" w:color="auto"/>
        <w:left w:val="none" w:sz="0" w:space="0" w:color="auto"/>
        <w:bottom w:val="none" w:sz="0" w:space="0" w:color="auto"/>
        <w:right w:val="none" w:sz="0" w:space="0" w:color="auto"/>
      </w:divBdr>
    </w:div>
    <w:div w:id="186524446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93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esmo.org/living-guidelines/esmo-metastatic-colorectal-cancer-living-guideline/advanced-and-metastatic-disease-without-potential-conversion/advanced-and-metastatic-disease-without-potential-conversion/third-and-further-lines" TargetMode="External"/><Relationship Id="rId2" Type="http://schemas.openxmlformats.org/officeDocument/2006/relationships/hyperlink" Target="https://www.aihw.gov.au/getmedia/892d43f7-ab5d-48fe-9969-129f138687f3/aihw-can-117.pdf?v=20230605165443&amp;inline=true" TargetMode="External"/><Relationship Id="rId1" Type="http://schemas.openxmlformats.org/officeDocument/2006/relationships/hyperlink" Target="https://www.aihw.gov.au/reports/cancer/cancer-data-in-australia/contents/summary-dashboard" TargetMode="External"/><Relationship Id="rId5" Type="http://schemas.openxmlformats.org/officeDocument/2006/relationships/hyperlink" Target="https://www.nccn.org/professionals/physician_gls/pdf/colon.pdf" TargetMode="External"/><Relationship Id="rId4" Type="http://schemas.openxmlformats.org/officeDocument/2006/relationships/hyperlink" Target="https://www.annalsofoncology.org/article/S0923-7534(23)04335-1/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DBC46EB4-702A-4F5E-8E1E-AB62E0C1D58D}"/>
</file>

<file path=customXml/itemProps3.xml><?xml version="1.0" encoding="utf-8"?>
<ds:datastoreItem xmlns:ds="http://schemas.openxmlformats.org/officeDocument/2006/customXml" ds:itemID="{FB3BEDD2-1CF4-4BF6-9FAF-7A5715337967}"/>
</file>

<file path=customXml/itemProps4.xml><?xml version="1.0" encoding="utf-8"?>
<ds:datastoreItem xmlns:ds="http://schemas.openxmlformats.org/officeDocument/2006/customXml" ds:itemID="{0D791019-8E92-441C-84B0-5FFD24F26C72}"/>
</file>

<file path=docProps/app.xml><?xml version="1.0" encoding="utf-8"?>
<Properties xmlns="http://schemas.openxmlformats.org/officeDocument/2006/extended-properties" xmlns:vt="http://schemas.openxmlformats.org/officeDocument/2006/docPropsVTypes">
  <Template>Normal.dotm</Template>
  <TotalTime>0</TotalTime>
  <Pages>33</Pages>
  <Words>12494</Words>
  <Characters>71218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2024-12-23T01:05:00Z</dcterms:created>
  <dcterms:modified xsi:type="dcterms:W3CDTF">2024-12-23T01:06:00Z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